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D71C" w14:textId="6DB086D3" w:rsidR="00A75E40" w:rsidRPr="00D160FB" w:rsidRDefault="00181788" w:rsidP="006C3495">
      <w:pPr>
        <w:jc w:val="center"/>
        <w:rPr>
          <w:lang w:val="en-GB" w:eastAsia="ar-SA"/>
        </w:rPr>
        <w:sectPr w:rsidR="00A75E40" w:rsidRPr="00D160FB"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63872" behindDoc="0" locked="1" layoutInCell="1" allowOverlap="1" wp14:anchorId="4B4A759B" wp14:editId="7FDDAEAE">
                <wp:simplePos x="0" y="0"/>
                <wp:positionH relativeFrom="margin">
                  <wp:posOffset>-219075</wp:posOffset>
                </wp:positionH>
                <wp:positionV relativeFrom="page">
                  <wp:posOffset>516890</wp:posOffset>
                </wp:positionV>
                <wp:extent cx="2162810" cy="510540"/>
                <wp:effectExtent l="0" t="0" r="8890" b="3810"/>
                <wp:wrapSquare wrapText="bothSides"/>
                <wp:docPr id="3" name="Skupina 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62810" cy="510540"/>
                          <a:chOff x="0" y="0"/>
                          <a:chExt cx="1671002" cy="395288"/>
                        </a:xfrm>
                      </wpg:grpSpPr>
                      <wps:wsp>
                        <wps:cNvPr id="8" name="Rectangle 5"/>
                        <wps:cNvSpPr>
                          <a:spLocks noChangeArrowheads="1"/>
                        </wps:cNvSpPr>
                        <wps:spPr bwMode="auto">
                          <a:xfrm>
                            <a:off x="395287" y="4763"/>
                            <a:ext cx="419100" cy="98425"/>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6"/>
                        <wps:cNvSpPr>
                          <a:spLocks noChangeArrowheads="1"/>
                        </wps:cNvSpPr>
                        <wps:spPr bwMode="auto">
                          <a:xfrm>
                            <a:off x="0" y="147638"/>
                            <a:ext cx="814705"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357187" y="295275"/>
                            <a:ext cx="457200" cy="97790"/>
                          </a:xfrm>
                          <a:prstGeom prst="rect">
                            <a:avLst/>
                          </a:prstGeom>
                          <a:solidFill>
                            <a:srgbClr val="0071B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8"/>
                        <wps:cNvSpPr>
                          <a:spLocks noEditPoints="1"/>
                        </wps:cNvSpPr>
                        <wps:spPr bwMode="auto">
                          <a:xfrm>
                            <a:off x="862012" y="290513"/>
                            <a:ext cx="455295" cy="104775"/>
                          </a:xfrm>
                          <a:custGeom>
                            <a:avLst/>
                            <a:gdLst>
                              <a:gd name="T0" fmla="*/ 34559 w 1436"/>
                              <a:gd name="T1" fmla="*/ 3175 h 330"/>
                              <a:gd name="T2" fmla="*/ 14268 w 1436"/>
                              <a:gd name="T3" fmla="*/ 16193 h 330"/>
                              <a:gd name="T4" fmla="*/ 1268 w 1436"/>
                              <a:gd name="T5" fmla="*/ 40640 h 330"/>
                              <a:gd name="T6" fmla="*/ 2536 w 1436"/>
                              <a:gd name="T7" fmla="*/ 67628 h 330"/>
                              <a:gd name="T8" fmla="*/ 15536 w 1436"/>
                              <a:gd name="T9" fmla="*/ 89535 h 330"/>
                              <a:gd name="T10" fmla="*/ 37096 w 1436"/>
                              <a:gd name="T11" fmla="*/ 102235 h 330"/>
                              <a:gd name="T12" fmla="*/ 63729 w 1436"/>
                              <a:gd name="T13" fmla="*/ 103823 h 330"/>
                              <a:gd name="T14" fmla="*/ 85923 w 1436"/>
                              <a:gd name="T15" fmla="*/ 95250 h 330"/>
                              <a:gd name="T16" fmla="*/ 103044 w 1436"/>
                              <a:gd name="T17" fmla="*/ 74613 h 330"/>
                              <a:gd name="T18" fmla="*/ 107483 w 1436"/>
                              <a:gd name="T19" fmla="*/ 47308 h 330"/>
                              <a:gd name="T20" fmla="*/ 99873 w 1436"/>
                              <a:gd name="T21" fmla="*/ 24448 h 330"/>
                              <a:gd name="T22" fmla="*/ 81167 w 1436"/>
                              <a:gd name="T23" fmla="*/ 6350 h 330"/>
                              <a:gd name="T24" fmla="*/ 53900 w 1436"/>
                              <a:gd name="T25" fmla="*/ 0 h 330"/>
                              <a:gd name="T26" fmla="*/ 62143 w 1436"/>
                              <a:gd name="T27" fmla="*/ 26353 h 330"/>
                              <a:gd name="T28" fmla="*/ 73557 w 1436"/>
                              <a:gd name="T29" fmla="*/ 33020 h 330"/>
                              <a:gd name="T30" fmla="*/ 80216 w 1436"/>
                              <a:gd name="T31" fmla="*/ 44133 h 330"/>
                              <a:gd name="T32" fmla="*/ 81167 w 1436"/>
                              <a:gd name="T33" fmla="*/ 58103 h 330"/>
                              <a:gd name="T34" fmla="*/ 75143 w 1436"/>
                              <a:gd name="T35" fmla="*/ 70168 h 330"/>
                              <a:gd name="T36" fmla="*/ 64363 w 1436"/>
                              <a:gd name="T37" fmla="*/ 78105 h 330"/>
                              <a:gd name="T38" fmla="*/ 51046 w 1436"/>
                              <a:gd name="T39" fmla="*/ 80010 h 330"/>
                              <a:gd name="T40" fmla="*/ 38364 w 1436"/>
                              <a:gd name="T41" fmla="*/ 75248 h 330"/>
                              <a:gd name="T42" fmla="*/ 29803 w 1436"/>
                              <a:gd name="T43" fmla="*/ 65405 h 330"/>
                              <a:gd name="T44" fmla="*/ 26633 w 1436"/>
                              <a:gd name="T45" fmla="*/ 52070 h 330"/>
                              <a:gd name="T46" fmla="*/ 29803 w 1436"/>
                              <a:gd name="T47" fmla="*/ 39053 h 330"/>
                              <a:gd name="T48" fmla="*/ 38681 w 1436"/>
                              <a:gd name="T49" fmla="*/ 29528 h 330"/>
                              <a:gd name="T50" fmla="*/ 51046 w 1436"/>
                              <a:gd name="T51" fmla="*/ 25083 h 330"/>
                              <a:gd name="T52" fmla="*/ 120482 w 1436"/>
                              <a:gd name="T53" fmla="*/ 3175 h 330"/>
                              <a:gd name="T54" fmla="*/ 173748 w 1436"/>
                              <a:gd name="T55" fmla="*/ 40958 h 330"/>
                              <a:gd name="T56" fmla="*/ 248890 w 1436"/>
                              <a:gd name="T57" fmla="*/ 3175 h 330"/>
                              <a:gd name="T58" fmla="*/ 246037 w 1436"/>
                              <a:gd name="T59" fmla="*/ 62548 h 330"/>
                              <a:gd name="T60" fmla="*/ 290742 w 1436"/>
                              <a:gd name="T61" fmla="*/ 3175 h 330"/>
                              <a:gd name="T62" fmla="*/ 380152 w 1436"/>
                              <a:gd name="T63" fmla="*/ 6033 h 330"/>
                              <a:gd name="T64" fmla="*/ 351617 w 1436"/>
                              <a:gd name="T65" fmla="*/ 1270 h 330"/>
                              <a:gd name="T66" fmla="*/ 327838 w 1436"/>
                              <a:gd name="T67" fmla="*/ 9843 h 330"/>
                              <a:gd name="T68" fmla="*/ 311668 w 1436"/>
                              <a:gd name="T69" fmla="*/ 27940 h 330"/>
                              <a:gd name="T70" fmla="*/ 305327 w 1436"/>
                              <a:gd name="T71" fmla="*/ 53023 h 330"/>
                              <a:gd name="T72" fmla="*/ 310717 w 1436"/>
                              <a:gd name="T73" fmla="*/ 75565 h 330"/>
                              <a:gd name="T74" fmla="*/ 326887 w 1436"/>
                              <a:gd name="T75" fmla="*/ 93980 h 330"/>
                              <a:gd name="T76" fmla="*/ 351934 w 1436"/>
                              <a:gd name="T77" fmla="*/ 103505 h 330"/>
                              <a:gd name="T78" fmla="*/ 380152 w 1436"/>
                              <a:gd name="T79" fmla="*/ 99060 h 330"/>
                              <a:gd name="T80" fmla="*/ 369689 w 1436"/>
                              <a:gd name="T81" fmla="*/ 76835 h 330"/>
                              <a:gd name="T82" fmla="*/ 355739 w 1436"/>
                              <a:gd name="T83" fmla="*/ 79375 h 330"/>
                              <a:gd name="T84" fmla="*/ 340520 w 1436"/>
                              <a:gd name="T85" fmla="*/ 73025 h 330"/>
                              <a:gd name="T86" fmla="*/ 333228 w 1436"/>
                              <a:gd name="T87" fmla="*/ 61595 h 330"/>
                              <a:gd name="T88" fmla="*/ 332277 w 1436"/>
                              <a:gd name="T89" fmla="*/ 46990 h 330"/>
                              <a:gd name="T90" fmla="*/ 337984 w 1436"/>
                              <a:gd name="T91" fmla="*/ 35560 h 330"/>
                              <a:gd name="T92" fmla="*/ 347812 w 1436"/>
                              <a:gd name="T93" fmla="*/ 27940 h 330"/>
                              <a:gd name="T94" fmla="*/ 361129 w 1436"/>
                              <a:gd name="T95" fmla="*/ 26035 h 330"/>
                              <a:gd name="T96" fmla="*/ 375396 w 1436"/>
                              <a:gd name="T97" fmla="*/ 31750 h 330"/>
                              <a:gd name="T98" fmla="*/ 455295 w 1436"/>
                              <a:gd name="T99" fmla="*/ 3175 h 330"/>
                              <a:gd name="T100" fmla="*/ 425175 w 1436"/>
                              <a:gd name="T101" fmla="*/ 79693 h 330"/>
                              <a:gd name="T102" fmla="*/ 425175 w 1436"/>
                              <a:gd name="T103" fmla="*/ 24765 h 330"/>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6" h="330">
                                <a:moveTo>
                                  <a:pt x="170" y="0"/>
                                </a:moveTo>
                                <a:lnTo>
                                  <a:pt x="155" y="1"/>
                                </a:lnTo>
                                <a:lnTo>
                                  <a:pt x="139" y="2"/>
                                </a:lnTo>
                                <a:lnTo>
                                  <a:pt x="124" y="6"/>
                                </a:lnTo>
                                <a:lnTo>
                                  <a:pt x="109" y="10"/>
                                </a:lnTo>
                                <a:lnTo>
                                  <a:pt x="95" y="16"/>
                                </a:lnTo>
                                <a:lnTo>
                                  <a:pt x="81" y="23"/>
                                </a:lnTo>
                                <a:lnTo>
                                  <a:pt x="69" y="30"/>
                                </a:lnTo>
                                <a:lnTo>
                                  <a:pt x="58" y="39"/>
                                </a:lnTo>
                                <a:lnTo>
                                  <a:pt x="45" y="51"/>
                                </a:lnTo>
                                <a:lnTo>
                                  <a:pt x="34" y="65"/>
                                </a:lnTo>
                                <a:lnTo>
                                  <a:pt x="24" y="79"/>
                                </a:lnTo>
                                <a:lnTo>
                                  <a:pt x="15" y="95"/>
                                </a:lnTo>
                                <a:lnTo>
                                  <a:pt x="9" y="112"/>
                                </a:lnTo>
                                <a:lnTo>
                                  <a:pt x="4" y="128"/>
                                </a:lnTo>
                                <a:lnTo>
                                  <a:pt x="2" y="146"/>
                                </a:lnTo>
                                <a:lnTo>
                                  <a:pt x="0" y="162"/>
                                </a:lnTo>
                                <a:lnTo>
                                  <a:pt x="2" y="181"/>
                                </a:lnTo>
                                <a:lnTo>
                                  <a:pt x="4" y="197"/>
                                </a:lnTo>
                                <a:lnTo>
                                  <a:pt x="8" y="213"/>
                                </a:lnTo>
                                <a:lnTo>
                                  <a:pt x="13" y="230"/>
                                </a:lnTo>
                                <a:lnTo>
                                  <a:pt x="20" y="243"/>
                                </a:lnTo>
                                <a:lnTo>
                                  <a:pt x="28" y="258"/>
                                </a:lnTo>
                                <a:lnTo>
                                  <a:pt x="38" y="271"/>
                                </a:lnTo>
                                <a:lnTo>
                                  <a:pt x="49" y="282"/>
                                </a:lnTo>
                                <a:lnTo>
                                  <a:pt x="60" y="294"/>
                                </a:lnTo>
                                <a:lnTo>
                                  <a:pt x="73" y="302"/>
                                </a:lnTo>
                                <a:lnTo>
                                  <a:pt x="86" y="311"/>
                                </a:lnTo>
                                <a:lnTo>
                                  <a:pt x="101" y="317"/>
                                </a:lnTo>
                                <a:lnTo>
                                  <a:pt x="117" y="322"/>
                                </a:lnTo>
                                <a:lnTo>
                                  <a:pt x="134" y="327"/>
                                </a:lnTo>
                                <a:lnTo>
                                  <a:pt x="151" y="330"/>
                                </a:lnTo>
                                <a:lnTo>
                                  <a:pt x="168" y="330"/>
                                </a:lnTo>
                                <a:lnTo>
                                  <a:pt x="186" y="330"/>
                                </a:lnTo>
                                <a:lnTo>
                                  <a:pt x="201" y="327"/>
                                </a:lnTo>
                                <a:lnTo>
                                  <a:pt x="217" y="325"/>
                                </a:lnTo>
                                <a:lnTo>
                                  <a:pt x="231" y="320"/>
                                </a:lnTo>
                                <a:lnTo>
                                  <a:pt x="244" y="315"/>
                                </a:lnTo>
                                <a:lnTo>
                                  <a:pt x="258" y="309"/>
                                </a:lnTo>
                                <a:lnTo>
                                  <a:pt x="271" y="300"/>
                                </a:lnTo>
                                <a:lnTo>
                                  <a:pt x="283" y="291"/>
                                </a:lnTo>
                                <a:lnTo>
                                  <a:pt x="296" y="279"/>
                                </a:lnTo>
                                <a:lnTo>
                                  <a:pt x="307" y="265"/>
                                </a:lnTo>
                                <a:lnTo>
                                  <a:pt x="317" y="251"/>
                                </a:lnTo>
                                <a:lnTo>
                                  <a:pt x="325" y="235"/>
                                </a:lnTo>
                                <a:lnTo>
                                  <a:pt x="332" y="218"/>
                                </a:lnTo>
                                <a:lnTo>
                                  <a:pt x="337" y="201"/>
                                </a:lnTo>
                                <a:lnTo>
                                  <a:pt x="339" y="183"/>
                                </a:lnTo>
                                <a:lnTo>
                                  <a:pt x="340" y="166"/>
                                </a:lnTo>
                                <a:lnTo>
                                  <a:pt x="339" y="149"/>
                                </a:lnTo>
                                <a:lnTo>
                                  <a:pt x="338" y="134"/>
                                </a:lnTo>
                                <a:lnTo>
                                  <a:pt x="334" y="119"/>
                                </a:lnTo>
                                <a:lnTo>
                                  <a:pt x="329" y="104"/>
                                </a:lnTo>
                                <a:lnTo>
                                  <a:pt x="323" y="90"/>
                                </a:lnTo>
                                <a:lnTo>
                                  <a:pt x="315" y="77"/>
                                </a:lnTo>
                                <a:lnTo>
                                  <a:pt x="306" y="64"/>
                                </a:lnTo>
                                <a:lnTo>
                                  <a:pt x="296" y="53"/>
                                </a:lnTo>
                                <a:lnTo>
                                  <a:pt x="283" y="40"/>
                                </a:lnTo>
                                <a:lnTo>
                                  <a:pt x="269" y="30"/>
                                </a:lnTo>
                                <a:lnTo>
                                  <a:pt x="256" y="20"/>
                                </a:lnTo>
                                <a:lnTo>
                                  <a:pt x="239" y="14"/>
                                </a:lnTo>
                                <a:lnTo>
                                  <a:pt x="223" y="8"/>
                                </a:lnTo>
                                <a:lnTo>
                                  <a:pt x="207" y="4"/>
                                </a:lnTo>
                                <a:lnTo>
                                  <a:pt x="188" y="1"/>
                                </a:lnTo>
                                <a:lnTo>
                                  <a:pt x="170" y="0"/>
                                </a:lnTo>
                                <a:close/>
                                <a:moveTo>
                                  <a:pt x="170" y="78"/>
                                </a:moveTo>
                                <a:lnTo>
                                  <a:pt x="180" y="79"/>
                                </a:lnTo>
                                <a:lnTo>
                                  <a:pt x="187" y="80"/>
                                </a:lnTo>
                                <a:lnTo>
                                  <a:pt x="196" y="83"/>
                                </a:lnTo>
                                <a:lnTo>
                                  <a:pt x="205" y="85"/>
                                </a:lnTo>
                                <a:lnTo>
                                  <a:pt x="212" y="89"/>
                                </a:lnTo>
                                <a:lnTo>
                                  <a:pt x="218" y="93"/>
                                </a:lnTo>
                                <a:lnTo>
                                  <a:pt x="226" y="98"/>
                                </a:lnTo>
                                <a:lnTo>
                                  <a:pt x="232" y="104"/>
                                </a:lnTo>
                                <a:lnTo>
                                  <a:pt x="237" y="110"/>
                                </a:lnTo>
                                <a:lnTo>
                                  <a:pt x="242" y="117"/>
                                </a:lnTo>
                                <a:lnTo>
                                  <a:pt x="247" y="124"/>
                                </a:lnTo>
                                <a:lnTo>
                                  <a:pt x="249" y="132"/>
                                </a:lnTo>
                                <a:lnTo>
                                  <a:pt x="253" y="139"/>
                                </a:lnTo>
                                <a:lnTo>
                                  <a:pt x="256" y="148"/>
                                </a:lnTo>
                                <a:lnTo>
                                  <a:pt x="257" y="157"/>
                                </a:lnTo>
                                <a:lnTo>
                                  <a:pt x="257" y="166"/>
                                </a:lnTo>
                                <a:lnTo>
                                  <a:pt x="257" y="174"/>
                                </a:lnTo>
                                <a:lnTo>
                                  <a:pt x="256" y="183"/>
                                </a:lnTo>
                                <a:lnTo>
                                  <a:pt x="253" y="191"/>
                                </a:lnTo>
                                <a:lnTo>
                                  <a:pt x="249" y="199"/>
                                </a:lnTo>
                                <a:lnTo>
                                  <a:pt x="247" y="207"/>
                                </a:lnTo>
                                <a:lnTo>
                                  <a:pt x="242" y="213"/>
                                </a:lnTo>
                                <a:lnTo>
                                  <a:pt x="237" y="221"/>
                                </a:lnTo>
                                <a:lnTo>
                                  <a:pt x="232" y="227"/>
                                </a:lnTo>
                                <a:lnTo>
                                  <a:pt x="226" y="232"/>
                                </a:lnTo>
                                <a:lnTo>
                                  <a:pt x="218" y="237"/>
                                </a:lnTo>
                                <a:lnTo>
                                  <a:pt x="212" y="242"/>
                                </a:lnTo>
                                <a:lnTo>
                                  <a:pt x="203" y="246"/>
                                </a:lnTo>
                                <a:lnTo>
                                  <a:pt x="196" y="248"/>
                                </a:lnTo>
                                <a:lnTo>
                                  <a:pt x="187" y="251"/>
                                </a:lnTo>
                                <a:lnTo>
                                  <a:pt x="180" y="252"/>
                                </a:lnTo>
                                <a:lnTo>
                                  <a:pt x="170" y="252"/>
                                </a:lnTo>
                                <a:lnTo>
                                  <a:pt x="161" y="252"/>
                                </a:lnTo>
                                <a:lnTo>
                                  <a:pt x="152" y="251"/>
                                </a:lnTo>
                                <a:lnTo>
                                  <a:pt x="145" y="248"/>
                                </a:lnTo>
                                <a:lnTo>
                                  <a:pt x="136" y="246"/>
                                </a:lnTo>
                                <a:lnTo>
                                  <a:pt x="129" y="242"/>
                                </a:lnTo>
                                <a:lnTo>
                                  <a:pt x="121" y="237"/>
                                </a:lnTo>
                                <a:lnTo>
                                  <a:pt x="115" y="232"/>
                                </a:lnTo>
                                <a:lnTo>
                                  <a:pt x="109" y="227"/>
                                </a:lnTo>
                                <a:lnTo>
                                  <a:pt x="104" y="221"/>
                                </a:lnTo>
                                <a:lnTo>
                                  <a:pt x="99" y="213"/>
                                </a:lnTo>
                                <a:lnTo>
                                  <a:pt x="94" y="206"/>
                                </a:lnTo>
                                <a:lnTo>
                                  <a:pt x="90" y="198"/>
                                </a:lnTo>
                                <a:lnTo>
                                  <a:pt x="87" y="191"/>
                                </a:lnTo>
                                <a:lnTo>
                                  <a:pt x="85" y="182"/>
                                </a:lnTo>
                                <a:lnTo>
                                  <a:pt x="84" y="173"/>
                                </a:lnTo>
                                <a:lnTo>
                                  <a:pt x="84" y="164"/>
                                </a:lnTo>
                                <a:lnTo>
                                  <a:pt x="84" y="156"/>
                                </a:lnTo>
                                <a:lnTo>
                                  <a:pt x="85" y="147"/>
                                </a:lnTo>
                                <a:lnTo>
                                  <a:pt x="87" y="139"/>
                                </a:lnTo>
                                <a:lnTo>
                                  <a:pt x="90" y="130"/>
                                </a:lnTo>
                                <a:lnTo>
                                  <a:pt x="94" y="123"/>
                                </a:lnTo>
                                <a:lnTo>
                                  <a:pt x="99" y="117"/>
                                </a:lnTo>
                                <a:lnTo>
                                  <a:pt x="104" y="110"/>
                                </a:lnTo>
                                <a:lnTo>
                                  <a:pt x="109" y="104"/>
                                </a:lnTo>
                                <a:lnTo>
                                  <a:pt x="115" y="98"/>
                                </a:lnTo>
                                <a:lnTo>
                                  <a:pt x="122" y="93"/>
                                </a:lnTo>
                                <a:lnTo>
                                  <a:pt x="129" y="89"/>
                                </a:lnTo>
                                <a:lnTo>
                                  <a:pt x="136" y="85"/>
                                </a:lnTo>
                                <a:lnTo>
                                  <a:pt x="145" y="83"/>
                                </a:lnTo>
                                <a:lnTo>
                                  <a:pt x="152" y="80"/>
                                </a:lnTo>
                                <a:lnTo>
                                  <a:pt x="161" y="79"/>
                                </a:lnTo>
                                <a:lnTo>
                                  <a:pt x="170" y="78"/>
                                </a:lnTo>
                                <a:close/>
                                <a:moveTo>
                                  <a:pt x="557" y="78"/>
                                </a:moveTo>
                                <a:lnTo>
                                  <a:pt x="557" y="10"/>
                                </a:lnTo>
                                <a:lnTo>
                                  <a:pt x="380" y="10"/>
                                </a:lnTo>
                                <a:lnTo>
                                  <a:pt x="380" y="319"/>
                                </a:lnTo>
                                <a:lnTo>
                                  <a:pt x="460" y="319"/>
                                </a:lnTo>
                                <a:lnTo>
                                  <a:pt x="460" y="197"/>
                                </a:lnTo>
                                <a:lnTo>
                                  <a:pt x="548" y="197"/>
                                </a:lnTo>
                                <a:lnTo>
                                  <a:pt x="548" y="129"/>
                                </a:lnTo>
                                <a:lnTo>
                                  <a:pt x="460" y="129"/>
                                </a:lnTo>
                                <a:lnTo>
                                  <a:pt x="460" y="78"/>
                                </a:lnTo>
                                <a:lnTo>
                                  <a:pt x="557" y="78"/>
                                </a:lnTo>
                                <a:close/>
                                <a:moveTo>
                                  <a:pt x="785" y="78"/>
                                </a:moveTo>
                                <a:lnTo>
                                  <a:pt x="785" y="10"/>
                                </a:lnTo>
                                <a:lnTo>
                                  <a:pt x="608" y="10"/>
                                </a:lnTo>
                                <a:lnTo>
                                  <a:pt x="608" y="319"/>
                                </a:lnTo>
                                <a:lnTo>
                                  <a:pt x="688" y="319"/>
                                </a:lnTo>
                                <a:lnTo>
                                  <a:pt x="688" y="197"/>
                                </a:lnTo>
                                <a:lnTo>
                                  <a:pt x="776" y="197"/>
                                </a:lnTo>
                                <a:lnTo>
                                  <a:pt x="776" y="129"/>
                                </a:lnTo>
                                <a:lnTo>
                                  <a:pt x="688" y="129"/>
                                </a:lnTo>
                                <a:lnTo>
                                  <a:pt x="688" y="78"/>
                                </a:lnTo>
                                <a:lnTo>
                                  <a:pt x="785" y="78"/>
                                </a:lnTo>
                                <a:close/>
                                <a:moveTo>
                                  <a:pt x="917" y="10"/>
                                </a:moveTo>
                                <a:lnTo>
                                  <a:pt x="838" y="10"/>
                                </a:lnTo>
                                <a:lnTo>
                                  <a:pt x="838" y="319"/>
                                </a:lnTo>
                                <a:lnTo>
                                  <a:pt x="917" y="319"/>
                                </a:lnTo>
                                <a:lnTo>
                                  <a:pt x="917" y="10"/>
                                </a:lnTo>
                                <a:close/>
                                <a:moveTo>
                                  <a:pt x="1199" y="19"/>
                                </a:moveTo>
                                <a:lnTo>
                                  <a:pt x="1179" y="11"/>
                                </a:lnTo>
                                <a:lnTo>
                                  <a:pt x="1160" y="6"/>
                                </a:lnTo>
                                <a:lnTo>
                                  <a:pt x="1144" y="4"/>
                                </a:lnTo>
                                <a:lnTo>
                                  <a:pt x="1127" y="4"/>
                                </a:lnTo>
                                <a:lnTo>
                                  <a:pt x="1109" y="4"/>
                                </a:lnTo>
                                <a:lnTo>
                                  <a:pt x="1093" y="6"/>
                                </a:lnTo>
                                <a:lnTo>
                                  <a:pt x="1078" y="10"/>
                                </a:lnTo>
                                <a:lnTo>
                                  <a:pt x="1063" y="16"/>
                                </a:lnTo>
                                <a:lnTo>
                                  <a:pt x="1048" y="23"/>
                                </a:lnTo>
                                <a:lnTo>
                                  <a:pt x="1034" y="31"/>
                                </a:lnTo>
                                <a:lnTo>
                                  <a:pt x="1022" y="40"/>
                                </a:lnTo>
                                <a:lnTo>
                                  <a:pt x="1011" y="50"/>
                                </a:lnTo>
                                <a:lnTo>
                                  <a:pt x="1001" y="63"/>
                                </a:lnTo>
                                <a:lnTo>
                                  <a:pt x="991" y="75"/>
                                </a:lnTo>
                                <a:lnTo>
                                  <a:pt x="983" y="88"/>
                                </a:lnTo>
                                <a:lnTo>
                                  <a:pt x="976" y="103"/>
                                </a:lnTo>
                                <a:lnTo>
                                  <a:pt x="971" y="118"/>
                                </a:lnTo>
                                <a:lnTo>
                                  <a:pt x="967" y="134"/>
                                </a:lnTo>
                                <a:lnTo>
                                  <a:pt x="965" y="151"/>
                                </a:lnTo>
                                <a:lnTo>
                                  <a:pt x="963" y="167"/>
                                </a:lnTo>
                                <a:lnTo>
                                  <a:pt x="965" y="182"/>
                                </a:lnTo>
                                <a:lnTo>
                                  <a:pt x="966" y="197"/>
                                </a:lnTo>
                                <a:lnTo>
                                  <a:pt x="970" y="211"/>
                                </a:lnTo>
                                <a:lnTo>
                                  <a:pt x="973" y="225"/>
                                </a:lnTo>
                                <a:lnTo>
                                  <a:pt x="980" y="238"/>
                                </a:lnTo>
                                <a:lnTo>
                                  <a:pt x="987" y="251"/>
                                </a:lnTo>
                                <a:lnTo>
                                  <a:pt x="994" y="262"/>
                                </a:lnTo>
                                <a:lnTo>
                                  <a:pt x="1004" y="274"/>
                                </a:lnTo>
                                <a:lnTo>
                                  <a:pt x="1017" y="286"/>
                                </a:lnTo>
                                <a:lnTo>
                                  <a:pt x="1031" y="296"/>
                                </a:lnTo>
                                <a:lnTo>
                                  <a:pt x="1044" y="305"/>
                                </a:lnTo>
                                <a:lnTo>
                                  <a:pt x="1061" y="314"/>
                                </a:lnTo>
                                <a:lnTo>
                                  <a:pt x="1077" y="319"/>
                                </a:lnTo>
                                <a:lnTo>
                                  <a:pt x="1093" y="324"/>
                                </a:lnTo>
                                <a:lnTo>
                                  <a:pt x="1110" y="326"/>
                                </a:lnTo>
                                <a:lnTo>
                                  <a:pt x="1127" y="327"/>
                                </a:lnTo>
                                <a:lnTo>
                                  <a:pt x="1143" y="327"/>
                                </a:lnTo>
                                <a:lnTo>
                                  <a:pt x="1156" y="325"/>
                                </a:lnTo>
                                <a:lnTo>
                                  <a:pt x="1175" y="320"/>
                                </a:lnTo>
                                <a:lnTo>
                                  <a:pt x="1199" y="312"/>
                                </a:lnTo>
                                <a:lnTo>
                                  <a:pt x="1199" y="217"/>
                                </a:lnTo>
                                <a:lnTo>
                                  <a:pt x="1190" y="225"/>
                                </a:lnTo>
                                <a:lnTo>
                                  <a:pt x="1183" y="232"/>
                                </a:lnTo>
                                <a:lnTo>
                                  <a:pt x="1174" y="237"/>
                                </a:lnTo>
                                <a:lnTo>
                                  <a:pt x="1166" y="242"/>
                                </a:lnTo>
                                <a:lnTo>
                                  <a:pt x="1158" y="245"/>
                                </a:lnTo>
                                <a:lnTo>
                                  <a:pt x="1149" y="247"/>
                                </a:lnTo>
                                <a:lnTo>
                                  <a:pt x="1139" y="248"/>
                                </a:lnTo>
                                <a:lnTo>
                                  <a:pt x="1129" y="250"/>
                                </a:lnTo>
                                <a:lnTo>
                                  <a:pt x="1122" y="250"/>
                                </a:lnTo>
                                <a:lnTo>
                                  <a:pt x="1114" y="248"/>
                                </a:lnTo>
                                <a:lnTo>
                                  <a:pt x="1107" y="246"/>
                                </a:lnTo>
                                <a:lnTo>
                                  <a:pt x="1100" y="245"/>
                                </a:lnTo>
                                <a:lnTo>
                                  <a:pt x="1087" y="238"/>
                                </a:lnTo>
                                <a:lnTo>
                                  <a:pt x="1074" y="230"/>
                                </a:lnTo>
                                <a:lnTo>
                                  <a:pt x="1068" y="223"/>
                                </a:lnTo>
                                <a:lnTo>
                                  <a:pt x="1062" y="217"/>
                                </a:lnTo>
                                <a:lnTo>
                                  <a:pt x="1058" y="210"/>
                                </a:lnTo>
                                <a:lnTo>
                                  <a:pt x="1053" y="202"/>
                                </a:lnTo>
                                <a:lnTo>
                                  <a:pt x="1051" y="194"/>
                                </a:lnTo>
                                <a:lnTo>
                                  <a:pt x="1048" y="186"/>
                                </a:lnTo>
                                <a:lnTo>
                                  <a:pt x="1047" y="176"/>
                                </a:lnTo>
                                <a:lnTo>
                                  <a:pt x="1047" y="167"/>
                                </a:lnTo>
                                <a:lnTo>
                                  <a:pt x="1047" y="157"/>
                                </a:lnTo>
                                <a:lnTo>
                                  <a:pt x="1048" y="148"/>
                                </a:lnTo>
                                <a:lnTo>
                                  <a:pt x="1051" y="141"/>
                                </a:lnTo>
                                <a:lnTo>
                                  <a:pt x="1053" y="132"/>
                                </a:lnTo>
                                <a:lnTo>
                                  <a:pt x="1057" y="124"/>
                                </a:lnTo>
                                <a:lnTo>
                                  <a:pt x="1061" y="118"/>
                                </a:lnTo>
                                <a:lnTo>
                                  <a:pt x="1066" y="112"/>
                                </a:lnTo>
                                <a:lnTo>
                                  <a:pt x="1070" y="105"/>
                                </a:lnTo>
                                <a:lnTo>
                                  <a:pt x="1075" y="100"/>
                                </a:lnTo>
                                <a:lnTo>
                                  <a:pt x="1082" y="95"/>
                                </a:lnTo>
                                <a:lnTo>
                                  <a:pt x="1089" y="90"/>
                                </a:lnTo>
                                <a:lnTo>
                                  <a:pt x="1097" y="88"/>
                                </a:lnTo>
                                <a:lnTo>
                                  <a:pt x="1104" y="84"/>
                                </a:lnTo>
                                <a:lnTo>
                                  <a:pt x="1112" y="83"/>
                                </a:lnTo>
                                <a:lnTo>
                                  <a:pt x="1120" y="82"/>
                                </a:lnTo>
                                <a:lnTo>
                                  <a:pt x="1129" y="82"/>
                                </a:lnTo>
                                <a:lnTo>
                                  <a:pt x="1139" y="82"/>
                                </a:lnTo>
                                <a:lnTo>
                                  <a:pt x="1149" y="83"/>
                                </a:lnTo>
                                <a:lnTo>
                                  <a:pt x="1159" y="85"/>
                                </a:lnTo>
                                <a:lnTo>
                                  <a:pt x="1168" y="89"/>
                                </a:lnTo>
                                <a:lnTo>
                                  <a:pt x="1175" y="94"/>
                                </a:lnTo>
                                <a:lnTo>
                                  <a:pt x="1184" y="100"/>
                                </a:lnTo>
                                <a:lnTo>
                                  <a:pt x="1191" y="107"/>
                                </a:lnTo>
                                <a:lnTo>
                                  <a:pt x="1199" y="115"/>
                                </a:lnTo>
                                <a:lnTo>
                                  <a:pt x="1199" y="19"/>
                                </a:lnTo>
                                <a:close/>
                                <a:moveTo>
                                  <a:pt x="1436" y="78"/>
                                </a:moveTo>
                                <a:lnTo>
                                  <a:pt x="1436" y="10"/>
                                </a:lnTo>
                                <a:lnTo>
                                  <a:pt x="1261" y="10"/>
                                </a:lnTo>
                                <a:lnTo>
                                  <a:pt x="1261" y="319"/>
                                </a:lnTo>
                                <a:lnTo>
                                  <a:pt x="1436" y="319"/>
                                </a:lnTo>
                                <a:lnTo>
                                  <a:pt x="1436" y="251"/>
                                </a:lnTo>
                                <a:lnTo>
                                  <a:pt x="1341" y="251"/>
                                </a:lnTo>
                                <a:lnTo>
                                  <a:pt x="1341" y="197"/>
                                </a:lnTo>
                                <a:lnTo>
                                  <a:pt x="1431" y="197"/>
                                </a:lnTo>
                                <a:lnTo>
                                  <a:pt x="1431" y="129"/>
                                </a:lnTo>
                                <a:lnTo>
                                  <a:pt x="1341" y="129"/>
                                </a:lnTo>
                                <a:lnTo>
                                  <a:pt x="1341" y="78"/>
                                </a:lnTo>
                                <a:lnTo>
                                  <a:pt x="1436" y="78"/>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1" name="Freeform 9"/>
                        <wps:cNvSpPr>
                          <a:spLocks noEditPoints="1"/>
                        </wps:cNvSpPr>
                        <wps:spPr bwMode="auto">
                          <a:xfrm>
                            <a:off x="862012" y="147638"/>
                            <a:ext cx="808990" cy="102870"/>
                          </a:xfrm>
                          <a:custGeom>
                            <a:avLst/>
                            <a:gdLst>
                              <a:gd name="T0" fmla="*/ 45067 w 2549"/>
                              <a:gd name="T1" fmla="*/ 317 h 325"/>
                              <a:gd name="T2" fmla="*/ 20629 w 2549"/>
                              <a:gd name="T3" fmla="*/ 3482 h 325"/>
                              <a:gd name="T4" fmla="*/ 6348 w 2549"/>
                              <a:gd name="T5" fmla="*/ 19308 h 325"/>
                              <a:gd name="T6" fmla="*/ 5078 w 2549"/>
                              <a:gd name="T7" fmla="*/ 41465 h 325"/>
                              <a:gd name="T8" fmla="*/ 18408 w 2549"/>
                              <a:gd name="T9" fmla="*/ 56025 h 325"/>
                              <a:gd name="T10" fmla="*/ 44115 w 2549"/>
                              <a:gd name="T11" fmla="*/ 66153 h 325"/>
                              <a:gd name="T12" fmla="*/ 41894 w 2549"/>
                              <a:gd name="T13" fmla="*/ 78181 h 325"/>
                              <a:gd name="T14" fmla="*/ 25073 w 2549"/>
                              <a:gd name="T15" fmla="*/ 79764 h 325"/>
                              <a:gd name="T16" fmla="*/ 4126 w 2549"/>
                              <a:gd name="T17" fmla="*/ 94007 h 325"/>
                              <a:gd name="T18" fmla="*/ 33642 w 2549"/>
                              <a:gd name="T19" fmla="*/ 102237 h 325"/>
                              <a:gd name="T20" fmla="*/ 59349 w 2549"/>
                              <a:gd name="T21" fmla="*/ 95273 h 325"/>
                              <a:gd name="T22" fmla="*/ 71409 w 2549"/>
                              <a:gd name="T23" fmla="*/ 75649 h 325"/>
                              <a:gd name="T24" fmla="*/ 67601 w 2549"/>
                              <a:gd name="T25" fmla="*/ 52226 h 325"/>
                              <a:gd name="T26" fmla="*/ 47924 w 2549"/>
                              <a:gd name="T27" fmla="*/ 40515 h 325"/>
                              <a:gd name="T28" fmla="*/ 30468 w 2549"/>
                              <a:gd name="T29" fmla="*/ 31019 h 325"/>
                              <a:gd name="T30" fmla="*/ 36816 w 2549"/>
                              <a:gd name="T31" fmla="*/ 21524 h 325"/>
                              <a:gd name="T32" fmla="*/ 53954 w 2549"/>
                              <a:gd name="T33" fmla="*/ 24689 h 325"/>
                              <a:gd name="T34" fmla="*/ 79026 w 2549"/>
                              <a:gd name="T35" fmla="*/ 23739 h 325"/>
                              <a:gd name="T36" fmla="*/ 244379 w 2549"/>
                              <a:gd name="T37" fmla="*/ 100021 h 325"/>
                              <a:gd name="T38" fmla="*/ 204072 w 2549"/>
                              <a:gd name="T39" fmla="*/ 63621 h 325"/>
                              <a:gd name="T40" fmla="*/ 240571 w 2549"/>
                              <a:gd name="T41" fmla="*/ 1899 h 325"/>
                              <a:gd name="T42" fmla="*/ 320867 w 2549"/>
                              <a:gd name="T43" fmla="*/ 1899 h 325"/>
                              <a:gd name="T44" fmla="*/ 419888 w 2549"/>
                              <a:gd name="T45" fmla="*/ 2849 h 325"/>
                              <a:gd name="T46" fmla="*/ 393228 w 2549"/>
                              <a:gd name="T47" fmla="*/ 317 h 325"/>
                              <a:gd name="T48" fmla="*/ 374186 w 2549"/>
                              <a:gd name="T49" fmla="*/ 11078 h 325"/>
                              <a:gd name="T50" fmla="*/ 366886 w 2549"/>
                              <a:gd name="T51" fmla="*/ 32918 h 325"/>
                              <a:gd name="T52" fmla="*/ 372916 w 2549"/>
                              <a:gd name="T53" fmla="*/ 50327 h 325"/>
                              <a:gd name="T54" fmla="*/ 401163 w 2549"/>
                              <a:gd name="T55" fmla="*/ 62672 h 325"/>
                              <a:gd name="T56" fmla="*/ 408462 w 2549"/>
                              <a:gd name="T57" fmla="*/ 73433 h 325"/>
                              <a:gd name="T58" fmla="*/ 396402 w 2549"/>
                              <a:gd name="T59" fmla="*/ 81030 h 325"/>
                              <a:gd name="T60" fmla="*/ 377042 w 2549"/>
                              <a:gd name="T61" fmla="*/ 73433 h 325"/>
                              <a:gd name="T62" fmla="*/ 384024 w 2549"/>
                              <a:gd name="T63" fmla="*/ 100654 h 325"/>
                              <a:gd name="T64" fmla="*/ 412588 w 2549"/>
                              <a:gd name="T65" fmla="*/ 100021 h 325"/>
                              <a:gd name="T66" fmla="*/ 430996 w 2549"/>
                              <a:gd name="T67" fmla="*/ 85778 h 325"/>
                              <a:gd name="T68" fmla="*/ 433852 w 2549"/>
                              <a:gd name="T69" fmla="*/ 58240 h 325"/>
                              <a:gd name="T70" fmla="*/ 424331 w 2549"/>
                              <a:gd name="T71" fmla="*/ 45896 h 325"/>
                              <a:gd name="T72" fmla="*/ 395767 w 2549"/>
                              <a:gd name="T73" fmla="*/ 34184 h 325"/>
                              <a:gd name="T74" fmla="*/ 395450 w 2549"/>
                              <a:gd name="T75" fmla="*/ 24689 h 325"/>
                              <a:gd name="T76" fmla="*/ 408462 w 2549"/>
                              <a:gd name="T77" fmla="*/ 21524 h 325"/>
                              <a:gd name="T78" fmla="*/ 508435 w 2549"/>
                              <a:gd name="T79" fmla="*/ 23739 h 325"/>
                              <a:gd name="T80" fmla="*/ 487489 w 2549"/>
                              <a:gd name="T81" fmla="*/ 23739 h 325"/>
                              <a:gd name="T82" fmla="*/ 629673 w 2549"/>
                              <a:gd name="T83" fmla="*/ 2849 h 325"/>
                              <a:gd name="T84" fmla="*/ 592857 w 2549"/>
                              <a:gd name="T85" fmla="*/ 3798 h 325"/>
                              <a:gd name="T86" fmla="*/ 567785 w 2549"/>
                              <a:gd name="T87" fmla="*/ 26904 h 325"/>
                              <a:gd name="T88" fmla="*/ 562389 w 2549"/>
                              <a:gd name="T89" fmla="*/ 61405 h 325"/>
                              <a:gd name="T90" fmla="*/ 578575 w 2549"/>
                              <a:gd name="T91" fmla="*/ 89260 h 325"/>
                              <a:gd name="T92" fmla="*/ 613487 w 2549"/>
                              <a:gd name="T93" fmla="*/ 102870 h 325"/>
                              <a:gd name="T94" fmla="*/ 631260 w 2549"/>
                              <a:gd name="T95" fmla="*/ 72167 h 325"/>
                              <a:gd name="T96" fmla="*/ 611900 w 2549"/>
                              <a:gd name="T97" fmla="*/ 77865 h 325"/>
                              <a:gd name="T98" fmla="*/ 596666 w 2549"/>
                              <a:gd name="T99" fmla="*/ 71534 h 325"/>
                              <a:gd name="T100" fmla="*/ 588097 w 2549"/>
                              <a:gd name="T101" fmla="*/ 54758 h 325"/>
                              <a:gd name="T102" fmla="*/ 592540 w 2549"/>
                              <a:gd name="T103" fmla="*/ 36400 h 325"/>
                              <a:gd name="T104" fmla="*/ 606187 w 2549"/>
                              <a:gd name="T105" fmla="*/ 25638 h 325"/>
                              <a:gd name="T106" fmla="*/ 626499 w 2549"/>
                              <a:gd name="T107" fmla="*/ 27221 h 325"/>
                              <a:gd name="T108" fmla="*/ 717268 w 2549"/>
                              <a:gd name="T109" fmla="*/ 100021 h 325"/>
                              <a:gd name="T110" fmla="*/ 710921 w 2549"/>
                              <a:gd name="T111" fmla="*/ 82929 h 325"/>
                              <a:gd name="T112" fmla="*/ 753767 w 2549"/>
                              <a:gd name="T113" fmla="*/ 100021 h 325"/>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549" h="325">
                                <a:moveTo>
                                  <a:pt x="215" y="24"/>
                                </a:moveTo>
                                <a:lnTo>
                                  <a:pt x="203" y="19"/>
                                </a:lnTo>
                                <a:lnTo>
                                  <a:pt x="191" y="14"/>
                                </a:lnTo>
                                <a:lnTo>
                                  <a:pt x="178" y="9"/>
                                </a:lnTo>
                                <a:lnTo>
                                  <a:pt x="166" y="6"/>
                                </a:lnTo>
                                <a:lnTo>
                                  <a:pt x="154" y="2"/>
                                </a:lnTo>
                                <a:lnTo>
                                  <a:pt x="142" y="1"/>
                                </a:lnTo>
                                <a:lnTo>
                                  <a:pt x="130" y="0"/>
                                </a:lnTo>
                                <a:lnTo>
                                  <a:pt x="117" y="0"/>
                                </a:lnTo>
                                <a:lnTo>
                                  <a:pt x="106" y="0"/>
                                </a:lnTo>
                                <a:lnTo>
                                  <a:pt x="95" y="1"/>
                                </a:lnTo>
                                <a:lnTo>
                                  <a:pt x="85" y="4"/>
                                </a:lnTo>
                                <a:lnTo>
                                  <a:pt x="75" y="7"/>
                                </a:lnTo>
                                <a:lnTo>
                                  <a:pt x="65" y="11"/>
                                </a:lnTo>
                                <a:lnTo>
                                  <a:pt x="56" y="16"/>
                                </a:lnTo>
                                <a:lnTo>
                                  <a:pt x="49" y="21"/>
                                </a:lnTo>
                                <a:lnTo>
                                  <a:pt x="41" y="29"/>
                                </a:lnTo>
                                <a:lnTo>
                                  <a:pt x="35" y="35"/>
                                </a:lnTo>
                                <a:lnTo>
                                  <a:pt x="29" y="44"/>
                                </a:lnTo>
                                <a:lnTo>
                                  <a:pt x="24" y="51"/>
                                </a:lnTo>
                                <a:lnTo>
                                  <a:pt x="20" y="61"/>
                                </a:lnTo>
                                <a:lnTo>
                                  <a:pt x="16" y="71"/>
                                </a:lnTo>
                                <a:lnTo>
                                  <a:pt x="15" y="81"/>
                                </a:lnTo>
                                <a:lnTo>
                                  <a:pt x="13" y="93"/>
                                </a:lnTo>
                                <a:lnTo>
                                  <a:pt x="13" y="104"/>
                                </a:lnTo>
                                <a:lnTo>
                                  <a:pt x="13" y="114"/>
                                </a:lnTo>
                                <a:lnTo>
                                  <a:pt x="14" y="123"/>
                                </a:lnTo>
                                <a:lnTo>
                                  <a:pt x="16" y="131"/>
                                </a:lnTo>
                                <a:lnTo>
                                  <a:pt x="19" y="139"/>
                                </a:lnTo>
                                <a:lnTo>
                                  <a:pt x="23" y="147"/>
                                </a:lnTo>
                                <a:lnTo>
                                  <a:pt x="26" y="153"/>
                                </a:lnTo>
                                <a:lnTo>
                                  <a:pt x="31" y="159"/>
                                </a:lnTo>
                                <a:lnTo>
                                  <a:pt x="38" y="165"/>
                                </a:lnTo>
                                <a:lnTo>
                                  <a:pt x="46" y="172"/>
                                </a:lnTo>
                                <a:lnTo>
                                  <a:pt x="58" y="177"/>
                                </a:lnTo>
                                <a:lnTo>
                                  <a:pt x="74" y="183"/>
                                </a:lnTo>
                                <a:lnTo>
                                  <a:pt x="96" y="190"/>
                                </a:lnTo>
                                <a:lnTo>
                                  <a:pt x="109" y="194"/>
                                </a:lnTo>
                                <a:lnTo>
                                  <a:pt x="119" y="198"/>
                                </a:lnTo>
                                <a:lnTo>
                                  <a:pt x="127" y="202"/>
                                </a:lnTo>
                                <a:lnTo>
                                  <a:pt x="134" y="206"/>
                                </a:lnTo>
                                <a:lnTo>
                                  <a:pt x="139" y="209"/>
                                </a:lnTo>
                                <a:lnTo>
                                  <a:pt x="141" y="214"/>
                                </a:lnTo>
                                <a:lnTo>
                                  <a:pt x="144" y="219"/>
                                </a:lnTo>
                                <a:lnTo>
                                  <a:pt x="144" y="226"/>
                                </a:lnTo>
                                <a:lnTo>
                                  <a:pt x="142" y="232"/>
                                </a:lnTo>
                                <a:lnTo>
                                  <a:pt x="141" y="238"/>
                                </a:lnTo>
                                <a:lnTo>
                                  <a:pt x="137" y="243"/>
                                </a:lnTo>
                                <a:lnTo>
                                  <a:pt x="132" y="247"/>
                                </a:lnTo>
                                <a:lnTo>
                                  <a:pt x="127" y="251"/>
                                </a:lnTo>
                                <a:lnTo>
                                  <a:pt x="121" y="253"/>
                                </a:lnTo>
                                <a:lnTo>
                                  <a:pt x="114" y="256"/>
                                </a:lnTo>
                                <a:lnTo>
                                  <a:pt x="105" y="256"/>
                                </a:lnTo>
                                <a:lnTo>
                                  <a:pt x="96" y="256"/>
                                </a:lnTo>
                                <a:lnTo>
                                  <a:pt x="87" y="254"/>
                                </a:lnTo>
                                <a:lnTo>
                                  <a:pt x="79" y="252"/>
                                </a:lnTo>
                                <a:lnTo>
                                  <a:pt x="70" y="248"/>
                                </a:lnTo>
                                <a:lnTo>
                                  <a:pt x="61" y="243"/>
                                </a:lnTo>
                                <a:lnTo>
                                  <a:pt x="53" y="238"/>
                                </a:lnTo>
                                <a:lnTo>
                                  <a:pt x="44" y="232"/>
                                </a:lnTo>
                                <a:lnTo>
                                  <a:pt x="34" y="224"/>
                                </a:lnTo>
                                <a:lnTo>
                                  <a:pt x="0" y="290"/>
                                </a:lnTo>
                                <a:lnTo>
                                  <a:pt x="13" y="297"/>
                                </a:lnTo>
                                <a:lnTo>
                                  <a:pt x="25" y="305"/>
                                </a:lnTo>
                                <a:lnTo>
                                  <a:pt x="39" y="310"/>
                                </a:lnTo>
                                <a:lnTo>
                                  <a:pt x="53" y="315"/>
                                </a:lnTo>
                                <a:lnTo>
                                  <a:pt x="65" y="318"/>
                                </a:lnTo>
                                <a:lnTo>
                                  <a:pt x="79" y="322"/>
                                </a:lnTo>
                                <a:lnTo>
                                  <a:pt x="92" y="323"/>
                                </a:lnTo>
                                <a:lnTo>
                                  <a:pt x="106" y="323"/>
                                </a:lnTo>
                                <a:lnTo>
                                  <a:pt x="120" y="323"/>
                                </a:lnTo>
                                <a:lnTo>
                                  <a:pt x="132" y="322"/>
                                </a:lnTo>
                                <a:lnTo>
                                  <a:pt x="145" y="320"/>
                                </a:lnTo>
                                <a:lnTo>
                                  <a:pt x="156" y="316"/>
                                </a:lnTo>
                                <a:lnTo>
                                  <a:pt x="167" y="312"/>
                                </a:lnTo>
                                <a:lnTo>
                                  <a:pt x="177" y="307"/>
                                </a:lnTo>
                                <a:lnTo>
                                  <a:pt x="187" y="301"/>
                                </a:lnTo>
                                <a:lnTo>
                                  <a:pt x="196" y="295"/>
                                </a:lnTo>
                                <a:lnTo>
                                  <a:pt x="203" y="287"/>
                                </a:lnTo>
                                <a:lnTo>
                                  <a:pt x="210" y="280"/>
                                </a:lnTo>
                                <a:lnTo>
                                  <a:pt x="215" y="271"/>
                                </a:lnTo>
                                <a:lnTo>
                                  <a:pt x="220" y="261"/>
                                </a:lnTo>
                                <a:lnTo>
                                  <a:pt x="222" y="251"/>
                                </a:lnTo>
                                <a:lnTo>
                                  <a:pt x="225" y="239"/>
                                </a:lnTo>
                                <a:lnTo>
                                  <a:pt x="227" y="227"/>
                                </a:lnTo>
                                <a:lnTo>
                                  <a:pt x="227" y="214"/>
                                </a:lnTo>
                                <a:lnTo>
                                  <a:pt x="226" y="198"/>
                                </a:lnTo>
                                <a:lnTo>
                                  <a:pt x="222" y="184"/>
                                </a:lnTo>
                                <a:lnTo>
                                  <a:pt x="220" y="177"/>
                                </a:lnTo>
                                <a:lnTo>
                                  <a:pt x="217" y="170"/>
                                </a:lnTo>
                                <a:lnTo>
                                  <a:pt x="213" y="165"/>
                                </a:lnTo>
                                <a:lnTo>
                                  <a:pt x="210" y="160"/>
                                </a:lnTo>
                                <a:lnTo>
                                  <a:pt x="205" y="154"/>
                                </a:lnTo>
                                <a:lnTo>
                                  <a:pt x="198" y="150"/>
                                </a:lnTo>
                                <a:lnTo>
                                  <a:pt x="192" y="145"/>
                                </a:lnTo>
                                <a:lnTo>
                                  <a:pt x="186" y="142"/>
                                </a:lnTo>
                                <a:lnTo>
                                  <a:pt x="170" y="134"/>
                                </a:lnTo>
                                <a:lnTo>
                                  <a:pt x="151" y="128"/>
                                </a:lnTo>
                                <a:lnTo>
                                  <a:pt x="130" y="121"/>
                                </a:lnTo>
                                <a:lnTo>
                                  <a:pt x="117" y="116"/>
                                </a:lnTo>
                                <a:lnTo>
                                  <a:pt x="110" y="113"/>
                                </a:lnTo>
                                <a:lnTo>
                                  <a:pt x="104" y="108"/>
                                </a:lnTo>
                                <a:lnTo>
                                  <a:pt x="100" y="105"/>
                                </a:lnTo>
                                <a:lnTo>
                                  <a:pt x="97" y="101"/>
                                </a:lnTo>
                                <a:lnTo>
                                  <a:pt x="96" y="98"/>
                                </a:lnTo>
                                <a:lnTo>
                                  <a:pt x="96" y="93"/>
                                </a:lnTo>
                                <a:lnTo>
                                  <a:pt x="96" y="88"/>
                                </a:lnTo>
                                <a:lnTo>
                                  <a:pt x="99" y="83"/>
                                </a:lnTo>
                                <a:lnTo>
                                  <a:pt x="101" y="78"/>
                                </a:lnTo>
                                <a:lnTo>
                                  <a:pt x="106" y="74"/>
                                </a:lnTo>
                                <a:lnTo>
                                  <a:pt x="111" y="70"/>
                                </a:lnTo>
                                <a:lnTo>
                                  <a:pt x="116" y="68"/>
                                </a:lnTo>
                                <a:lnTo>
                                  <a:pt x="124" y="66"/>
                                </a:lnTo>
                                <a:lnTo>
                                  <a:pt x="130" y="66"/>
                                </a:lnTo>
                                <a:lnTo>
                                  <a:pt x="137" y="66"/>
                                </a:lnTo>
                                <a:lnTo>
                                  <a:pt x="144" y="68"/>
                                </a:lnTo>
                                <a:lnTo>
                                  <a:pt x="150" y="69"/>
                                </a:lnTo>
                                <a:lnTo>
                                  <a:pt x="156" y="71"/>
                                </a:lnTo>
                                <a:lnTo>
                                  <a:pt x="170" y="78"/>
                                </a:lnTo>
                                <a:lnTo>
                                  <a:pt x="182" y="86"/>
                                </a:lnTo>
                                <a:lnTo>
                                  <a:pt x="215" y="24"/>
                                </a:lnTo>
                                <a:close/>
                                <a:moveTo>
                                  <a:pt x="394" y="75"/>
                                </a:moveTo>
                                <a:lnTo>
                                  <a:pt x="460" y="75"/>
                                </a:lnTo>
                                <a:lnTo>
                                  <a:pt x="460" y="6"/>
                                </a:lnTo>
                                <a:lnTo>
                                  <a:pt x="249" y="6"/>
                                </a:lnTo>
                                <a:lnTo>
                                  <a:pt x="249" y="75"/>
                                </a:lnTo>
                                <a:lnTo>
                                  <a:pt x="314" y="75"/>
                                </a:lnTo>
                                <a:lnTo>
                                  <a:pt x="314" y="316"/>
                                </a:lnTo>
                                <a:lnTo>
                                  <a:pt x="394" y="316"/>
                                </a:lnTo>
                                <a:lnTo>
                                  <a:pt x="394" y="75"/>
                                </a:lnTo>
                                <a:close/>
                                <a:moveTo>
                                  <a:pt x="666" y="262"/>
                                </a:moveTo>
                                <a:lnTo>
                                  <a:pt x="684" y="316"/>
                                </a:lnTo>
                                <a:lnTo>
                                  <a:pt x="770" y="316"/>
                                </a:lnTo>
                                <a:lnTo>
                                  <a:pt x="654" y="6"/>
                                </a:lnTo>
                                <a:lnTo>
                                  <a:pt x="567" y="6"/>
                                </a:lnTo>
                                <a:lnTo>
                                  <a:pt x="450" y="316"/>
                                </a:lnTo>
                                <a:lnTo>
                                  <a:pt x="534" y="316"/>
                                </a:lnTo>
                                <a:lnTo>
                                  <a:pt x="555" y="262"/>
                                </a:lnTo>
                                <a:lnTo>
                                  <a:pt x="666" y="262"/>
                                </a:lnTo>
                                <a:close/>
                                <a:moveTo>
                                  <a:pt x="643" y="201"/>
                                </a:moveTo>
                                <a:lnTo>
                                  <a:pt x="577" y="201"/>
                                </a:lnTo>
                                <a:lnTo>
                                  <a:pt x="611" y="103"/>
                                </a:lnTo>
                                <a:lnTo>
                                  <a:pt x="643" y="201"/>
                                </a:lnTo>
                                <a:close/>
                                <a:moveTo>
                                  <a:pt x="902" y="75"/>
                                </a:moveTo>
                                <a:lnTo>
                                  <a:pt x="970" y="75"/>
                                </a:lnTo>
                                <a:lnTo>
                                  <a:pt x="970" y="6"/>
                                </a:lnTo>
                                <a:lnTo>
                                  <a:pt x="758" y="6"/>
                                </a:lnTo>
                                <a:lnTo>
                                  <a:pt x="758" y="75"/>
                                </a:lnTo>
                                <a:lnTo>
                                  <a:pt x="823" y="75"/>
                                </a:lnTo>
                                <a:lnTo>
                                  <a:pt x="823" y="316"/>
                                </a:lnTo>
                                <a:lnTo>
                                  <a:pt x="902" y="316"/>
                                </a:lnTo>
                                <a:lnTo>
                                  <a:pt x="902" y="75"/>
                                </a:lnTo>
                                <a:close/>
                                <a:moveTo>
                                  <a:pt x="1090" y="6"/>
                                </a:moveTo>
                                <a:lnTo>
                                  <a:pt x="1011" y="6"/>
                                </a:lnTo>
                                <a:lnTo>
                                  <a:pt x="1011" y="316"/>
                                </a:lnTo>
                                <a:lnTo>
                                  <a:pt x="1090" y="316"/>
                                </a:lnTo>
                                <a:lnTo>
                                  <a:pt x="1090" y="6"/>
                                </a:lnTo>
                                <a:close/>
                                <a:moveTo>
                                  <a:pt x="1358" y="24"/>
                                </a:moveTo>
                                <a:lnTo>
                                  <a:pt x="1347" y="19"/>
                                </a:lnTo>
                                <a:lnTo>
                                  <a:pt x="1335" y="14"/>
                                </a:lnTo>
                                <a:lnTo>
                                  <a:pt x="1323" y="9"/>
                                </a:lnTo>
                                <a:lnTo>
                                  <a:pt x="1311" y="6"/>
                                </a:lnTo>
                                <a:lnTo>
                                  <a:pt x="1298" y="2"/>
                                </a:lnTo>
                                <a:lnTo>
                                  <a:pt x="1286" y="1"/>
                                </a:lnTo>
                                <a:lnTo>
                                  <a:pt x="1274" y="0"/>
                                </a:lnTo>
                                <a:lnTo>
                                  <a:pt x="1261" y="0"/>
                                </a:lnTo>
                                <a:lnTo>
                                  <a:pt x="1250" y="0"/>
                                </a:lnTo>
                                <a:lnTo>
                                  <a:pt x="1239" y="1"/>
                                </a:lnTo>
                                <a:lnTo>
                                  <a:pt x="1229" y="4"/>
                                </a:lnTo>
                                <a:lnTo>
                                  <a:pt x="1219" y="7"/>
                                </a:lnTo>
                                <a:lnTo>
                                  <a:pt x="1210" y="11"/>
                                </a:lnTo>
                                <a:lnTo>
                                  <a:pt x="1201" y="16"/>
                                </a:lnTo>
                                <a:lnTo>
                                  <a:pt x="1193" y="21"/>
                                </a:lnTo>
                                <a:lnTo>
                                  <a:pt x="1186" y="29"/>
                                </a:lnTo>
                                <a:lnTo>
                                  <a:pt x="1179" y="35"/>
                                </a:lnTo>
                                <a:lnTo>
                                  <a:pt x="1174" y="44"/>
                                </a:lnTo>
                                <a:lnTo>
                                  <a:pt x="1169" y="51"/>
                                </a:lnTo>
                                <a:lnTo>
                                  <a:pt x="1164" y="61"/>
                                </a:lnTo>
                                <a:lnTo>
                                  <a:pt x="1161" y="71"/>
                                </a:lnTo>
                                <a:lnTo>
                                  <a:pt x="1159" y="81"/>
                                </a:lnTo>
                                <a:lnTo>
                                  <a:pt x="1158" y="93"/>
                                </a:lnTo>
                                <a:lnTo>
                                  <a:pt x="1156" y="104"/>
                                </a:lnTo>
                                <a:lnTo>
                                  <a:pt x="1158" y="114"/>
                                </a:lnTo>
                                <a:lnTo>
                                  <a:pt x="1159" y="123"/>
                                </a:lnTo>
                                <a:lnTo>
                                  <a:pt x="1160" y="131"/>
                                </a:lnTo>
                                <a:lnTo>
                                  <a:pt x="1163" y="139"/>
                                </a:lnTo>
                                <a:lnTo>
                                  <a:pt x="1166" y="147"/>
                                </a:lnTo>
                                <a:lnTo>
                                  <a:pt x="1170" y="153"/>
                                </a:lnTo>
                                <a:lnTo>
                                  <a:pt x="1175" y="159"/>
                                </a:lnTo>
                                <a:lnTo>
                                  <a:pt x="1181" y="165"/>
                                </a:lnTo>
                                <a:lnTo>
                                  <a:pt x="1190" y="172"/>
                                </a:lnTo>
                                <a:lnTo>
                                  <a:pt x="1201" y="177"/>
                                </a:lnTo>
                                <a:lnTo>
                                  <a:pt x="1218" y="183"/>
                                </a:lnTo>
                                <a:lnTo>
                                  <a:pt x="1240" y="190"/>
                                </a:lnTo>
                                <a:lnTo>
                                  <a:pt x="1252" y="194"/>
                                </a:lnTo>
                                <a:lnTo>
                                  <a:pt x="1264" y="198"/>
                                </a:lnTo>
                                <a:lnTo>
                                  <a:pt x="1271" y="202"/>
                                </a:lnTo>
                                <a:lnTo>
                                  <a:pt x="1277" y="206"/>
                                </a:lnTo>
                                <a:lnTo>
                                  <a:pt x="1282" y="209"/>
                                </a:lnTo>
                                <a:lnTo>
                                  <a:pt x="1286" y="214"/>
                                </a:lnTo>
                                <a:lnTo>
                                  <a:pt x="1287" y="219"/>
                                </a:lnTo>
                                <a:lnTo>
                                  <a:pt x="1287" y="226"/>
                                </a:lnTo>
                                <a:lnTo>
                                  <a:pt x="1287" y="232"/>
                                </a:lnTo>
                                <a:lnTo>
                                  <a:pt x="1285" y="238"/>
                                </a:lnTo>
                                <a:lnTo>
                                  <a:pt x="1281" y="243"/>
                                </a:lnTo>
                                <a:lnTo>
                                  <a:pt x="1277" y="247"/>
                                </a:lnTo>
                                <a:lnTo>
                                  <a:pt x="1271" y="251"/>
                                </a:lnTo>
                                <a:lnTo>
                                  <a:pt x="1265" y="253"/>
                                </a:lnTo>
                                <a:lnTo>
                                  <a:pt x="1257" y="256"/>
                                </a:lnTo>
                                <a:lnTo>
                                  <a:pt x="1249" y="256"/>
                                </a:lnTo>
                                <a:lnTo>
                                  <a:pt x="1240" y="256"/>
                                </a:lnTo>
                                <a:lnTo>
                                  <a:pt x="1231" y="254"/>
                                </a:lnTo>
                                <a:lnTo>
                                  <a:pt x="1222" y="252"/>
                                </a:lnTo>
                                <a:lnTo>
                                  <a:pt x="1214" y="248"/>
                                </a:lnTo>
                                <a:lnTo>
                                  <a:pt x="1205" y="243"/>
                                </a:lnTo>
                                <a:lnTo>
                                  <a:pt x="1196" y="238"/>
                                </a:lnTo>
                                <a:lnTo>
                                  <a:pt x="1188" y="232"/>
                                </a:lnTo>
                                <a:lnTo>
                                  <a:pt x="1179" y="224"/>
                                </a:lnTo>
                                <a:lnTo>
                                  <a:pt x="1144" y="290"/>
                                </a:lnTo>
                                <a:lnTo>
                                  <a:pt x="1156" y="297"/>
                                </a:lnTo>
                                <a:lnTo>
                                  <a:pt x="1170" y="305"/>
                                </a:lnTo>
                                <a:lnTo>
                                  <a:pt x="1183" y="310"/>
                                </a:lnTo>
                                <a:lnTo>
                                  <a:pt x="1196" y="315"/>
                                </a:lnTo>
                                <a:lnTo>
                                  <a:pt x="1210" y="318"/>
                                </a:lnTo>
                                <a:lnTo>
                                  <a:pt x="1224" y="322"/>
                                </a:lnTo>
                                <a:lnTo>
                                  <a:pt x="1237" y="323"/>
                                </a:lnTo>
                                <a:lnTo>
                                  <a:pt x="1251" y="323"/>
                                </a:lnTo>
                                <a:lnTo>
                                  <a:pt x="1264" y="323"/>
                                </a:lnTo>
                                <a:lnTo>
                                  <a:pt x="1276" y="322"/>
                                </a:lnTo>
                                <a:lnTo>
                                  <a:pt x="1289" y="320"/>
                                </a:lnTo>
                                <a:lnTo>
                                  <a:pt x="1300" y="316"/>
                                </a:lnTo>
                                <a:lnTo>
                                  <a:pt x="1311" y="312"/>
                                </a:lnTo>
                                <a:lnTo>
                                  <a:pt x="1321" y="307"/>
                                </a:lnTo>
                                <a:lnTo>
                                  <a:pt x="1331" y="301"/>
                                </a:lnTo>
                                <a:lnTo>
                                  <a:pt x="1340" y="295"/>
                                </a:lnTo>
                                <a:lnTo>
                                  <a:pt x="1347" y="287"/>
                                </a:lnTo>
                                <a:lnTo>
                                  <a:pt x="1353" y="280"/>
                                </a:lnTo>
                                <a:lnTo>
                                  <a:pt x="1358" y="271"/>
                                </a:lnTo>
                                <a:lnTo>
                                  <a:pt x="1363" y="261"/>
                                </a:lnTo>
                                <a:lnTo>
                                  <a:pt x="1367" y="251"/>
                                </a:lnTo>
                                <a:lnTo>
                                  <a:pt x="1370" y="239"/>
                                </a:lnTo>
                                <a:lnTo>
                                  <a:pt x="1371" y="227"/>
                                </a:lnTo>
                                <a:lnTo>
                                  <a:pt x="1371" y="214"/>
                                </a:lnTo>
                                <a:lnTo>
                                  <a:pt x="1370" y="198"/>
                                </a:lnTo>
                                <a:lnTo>
                                  <a:pt x="1367" y="184"/>
                                </a:lnTo>
                                <a:lnTo>
                                  <a:pt x="1365" y="177"/>
                                </a:lnTo>
                                <a:lnTo>
                                  <a:pt x="1361" y="170"/>
                                </a:lnTo>
                                <a:lnTo>
                                  <a:pt x="1357" y="165"/>
                                </a:lnTo>
                                <a:lnTo>
                                  <a:pt x="1353" y="160"/>
                                </a:lnTo>
                                <a:lnTo>
                                  <a:pt x="1348" y="154"/>
                                </a:lnTo>
                                <a:lnTo>
                                  <a:pt x="1343" y="150"/>
                                </a:lnTo>
                                <a:lnTo>
                                  <a:pt x="1337" y="145"/>
                                </a:lnTo>
                                <a:lnTo>
                                  <a:pt x="1330" y="142"/>
                                </a:lnTo>
                                <a:lnTo>
                                  <a:pt x="1315" y="134"/>
                                </a:lnTo>
                                <a:lnTo>
                                  <a:pt x="1296" y="128"/>
                                </a:lnTo>
                                <a:lnTo>
                                  <a:pt x="1274" y="121"/>
                                </a:lnTo>
                                <a:lnTo>
                                  <a:pt x="1261" y="116"/>
                                </a:lnTo>
                                <a:lnTo>
                                  <a:pt x="1254" y="113"/>
                                </a:lnTo>
                                <a:lnTo>
                                  <a:pt x="1247" y="108"/>
                                </a:lnTo>
                                <a:lnTo>
                                  <a:pt x="1245" y="105"/>
                                </a:lnTo>
                                <a:lnTo>
                                  <a:pt x="1242" y="101"/>
                                </a:lnTo>
                                <a:lnTo>
                                  <a:pt x="1241" y="98"/>
                                </a:lnTo>
                                <a:lnTo>
                                  <a:pt x="1240" y="93"/>
                                </a:lnTo>
                                <a:lnTo>
                                  <a:pt x="1241" y="88"/>
                                </a:lnTo>
                                <a:lnTo>
                                  <a:pt x="1242" y="83"/>
                                </a:lnTo>
                                <a:lnTo>
                                  <a:pt x="1246" y="78"/>
                                </a:lnTo>
                                <a:lnTo>
                                  <a:pt x="1250" y="74"/>
                                </a:lnTo>
                                <a:lnTo>
                                  <a:pt x="1255" y="70"/>
                                </a:lnTo>
                                <a:lnTo>
                                  <a:pt x="1261" y="68"/>
                                </a:lnTo>
                                <a:lnTo>
                                  <a:pt x="1267" y="66"/>
                                </a:lnTo>
                                <a:lnTo>
                                  <a:pt x="1275" y="66"/>
                                </a:lnTo>
                                <a:lnTo>
                                  <a:pt x="1281" y="66"/>
                                </a:lnTo>
                                <a:lnTo>
                                  <a:pt x="1287" y="68"/>
                                </a:lnTo>
                                <a:lnTo>
                                  <a:pt x="1295" y="69"/>
                                </a:lnTo>
                                <a:lnTo>
                                  <a:pt x="1301" y="71"/>
                                </a:lnTo>
                                <a:lnTo>
                                  <a:pt x="1313" y="78"/>
                                </a:lnTo>
                                <a:lnTo>
                                  <a:pt x="1327" y="86"/>
                                </a:lnTo>
                                <a:lnTo>
                                  <a:pt x="1358" y="24"/>
                                </a:lnTo>
                                <a:close/>
                                <a:moveTo>
                                  <a:pt x="1536" y="75"/>
                                </a:moveTo>
                                <a:lnTo>
                                  <a:pt x="1602" y="75"/>
                                </a:lnTo>
                                <a:lnTo>
                                  <a:pt x="1602" y="6"/>
                                </a:lnTo>
                                <a:lnTo>
                                  <a:pt x="1392" y="6"/>
                                </a:lnTo>
                                <a:lnTo>
                                  <a:pt x="1392" y="75"/>
                                </a:lnTo>
                                <a:lnTo>
                                  <a:pt x="1457" y="75"/>
                                </a:lnTo>
                                <a:lnTo>
                                  <a:pt x="1457" y="316"/>
                                </a:lnTo>
                                <a:lnTo>
                                  <a:pt x="1536" y="316"/>
                                </a:lnTo>
                                <a:lnTo>
                                  <a:pt x="1536" y="75"/>
                                </a:lnTo>
                                <a:close/>
                                <a:moveTo>
                                  <a:pt x="1723" y="6"/>
                                </a:moveTo>
                                <a:lnTo>
                                  <a:pt x="1644" y="6"/>
                                </a:lnTo>
                                <a:lnTo>
                                  <a:pt x="1644" y="316"/>
                                </a:lnTo>
                                <a:lnTo>
                                  <a:pt x="1723" y="316"/>
                                </a:lnTo>
                                <a:lnTo>
                                  <a:pt x="1723" y="6"/>
                                </a:lnTo>
                                <a:close/>
                                <a:moveTo>
                                  <a:pt x="2005" y="16"/>
                                </a:moveTo>
                                <a:lnTo>
                                  <a:pt x="1984" y="9"/>
                                </a:lnTo>
                                <a:lnTo>
                                  <a:pt x="1966" y="4"/>
                                </a:lnTo>
                                <a:lnTo>
                                  <a:pt x="1950" y="1"/>
                                </a:lnTo>
                                <a:lnTo>
                                  <a:pt x="1933" y="0"/>
                                </a:lnTo>
                                <a:lnTo>
                                  <a:pt x="1915" y="1"/>
                                </a:lnTo>
                                <a:lnTo>
                                  <a:pt x="1899" y="4"/>
                                </a:lnTo>
                                <a:lnTo>
                                  <a:pt x="1884" y="7"/>
                                </a:lnTo>
                                <a:lnTo>
                                  <a:pt x="1868" y="12"/>
                                </a:lnTo>
                                <a:lnTo>
                                  <a:pt x="1854" y="20"/>
                                </a:lnTo>
                                <a:lnTo>
                                  <a:pt x="1840" y="27"/>
                                </a:lnTo>
                                <a:lnTo>
                                  <a:pt x="1828" y="37"/>
                                </a:lnTo>
                                <a:lnTo>
                                  <a:pt x="1817" y="47"/>
                                </a:lnTo>
                                <a:lnTo>
                                  <a:pt x="1807" y="59"/>
                                </a:lnTo>
                                <a:lnTo>
                                  <a:pt x="1797" y="71"/>
                                </a:lnTo>
                                <a:lnTo>
                                  <a:pt x="1789" y="85"/>
                                </a:lnTo>
                                <a:lnTo>
                                  <a:pt x="1782" y="100"/>
                                </a:lnTo>
                                <a:lnTo>
                                  <a:pt x="1777" y="115"/>
                                </a:lnTo>
                                <a:lnTo>
                                  <a:pt x="1773" y="130"/>
                                </a:lnTo>
                                <a:lnTo>
                                  <a:pt x="1771" y="147"/>
                                </a:lnTo>
                                <a:lnTo>
                                  <a:pt x="1769" y="164"/>
                                </a:lnTo>
                                <a:lnTo>
                                  <a:pt x="1771" y="179"/>
                                </a:lnTo>
                                <a:lnTo>
                                  <a:pt x="1772" y="194"/>
                                </a:lnTo>
                                <a:lnTo>
                                  <a:pt x="1776" y="208"/>
                                </a:lnTo>
                                <a:lnTo>
                                  <a:pt x="1779" y="222"/>
                                </a:lnTo>
                                <a:lnTo>
                                  <a:pt x="1786" y="236"/>
                                </a:lnTo>
                                <a:lnTo>
                                  <a:pt x="1792" y="248"/>
                                </a:lnTo>
                                <a:lnTo>
                                  <a:pt x="1801" y="259"/>
                                </a:lnTo>
                                <a:lnTo>
                                  <a:pt x="1811" y="271"/>
                                </a:lnTo>
                                <a:lnTo>
                                  <a:pt x="1823" y="282"/>
                                </a:lnTo>
                                <a:lnTo>
                                  <a:pt x="1837" y="293"/>
                                </a:lnTo>
                                <a:lnTo>
                                  <a:pt x="1850" y="302"/>
                                </a:lnTo>
                                <a:lnTo>
                                  <a:pt x="1867" y="310"/>
                                </a:lnTo>
                                <a:lnTo>
                                  <a:pt x="1883" y="316"/>
                                </a:lnTo>
                                <a:lnTo>
                                  <a:pt x="1899" y="321"/>
                                </a:lnTo>
                                <a:lnTo>
                                  <a:pt x="1916" y="323"/>
                                </a:lnTo>
                                <a:lnTo>
                                  <a:pt x="1933" y="325"/>
                                </a:lnTo>
                                <a:lnTo>
                                  <a:pt x="1949" y="323"/>
                                </a:lnTo>
                                <a:lnTo>
                                  <a:pt x="1963" y="322"/>
                                </a:lnTo>
                                <a:lnTo>
                                  <a:pt x="1980" y="317"/>
                                </a:lnTo>
                                <a:lnTo>
                                  <a:pt x="2005" y="310"/>
                                </a:lnTo>
                                <a:lnTo>
                                  <a:pt x="2005" y="214"/>
                                </a:lnTo>
                                <a:lnTo>
                                  <a:pt x="1996" y="222"/>
                                </a:lnTo>
                                <a:lnTo>
                                  <a:pt x="1989" y="228"/>
                                </a:lnTo>
                                <a:lnTo>
                                  <a:pt x="1980" y="234"/>
                                </a:lnTo>
                                <a:lnTo>
                                  <a:pt x="1973" y="238"/>
                                </a:lnTo>
                                <a:lnTo>
                                  <a:pt x="1964" y="242"/>
                                </a:lnTo>
                                <a:lnTo>
                                  <a:pt x="1954" y="244"/>
                                </a:lnTo>
                                <a:lnTo>
                                  <a:pt x="1945" y="246"/>
                                </a:lnTo>
                                <a:lnTo>
                                  <a:pt x="1935" y="247"/>
                                </a:lnTo>
                                <a:lnTo>
                                  <a:pt x="1928" y="246"/>
                                </a:lnTo>
                                <a:lnTo>
                                  <a:pt x="1920" y="246"/>
                                </a:lnTo>
                                <a:lnTo>
                                  <a:pt x="1913" y="243"/>
                                </a:lnTo>
                                <a:lnTo>
                                  <a:pt x="1906" y="241"/>
                                </a:lnTo>
                                <a:lnTo>
                                  <a:pt x="1899" y="238"/>
                                </a:lnTo>
                                <a:lnTo>
                                  <a:pt x="1893" y="234"/>
                                </a:lnTo>
                                <a:lnTo>
                                  <a:pt x="1887" y="231"/>
                                </a:lnTo>
                                <a:lnTo>
                                  <a:pt x="1880" y="226"/>
                                </a:lnTo>
                                <a:lnTo>
                                  <a:pt x="1874" y="221"/>
                                </a:lnTo>
                                <a:lnTo>
                                  <a:pt x="1868" y="213"/>
                                </a:lnTo>
                                <a:lnTo>
                                  <a:pt x="1863" y="207"/>
                                </a:lnTo>
                                <a:lnTo>
                                  <a:pt x="1859" y="199"/>
                                </a:lnTo>
                                <a:lnTo>
                                  <a:pt x="1857" y="190"/>
                                </a:lnTo>
                                <a:lnTo>
                                  <a:pt x="1854" y="182"/>
                                </a:lnTo>
                                <a:lnTo>
                                  <a:pt x="1853" y="173"/>
                                </a:lnTo>
                                <a:lnTo>
                                  <a:pt x="1853" y="163"/>
                                </a:lnTo>
                                <a:lnTo>
                                  <a:pt x="1853" y="154"/>
                                </a:lnTo>
                                <a:lnTo>
                                  <a:pt x="1854" y="145"/>
                                </a:lnTo>
                                <a:lnTo>
                                  <a:pt x="1857" y="137"/>
                                </a:lnTo>
                                <a:lnTo>
                                  <a:pt x="1859" y="129"/>
                                </a:lnTo>
                                <a:lnTo>
                                  <a:pt x="1863" y="121"/>
                                </a:lnTo>
                                <a:lnTo>
                                  <a:pt x="1867" y="115"/>
                                </a:lnTo>
                                <a:lnTo>
                                  <a:pt x="1872" y="108"/>
                                </a:lnTo>
                                <a:lnTo>
                                  <a:pt x="1877" y="103"/>
                                </a:lnTo>
                                <a:lnTo>
                                  <a:pt x="1882" y="96"/>
                                </a:lnTo>
                                <a:lnTo>
                                  <a:pt x="1888" y="91"/>
                                </a:lnTo>
                                <a:lnTo>
                                  <a:pt x="1895" y="88"/>
                                </a:lnTo>
                                <a:lnTo>
                                  <a:pt x="1903" y="84"/>
                                </a:lnTo>
                                <a:lnTo>
                                  <a:pt x="1910" y="81"/>
                                </a:lnTo>
                                <a:lnTo>
                                  <a:pt x="1918" y="80"/>
                                </a:lnTo>
                                <a:lnTo>
                                  <a:pt x="1926" y="79"/>
                                </a:lnTo>
                                <a:lnTo>
                                  <a:pt x="1935" y="78"/>
                                </a:lnTo>
                                <a:lnTo>
                                  <a:pt x="1945" y="79"/>
                                </a:lnTo>
                                <a:lnTo>
                                  <a:pt x="1955" y="80"/>
                                </a:lnTo>
                                <a:lnTo>
                                  <a:pt x="1965" y="83"/>
                                </a:lnTo>
                                <a:lnTo>
                                  <a:pt x="1974" y="86"/>
                                </a:lnTo>
                                <a:lnTo>
                                  <a:pt x="1981" y="91"/>
                                </a:lnTo>
                                <a:lnTo>
                                  <a:pt x="1990" y="98"/>
                                </a:lnTo>
                                <a:lnTo>
                                  <a:pt x="1997" y="104"/>
                                </a:lnTo>
                                <a:lnTo>
                                  <a:pt x="2005" y="111"/>
                                </a:lnTo>
                                <a:lnTo>
                                  <a:pt x="2005" y="16"/>
                                </a:lnTo>
                                <a:close/>
                                <a:moveTo>
                                  <a:pt x="2240" y="262"/>
                                </a:moveTo>
                                <a:lnTo>
                                  <a:pt x="2260" y="316"/>
                                </a:lnTo>
                                <a:lnTo>
                                  <a:pt x="2345" y="316"/>
                                </a:lnTo>
                                <a:lnTo>
                                  <a:pt x="2229" y="6"/>
                                </a:lnTo>
                                <a:lnTo>
                                  <a:pt x="2142" y="6"/>
                                </a:lnTo>
                                <a:lnTo>
                                  <a:pt x="2025" y="316"/>
                                </a:lnTo>
                                <a:lnTo>
                                  <a:pt x="2108" y="316"/>
                                </a:lnTo>
                                <a:lnTo>
                                  <a:pt x="2129" y="262"/>
                                </a:lnTo>
                                <a:lnTo>
                                  <a:pt x="2240" y="262"/>
                                </a:lnTo>
                                <a:close/>
                                <a:moveTo>
                                  <a:pt x="2218" y="201"/>
                                </a:moveTo>
                                <a:lnTo>
                                  <a:pt x="2152" y="201"/>
                                </a:lnTo>
                                <a:lnTo>
                                  <a:pt x="2186" y="103"/>
                                </a:lnTo>
                                <a:lnTo>
                                  <a:pt x="2218" y="201"/>
                                </a:lnTo>
                                <a:close/>
                                <a:moveTo>
                                  <a:pt x="2455" y="6"/>
                                </a:moveTo>
                                <a:lnTo>
                                  <a:pt x="2375" y="6"/>
                                </a:lnTo>
                                <a:lnTo>
                                  <a:pt x="2375" y="316"/>
                                </a:lnTo>
                                <a:lnTo>
                                  <a:pt x="2549" y="316"/>
                                </a:lnTo>
                                <a:lnTo>
                                  <a:pt x="2549" y="248"/>
                                </a:lnTo>
                                <a:lnTo>
                                  <a:pt x="2455" y="248"/>
                                </a:lnTo>
                                <a:lnTo>
                                  <a:pt x="2455" y="6"/>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3" name="Freeform 10"/>
                        <wps:cNvSpPr>
                          <a:spLocks noEditPoints="1"/>
                        </wps:cNvSpPr>
                        <wps:spPr bwMode="auto">
                          <a:xfrm>
                            <a:off x="862012" y="0"/>
                            <a:ext cx="421005" cy="102870"/>
                          </a:xfrm>
                          <a:custGeom>
                            <a:avLst/>
                            <a:gdLst>
                              <a:gd name="T0" fmla="*/ 57107 w 1327"/>
                              <a:gd name="T1" fmla="*/ 317 h 325"/>
                              <a:gd name="T2" fmla="*/ 36168 w 1327"/>
                              <a:gd name="T3" fmla="*/ 2532 h 325"/>
                              <a:gd name="T4" fmla="*/ 18718 w 1327"/>
                              <a:gd name="T5" fmla="*/ 12028 h 325"/>
                              <a:gd name="T6" fmla="*/ 6345 w 1327"/>
                              <a:gd name="T7" fmla="*/ 26904 h 325"/>
                              <a:gd name="T8" fmla="*/ 635 w 1327"/>
                              <a:gd name="T9" fmla="*/ 46529 h 325"/>
                              <a:gd name="T10" fmla="*/ 2221 w 1327"/>
                              <a:gd name="T11" fmla="*/ 65837 h 325"/>
                              <a:gd name="T12" fmla="*/ 9835 w 1327"/>
                              <a:gd name="T13" fmla="*/ 82296 h 325"/>
                              <a:gd name="T14" fmla="*/ 25698 w 1327"/>
                              <a:gd name="T15" fmla="*/ 95590 h 325"/>
                              <a:gd name="T16" fmla="*/ 46637 w 1327"/>
                              <a:gd name="T17" fmla="*/ 102553 h 325"/>
                              <a:gd name="T18" fmla="*/ 66942 w 1327"/>
                              <a:gd name="T19" fmla="*/ 100338 h 325"/>
                              <a:gd name="T20" fmla="*/ 69797 w 1327"/>
                              <a:gd name="T21" fmla="*/ 72167 h 325"/>
                              <a:gd name="T22" fmla="*/ 58693 w 1327"/>
                              <a:gd name="T23" fmla="*/ 77548 h 325"/>
                              <a:gd name="T24" fmla="*/ 47906 w 1327"/>
                              <a:gd name="T25" fmla="*/ 77548 h 325"/>
                              <a:gd name="T26" fmla="*/ 39340 w 1327"/>
                              <a:gd name="T27" fmla="*/ 74383 h 325"/>
                              <a:gd name="T28" fmla="*/ 31409 w 1327"/>
                              <a:gd name="T29" fmla="*/ 67419 h 325"/>
                              <a:gd name="T30" fmla="*/ 26967 w 1327"/>
                              <a:gd name="T31" fmla="*/ 57607 h 325"/>
                              <a:gd name="T32" fmla="*/ 26967 w 1327"/>
                              <a:gd name="T33" fmla="*/ 46212 h 325"/>
                              <a:gd name="T34" fmla="*/ 30774 w 1327"/>
                              <a:gd name="T35" fmla="*/ 36084 h 325"/>
                              <a:gd name="T36" fmla="*/ 37754 w 1327"/>
                              <a:gd name="T37" fmla="*/ 29120 h 325"/>
                              <a:gd name="T38" fmla="*/ 47272 w 1327"/>
                              <a:gd name="T39" fmla="*/ 25005 h 325"/>
                              <a:gd name="T40" fmla="*/ 59010 w 1327"/>
                              <a:gd name="T41" fmla="*/ 25322 h 325"/>
                              <a:gd name="T42" fmla="*/ 70115 w 1327"/>
                              <a:gd name="T43" fmla="*/ 30703 h 325"/>
                              <a:gd name="T44" fmla="*/ 123732 w 1327"/>
                              <a:gd name="T45" fmla="*/ 78181 h 325"/>
                              <a:gd name="T46" fmla="*/ 127222 w 1327"/>
                              <a:gd name="T47" fmla="*/ 23739 h 325"/>
                              <a:gd name="T48" fmla="*/ 123732 w 1327"/>
                              <a:gd name="T49" fmla="*/ 78181 h 325"/>
                              <a:gd name="T50" fmla="*/ 179570 w 1327"/>
                              <a:gd name="T51" fmla="*/ 100021 h 325"/>
                              <a:gd name="T52" fmla="*/ 204950 w 1327"/>
                              <a:gd name="T53" fmla="*/ 61405 h 325"/>
                              <a:gd name="T54" fmla="*/ 204950 w 1327"/>
                              <a:gd name="T55" fmla="*/ 23739 h 325"/>
                              <a:gd name="T56" fmla="*/ 308060 w 1327"/>
                              <a:gd name="T57" fmla="*/ 1266 h 325"/>
                              <a:gd name="T58" fmla="*/ 286804 w 1327"/>
                              <a:gd name="T59" fmla="*/ 1266 h 325"/>
                              <a:gd name="T60" fmla="*/ 268085 w 1327"/>
                              <a:gd name="T61" fmla="*/ 8863 h 325"/>
                              <a:gd name="T62" fmla="*/ 254126 w 1327"/>
                              <a:gd name="T63" fmla="*/ 22790 h 325"/>
                              <a:gd name="T64" fmla="*/ 246194 w 1327"/>
                              <a:gd name="T65" fmla="*/ 41148 h 325"/>
                              <a:gd name="T66" fmla="*/ 246194 w 1327"/>
                              <a:gd name="T67" fmla="*/ 61405 h 325"/>
                              <a:gd name="T68" fmla="*/ 252540 w 1327"/>
                              <a:gd name="T69" fmla="*/ 78181 h 325"/>
                              <a:gd name="T70" fmla="*/ 266499 w 1327"/>
                              <a:gd name="T71" fmla="*/ 93058 h 325"/>
                              <a:gd name="T72" fmla="*/ 286169 w 1327"/>
                              <a:gd name="T73" fmla="*/ 101604 h 325"/>
                              <a:gd name="T74" fmla="*/ 306791 w 1327"/>
                              <a:gd name="T75" fmla="*/ 101604 h 325"/>
                              <a:gd name="T76" fmla="*/ 317578 w 1327"/>
                              <a:gd name="T77" fmla="*/ 70268 h 325"/>
                              <a:gd name="T78" fmla="*/ 306791 w 1327"/>
                              <a:gd name="T79" fmla="*/ 76599 h 325"/>
                              <a:gd name="T80" fmla="*/ 295687 w 1327"/>
                              <a:gd name="T81" fmla="*/ 77865 h 325"/>
                              <a:gd name="T82" fmla="*/ 286804 w 1327"/>
                              <a:gd name="T83" fmla="*/ 75332 h 325"/>
                              <a:gd name="T84" fmla="*/ 278238 w 1327"/>
                              <a:gd name="T85" fmla="*/ 69635 h 325"/>
                              <a:gd name="T86" fmla="*/ 272844 w 1327"/>
                              <a:gd name="T87" fmla="*/ 60456 h 325"/>
                              <a:gd name="T88" fmla="*/ 271892 w 1327"/>
                              <a:gd name="T89" fmla="*/ 48745 h 325"/>
                              <a:gd name="T90" fmla="*/ 274748 w 1327"/>
                              <a:gd name="T91" fmla="*/ 38616 h 325"/>
                              <a:gd name="T92" fmla="*/ 281093 w 1327"/>
                              <a:gd name="T93" fmla="*/ 30703 h 325"/>
                              <a:gd name="T94" fmla="*/ 289976 w 1327"/>
                              <a:gd name="T95" fmla="*/ 25955 h 325"/>
                              <a:gd name="T96" fmla="*/ 301398 w 1327"/>
                              <a:gd name="T97" fmla="*/ 25005 h 325"/>
                              <a:gd name="T98" fmla="*/ 312819 w 1327"/>
                              <a:gd name="T99" fmla="*/ 29120 h 325"/>
                              <a:gd name="T100" fmla="*/ 319799 w 1327"/>
                              <a:gd name="T101" fmla="*/ 5064 h 325"/>
                              <a:gd name="T102" fmla="*/ 333758 w 1327"/>
                              <a:gd name="T103" fmla="*/ 100021 h 325"/>
                              <a:gd name="T104" fmla="*/ 395624 w 1327"/>
                              <a:gd name="T105" fmla="*/ 100021 h 325"/>
                              <a:gd name="T106" fmla="*/ 395624 w 1327"/>
                              <a:gd name="T107" fmla="*/ 40198 h 32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27" h="325">
                                <a:moveTo>
                                  <a:pt x="236" y="16"/>
                                </a:moveTo>
                                <a:lnTo>
                                  <a:pt x="215" y="9"/>
                                </a:lnTo>
                                <a:lnTo>
                                  <a:pt x="197" y="4"/>
                                </a:lnTo>
                                <a:lnTo>
                                  <a:pt x="180" y="1"/>
                                </a:lnTo>
                                <a:lnTo>
                                  <a:pt x="162" y="0"/>
                                </a:lnTo>
                                <a:lnTo>
                                  <a:pt x="146" y="1"/>
                                </a:lnTo>
                                <a:lnTo>
                                  <a:pt x="130" y="4"/>
                                </a:lnTo>
                                <a:lnTo>
                                  <a:pt x="114" y="8"/>
                                </a:lnTo>
                                <a:lnTo>
                                  <a:pt x="99" y="13"/>
                                </a:lnTo>
                                <a:lnTo>
                                  <a:pt x="85" y="20"/>
                                </a:lnTo>
                                <a:lnTo>
                                  <a:pt x="71" y="28"/>
                                </a:lnTo>
                                <a:lnTo>
                                  <a:pt x="59" y="38"/>
                                </a:lnTo>
                                <a:lnTo>
                                  <a:pt x="48" y="48"/>
                                </a:lnTo>
                                <a:lnTo>
                                  <a:pt x="38" y="59"/>
                                </a:lnTo>
                                <a:lnTo>
                                  <a:pt x="28" y="72"/>
                                </a:lnTo>
                                <a:lnTo>
                                  <a:pt x="20" y="85"/>
                                </a:lnTo>
                                <a:lnTo>
                                  <a:pt x="13" y="99"/>
                                </a:lnTo>
                                <a:lnTo>
                                  <a:pt x="8" y="114"/>
                                </a:lnTo>
                                <a:lnTo>
                                  <a:pt x="4" y="130"/>
                                </a:lnTo>
                                <a:lnTo>
                                  <a:pt x="2" y="147"/>
                                </a:lnTo>
                                <a:lnTo>
                                  <a:pt x="0" y="164"/>
                                </a:lnTo>
                                <a:lnTo>
                                  <a:pt x="0" y="179"/>
                                </a:lnTo>
                                <a:lnTo>
                                  <a:pt x="3" y="194"/>
                                </a:lnTo>
                                <a:lnTo>
                                  <a:pt x="7" y="208"/>
                                </a:lnTo>
                                <a:lnTo>
                                  <a:pt x="10" y="222"/>
                                </a:lnTo>
                                <a:lnTo>
                                  <a:pt x="16" y="235"/>
                                </a:lnTo>
                                <a:lnTo>
                                  <a:pt x="23" y="247"/>
                                </a:lnTo>
                                <a:lnTo>
                                  <a:pt x="31" y="260"/>
                                </a:lnTo>
                                <a:lnTo>
                                  <a:pt x="41" y="271"/>
                                </a:lnTo>
                                <a:lnTo>
                                  <a:pt x="53" y="282"/>
                                </a:lnTo>
                                <a:lnTo>
                                  <a:pt x="66" y="294"/>
                                </a:lnTo>
                                <a:lnTo>
                                  <a:pt x="81" y="302"/>
                                </a:lnTo>
                                <a:lnTo>
                                  <a:pt x="97" y="310"/>
                                </a:lnTo>
                                <a:lnTo>
                                  <a:pt x="114" y="316"/>
                                </a:lnTo>
                                <a:lnTo>
                                  <a:pt x="130" y="321"/>
                                </a:lnTo>
                                <a:lnTo>
                                  <a:pt x="147" y="324"/>
                                </a:lnTo>
                                <a:lnTo>
                                  <a:pt x="163" y="325"/>
                                </a:lnTo>
                                <a:lnTo>
                                  <a:pt x="178" y="324"/>
                                </a:lnTo>
                                <a:lnTo>
                                  <a:pt x="193" y="321"/>
                                </a:lnTo>
                                <a:lnTo>
                                  <a:pt x="211" y="317"/>
                                </a:lnTo>
                                <a:lnTo>
                                  <a:pt x="236" y="309"/>
                                </a:lnTo>
                                <a:lnTo>
                                  <a:pt x="236" y="215"/>
                                </a:lnTo>
                                <a:lnTo>
                                  <a:pt x="227" y="222"/>
                                </a:lnTo>
                                <a:lnTo>
                                  <a:pt x="220" y="228"/>
                                </a:lnTo>
                                <a:lnTo>
                                  <a:pt x="211" y="235"/>
                                </a:lnTo>
                                <a:lnTo>
                                  <a:pt x="202" y="238"/>
                                </a:lnTo>
                                <a:lnTo>
                                  <a:pt x="195" y="242"/>
                                </a:lnTo>
                                <a:lnTo>
                                  <a:pt x="185" y="245"/>
                                </a:lnTo>
                                <a:lnTo>
                                  <a:pt x="176" y="246"/>
                                </a:lnTo>
                                <a:lnTo>
                                  <a:pt x="166" y="246"/>
                                </a:lnTo>
                                <a:lnTo>
                                  <a:pt x="159" y="246"/>
                                </a:lnTo>
                                <a:lnTo>
                                  <a:pt x="151" y="245"/>
                                </a:lnTo>
                                <a:lnTo>
                                  <a:pt x="144" y="243"/>
                                </a:lnTo>
                                <a:lnTo>
                                  <a:pt x="137" y="241"/>
                                </a:lnTo>
                                <a:lnTo>
                                  <a:pt x="130" y="238"/>
                                </a:lnTo>
                                <a:lnTo>
                                  <a:pt x="124" y="235"/>
                                </a:lnTo>
                                <a:lnTo>
                                  <a:pt x="117" y="231"/>
                                </a:lnTo>
                                <a:lnTo>
                                  <a:pt x="111" y="226"/>
                                </a:lnTo>
                                <a:lnTo>
                                  <a:pt x="105" y="220"/>
                                </a:lnTo>
                                <a:lnTo>
                                  <a:pt x="99" y="213"/>
                                </a:lnTo>
                                <a:lnTo>
                                  <a:pt x="94" y="207"/>
                                </a:lnTo>
                                <a:lnTo>
                                  <a:pt x="90" y="198"/>
                                </a:lnTo>
                                <a:lnTo>
                                  <a:pt x="87" y="191"/>
                                </a:lnTo>
                                <a:lnTo>
                                  <a:pt x="85" y="182"/>
                                </a:lnTo>
                                <a:lnTo>
                                  <a:pt x="84" y="173"/>
                                </a:lnTo>
                                <a:lnTo>
                                  <a:pt x="84" y="163"/>
                                </a:lnTo>
                                <a:lnTo>
                                  <a:pt x="84" y="154"/>
                                </a:lnTo>
                                <a:lnTo>
                                  <a:pt x="85" y="146"/>
                                </a:lnTo>
                                <a:lnTo>
                                  <a:pt x="87" y="137"/>
                                </a:lnTo>
                                <a:lnTo>
                                  <a:pt x="90" y="129"/>
                                </a:lnTo>
                                <a:lnTo>
                                  <a:pt x="92" y="122"/>
                                </a:lnTo>
                                <a:lnTo>
                                  <a:pt x="97" y="114"/>
                                </a:lnTo>
                                <a:lnTo>
                                  <a:pt x="101" y="108"/>
                                </a:lnTo>
                                <a:lnTo>
                                  <a:pt x="107" y="102"/>
                                </a:lnTo>
                                <a:lnTo>
                                  <a:pt x="112" y="97"/>
                                </a:lnTo>
                                <a:lnTo>
                                  <a:pt x="119" y="92"/>
                                </a:lnTo>
                                <a:lnTo>
                                  <a:pt x="126" y="88"/>
                                </a:lnTo>
                                <a:lnTo>
                                  <a:pt x="134" y="84"/>
                                </a:lnTo>
                                <a:lnTo>
                                  <a:pt x="141" y="82"/>
                                </a:lnTo>
                                <a:lnTo>
                                  <a:pt x="149" y="79"/>
                                </a:lnTo>
                                <a:lnTo>
                                  <a:pt x="157" y="78"/>
                                </a:lnTo>
                                <a:lnTo>
                                  <a:pt x="166" y="78"/>
                                </a:lnTo>
                                <a:lnTo>
                                  <a:pt x="176" y="79"/>
                                </a:lnTo>
                                <a:lnTo>
                                  <a:pt x="186" y="80"/>
                                </a:lnTo>
                                <a:lnTo>
                                  <a:pt x="195" y="83"/>
                                </a:lnTo>
                                <a:lnTo>
                                  <a:pt x="203" y="87"/>
                                </a:lnTo>
                                <a:lnTo>
                                  <a:pt x="212" y="92"/>
                                </a:lnTo>
                                <a:lnTo>
                                  <a:pt x="221" y="97"/>
                                </a:lnTo>
                                <a:lnTo>
                                  <a:pt x="228" y="104"/>
                                </a:lnTo>
                                <a:lnTo>
                                  <a:pt x="236" y="112"/>
                                </a:lnTo>
                                <a:lnTo>
                                  <a:pt x="236" y="16"/>
                                </a:lnTo>
                                <a:close/>
                                <a:moveTo>
                                  <a:pt x="390" y="247"/>
                                </a:moveTo>
                                <a:lnTo>
                                  <a:pt x="535" y="6"/>
                                </a:lnTo>
                                <a:lnTo>
                                  <a:pt x="281" y="6"/>
                                </a:lnTo>
                                <a:lnTo>
                                  <a:pt x="281" y="75"/>
                                </a:lnTo>
                                <a:lnTo>
                                  <a:pt x="401" y="75"/>
                                </a:lnTo>
                                <a:lnTo>
                                  <a:pt x="257" y="316"/>
                                </a:lnTo>
                                <a:lnTo>
                                  <a:pt x="520" y="316"/>
                                </a:lnTo>
                                <a:lnTo>
                                  <a:pt x="520" y="247"/>
                                </a:lnTo>
                                <a:lnTo>
                                  <a:pt x="390" y="247"/>
                                </a:lnTo>
                                <a:close/>
                                <a:moveTo>
                                  <a:pt x="740" y="75"/>
                                </a:moveTo>
                                <a:lnTo>
                                  <a:pt x="740" y="6"/>
                                </a:lnTo>
                                <a:lnTo>
                                  <a:pt x="566" y="6"/>
                                </a:lnTo>
                                <a:lnTo>
                                  <a:pt x="566" y="316"/>
                                </a:lnTo>
                                <a:lnTo>
                                  <a:pt x="740" y="316"/>
                                </a:lnTo>
                                <a:lnTo>
                                  <a:pt x="740" y="247"/>
                                </a:lnTo>
                                <a:lnTo>
                                  <a:pt x="646" y="247"/>
                                </a:lnTo>
                                <a:lnTo>
                                  <a:pt x="646" y="194"/>
                                </a:lnTo>
                                <a:lnTo>
                                  <a:pt x="735" y="194"/>
                                </a:lnTo>
                                <a:lnTo>
                                  <a:pt x="735" y="127"/>
                                </a:lnTo>
                                <a:lnTo>
                                  <a:pt x="646" y="127"/>
                                </a:lnTo>
                                <a:lnTo>
                                  <a:pt x="646" y="75"/>
                                </a:lnTo>
                                <a:lnTo>
                                  <a:pt x="740" y="75"/>
                                </a:lnTo>
                                <a:close/>
                                <a:moveTo>
                                  <a:pt x="1008" y="16"/>
                                </a:moveTo>
                                <a:lnTo>
                                  <a:pt x="988" y="9"/>
                                </a:lnTo>
                                <a:lnTo>
                                  <a:pt x="971" y="4"/>
                                </a:lnTo>
                                <a:lnTo>
                                  <a:pt x="953" y="1"/>
                                </a:lnTo>
                                <a:lnTo>
                                  <a:pt x="936" y="0"/>
                                </a:lnTo>
                                <a:lnTo>
                                  <a:pt x="920" y="1"/>
                                </a:lnTo>
                                <a:lnTo>
                                  <a:pt x="904" y="4"/>
                                </a:lnTo>
                                <a:lnTo>
                                  <a:pt x="887" y="8"/>
                                </a:lnTo>
                                <a:lnTo>
                                  <a:pt x="872" y="13"/>
                                </a:lnTo>
                                <a:lnTo>
                                  <a:pt x="859" y="20"/>
                                </a:lnTo>
                                <a:lnTo>
                                  <a:pt x="845" y="28"/>
                                </a:lnTo>
                                <a:lnTo>
                                  <a:pt x="833" y="38"/>
                                </a:lnTo>
                                <a:lnTo>
                                  <a:pt x="820" y="48"/>
                                </a:lnTo>
                                <a:lnTo>
                                  <a:pt x="810" y="59"/>
                                </a:lnTo>
                                <a:lnTo>
                                  <a:pt x="801" y="72"/>
                                </a:lnTo>
                                <a:lnTo>
                                  <a:pt x="793" y="85"/>
                                </a:lnTo>
                                <a:lnTo>
                                  <a:pt x="786" y="99"/>
                                </a:lnTo>
                                <a:lnTo>
                                  <a:pt x="780" y="114"/>
                                </a:lnTo>
                                <a:lnTo>
                                  <a:pt x="776" y="130"/>
                                </a:lnTo>
                                <a:lnTo>
                                  <a:pt x="774" y="147"/>
                                </a:lnTo>
                                <a:lnTo>
                                  <a:pt x="774" y="164"/>
                                </a:lnTo>
                                <a:lnTo>
                                  <a:pt x="774" y="179"/>
                                </a:lnTo>
                                <a:lnTo>
                                  <a:pt x="776" y="194"/>
                                </a:lnTo>
                                <a:lnTo>
                                  <a:pt x="779" y="208"/>
                                </a:lnTo>
                                <a:lnTo>
                                  <a:pt x="784" y="222"/>
                                </a:lnTo>
                                <a:lnTo>
                                  <a:pt x="789" y="235"/>
                                </a:lnTo>
                                <a:lnTo>
                                  <a:pt x="796" y="247"/>
                                </a:lnTo>
                                <a:lnTo>
                                  <a:pt x="805" y="260"/>
                                </a:lnTo>
                                <a:lnTo>
                                  <a:pt x="814" y="271"/>
                                </a:lnTo>
                                <a:lnTo>
                                  <a:pt x="826" y="282"/>
                                </a:lnTo>
                                <a:lnTo>
                                  <a:pt x="840" y="294"/>
                                </a:lnTo>
                                <a:lnTo>
                                  <a:pt x="855" y="302"/>
                                </a:lnTo>
                                <a:lnTo>
                                  <a:pt x="870" y="310"/>
                                </a:lnTo>
                                <a:lnTo>
                                  <a:pt x="886" y="316"/>
                                </a:lnTo>
                                <a:lnTo>
                                  <a:pt x="902" y="321"/>
                                </a:lnTo>
                                <a:lnTo>
                                  <a:pt x="920" y="324"/>
                                </a:lnTo>
                                <a:lnTo>
                                  <a:pt x="937" y="325"/>
                                </a:lnTo>
                                <a:lnTo>
                                  <a:pt x="952" y="324"/>
                                </a:lnTo>
                                <a:lnTo>
                                  <a:pt x="967" y="321"/>
                                </a:lnTo>
                                <a:lnTo>
                                  <a:pt x="985" y="317"/>
                                </a:lnTo>
                                <a:lnTo>
                                  <a:pt x="1008" y="309"/>
                                </a:lnTo>
                                <a:lnTo>
                                  <a:pt x="1008" y="215"/>
                                </a:lnTo>
                                <a:lnTo>
                                  <a:pt x="1001" y="222"/>
                                </a:lnTo>
                                <a:lnTo>
                                  <a:pt x="992" y="228"/>
                                </a:lnTo>
                                <a:lnTo>
                                  <a:pt x="985" y="235"/>
                                </a:lnTo>
                                <a:lnTo>
                                  <a:pt x="976" y="238"/>
                                </a:lnTo>
                                <a:lnTo>
                                  <a:pt x="967" y="242"/>
                                </a:lnTo>
                                <a:lnTo>
                                  <a:pt x="958" y="245"/>
                                </a:lnTo>
                                <a:lnTo>
                                  <a:pt x="948" y="246"/>
                                </a:lnTo>
                                <a:lnTo>
                                  <a:pt x="940" y="246"/>
                                </a:lnTo>
                                <a:lnTo>
                                  <a:pt x="932" y="246"/>
                                </a:lnTo>
                                <a:lnTo>
                                  <a:pt x="925" y="245"/>
                                </a:lnTo>
                                <a:lnTo>
                                  <a:pt x="917" y="243"/>
                                </a:lnTo>
                                <a:lnTo>
                                  <a:pt x="910" y="241"/>
                                </a:lnTo>
                                <a:lnTo>
                                  <a:pt x="904" y="238"/>
                                </a:lnTo>
                                <a:lnTo>
                                  <a:pt x="896" y="235"/>
                                </a:lnTo>
                                <a:lnTo>
                                  <a:pt x="890" y="231"/>
                                </a:lnTo>
                                <a:lnTo>
                                  <a:pt x="884" y="226"/>
                                </a:lnTo>
                                <a:lnTo>
                                  <a:pt x="877" y="220"/>
                                </a:lnTo>
                                <a:lnTo>
                                  <a:pt x="872" y="213"/>
                                </a:lnTo>
                                <a:lnTo>
                                  <a:pt x="867" y="207"/>
                                </a:lnTo>
                                <a:lnTo>
                                  <a:pt x="864" y="198"/>
                                </a:lnTo>
                                <a:lnTo>
                                  <a:pt x="860" y="191"/>
                                </a:lnTo>
                                <a:lnTo>
                                  <a:pt x="859" y="182"/>
                                </a:lnTo>
                                <a:lnTo>
                                  <a:pt x="857" y="173"/>
                                </a:lnTo>
                                <a:lnTo>
                                  <a:pt x="856" y="163"/>
                                </a:lnTo>
                                <a:lnTo>
                                  <a:pt x="857" y="154"/>
                                </a:lnTo>
                                <a:lnTo>
                                  <a:pt x="859" y="146"/>
                                </a:lnTo>
                                <a:lnTo>
                                  <a:pt x="860" y="137"/>
                                </a:lnTo>
                                <a:lnTo>
                                  <a:pt x="862" y="129"/>
                                </a:lnTo>
                                <a:lnTo>
                                  <a:pt x="866" y="122"/>
                                </a:lnTo>
                                <a:lnTo>
                                  <a:pt x="870" y="114"/>
                                </a:lnTo>
                                <a:lnTo>
                                  <a:pt x="875" y="108"/>
                                </a:lnTo>
                                <a:lnTo>
                                  <a:pt x="880" y="102"/>
                                </a:lnTo>
                                <a:lnTo>
                                  <a:pt x="886" y="97"/>
                                </a:lnTo>
                                <a:lnTo>
                                  <a:pt x="892" y="92"/>
                                </a:lnTo>
                                <a:lnTo>
                                  <a:pt x="899" y="88"/>
                                </a:lnTo>
                                <a:lnTo>
                                  <a:pt x="906" y="84"/>
                                </a:lnTo>
                                <a:lnTo>
                                  <a:pt x="914" y="82"/>
                                </a:lnTo>
                                <a:lnTo>
                                  <a:pt x="922" y="79"/>
                                </a:lnTo>
                                <a:lnTo>
                                  <a:pt x="931" y="78"/>
                                </a:lnTo>
                                <a:lnTo>
                                  <a:pt x="940" y="78"/>
                                </a:lnTo>
                                <a:lnTo>
                                  <a:pt x="950" y="79"/>
                                </a:lnTo>
                                <a:lnTo>
                                  <a:pt x="960" y="80"/>
                                </a:lnTo>
                                <a:lnTo>
                                  <a:pt x="968" y="83"/>
                                </a:lnTo>
                                <a:lnTo>
                                  <a:pt x="977" y="87"/>
                                </a:lnTo>
                                <a:lnTo>
                                  <a:pt x="986" y="92"/>
                                </a:lnTo>
                                <a:lnTo>
                                  <a:pt x="993" y="97"/>
                                </a:lnTo>
                                <a:lnTo>
                                  <a:pt x="1001" y="104"/>
                                </a:lnTo>
                                <a:lnTo>
                                  <a:pt x="1008" y="112"/>
                                </a:lnTo>
                                <a:lnTo>
                                  <a:pt x="1008" y="16"/>
                                </a:lnTo>
                                <a:close/>
                                <a:moveTo>
                                  <a:pt x="1132" y="127"/>
                                </a:moveTo>
                                <a:lnTo>
                                  <a:pt x="1132" y="6"/>
                                </a:lnTo>
                                <a:lnTo>
                                  <a:pt x="1052" y="6"/>
                                </a:lnTo>
                                <a:lnTo>
                                  <a:pt x="1052" y="316"/>
                                </a:lnTo>
                                <a:lnTo>
                                  <a:pt x="1132" y="316"/>
                                </a:lnTo>
                                <a:lnTo>
                                  <a:pt x="1132" y="189"/>
                                </a:lnTo>
                                <a:lnTo>
                                  <a:pt x="1247" y="189"/>
                                </a:lnTo>
                                <a:lnTo>
                                  <a:pt x="1247" y="316"/>
                                </a:lnTo>
                                <a:lnTo>
                                  <a:pt x="1327" y="316"/>
                                </a:lnTo>
                                <a:lnTo>
                                  <a:pt x="1327" y="6"/>
                                </a:lnTo>
                                <a:lnTo>
                                  <a:pt x="1247" y="6"/>
                                </a:lnTo>
                                <a:lnTo>
                                  <a:pt x="1247" y="127"/>
                                </a:lnTo>
                                <a:lnTo>
                                  <a:pt x="1132" y="127"/>
                                </a:lnTo>
                                <a:close/>
                              </a:path>
                            </a:pathLst>
                          </a:custGeom>
                          <a:solidFill>
                            <a:srgbClr val="BD1B21"/>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F16CDD" id="Skupina 37" o:spid="_x0000_s1026" style="position:absolute;margin-left:-17.25pt;margin-top:40.7pt;width:170.3pt;height:40.2pt;z-index:251663872;mso-position-horizontal-relative:margin;mso-position-vertical-relative:page;mso-width-relative:margin;mso-height-relative:margin" coordsize="16710,3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">
                <o:lock v:ext="edit" aspectratio="t"/>
                <v:rect id="Rectangle 5" o:spid="_x0000_s1027" style="position:absolute;left:3952;top:47;width:4191;height: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" fillcolor="#0071bc" stroked="f"/>
                <v:rect id="Rectangle 6" o:spid="_x0000_s1028" style="position:absolute;top:1476;width:8147;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" fillcolor="#0071bc" stroked="f"/>
                <v:rect id="Rectangle 7" o:spid="_x0000_s1029" style="position:absolute;left:3571;top:2952;width:4572;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" fillcolor="#0071bc" stroked="f"/>
                <v:shape id="Freeform 8" o:spid="_x0000_s1030" style="position:absolute;left:8620;top:2905;width:4553;height:1047;visibility:visible;mso-wrap-style:square;v-text-anchor:top" coordsize="143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" path="m170,l155,1,139,2,124,6r-15,4l95,16,81,23,69,30,58,39,45,51,34,65,24,79,15,95,9,112,4,128,2,146,,162r2,19l4,197r4,16l13,230r7,13l28,258r10,13l49,282r11,12l73,302r13,9l101,317r16,5l134,327r17,3l168,330r18,l201,327r16,-2l231,320r13,-5l258,309r13,-9l283,291r13,-12l307,265r10,-14l325,235r7,-17l337,201r2,-18l340,166r-1,-17l338,134r-4,-15l329,104,323,90,315,77,306,64,296,53,283,40,269,30,256,20,239,14,223,8,207,4,188,1,170,xm170,78r10,1l187,80r9,3l205,85r7,4l218,93r8,5l232,104r5,6l242,117r5,7l249,132r4,7l256,148r1,9l257,166r,8l256,183r-3,8l249,199r-2,8l242,213r-5,8l232,227r-6,5l218,237r-6,5l203,246r-7,2l187,251r-7,1l170,252r-9,l152,251r-7,-3l136,246r-7,-4l121,237r-6,-5l109,227r-5,-6l99,213r-5,-7l90,198r-3,-7l85,182r-1,-9l84,164r,-8l85,147r2,-8l90,130r4,-7l99,117r5,-7l109,104r6,-6l122,93r7,-4l136,85r9,-2l152,80r9,-1l170,78xm557,78r,-68l380,10r,309l460,319r,-122l548,197r,-68l460,129r,-51l557,78xm785,78r,-68l608,10r,309l688,319r,-122l776,197r,-68l688,129r,-51l785,78xm917,10r-79,l838,319r79,l917,10xm1199,19r-20,-8l1160,6,1144,4r-17,l1109,4r-16,2l1078,10r-15,6l1048,23r-14,8l1022,40r-11,10l1001,63,991,75r-8,13l976,103r-5,15l967,134r-2,17l963,167r2,15l966,197r4,14l973,225r7,13l987,251r7,11l1004,274r13,12l1031,296r13,9l1061,314r16,5l1093,324r17,2l1127,327r16,l1156,325r19,-5l1199,312r,-95l1190,225r-7,7l1174,237r-8,5l1158,245r-9,2l1139,248r-10,2l1122,250r-8,-2l1107,246r-7,-1l1087,238r-13,-8l1068,223r-6,-6l1058,210r-5,-8l1051,194r-3,-8l1047,176r,-9l1047,157r1,-9l1051,141r2,-9l1057,124r4,-6l1066,112r4,-7l1075,100r7,-5l1089,90r8,-2l1104,84r8,-1l1120,82r9,l1139,82r10,1l1159,85r9,4l1175,94r9,6l1191,107r8,8l1199,19xm1436,78r,-68l1261,10r,309l1436,319r,-68l1341,251r,-54l1431,197r,-68l1341,129r,-51l1436,78xe" fillcolor="#bd1b21" stroked="f">
                  <v:path arrowok="t" o:connecttype="custom" o:connectlocs="10957200,1008063;4523781,5141278;402029,12903200;804059,21471890;4925810,28427363;11761576,32459613;20205777,32963803;27242557,30241875;32670904,23689628;34078323,15020290;31665514,7762240;25734630,2016125;17089415,0;19702923,8367078;23321821,10483850;25433108,14012228;25734630,18447703;23824674,22278340;20406791,24798338;16184532,25403175;12163605,23891240;9449274,20766088;8444200,16532225;9449274,12399328;12264113,9375140;16184532,7963853;38199758,1008063;55088159,13004165;78912516,1008063;78007950,19858990;92182019,1008063;120530157,1915478;111482912,403225;103943595,3125153;98816770,8870950;96806307,16834803;98515248,23991888;103642073,29838650;111583420,32862838;120530157,31451550;117212781,24395113;112789825,25201563;107964522,23185438;105652536,19556413;105351014,14919325;107160463,11290300;110276507,8870950;114498766,8266113;119022230,10080625;144354831,1008063;134805050,25302528;134805050,7862888" o:connectangles="0,0,0,0,0,0,0,0,0,0,0,0,0,0,0,0,0,0,0,0,0,0,0,0,0,0,0,0,0,0,0,0,0,0,0,0,0,0,0,0,0,0,0,0,0,0,0,0,0,0,0,0"/>
                  <o:lock v:ext="edit" verticies="t"/>
                </v:shape>
                <v:shape id="Freeform 9" o:spid="_x0000_s1031" style="position:absolute;left:8620;top:1476;width:8090;height:1029;visibility:visible;mso-wrap-style:square;v-text-anchor:top" coordsize="254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" path="m215,24l203,19,191,14,178,9,166,6,154,2,142,1,130,,117,,106,,95,1,85,4,75,7,65,11r-9,5l49,21r-8,8l35,35r-6,9l24,51,20,61,16,71,15,81,13,93r,11l13,114r1,9l16,131r3,8l23,147r3,6l31,159r7,6l46,172r12,5l74,183r22,7l109,194r10,4l127,202r7,4l139,209r2,5l144,219r,7l142,232r-1,6l137,243r-5,4l127,251r-6,2l114,256r-9,l96,256r-9,-2l79,252r-9,-4l61,243r-8,-5l44,232,34,224,,290r13,7l25,305r14,5l53,315r12,3l79,322r13,1l106,323r14,l132,322r13,-2l156,316r11,-4l177,307r10,-6l196,295r7,-8l210,280r5,-9l220,261r2,-10l225,239r2,-12l227,214r-1,-16l222,184r-2,-7l217,170r-4,-5l210,160r-5,-6l198,150r-6,-5l186,142r-16,-8l151,128r-21,-7l117,116r-7,-3l104,108r-4,-3l97,101,96,98r,-5l96,88r3,-5l101,78r5,-4l111,70r5,-2l124,66r6,l137,66r7,2l150,69r6,2l170,78r12,8l215,24xm394,75r66,l460,6,249,6r,69l314,75r,241l394,316r,-241xm666,262r18,54l770,316,654,6r-87,l450,316r84,l555,262r111,xm643,201r-66,l611,103r32,98xm902,75r68,l970,6,758,6r,69l823,75r,241l902,316r,-241xm1090,6r-79,l1011,316r79,l1090,6xm1358,24r-11,-5l1335,14,1323,9,1311,6,1298,2,1286,1,1274,r-13,l1250,r-11,1l1229,4r-10,3l1210,11r-9,5l1193,21r-7,8l1179,35r-5,9l1169,51r-5,10l1161,71r-2,10l1158,93r-2,11l1158,114r1,9l1160,131r3,8l1166,147r4,6l1175,159r6,6l1190,172r11,5l1218,183r22,7l1252,194r12,4l1271,202r6,4l1282,209r4,5l1287,219r,7l1287,232r-2,6l1281,243r-4,4l1271,251r-6,2l1257,256r-8,l1240,256r-9,-2l1222,252r-8,-4l1205,243r-9,-5l1188,232r-9,-8l1144,290r12,7l1170,305r13,5l1196,315r14,3l1224,322r13,1l1251,323r13,l1276,322r13,-2l1300,316r11,-4l1321,307r10,-6l1340,295r7,-8l1353,280r5,-9l1363,261r4,-10l1370,239r1,-12l1371,214r-1,-16l1367,184r-2,-7l1361,170r-4,-5l1353,160r-5,-6l1343,150r-6,-5l1330,142r-15,-8l1296,128r-22,-7l1261,116r-7,-3l1247,108r-2,-3l1242,101r-1,-3l1240,93r1,-5l1242,83r4,-5l1250,74r5,-4l1261,68r6,-2l1275,66r6,l1287,68r8,1l1301,71r12,7l1327,86r31,-62xm1536,75r66,l1602,6r-210,l1392,75r65,l1457,316r79,l1536,75xm1723,6r-79,l1644,316r79,l1723,6xm2005,16l1984,9,1966,4,1950,1,1933,r-18,1l1899,4r-15,3l1868,12r-14,8l1840,27r-12,10l1817,47r-10,12l1797,71r-8,14l1782,100r-5,15l1773,130r-2,17l1769,164r2,15l1772,194r4,14l1779,222r7,14l1792,248r9,11l1811,271r12,11l1837,293r13,9l1867,310r16,6l1899,321r17,2l1933,325r16,-2l1963,322r17,-5l2005,310r,-96l1996,222r-7,6l1980,234r-7,4l1964,242r-10,2l1945,246r-10,1l1928,246r-8,l1913,243r-7,-2l1899,238r-6,-4l1887,231r-7,-5l1874,221r-6,-8l1863,207r-4,-8l1857,190r-3,-8l1853,173r,-10l1853,154r1,-9l1857,137r2,-8l1863,121r4,-6l1872,108r5,-5l1882,96r6,-5l1895,88r8,-4l1910,81r8,-1l1926,79r9,-1l1945,79r10,1l1965,83r9,3l1981,91r9,7l1997,104r8,7l2005,16xm2240,262r20,54l2345,316,2229,6r-87,l2025,316r83,l2129,262r111,xm2218,201r-66,l2186,103r32,98xm2455,6r-80,l2375,316r174,l2549,248r-94,l2455,6xe" fillcolor="#bd1b21" stroked="f">
                  <v:path arrowok="t" o:connecttype="custom" o:connectlocs="14303159,100338;6547138,1102133;2014699,6111428;1611632,13124629;5842247,17733205;14001018,20938951;13296127,24746091;7957554,25247147;1309491,29755385;10677145,32360370;18835915,30156103;22663463,23944654;21454897,16530734;15209901,12823932;9669795,9818229;11684494,6812843;17123675,7814638;25080912,7513941;77559893,31658955;64767441,20137515;76351327,601077;101835306,601077;133262139,901774;124800910,100338;118757447,3506443;116440606,10419307;118354380,15929657;127319284,19837134;129635808,23243239;125808260,25647865;119663871,23243239;121879786,31859314;130945299,31658955;136787546,27150716;137693970,18434304;134672238,14527143;125606726,10820025;125506118,7814638;129635808,6812843;161364783,7513941;154717037,7513941;199842746,901774;188158252,1202155;180201015,8515737;178488457,19436100;183625496,28252850;194705707,32560729;200346421,22842521;194202033,24646069;189367135,22642162;186647545,17332171;188057644,11521440;192388867,8115019;198835397,8616075;227643248,31658955;225628866,26248942;239227134,31658955" o:connectangles="0,0,0,0,0,0,0,0,0,0,0,0,0,0,0,0,0,0,0,0,0,0,0,0,0,0,0,0,0,0,0,0,0,0,0,0,0,0,0,0,0,0,0,0,0,0,0,0,0,0,0,0,0,0,0,0,0"/>
                  <o:lock v:ext="edit" verticies="t"/>
                </v:shape>
                <v:shape id="Freeform 10" o:spid="_x0000_s1032" style="position:absolute;left:8620;width:4210;height:1028;visibility:visible;mso-wrap-style:square;v-text-anchor:top" coordsize="132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" path="m236,16l215,9,197,4,180,1,162,,146,1,130,4,114,8,99,13,85,20,71,28,59,38,48,48,38,59,28,72,20,85,13,99,8,114,4,130,2,147,,164r,15l3,194r4,14l10,222r6,13l23,247r8,13l41,271r12,11l66,294r15,8l97,310r17,6l130,321r17,3l163,325r15,-1l193,321r18,-4l236,309r,-94l227,222r-7,6l211,235r-9,3l195,242r-10,3l176,246r-10,l159,246r-8,-1l144,243r-7,-2l130,238r-6,-3l117,231r-6,-5l105,220r-6,-7l94,207r-4,-9l87,191r-2,-9l84,173r,-10l84,154r1,-8l87,137r3,-8l92,122r5,-8l101,108r6,-6l112,97r7,-5l126,88r8,-4l141,82r8,-3l157,78r9,l176,79r10,1l195,83r8,4l212,92r9,5l228,104r8,8l236,16xm390,247l535,6,281,6r,69l401,75,257,316r263,l520,247r-130,xm740,75r,-69l566,6r,310l740,316r,-69l646,247r,-53l735,194r,-67l646,127r,-52l740,75xm1008,16l988,9,971,4,953,1,936,,920,1,904,4,887,8r-15,5l859,20r-14,8l833,38,820,48,810,59r-9,13l793,85r-7,14l780,114r-4,16l774,147r,17l774,179r2,15l779,208r5,14l789,235r7,12l805,260r9,11l826,282r14,12l855,302r15,8l886,316r16,5l920,324r17,1l952,324r15,-3l985,317r23,-8l1008,215r-7,7l992,228r-7,7l976,238r-9,4l958,245r-10,1l940,246r-8,l925,245r-8,-2l910,241r-6,-3l896,235r-6,-4l884,226r-7,-6l872,213r-5,-6l864,198r-4,-7l859,182r-2,-9l856,163r1,-9l859,146r1,-9l862,129r4,-7l870,114r5,-6l880,102r6,-5l892,92r7,-4l906,84r8,-2l922,79r9,-1l940,78r10,1l960,80r8,3l977,87r9,5l993,97r8,7l1008,112r,-96xm1132,127r,-121l1052,6r,310l1132,316r,-127l1247,189r,127l1327,316r,-310l1247,6r,121l1132,127xe" fillcolor="#bd1b21" stroked="f">
                  <v:path arrowok="t" o:connecttype="custom" o:connectlocs="18117809,100338;11474686,801436;5938487,3807140;2013019,8515737;201461,14727502;704636,20838930;3120259,26048583;8152966,30256441;14796089,32460391;21238068,31759292;22143848,22842521;18620985,24545732;15198693,24545732;12481037,23543936;9964843,21339669;8555570,18233945;8555570,14627164;9763382,11421419;11977862,9217152;14997550,7914660;18721556,8014997;22244737,9718208;39255306,24746091;40362546,7513941;39255306,24746091;56970511,31658955;65022588,19436100;65022588,7513941;97735343,400718;90991649,400718;85052845,2805344;80624202,7213561;78107690,13024292;78107690,19436100;80121027,24746091;84549670,29455004;90790188,32160011;97332739,32160011;100755031,22241444;97332739,24245351;93809876,24646069;90991649,23844316;88273993,22041084;86562689,19135719;86260657,15428917;87166753,12222855;89179773,9718208;91998000,8215356;95621752,7914660;99245187,9217152;101459667,1602873;105888310,31658955;125515962,31658955;125515962,12723595" o:connectangles="0,0,0,0,0,0,0,0,0,0,0,0,0,0,0,0,0,0,0,0,0,0,0,0,0,0,0,0,0,0,0,0,0,0,0,0,0,0,0,0,0,0,0,0,0,0,0,0,0,0,0,0,0,0"/>
                  <o:lock v:ext="edit" verticies="t"/>
                </v:shape>
                <w10:wrap type="square" anchorx="margin" anchory="page"/>
                <w10:anchorlock/>
              </v:group>
            </w:pict>
          </mc:Fallback>
        </mc:AlternateContent>
      </w:r>
      <w:r w:rsidR="00BF4329" w:rsidRPr="00D160FB">
        <w:rPr>
          <w:noProof/>
        </w:rPr>
        <mc:AlternateContent>
          <mc:Choice Requires="wps">
            <w:drawing>
              <wp:anchor distT="0" distB="0" distL="114300" distR="114300" simplePos="0" relativeHeight="251656704" behindDoc="0" locked="1" layoutInCell="1" allowOverlap="1" wp14:anchorId="7757952E" wp14:editId="283149DC">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5B43BB61" w:rsidR="00E37C1C" w:rsidRPr="005F1123" w:rsidRDefault="00E37C1C" w:rsidP="004924DC">
                            <w:pPr>
                              <w:rPr>
                                <w:lang w:val="en-GB"/>
                              </w:rPr>
                            </w:pPr>
                            <w:r w:rsidRPr="005F1123">
                              <w:rPr>
                                <w:lang w:val="en-GB"/>
                              </w:rPr>
                              <w:t xml:space="preserve">Prepared by: Office of the President of the CZSO </w:t>
                            </w:r>
                          </w:p>
                          <w:p w14:paraId="6CC24131" w14:textId="25D7AFF7" w:rsidR="00E37C1C" w:rsidRPr="005F1123" w:rsidRDefault="00E37C1C" w:rsidP="004924DC">
                            <w:pPr>
                              <w:rPr>
                                <w:lang w:val="en-GB"/>
                              </w:rPr>
                            </w:pPr>
                            <w:r>
                              <w:rPr>
                                <w:lang w:val="en-GB"/>
                              </w:rPr>
                              <w:t>Director</w:t>
                            </w:r>
                            <w:r w:rsidRPr="005F1123">
                              <w:rPr>
                                <w:lang w:val="en-GB"/>
                              </w:rPr>
                              <w:t>: Egor Sidorov, Ph.D.</w:t>
                            </w:r>
                          </w:p>
                          <w:p w14:paraId="734BD5FB" w14:textId="2C674D96" w:rsidR="00E37C1C" w:rsidRPr="005F1123" w:rsidRDefault="00E37C1C" w:rsidP="004924DC">
                            <w:pPr>
                              <w:rPr>
                                <w:lang w:val="en-GB"/>
                              </w:rPr>
                            </w:pPr>
                            <w:r>
                              <w:rPr>
                                <w:lang w:val="en-GB"/>
                              </w:rPr>
                              <w:t>Contact person</w:t>
                            </w:r>
                            <w:r w:rsidRPr="005F1123">
                              <w:rPr>
                                <w:lang w:val="en-GB"/>
                              </w:rPr>
                              <w:t>: Karolína Zábojníková,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" filled="f" stroked="f">
                <v:textbox inset="0,0,0,0">
                  <w:txbxContent>
                    <w:p w14:paraId="71628CD8" w14:textId="5B43BB61" w:rsidR="00E37C1C" w:rsidRPr="005F1123" w:rsidRDefault="00E37C1C" w:rsidP="004924DC">
                      <w:pPr>
                        <w:rPr>
                          <w:lang w:val="en-GB"/>
                        </w:rPr>
                      </w:pPr>
                      <w:r w:rsidRPr="005F1123">
                        <w:rPr>
                          <w:lang w:val="en-GB"/>
                        </w:rPr>
                        <w:t xml:space="preserve">Prepared by: Office of the President of the CZSO </w:t>
                      </w:r>
                    </w:p>
                    <w:p w14:paraId="6CC24131" w14:textId="25D7AFF7" w:rsidR="00E37C1C" w:rsidRPr="005F1123" w:rsidRDefault="00E37C1C" w:rsidP="004924DC">
                      <w:pPr>
                        <w:rPr>
                          <w:lang w:val="en-GB"/>
                        </w:rPr>
                      </w:pPr>
                      <w:r>
                        <w:rPr>
                          <w:lang w:val="en-GB"/>
                        </w:rPr>
                        <w:t>Director</w:t>
                      </w:r>
                      <w:r w:rsidRPr="005F1123">
                        <w:rPr>
                          <w:lang w:val="en-GB"/>
                        </w:rPr>
                        <w:t>: Egor Sidorov, Ph.D.</w:t>
                      </w:r>
                    </w:p>
                    <w:p w14:paraId="734BD5FB" w14:textId="2C674D96" w:rsidR="00E37C1C" w:rsidRPr="005F1123" w:rsidRDefault="00E37C1C" w:rsidP="004924DC">
                      <w:pPr>
                        <w:rPr>
                          <w:lang w:val="en-GB"/>
                        </w:rPr>
                      </w:pPr>
                      <w:r>
                        <w:rPr>
                          <w:lang w:val="en-GB"/>
                        </w:rPr>
                        <w:t>Contact person</w:t>
                      </w:r>
                      <w:r w:rsidRPr="005F1123">
                        <w:rPr>
                          <w:lang w:val="en-GB"/>
                        </w:rPr>
                        <w:t>: Karolína Zábojníková, e-mail: karolina.zabojnikova@czso.cz</w:t>
                      </w:r>
                    </w:p>
                  </w:txbxContent>
                </v:textbox>
                <w10:wrap anchorx="page" anchory="page"/>
                <w10:anchorlock/>
              </v:shape>
            </w:pict>
          </mc:Fallback>
        </mc:AlternateContent>
      </w:r>
      <w:r w:rsidR="00BF4329" w:rsidRPr="00D160FB">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977BE" w14:textId="77777777" w:rsidR="00E37C1C" w:rsidRPr="005F1123" w:rsidRDefault="00E37C1C" w:rsidP="005F1123">
                            <w:pPr>
                              <w:pStyle w:val="TLIdentifikace-sted"/>
                              <w:rPr>
                                <w:lang w:val="en-GB"/>
                              </w:rPr>
                            </w:pPr>
                            <w:r w:rsidRPr="005F1123">
                              <w:rPr>
                                <w:lang w:val="en-GB"/>
                              </w:rPr>
                              <w:t>Summary Data on the Czech Republic</w:t>
                            </w:r>
                          </w:p>
                          <w:p w14:paraId="02C46271" w14:textId="6F51AF75" w:rsidR="00E37C1C" w:rsidRPr="005F1123" w:rsidRDefault="00E37C1C" w:rsidP="004924DC">
                            <w:pPr>
                              <w:pStyle w:val="TLIdentifikace-sted"/>
                              <w:rPr>
                                <w:lang w:val="en-GB"/>
                              </w:rPr>
                            </w:pPr>
                            <w:r>
                              <w:rPr>
                                <w:lang w:val="en-GB"/>
                              </w:rPr>
                              <w:t>Prague, 21</w:t>
                            </w:r>
                            <w:r w:rsidRPr="005F1123">
                              <w:rPr>
                                <w:vertAlign w:val="superscript"/>
                                <w:lang w:val="en-GB"/>
                              </w:rPr>
                              <w:t>nd</w:t>
                            </w:r>
                            <w:r>
                              <w:rPr>
                                <w:lang w:val="en-GB"/>
                              </w:rPr>
                              <w:t xml:space="preserve"> April</w:t>
                            </w:r>
                            <w:r w:rsidRPr="005F1123">
                              <w:rPr>
                                <w:lang w:val="en-GB"/>
                              </w:rPr>
                              <w:t xml:space="preserve"> 2023</w:t>
                            </w:r>
                          </w:p>
                          <w:p w14:paraId="43012AD8" w14:textId="04533726" w:rsidR="00E37C1C" w:rsidRPr="005F1123" w:rsidRDefault="00E37C1C" w:rsidP="004924DC">
                            <w:pPr>
                              <w:pStyle w:val="TLIdentifikace-sted"/>
                              <w:rPr>
                                <w:lang w:val="en-GB"/>
                              </w:rPr>
                            </w:pPr>
                            <w:r>
                              <w:rPr>
                                <w:lang w:val="en-GB"/>
                              </w:rPr>
                              <w:t>Publication Code: 320194</w:t>
                            </w:r>
                            <w:r w:rsidRPr="005F1123">
                              <w:rPr>
                                <w:lang w:val="en-GB"/>
                              </w:rPr>
                              <w:t>-22</w:t>
                            </w:r>
                          </w:p>
                          <w:p w14:paraId="1ED5773E" w14:textId="450D2DE6" w:rsidR="00E37C1C" w:rsidRPr="005F1123" w:rsidRDefault="00E37C1C" w:rsidP="004924DC">
                            <w:pPr>
                              <w:pStyle w:val="TLIdentifikace-sted"/>
                              <w:rPr>
                                <w:rFonts w:cs="Arial"/>
                                <w:lang w:val="en-GB"/>
                              </w:rPr>
                            </w:pPr>
                            <w:r>
                              <w:rPr>
                                <w:rFonts w:cs="Arial"/>
                                <w:lang w:val="en-GB"/>
                              </w:rPr>
                              <w:t>Reference No</w:t>
                            </w:r>
                            <w:r w:rsidRPr="005F1123">
                              <w:rPr>
                                <w:rFonts w:cs="Arial"/>
                                <w:lang w:val="en-GB"/>
                              </w:rPr>
                              <w:t xml:space="preserve">.: </w:t>
                            </w:r>
                            <w:r w:rsidRPr="005F1123">
                              <w:rPr>
                                <w:rFonts w:eastAsia="Calibri" w:cs="Arial"/>
                                <w:lang w:val="en-GB" w:eastAsia="en-US"/>
                              </w:rPr>
                              <w:t>CSU-</w:t>
                            </w:r>
                            <w:r w:rsidRPr="003B5E81">
                              <w:rPr>
                                <w:rFonts w:eastAsia="Calibri" w:cs="Arial"/>
                                <w:lang w:val="en-GB" w:eastAsia="en-US"/>
                              </w:rPr>
                              <w:t>003509/2023-01</w:t>
                            </w:r>
                          </w:p>
                          <w:p w14:paraId="7E4C36AC" w14:textId="4C6A6D8B" w:rsidR="00E37C1C" w:rsidRPr="005F1123" w:rsidRDefault="00E37C1C" w:rsidP="004924DC">
                            <w:pPr>
                              <w:pStyle w:val="TLIdentifikace-sted"/>
                              <w:rPr>
                                <w:lang w:val="en-GB"/>
                              </w:rPr>
                            </w:pPr>
                            <w:r>
                              <w:rPr>
                                <w:lang w:val="en-GB"/>
                              </w:rPr>
                              <w:t>Yearly Publication Code: 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" filled="f" stroked="f">
                <v:textbox style="mso-fit-shape-to-text:t" inset="0,0,0,0">
                  <w:txbxContent>
                    <w:p w14:paraId="792977BE" w14:textId="77777777" w:rsidR="00E37C1C" w:rsidRPr="005F1123" w:rsidRDefault="00E37C1C" w:rsidP="005F1123">
                      <w:pPr>
                        <w:pStyle w:val="TLIdentifikace-sted"/>
                        <w:rPr>
                          <w:lang w:val="en-GB"/>
                        </w:rPr>
                      </w:pPr>
                      <w:r w:rsidRPr="005F1123">
                        <w:rPr>
                          <w:lang w:val="en-GB"/>
                        </w:rPr>
                        <w:t>Summary Data on the Czech Republic</w:t>
                      </w:r>
                    </w:p>
                    <w:p w14:paraId="02C46271" w14:textId="6F51AF75" w:rsidR="00E37C1C" w:rsidRPr="005F1123" w:rsidRDefault="00E37C1C" w:rsidP="004924DC">
                      <w:pPr>
                        <w:pStyle w:val="TLIdentifikace-sted"/>
                        <w:rPr>
                          <w:lang w:val="en-GB"/>
                        </w:rPr>
                      </w:pPr>
                      <w:r>
                        <w:rPr>
                          <w:lang w:val="en-GB"/>
                        </w:rPr>
                        <w:t>Prague, 21</w:t>
                      </w:r>
                      <w:r w:rsidRPr="005F1123">
                        <w:rPr>
                          <w:vertAlign w:val="superscript"/>
                          <w:lang w:val="en-GB"/>
                        </w:rPr>
                        <w:t>nd</w:t>
                      </w:r>
                      <w:r>
                        <w:rPr>
                          <w:lang w:val="en-GB"/>
                        </w:rPr>
                        <w:t xml:space="preserve"> April</w:t>
                      </w:r>
                      <w:r w:rsidRPr="005F1123">
                        <w:rPr>
                          <w:lang w:val="en-GB"/>
                        </w:rPr>
                        <w:t xml:space="preserve"> 2023</w:t>
                      </w:r>
                    </w:p>
                    <w:p w14:paraId="43012AD8" w14:textId="04533726" w:rsidR="00E37C1C" w:rsidRPr="005F1123" w:rsidRDefault="00E37C1C" w:rsidP="004924DC">
                      <w:pPr>
                        <w:pStyle w:val="TLIdentifikace-sted"/>
                        <w:rPr>
                          <w:lang w:val="en-GB"/>
                        </w:rPr>
                      </w:pPr>
                      <w:r>
                        <w:rPr>
                          <w:lang w:val="en-GB"/>
                        </w:rPr>
                        <w:t>Publication Code: 320194</w:t>
                      </w:r>
                      <w:r w:rsidRPr="005F1123">
                        <w:rPr>
                          <w:lang w:val="en-GB"/>
                        </w:rPr>
                        <w:t>-22</w:t>
                      </w:r>
                    </w:p>
                    <w:p w14:paraId="1ED5773E" w14:textId="450D2DE6" w:rsidR="00E37C1C" w:rsidRPr="005F1123" w:rsidRDefault="00E37C1C" w:rsidP="004924DC">
                      <w:pPr>
                        <w:pStyle w:val="TLIdentifikace-sted"/>
                        <w:rPr>
                          <w:rFonts w:cs="Arial"/>
                          <w:lang w:val="en-GB"/>
                        </w:rPr>
                      </w:pPr>
                      <w:r>
                        <w:rPr>
                          <w:rFonts w:cs="Arial"/>
                          <w:lang w:val="en-GB"/>
                        </w:rPr>
                        <w:t>Reference No</w:t>
                      </w:r>
                      <w:r w:rsidRPr="005F1123">
                        <w:rPr>
                          <w:rFonts w:cs="Arial"/>
                          <w:lang w:val="en-GB"/>
                        </w:rPr>
                        <w:t xml:space="preserve">.: </w:t>
                      </w:r>
                      <w:r w:rsidRPr="005F1123">
                        <w:rPr>
                          <w:rFonts w:eastAsia="Calibri" w:cs="Arial"/>
                          <w:lang w:val="en-GB" w:eastAsia="en-US"/>
                        </w:rPr>
                        <w:t>CSU-</w:t>
                      </w:r>
                      <w:r w:rsidRPr="003B5E81">
                        <w:rPr>
                          <w:rFonts w:eastAsia="Calibri" w:cs="Arial"/>
                          <w:lang w:val="en-GB" w:eastAsia="en-US"/>
                        </w:rPr>
                        <w:t>003509/2023-01</w:t>
                      </w:r>
                    </w:p>
                    <w:p w14:paraId="7E4C36AC" w14:textId="4C6A6D8B" w:rsidR="00E37C1C" w:rsidRPr="005F1123" w:rsidRDefault="00E37C1C" w:rsidP="004924DC">
                      <w:pPr>
                        <w:pStyle w:val="TLIdentifikace-sted"/>
                        <w:rPr>
                          <w:lang w:val="en-GB"/>
                        </w:rPr>
                      </w:pPr>
                      <w:r>
                        <w:rPr>
                          <w:lang w:val="en-GB"/>
                        </w:rPr>
                        <w:t>Yearly Publication Code: 2</w:t>
                      </w:r>
                    </w:p>
                  </w:txbxContent>
                </v:textbox>
                <w10:wrap anchorx="page" anchory="page"/>
                <w10:anchorlock/>
              </v:shape>
            </w:pict>
          </mc:Fallback>
        </mc:AlternateContent>
      </w:r>
      <w:r w:rsidR="00BF4329" w:rsidRPr="00D160FB">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13DAD59" w:rsidR="00E37C1C" w:rsidRPr="000E6FBD" w:rsidRDefault="00E37C1C" w:rsidP="000E6FBD">
                            <w:pPr>
                              <w:pStyle w:val="Nzev"/>
                            </w:pPr>
                            <w:r>
                              <w:t>The czech economy development</w:t>
                            </w:r>
                          </w:p>
                          <w:p w14:paraId="6EF7822F" w14:textId="77777777" w:rsidR="00E37C1C" w:rsidRPr="0012192F" w:rsidRDefault="00E37C1C" w:rsidP="0012192F">
                            <w:pPr>
                              <w:pStyle w:val="Podnadpis"/>
                            </w:pPr>
                          </w:p>
                          <w:p w14:paraId="284A2D4D" w14:textId="439F22B1" w:rsidR="00E37C1C" w:rsidRPr="0012192F" w:rsidRDefault="00E37C1C" w:rsidP="00720310">
                            <w:pPr>
                              <w:pStyle w:val="Podnadpis"/>
                            </w:pPr>
                            <w:proofErr w:type="spellStart"/>
                            <w:r>
                              <w:t>Year</w:t>
                            </w:r>
                            <w:proofErr w:type="spellEnd"/>
                            <w:r>
                              <w:t xml:space="preserve"> 2022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" filled="f" stroked="f">
                <v:textbox style="mso-fit-shape-to-text:t" inset="0,0,0,0">
                  <w:txbxContent>
                    <w:p w14:paraId="723B7B56" w14:textId="713DAD59" w:rsidR="00E37C1C" w:rsidRPr="000E6FBD" w:rsidRDefault="00E37C1C" w:rsidP="000E6FBD">
                      <w:pPr>
                        <w:pStyle w:val="Nzev"/>
                      </w:pPr>
                      <w:r>
                        <w:t>The czech economy development</w:t>
                      </w:r>
                    </w:p>
                    <w:p w14:paraId="6EF7822F" w14:textId="77777777" w:rsidR="00E37C1C" w:rsidRPr="0012192F" w:rsidRDefault="00E37C1C" w:rsidP="0012192F">
                      <w:pPr>
                        <w:pStyle w:val="Podnadpis"/>
                      </w:pPr>
                    </w:p>
                    <w:p w14:paraId="284A2D4D" w14:textId="439F22B1" w:rsidR="00E37C1C" w:rsidRPr="0012192F" w:rsidRDefault="00E37C1C" w:rsidP="00720310">
                      <w:pPr>
                        <w:pStyle w:val="Podnadpis"/>
                      </w:pPr>
                      <w:proofErr w:type="spellStart"/>
                      <w:r>
                        <w:t>Year</w:t>
                      </w:r>
                      <w:proofErr w:type="spellEnd"/>
                      <w:r>
                        <w:t xml:space="preserve"> 2022</w:t>
                      </w:r>
                    </w:p>
                  </w:txbxContent>
                </v:textbox>
                <w10:wrap anchorx="page" anchory="page"/>
                <w10:anchorlock/>
              </v:shape>
            </w:pict>
          </mc:Fallback>
        </mc:AlternateContent>
      </w:r>
      <w:r w:rsidR="00BF4329" w:rsidRPr="00D160FB">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3A56B2A5" w:rsidR="00E37C1C" w:rsidRPr="004924DC" w:rsidRDefault="00E37C1C" w:rsidP="004924DC">
                            <w:r w:rsidRPr="004924DC">
                              <w:t xml:space="preserve">© </w:t>
                            </w:r>
                            <w:r w:rsidRPr="00067737">
                              <w:rPr>
                                <w:lang w:val="en-GB"/>
                              </w:rPr>
                              <w:t>Czech Statistical Office, Prague</w:t>
                            </w:r>
                            <w:r w:rsidRPr="004924DC">
                              <w:t xml:space="preserve">, </w:t>
                            </w:r>
                            <w:r>
                              <w:t>2023</w:t>
                            </w:r>
                          </w:p>
                          <w:p w14:paraId="622736FE" w14:textId="77777777" w:rsidR="00E37C1C" w:rsidRPr="005251DD" w:rsidRDefault="00E37C1C" w:rsidP="00665BA4"/>
                          <w:p w14:paraId="157588CA" w14:textId="77777777" w:rsidR="00E37C1C" w:rsidRPr="005251DD" w:rsidRDefault="00E37C1C" w:rsidP="00FC684B"/>
                          <w:p w14:paraId="590D710B" w14:textId="77777777" w:rsidR="00E37C1C" w:rsidRDefault="00E37C1C"/>
                          <w:p w14:paraId="73B68DA8" w14:textId="77777777" w:rsidR="00E37C1C" w:rsidRPr="00097407" w:rsidRDefault="00E37C1C"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E37C1C" w:rsidRPr="005251DD" w:rsidRDefault="00E37C1C" w:rsidP="00665BA4"/>
                          <w:p w14:paraId="74D3ABC4" w14:textId="77777777" w:rsidR="00E37C1C" w:rsidRPr="005251DD" w:rsidRDefault="00E37C1C"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" filled="f" stroked="f">
                <v:textbox inset="0,0,0,0">
                  <w:txbxContent>
                    <w:p w14:paraId="0841DF7B" w14:textId="3A56B2A5" w:rsidR="00E37C1C" w:rsidRPr="004924DC" w:rsidRDefault="00E37C1C" w:rsidP="004924DC">
                      <w:r w:rsidRPr="004924DC">
                        <w:t xml:space="preserve">© </w:t>
                      </w:r>
                      <w:r w:rsidRPr="00067737">
                        <w:rPr>
                          <w:lang w:val="en-GB"/>
                        </w:rPr>
                        <w:t>Czech Statistical Office, Prague</w:t>
                      </w:r>
                      <w:r w:rsidRPr="004924DC">
                        <w:t xml:space="preserve">, </w:t>
                      </w:r>
                      <w:r>
                        <w:t>2023</w:t>
                      </w:r>
                    </w:p>
                    <w:p w14:paraId="622736FE" w14:textId="77777777" w:rsidR="00E37C1C" w:rsidRPr="005251DD" w:rsidRDefault="00E37C1C" w:rsidP="00665BA4"/>
                    <w:p w14:paraId="157588CA" w14:textId="77777777" w:rsidR="00E37C1C" w:rsidRPr="005251DD" w:rsidRDefault="00E37C1C" w:rsidP="00FC684B"/>
                    <w:p w14:paraId="590D710B" w14:textId="77777777" w:rsidR="00E37C1C" w:rsidRDefault="00E37C1C"/>
                    <w:p w14:paraId="73B68DA8" w14:textId="77777777" w:rsidR="00E37C1C" w:rsidRPr="00097407" w:rsidRDefault="00E37C1C"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E37C1C" w:rsidRPr="005251DD" w:rsidRDefault="00E37C1C" w:rsidP="00665BA4"/>
                    <w:p w14:paraId="74D3ABC4" w14:textId="77777777" w:rsidR="00E37C1C" w:rsidRPr="005251DD" w:rsidRDefault="00E37C1C" w:rsidP="00FC684B"/>
                  </w:txbxContent>
                </v:textbox>
                <w10:wrap anchorx="page" anchory="page"/>
                <w10:anchorlock/>
              </v:shape>
            </w:pict>
          </mc:Fallback>
        </mc:AlternateContent>
      </w:r>
      <w:r w:rsidR="00BF4329" w:rsidRPr="00D160FB">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3A0F93"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" o:allowincell="f" strokecolor="windowText" strokeweight="1pt">
                <o:lock v:ext="edit" shapetype="f"/>
                <w10:wrap anchorx="page" anchory="page"/>
                <w10:anchorlock/>
              </v:line>
            </w:pict>
          </mc:Fallback>
        </mc:AlternateContent>
      </w:r>
      <w:r w:rsidR="001A4ECD" w:rsidRPr="00D160FB">
        <w:rPr>
          <w:lang w:val="en-GB"/>
        </w:rPr>
        <w:tab/>
      </w:r>
      <w:r w:rsidR="00F63FB7" w:rsidRPr="00D160FB">
        <w:rPr>
          <w:lang w:val="en-GB"/>
        </w:rPr>
        <w:br w:type="page"/>
      </w:r>
      <w:r w:rsidR="00D57677" w:rsidRPr="00D160FB">
        <w:rPr>
          <w:lang w:val="en-GB"/>
        </w:rPr>
        <w:lastRenderedPageBreak/>
        <w:br w:type="page"/>
      </w:r>
      <w:r w:rsidR="00BF4329" w:rsidRPr="00D160FB">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2A4752C9" w:rsidR="00E37C1C" w:rsidRPr="006F5416" w:rsidRDefault="00E37C1C" w:rsidP="006F5416">
                            <w:pPr>
                              <w:pStyle w:val="TLKontaktyerven"/>
                            </w:pPr>
                            <w:r>
                              <w:t>CONTACTS IN HEADQUARTERS</w:t>
                            </w:r>
                          </w:p>
                          <w:p w14:paraId="3BEEAF5F" w14:textId="556E8BF1" w:rsidR="00E37C1C" w:rsidRPr="00F44BEE" w:rsidRDefault="00E37C1C" w:rsidP="00825C4D">
                            <w:pPr>
                              <w:pStyle w:val="TLKontakty"/>
                              <w:spacing w:after="80" w:line="240" w:lineRule="auto"/>
                              <w:contextualSpacing w:val="0"/>
                              <w:rPr>
                                <w:b w:val="0"/>
                                <w:color w:val="auto"/>
                                <w:lang w:val="en-GB"/>
                              </w:rPr>
                            </w:pPr>
                            <w:r w:rsidRPr="00F44BEE">
                              <w:rPr>
                                <w:lang w:val="en-GB"/>
                              </w:rPr>
                              <w:t>Czech Statistical Office</w:t>
                            </w:r>
                            <w:r w:rsidRPr="00F44BEE">
                              <w:rPr>
                                <w:b w:val="0"/>
                                <w:color w:val="auto"/>
                                <w:lang w:val="en-GB"/>
                              </w:rPr>
                              <w:t xml:space="preserve"> | Na </w:t>
                            </w:r>
                            <w:proofErr w:type="spellStart"/>
                            <w:r w:rsidRPr="00F44BEE">
                              <w:rPr>
                                <w:b w:val="0"/>
                                <w:color w:val="auto"/>
                                <w:lang w:val="en-GB"/>
                              </w:rPr>
                              <w:t>padesátém</w:t>
                            </w:r>
                            <w:proofErr w:type="spellEnd"/>
                            <w:r w:rsidRPr="00F44BEE">
                              <w:rPr>
                                <w:b w:val="0"/>
                                <w:color w:val="auto"/>
                                <w:lang w:val="en-GB"/>
                              </w:rPr>
                              <w:t xml:space="preserve"> 81, 100 82 Praha 10, </w:t>
                            </w:r>
                            <w:r>
                              <w:rPr>
                                <w:b w:val="0"/>
                                <w:color w:val="auto"/>
                                <w:lang w:val="en-GB"/>
                              </w:rPr>
                              <w:t>ph</w:t>
                            </w:r>
                            <w:r w:rsidRPr="00F44BEE">
                              <w:rPr>
                                <w:b w:val="0"/>
                                <w:color w:val="auto"/>
                                <w:lang w:val="en-GB"/>
                              </w:rPr>
                              <w:t xml:space="preserve">.: 274 051 111 | </w:t>
                            </w:r>
                            <w:r w:rsidRPr="00F44BEE">
                              <w:rPr>
                                <w:color w:val="auto"/>
                                <w:lang w:val="en-GB"/>
                              </w:rPr>
                              <w:t>www.czso.cz</w:t>
                            </w:r>
                          </w:p>
                          <w:p w14:paraId="4ECAA215" w14:textId="188A8A1E"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Information Services</w:t>
                            </w:r>
                            <w:r w:rsidRPr="00F44BEE">
                              <w:rPr>
                                <w:b w:val="0"/>
                                <w:color w:val="auto"/>
                                <w:lang w:val="en-GB"/>
                              </w:rPr>
                              <w:t xml:space="preserve"> | ph.: 274 052 304, 274 052 451 | e-mail: infoservis@czso.cz</w:t>
                            </w:r>
                          </w:p>
                          <w:p w14:paraId="4EB8DFE9" w14:textId="00B43577"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CZSO Publication Shop</w:t>
                            </w:r>
                            <w:r w:rsidRPr="00F44BEE">
                              <w:rPr>
                                <w:b w:val="0"/>
                                <w:color w:val="auto"/>
                                <w:lang w:val="en-GB"/>
                              </w:rPr>
                              <w:t xml:space="preserve"> | ph.: 274 052 361 | e-mail: prodejna@czso.cz</w:t>
                            </w:r>
                          </w:p>
                          <w:p w14:paraId="2572D725" w14:textId="4E870663"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European Data (ESDS), international comparison</w:t>
                            </w:r>
                            <w:r w:rsidRPr="00F44BEE">
                              <w:rPr>
                                <w:b w:val="0"/>
                                <w:color w:val="auto"/>
                                <w:lang w:val="en-GB"/>
                              </w:rPr>
                              <w:t xml:space="preserve"> | ph.: 274 052 347 | e-mail: esds@czso.cz</w:t>
                            </w:r>
                          </w:p>
                          <w:p w14:paraId="41B476B1" w14:textId="6192075D"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Central Statistical Library</w:t>
                            </w:r>
                            <w:r w:rsidRPr="00F44BEE">
                              <w:rPr>
                                <w:b w:val="0"/>
                                <w:color w:val="auto"/>
                                <w:lang w:val="en-GB"/>
                              </w:rPr>
                              <w:t xml:space="preserve"> | ph.: 274 052 361 | e-mail: knihovna@czso.cz</w:t>
                            </w:r>
                          </w:p>
                          <w:p w14:paraId="433A2C62" w14:textId="77777777" w:rsidR="00E37C1C" w:rsidRPr="004A61C5" w:rsidRDefault="00E37C1C" w:rsidP="00825C4D">
                            <w:pPr>
                              <w:pStyle w:val="TLKontakty"/>
                              <w:spacing w:after="80" w:line="240" w:lineRule="auto"/>
                              <w:contextualSpacing w:val="0"/>
                              <w:rPr>
                                <w:color w:val="auto"/>
                              </w:rPr>
                            </w:pPr>
                          </w:p>
                          <w:p w14:paraId="29C57B67" w14:textId="1077F8C0" w:rsidR="00E37C1C" w:rsidRPr="00D66223" w:rsidRDefault="00E37C1C" w:rsidP="00D66223">
                            <w:pPr>
                              <w:pStyle w:val="TLKontaktyerven"/>
                            </w:pPr>
                            <w:r w:rsidRPr="00D66223">
                              <w:t>INFORMA</w:t>
                            </w:r>
                            <w:r>
                              <w:t>TION SERVICES IN THE REGIONS</w:t>
                            </w:r>
                          </w:p>
                          <w:p w14:paraId="181BE30E" w14:textId="62EFB5A7" w:rsidR="00E37C1C" w:rsidRPr="00992CF3" w:rsidRDefault="00E37C1C"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E37C1C" w:rsidRPr="00992CF3" w:rsidRDefault="00E37C1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E37C1C" w:rsidRPr="004A61C5" w:rsidRDefault="00E37C1C" w:rsidP="00825C4D">
                            <w:pPr>
                              <w:pStyle w:val="TLKontakty"/>
                              <w:spacing w:after="80" w:line="240" w:lineRule="auto"/>
                              <w:rPr>
                                <w:color w:val="auto"/>
                              </w:rPr>
                            </w:pPr>
                          </w:p>
                          <w:p w14:paraId="39B5FB82" w14:textId="55A68424" w:rsidR="00E37C1C" w:rsidRPr="00992CF3" w:rsidRDefault="00E37C1C"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E37C1C" w:rsidRPr="00992CF3" w:rsidRDefault="00E37C1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E37C1C" w:rsidRPr="004A61C5" w:rsidRDefault="00E37C1C" w:rsidP="00825C4D">
                            <w:pPr>
                              <w:pStyle w:val="TLKontakty"/>
                              <w:spacing w:after="80" w:line="240" w:lineRule="auto"/>
                              <w:rPr>
                                <w:color w:val="auto"/>
                              </w:rPr>
                            </w:pPr>
                          </w:p>
                          <w:p w14:paraId="5AF27889" w14:textId="16958DEB" w:rsidR="00E37C1C" w:rsidRPr="00992CF3" w:rsidRDefault="00E37C1C"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E37C1C" w:rsidRPr="00992CF3" w:rsidRDefault="00E37C1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E37C1C" w:rsidRPr="004A61C5" w:rsidRDefault="00E37C1C" w:rsidP="00825C4D">
                            <w:pPr>
                              <w:pStyle w:val="TLKontakty"/>
                              <w:spacing w:after="80" w:line="240" w:lineRule="auto"/>
                              <w:rPr>
                                <w:color w:val="auto"/>
                              </w:rPr>
                            </w:pPr>
                          </w:p>
                          <w:p w14:paraId="0065AFA0" w14:textId="66B811DB" w:rsidR="00E37C1C" w:rsidRPr="00BC731E" w:rsidRDefault="00E37C1C"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E37C1C" w:rsidRPr="004A61C5" w:rsidRDefault="00E37C1C" w:rsidP="00825C4D">
                            <w:pPr>
                              <w:pStyle w:val="TLKontakty"/>
                              <w:spacing w:after="80" w:line="240" w:lineRule="auto"/>
                              <w:rPr>
                                <w:color w:val="auto"/>
                              </w:rPr>
                            </w:pPr>
                          </w:p>
                          <w:p w14:paraId="345F7961" w14:textId="3E8F839C" w:rsidR="00E37C1C" w:rsidRPr="004A61C5" w:rsidRDefault="00E37C1C"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E37C1C" w:rsidRPr="004A61C5" w:rsidRDefault="00E37C1C" w:rsidP="00825C4D">
                            <w:pPr>
                              <w:pStyle w:val="TLKontakty"/>
                              <w:spacing w:after="80" w:line="240" w:lineRule="auto"/>
                              <w:rPr>
                                <w:color w:val="auto"/>
                              </w:rPr>
                            </w:pPr>
                          </w:p>
                          <w:p w14:paraId="766F2288" w14:textId="571DE385" w:rsidR="00E37C1C" w:rsidRPr="004A61C5" w:rsidRDefault="00E37C1C"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E37C1C" w:rsidRPr="004A61C5" w:rsidRDefault="00E37C1C" w:rsidP="00825C4D">
                            <w:pPr>
                              <w:pStyle w:val="TLKontakty"/>
                              <w:spacing w:after="80" w:line="240" w:lineRule="auto"/>
                              <w:rPr>
                                <w:color w:val="auto"/>
                              </w:rPr>
                            </w:pPr>
                          </w:p>
                          <w:p w14:paraId="0D4652E6" w14:textId="1FFE070E" w:rsidR="00E37C1C" w:rsidRPr="004A61C5" w:rsidRDefault="00E37C1C"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E37C1C" w:rsidRPr="004A61C5" w:rsidRDefault="00E37C1C" w:rsidP="00825C4D">
                            <w:pPr>
                              <w:pStyle w:val="TLKontakty"/>
                              <w:spacing w:after="80" w:line="240" w:lineRule="auto"/>
                              <w:rPr>
                                <w:b w:val="0"/>
                                <w:color w:val="auto"/>
                              </w:rPr>
                            </w:pPr>
                          </w:p>
                          <w:p w14:paraId="231AC323" w14:textId="15FD00B6" w:rsidR="00E37C1C" w:rsidRPr="004A61C5" w:rsidRDefault="00E37C1C"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E37C1C" w:rsidRPr="004A61C5" w:rsidRDefault="00E37C1C" w:rsidP="00825C4D">
                            <w:pPr>
                              <w:pStyle w:val="TLKontakty"/>
                              <w:spacing w:after="80" w:line="240" w:lineRule="auto"/>
                              <w:rPr>
                                <w:color w:val="auto"/>
                              </w:rPr>
                            </w:pPr>
                          </w:p>
                          <w:p w14:paraId="64319B27" w14:textId="05EE5245" w:rsidR="00E37C1C" w:rsidRPr="004A61C5" w:rsidRDefault="00E37C1C"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E37C1C" w:rsidRPr="004A61C5" w:rsidRDefault="00E37C1C" w:rsidP="00825C4D">
                            <w:pPr>
                              <w:pStyle w:val="TLKontakty"/>
                              <w:spacing w:after="80" w:line="240" w:lineRule="auto"/>
                              <w:rPr>
                                <w:b w:val="0"/>
                                <w:color w:val="auto"/>
                              </w:rPr>
                            </w:pPr>
                          </w:p>
                          <w:p w14:paraId="4068B566" w14:textId="13D019EE" w:rsidR="00E37C1C" w:rsidRPr="004A61C5" w:rsidRDefault="00E37C1C"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E37C1C" w:rsidRDefault="00E37C1C" w:rsidP="00825C4D">
                            <w:pPr>
                              <w:pStyle w:val="TLKontakty"/>
                              <w:spacing w:after="80" w:line="240" w:lineRule="auto"/>
                            </w:pPr>
                          </w:p>
                          <w:p w14:paraId="63ACC352" w14:textId="7BE91C03" w:rsidR="00E37C1C" w:rsidRPr="00BC731E" w:rsidRDefault="00E37C1C"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E37C1C" w:rsidRPr="004A61C5" w:rsidRDefault="00E37C1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E37C1C" w:rsidRPr="004A61C5" w:rsidRDefault="00E37C1C" w:rsidP="00825C4D">
                            <w:pPr>
                              <w:pStyle w:val="TLKontakty"/>
                              <w:spacing w:after="80" w:line="240" w:lineRule="auto"/>
                              <w:rPr>
                                <w:b w:val="0"/>
                                <w:color w:val="auto"/>
                              </w:rPr>
                            </w:pPr>
                          </w:p>
                          <w:p w14:paraId="71AC5E72" w14:textId="7C772D35" w:rsidR="00E37C1C" w:rsidRPr="005E7C78" w:rsidRDefault="00E37C1C"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E37C1C" w:rsidRPr="005E7C78" w:rsidRDefault="00E37C1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E37C1C" w:rsidRPr="005E7C78" w:rsidRDefault="00E37C1C" w:rsidP="00825C4D">
                            <w:pPr>
                              <w:pStyle w:val="TLKontakty"/>
                              <w:spacing w:after="80" w:line="240" w:lineRule="auto"/>
                              <w:rPr>
                                <w:b w:val="0"/>
                                <w:color w:val="auto"/>
                              </w:rPr>
                            </w:pPr>
                          </w:p>
                          <w:p w14:paraId="00E77B80" w14:textId="57E42D5D" w:rsidR="00E37C1C" w:rsidRPr="005E7C78" w:rsidRDefault="00E37C1C"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E37C1C" w:rsidRDefault="00E37C1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E37C1C" w:rsidRPr="005E7C78" w:rsidRDefault="00E37C1C" w:rsidP="00095135">
                            <w:pPr>
                              <w:pStyle w:val="TLKontakty"/>
                              <w:spacing w:after="80" w:line="240" w:lineRule="auto"/>
                              <w:rPr>
                                <w:b w:val="0"/>
                                <w:color w:val="auto"/>
                              </w:rPr>
                            </w:pPr>
                          </w:p>
                          <w:p w14:paraId="0275618D" w14:textId="49237DAA" w:rsidR="00E37C1C" w:rsidRPr="005E7C78" w:rsidRDefault="00E37C1C"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E37C1C" w:rsidRPr="00095135" w:rsidRDefault="00E37C1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" filled="f" stroked="f">
                <v:textbox style="mso-fit-shape-to-text:t" inset="0,0,0,0">
                  <w:txbxContent>
                    <w:p w14:paraId="57F70E5B" w14:textId="2A4752C9" w:rsidR="00E37C1C" w:rsidRPr="006F5416" w:rsidRDefault="00E37C1C" w:rsidP="006F5416">
                      <w:pPr>
                        <w:pStyle w:val="TLKontaktyerven"/>
                      </w:pPr>
                      <w:r>
                        <w:t>CONTACTS IN HEADQUARTERS</w:t>
                      </w:r>
                    </w:p>
                    <w:p w14:paraId="3BEEAF5F" w14:textId="556E8BF1" w:rsidR="00E37C1C" w:rsidRPr="00F44BEE" w:rsidRDefault="00E37C1C" w:rsidP="00825C4D">
                      <w:pPr>
                        <w:pStyle w:val="TLKontakty"/>
                        <w:spacing w:after="80" w:line="240" w:lineRule="auto"/>
                        <w:contextualSpacing w:val="0"/>
                        <w:rPr>
                          <w:b w:val="0"/>
                          <w:color w:val="auto"/>
                          <w:lang w:val="en-GB"/>
                        </w:rPr>
                      </w:pPr>
                      <w:r w:rsidRPr="00F44BEE">
                        <w:rPr>
                          <w:lang w:val="en-GB"/>
                        </w:rPr>
                        <w:t>Czech Statistical Office</w:t>
                      </w:r>
                      <w:r w:rsidRPr="00F44BEE">
                        <w:rPr>
                          <w:b w:val="0"/>
                          <w:color w:val="auto"/>
                          <w:lang w:val="en-GB"/>
                        </w:rPr>
                        <w:t xml:space="preserve"> | Na </w:t>
                      </w:r>
                      <w:proofErr w:type="spellStart"/>
                      <w:r w:rsidRPr="00F44BEE">
                        <w:rPr>
                          <w:b w:val="0"/>
                          <w:color w:val="auto"/>
                          <w:lang w:val="en-GB"/>
                        </w:rPr>
                        <w:t>padesátém</w:t>
                      </w:r>
                      <w:proofErr w:type="spellEnd"/>
                      <w:r w:rsidRPr="00F44BEE">
                        <w:rPr>
                          <w:b w:val="0"/>
                          <w:color w:val="auto"/>
                          <w:lang w:val="en-GB"/>
                        </w:rPr>
                        <w:t xml:space="preserve"> 81, 100 82 Praha 10, </w:t>
                      </w:r>
                      <w:r>
                        <w:rPr>
                          <w:b w:val="0"/>
                          <w:color w:val="auto"/>
                          <w:lang w:val="en-GB"/>
                        </w:rPr>
                        <w:t>ph</w:t>
                      </w:r>
                      <w:r w:rsidRPr="00F44BEE">
                        <w:rPr>
                          <w:b w:val="0"/>
                          <w:color w:val="auto"/>
                          <w:lang w:val="en-GB"/>
                        </w:rPr>
                        <w:t xml:space="preserve">.: 274 051 111 | </w:t>
                      </w:r>
                      <w:r w:rsidRPr="00F44BEE">
                        <w:rPr>
                          <w:color w:val="auto"/>
                          <w:lang w:val="en-GB"/>
                        </w:rPr>
                        <w:t>www.czso.cz</w:t>
                      </w:r>
                    </w:p>
                    <w:p w14:paraId="4ECAA215" w14:textId="188A8A1E"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Information Services</w:t>
                      </w:r>
                      <w:r w:rsidRPr="00F44BEE">
                        <w:rPr>
                          <w:b w:val="0"/>
                          <w:color w:val="auto"/>
                          <w:lang w:val="en-GB"/>
                        </w:rPr>
                        <w:t xml:space="preserve"> | ph.: 274 052 304, 274 052 451 | e-mail: infoservis@czso.cz</w:t>
                      </w:r>
                    </w:p>
                    <w:p w14:paraId="4EB8DFE9" w14:textId="00B43577"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CZSO Publication Shop</w:t>
                      </w:r>
                      <w:r w:rsidRPr="00F44BEE">
                        <w:rPr>
                          <w:b w:val="0"/>
                          <w:color w:val="auto"/>
                          <w:lang w:val="en-GB"/>
                        </w:rPr>
                        <w:t xml:space="preserve"> | ph.: 274 052 361 | e-mail: prodejna@czso.cz</w:t>
                      </w:r>
                    </w:p>
                    <w:p w14:paraId="2572D725" w14:textId="4E870663"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European Data (ESDS), international comparison</w:t>
                      </w:r>
                      <w:r w:rsidRPr="00F44BEE">
                        <w:rPr>
                          <w:b w:val="0"/>
                          <w:color w:val="auto"/>
                          <w:lang w:val="en-GB"/>
                        </w:rPr>
                        <w:t xml:space="preserve"> | ph.: 274 052 347 | e-mail: esds@czso.cz</w:t>
                      </w:r>
                    </w:p>
                    <w:p w14:paraId="41B476B1" w14:textId="6192075D" w:rsidR="00E37C1C" w:rsidRPr="00F44BEE" w:rsidRDefault="00E37C1C" w:rsidP="00825C4D">
                      <w:pPr>
                        <w:pStyle w:val="TLKontakty"/>
                        <w:spacing w:after="80" w:line="240" w:lineRule="auto"/>
                        <w:contextualSpacing w:val="0"/>
                        <w:rPr>
                          <w:b w:val="0"/>
                          <w:color w:val="auto"/>
                          <w:lang w:val="en-GB"/>
                        </w:rPr>
                      </w:pPr>
                      <w:r w:rsidRPr="00F44BEE">
                        <w:rPr>
                          <w:color w:val="auto"/>
                          <w:lang w:val="en-GB"/>
                        </w:rPr>
                        <w:t>Central Statistical Library</w:t>
                      </w:r>
                      <w:r w:rsidRPr="00F44BEE">
                        <w:rPr>
                          <w:b w:val="0"/>
                          <w:color w:val="auto"/>
                          <w:lang w:val="en-GB"/>
                        </w:rPr>
                        <w:t xml:space="preserve"> | ph.: 274 052 361 | e-mail: knihovna@czso.cz</w:t>
                      </w:r>
                    </w:p>
                    <w:p w14:paraId="433A2C62" w14:textId="77777777" w:rsidR="00E37C1C" w:rsidRPr="004A61C5" w:rsidRDefault="00E37C1C" w:rsidP="00825C4D">
                      <w:pPr>
                        <w:pStyle w:val="TLKontakty"/>
                        <w:spacing w:after="80" w:line="240" w:lineRule="auto"/>
                        <w:contextualSpacing w:val="0"/>
                        <w:rPr>
                          <w:color w:val="auto"/>
                        </w:rPr>
                      </w:pPr>
                    </w:p>
                    <w:p w14:paraId="29C57B67" w14:textId="1077F8C0" w:rsidR="00E37C1C" w:rsidRPr="00D66223" w:rsidRDefault="00E37C1C" w:rsidP="00D66223">
                      <w:pPr>
                        <w:pStyle w:val="TLKontaktyerven"/>
                      </w:pPr>
                      <w:r w:rsidRPr="00D66223">
                        <w:t>INFORMA</w:t>
                      </w:r>
                      <w:r>
                        <w:t>TION SERVICES IN THE REGIONS</w:t>
                      </w:r>
                    </w:p>
                    <w:p w14:paraId="181BE30E" w14:textId="62EFB5A7" w:rsidR="00E37C1C" w:rsidRPr="00992CF3" w:rsidRDefault="00E37C1C" w:rsidP="00825C4D">
                      <w:pPr>
                        <w:pStyle w:val="TLKontakty"/>
                        <w:spacing w:after="80" w:line="240" w:lineRule="auto"/>
                        <w:rPr>
                          <w:b w:val="0"/>
                          <w:color w:val="auto"/>
                        </w:rPr>
                      </w:pPr>
                      <w:proofErr w:type="spellStart"/>
                      <w:r>
                        <w:t>Capital</w:t>
                      </w:r>
                      <w:proofErr w:type="spellEnd"/>
                      <w:r>
                        <w:t xml:space="preserve"> City Prague</w:t>
                      </w:r>
                      <w:r w:rsidRPr="00992CF3">
                        <w:rPr>
                          <w:b w:val="0"/>
                          <w:color w:val="auto"/>
                        </w:rPr>
                        <w:t xml:space="preserve"> | Na</w:t>
                      </w:r>
                      <w:r>
                        <w:rPr>
                          <w:b w:val="0"/>
                          <w:color w:val="auto"/>
                        </w:rPr>
                        <w:t xml:space="preserve"> padesátém 81, 100 82 Praha 10, </w:t>
                      </w:r>
                      <w:proofErr w:type="spellStart"/>
                      <w:r>
                        <w:rPr>
                          <w:b w:val="0"/>
                          <w:color w:val="auto"/>
                        </w:rPr>
                        <w:t>ph</w:t>
                      </w:r>
                      <w:proofErr w:type="spellEnd"/>
                      <w:r w:rsidRPr="00992CF3">
                        <w:rPr>
                          <w:b w:val="0"/>
                          <w:color w:val="auto"/>
                        </w:rPr>
                        <w:t>.</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E37C1C" w:rsidRPr="00992CF3" w:rsidRDefault="00E37C1C"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E37C1C" w:rsidRPr="004A61C5" w:rsidRDefault="00E37C1C" w:rsidP="00825C4D">
                      <w:pPr>
                        <w:pStyle w:val="TLKontakty"/>
                        <w:spacing w:after="80" w:line="240" w:lineRule="auto"/>
                        <w:rPr>
                          <w:color w:val="auto"/>
                        </w:rPr>
                      </w:pPr>
                    </w:p>
                    <w:p w14:paraId="39B5FB82" w14:textId="55A68424" w:rsidR="00E37C1C" w:rsidRPr="00992CF3" w:rsidRDefault="00E37C1C" w:rsidP="00825C4D">
                      <w:pPr>
                        <w:pStyle w:val="TLKontakty"/>
                        <w:spacing w:after="80" w:line="240" w:lineRule="auto"/>
                        <w:rPr>
                          <w:b w:val="0"/>
                          <w:color w:val="auto"/>
                        </w:rPr>
                      </w:pPr>
                      <w:proofErr w:type="spellStart"/>
                      <w:r>
                        <w:t>Central</w:t>
                      </w:r>
                      <w:proofErr w:type="spellEnd"/>
                      <w:r>
                        <w:t xml:space="preserve"> Bohemia</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 xml:space="preserve">10,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E37C1C" w:rsidRPr="00992CF3" w:rsidRDefault="00E37C1C"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E37C1C" w:rsidRPr="004A61C5" w:rsidRDefault="00E37C1C" w:rsidP="00825C4D">
                      <w:pPr>
                        <w:pStyle w:val="TLKontakty"/>
                        <w:spacing w:after="80" w:line="240" w:lineRule="auto"/>
                        <w:rPr>
                          <w:color w:val="auto"/>
                        </w:rPr>
                      </w:pPr>
                    </w:p>
                    <w:p w14:paraId="5AF27889" w14:textId="16958DEB" w:rsidR="00E37C1C" w:rsidRPr="00992CF3" w:rsidRDefault="00E37C1C"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proofErr w:type="spellStart"/>
                      <w:r>
                        <w:rPr>
                          <w:b w:val="0"/>
                          <w:color w:val="auto"/>
                        </w:rPr>
                        <w:t>ph</w:t>
                      </w:r>
                      <w:proofErr w:type="spellEnd"/>
                      <w:r w:rsidRPr="00992CF3">
                        <w:rPr>
                          <w:b w:val="0"/>
                          <w:color w:val="auto"/>
                        </w:rPr>
                        <w:t>.</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E37C1C" w:rsidRPr="00992CF3" w:rsidRDefault="00E37C1C"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E37C1C" w:rsidRPr="004A61C5" w:rsidRDefault="00E37C1C" w:rsidP="00825C4D">
                      <w:pPr>
                        <w:pStyle w:val="TLKontakty"/>
                        <w:spacing w:after="80" w:line="240" w:lineRule="auto"/>
                        <w:rPr>
                          <w:color w:val="auto"/>
                        </w:rPr>
                      </w:pPr>
                    </w:p>
                    <w:p w14:paraId="0065AFA0" w14:textId="66B811DB" w:rsidR="00E37C1C" w:rsidRPr="00BC731E" w:rsidRDefault="00E37C1C"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E37C1C" w:rsidRPr="004A61C5" w:rsidRDefault="00E37C1C" w:rsidP="00825C4D">
                      <w:pPr>
                        <w:pStyle w:val="TLKontakty"/>
                        <w:spacing w:after="80" w:line="240" w:lineRule="auto"/>
                        <w:rPr>
                          <w:color w:val="auto"/>
                        </w:rPr>
                      </w:pPr>
                    </w:p>
                    <w:p w14:paraId="345F7961" w14:textId="3E8F839C" w:rsidR="00E37C1C" w:rsidRPr="004A61C5" w:rsidRDefault="00E37C1C"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E37C1C" w:rsidRPr="004A61C5" w:rsidRDefault="00E37C1C" w:rsidP="00825C4D">
                      <w:pPr>
                        <w:pStyle w:val="TLKontakty"/>
                        <w:spacing w:after="80" w:line="240" w:lineRule="auto"/>
                        <w:rPr>
                          <w:color w:val="auto"/>
                        </w:rPr>
                      </w:pPr>
                    </w:p>
                    <w:p w14:paraId="766F2288" w14:textId="571DE385" w:rsidR="00E37C1C" w:rsidRPr="004A61C5" w:rsidRDefault="00E37C1C"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E37C1C" w:rsidRPr="004A61C5" w:rsidRDefault="00E37C1C" w:rsidP="00825C4D">
                      <w:pPr>
                        <w:pStyle w:val="TLKontakty"/>
                        <w:spacing w:after="80" w:line="240" w:lineRule="auto"/>
                        <w:rPr>
                          <w:color w:val="auto"/>
                        </w:rPr>
                      </w:pPr>
                    </w:p>
                    <w:p w14:paraId="0D4652E6" w14:textId="1FFE070E" w:rsidR="00E37C1C" w:rsidRPr="004A61C5" w:rsidRDefault="00E37C1C"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 xml:space="preserve">1, </w:t>
                      </w:r>
                      <w:proofErr w:type="spellStart"/>
                      <w:r>
                        <w:rPr>
                          <w:b w:val="0"/>
                          <w:color w:val="auto"/>
                        </w:rPr>
                        <w:t>ph</w:t>
                      </w:r>
                      <w:proofErr w:type="spellEnd"/>
                      <w:r w:rsidRPr="004A61C5">
                        <w:rPr>
                          <w:b w:val="0"/>
                          <w:color w:val="auto"/>
                        </w:rPr>
                        <w:t>.</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E37C1C" w:rsidRPr="004A61C5" w:rsidRDefault="00E37C1C" w:rsidP="00825C4D">
                      <w:pPr>
                        <w:pStyle w:val="TLKontakty"/>
                        <w:spacing w:after="80" w:line="240" w:lineRule="auto"/>
                        <w:rPr>
                          <w:b w:val="0"/>
                          <w:color w:val="auto"/>
                        </w:rPr>
                      </w:pPr>
                    </w:p>
                    <w:p w14:paraId="231AC323" w14:textId="15FD00B6" w:rsidR="00E37C1C" w:rsidRPr="004A61C5" w:rsidRDefault="00E37C1C"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proofErr w:type="spellStart"/>
                      <w:r>
                        <w:rPr>
                          <w:b w:val="0"/>
                          <w:color w:val="auto"/>
                        </w:rPr>
                        <w:t>ph</w:t>
                      </w:r>
                      <w:proofErr w:type="spellEnd"/>
                      <w:r>
                        <w:rPr>
                          <w:b w:val="0"/>
                          <w:color w:val="auto"/>
                        </w:rPr>
                        <w:t>.</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E37C1C" w:rsidRPr="004A61C5" w:rsidRDefault="00E37C1C" w:rsidP="00825C4D">
                      <w:pPr>
                        <w:pStyle w:val="TLKontakty"/>
                        <w:spacing w:after="80" w:line="240" w:lineRule="auto"/>
                        <w:rPr>
                          <w:color w:val="auto"/>
                        </w:rPr>
                      </w:pPr>
                    </w:p>
                    <w:p w14:paraId="64319B27" w14:textId="05EE5245" w:rsidR="00E37C1C" w:rsidRPr="004A61C5" w:rsidRDefault="00E37C1C"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proofErr w:type="spellStart"/>
                      <w:r>
                        <w:rPr>
                          <w:b w:val="0"/>
                          <w:color w:val="auto"/>
                        </w:rPr>
                        <w:t>ph</w:t>
                      </w:r>
                      <w:proofErr w:type="spellEnd"/>
                      <w:r w:rsidRPr="004A61C5">
                        <w:rPr>
                          <w:b w:val="0"/>
                          <w:color w:val="auto"/>
                        </w:rPr>
                        <w:t>.</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E37C1C" w:rsidRPr="004A61C5" w:rsidRDefault="00E37C1C" w:rsidP="00825C4D">
                      <w:pPr>
                        <w:pStyle w:val="TLKontakty"/>
                        <w:spacing w:after="80" w:line="240" w:lineRule="auto"/>
                        <w:rPr>
                          <w:b w:val="0"/>
                          <w:color w:val="auto"/>
                        </w:rPr>
                      </w:pPr>
                    </w:p>
                    <w:p w14:paraId="4068B566" w14:textId="13D019EE" w:rsidR="00E37C1C" w:rsidRPr="004A61C5" w:rsidRDefault="00E37C1C"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w:t>
                      </w:r>
                      <w:proofErr w:type="spellStart"/>
                      <w:r>
                        <w:rPr>
                          <w:b w:val="0"/>
                          <w:color w:val="auto"/>
                        </w:rPr>
                        <w:t>ph</w:t>
                      </w:r>
                      <w:proofErr w:type="spellEnd"/>
                      <w:r>
                        <w:rPr>
                          <w:b w:val="0"/>
                          <w:color w:val="auto"/>
                        </w:rPr>
                        <w:t xml:space="preserve">.: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E37C1C" w:rsidRPr="004A61C5" w:rsidRDefault="00E37C1C"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E37C1C" w:rsidRDefault="00E37C1C" w:rsidP="00825C4D">
                      <w:pPr>
                        <w:pStyle w:val="TLKontakty"/>
                        <w:spacing w:after="80" w:line="240" w:lineRule="auto"/>
                      </w:pPr>
                    </w:p>
                    <w:p w14:paraId="63ACC352" w14:textId="7BE91C03" w:rsidR="00E37C1C" w:rsidRPr="00BC731E" w:rsidRDefault="00E37C1C"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proofErr w:type="spellStart"/>
                      <w:r>
                        <w:rPr>
                          <w:b w:val="0"/>
                          <w:color w:val="auto"/>
                        </w:rPr>
                        <w:t>ph</w:t>
                      </w:r>
                      <w:proofErr w:type="spellEnd"/>
                      <w:r>
                        <w:rPr>
                          <w:b w:val="0"/>
                          <w:color w:val="auto"/>
                        </w:rPr>
                        <w:t xml:space="preserve">.: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E37C1C" w:rsidRPr="004A61C5" w:rsidRDefault="00E37C1C"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E37C1C" w:rsidRPr="004A61C5" w:rsidRDefault="00E37C1C" w:rsidP="00825C4D">
                      <w:pPr>
                        <w:pStyle w:val="TLKontakty"/>
                        <w:spacing w:after="80" w:line="240" w:lineRule="auto"/>
                        <w:rPr>
                          <w:b w:val="0"/>
                          <w:color w:val="auto"/>
                        </w:rPr>
                      </w:pPr>
                    </w:p>
                    <w:p w14:paraId="71AC5E72" w14:textId="7C772D35" w:rsidR="00E37C1C" w:rsidRPr="005E7C78" w:rsidRDefault="00E37C1C"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proofErr w:type="spellStart"/>
                      <w:r>
                        <w:rPr>
                          <w:b w:val="0"/>
                          <w:color w:val="auto"/>
                        </w:rPr>
                        <w:t>ph</w:t>
                      </w:r>
                      <w:proofErr w:type="spellEnd"/>
                      <w:r>
                        <w:rPr>
                          <w:b w:val="0"/>
                          <w:color w:val="auto"/>
                        </w:rPr>
                        <w:t xml:space="preserve">.: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E37C1C" w:rsidRPr="005E7C78" w:rsidRDefault="00E37C1C"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E37C1C" w:rsidRPr="005E7C78" w:rsidRDefault="00E37C1C" w:rsidP="00825C4D">
                      <w:pPr>
                        <w:pStyle w:val="TLKontakty"/>
                        <w:spacing w:after="80" w:line="240" w:lineRule="auto"/>
                        <w:rPr>
                          <w:b w:val="0"/>
                          <w:color w:val="auto"/>
                        </w:rPr>
                      </w:pPr>
                    </w:p>
                    <w:p w14:paraId="00E77B80" w14:textId="57E42D5D" w:rsidR="00E37C1C" w:rsidRPr="005E7C78" w:rsidRDefault="00E37C1C"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proofErr w:type="spellStart"/>
                      <w:r>
                        <w:rPr>
                          <w:b w:val="0"/>
                          <w:color w:val="auto"/>
                        </w:rPr>
                        <w:t>ph</w:t>
                      </w:r>
                      <w:proofErr w:type="spellEnd"/>
                      <w:r w:rsidRPr="00BC731E">
                        <w:rPr>
                          <w:b w:val="0"/>
                          <w:color w:val="auto"/>
                        </w:rPr>
                        <w:t>.: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E37C1C" w:rsidRDefault="00E37C1C"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E37C1C" w:rsidRPr="005E7C78" w:rsidRDefault="00E37C1C" w:rsidP="00095135">
                      <w:pPr>
                        <w:pStyle w:val="TLKontakty"/>
                        <w:spacing w:after="80" w:line="240" w:lineRule="auto"/>
                        <w:rPr>
                          <w:b w:val="0"/>
                          <w:color w:val="auto"/>
                        </w:rPr>
                      </w:pPr>
                    </w:p>
                    <w:p w14:paraId="0275618D" w14:textId="49237DAA" w:rsidR="00E37C1C" w:rsidRPr="005E7C78" w:rsidRDefault="00E37C1C"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w:t>
                      </w:r>
                      <w:proofErr w:type="spellStart"/>
                      <w:r>
                        <w:rPr>
                          <w:b w:val="0"/>
                          <w:color w:val="auto"/>
                        </w:rPr>
                        <w:t>ph</w:t>
                      </w:r>
                      <w:proofErr w:type="spellEnd"/>
                      <w:r>
                        <w:rPr>
                          <w:b w:val="0"/>
                          <w:color w:val="auto"/>
                        </w:rPr>
                        <w:t xml:space="preserve">.: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E37C1C" w:rsidRPr="00095135" w:rsidRDefault="00E37C1C"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sidR="00BF4329" w:rsidRPr="00D160FB">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7932CAC9" w:rsidR="00E37C1C" w:rsidRPr="00321924" w:rsidRDefault="00E37C1C" w:rsidP="00A16E1D">
                            <w:pPr>
                              <w:jc w:val="left"/>
                            </w:pPr>
                            <w:r w:rsidRPr="00321924">
                              <w:br/>
                              <w:t xml:space="preserve">© </w:t>
                            </w:r>
                            <w:r w:rsidRPr="00067737">
                              <w:rPr>
                                <w:lang w:val="en-GB"/>
                              </w:rPr>
                              <w:t>Czech Statistical Office, Prague, 2023</w:t>
                            </w:r>
                          </w:p>
                          <w:p w14:paraId="314CB98A" w14:textId="77777777" w:rsidR="00E37C1C" w:rsidRDefault="00E37C1C"/>
                          <w:p w14:paraId="6776AB5D" w14:textId="77777777" w:rsidR="00E37C1C" w:rsidRPr="00841D9F" w:rsidRDefault="00E37C1C"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E37C1C" w:rsidRPr="00AF2852" w:rsidRDefault="00E37C1C"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" filled="f" stroked="f">
                <v:textbox inset="0,0,0,0">
                  <w:txbxContent>
                    <w:p w14:paraId="45ED07B0" w14:textId="7932CAC9" w:rsidR="00E37C1C" w:rsidRPr="00321924" w:rsidRDefault="00E37C1C" w:rsidP="00A16E1D">
                      <w:pPr>
                        <w:jc w:val="left"/>
                      </w:pPr>
                      <w:r w:rsidRPr="00321924">
                        <w:br/>
                        <w:t xml:space="preserve">© </w:t>
                      </w:r>
                      <w:r w:rsidRPr="00067737">
                        <w:rPr>
                          <w:lang w:val="en-GB"/>
                        </w:rPr>
                        <w:t>Czech Statistical Office, Prague, 2023</w:t>
                      </w:r>
                    </w:p>
                    <w:p w14:paraId="314CB98A" w14:textId="77777777" w:rsidR="00E37C1C" w:rsidRDefault="00E37C1C"/>
                    <w:p w14:paraId="6776AB5D" w14:textId="77777777" w:rsidR="00E37C1C" w:rsidRPr="00841D9F" w:rsidRDefault="00E37C1C"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E37C1C" w:rsidRPr="00AF2852" w:rsidRDefault="00E37C1C"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sidR="00BF4329" w:rsidRPr="00D160FB">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788A2" w14:textId="77777777" w:rsidR="00E37C1C" w:rsidRPr="009A1902" w:rsidRDefault="00E37C1C" w:rsidP="00F44BEE">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74DF9B0C" w:rsidR="00E37C1C" w:rsidRPr="009A1902" w:rsidRDefault="00E37C1C" w:rsidP="000A3A2C">
                            <w:pPr>
                              <w:rPr>
                                <w:b/>
                                <w:bCs/>
                                <w:i/>
                                <w:sz w:val="2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" filled="f" stroked="f">
                <v:textbox style="mso-fit-shape-to-text:t" inset="0,0,0,0">
                  <w:txbxContent>
                    <w:p w14:paraId="5C1788A2" w14:textId="77777777" w:rsidR="00E37C1C" w:rsidRPr="009A1902" w:rsidRDefault="00E37C1C" w:rsidP="00F44BEE">
                      <w:pPr>
                        <w:rPr>
                          <w:b/>
                          <w:bCs/>
                          <w:i/>
                          <w:sz w:val="24"/>
                        </w:rPr>
                      </w:pPr>
                      <w:r w:rsidRPr="006557C0">
                        <w:rPr>
                          <w:b/>
                          <w:color w:val="0071BC"/>
                          <w:sz w:val="24"/>
                          <w:lang w:val="en-GB"/>
                        </w:rPr>
                        <w:t xml:space="preserve">Are you interested in the latest data connected with inflation, GDP, population, average wages and much more? You can find them on the CZSO web page: </w:t>
                      </w:r>
                      <w:r w:rsidRPr="006557C0">
                        <w:rPr>
                          <w:b/>
                          <w:sz w:val="24"/>
                          <w:lang w:val="en-GB"/>
                        </w:rPr>
                        <w:t>www.czso.cz</w:t>
                      </w:r>
                    </w:p>
                    <w:p w14:paraId="054ED4D1" w14:textId="74DF9B0C" w:rsidR="00E37C1C" w:rsidRPr="009A1902" w:rsidRDefault="00E37C1C" w:rsidP="000A3A2C">
                      <w:pPr>
                        <w:rPr>
                          <w:b/>
                          <w:bCs/>
                          <w:i/>
                          <w:sz w:val="24"/>
                        </w:rPr>
                      </w:pPr>
                    </w:p>
                  </w:txbxContent>
                </v:textbox>
                <w10:wrap anchorx="page" anchory="page"/>
                <w10:anchorlock/>
              </v:shape>
            </w:pict>
          </mc:Fallback>
        </mc:AlternateContent>
      </w:r>
    </w:p>
    <w:sdt>
      <w:sdtPr>
        <w:rPr>
          <w:b w:val="0"/>
          <w:color w:val="auto"/>
          <w:sz w:val="20"/>
          <w:lang w:val="en-GB"/>
        </w:rPr>
        <w:id w:val="5357999"/>
        <w:docPartObj>
          <w:docPartGallery w:val="Table of Contents"/>
          <w:docPartUnique/>
        </w:docPartObj>
      </w:sdtPr>
      <w:sdtEndPr/>
      <w:sdtContent>
        <w:p w14:paraId="597230E6" w14:textId="5C608935" w:rsidR="00867DAB" w:rsidRPr="00D160FB" w:rsidRDefault="004F4E4D" w:rsidP="00867DAB">
          <w:pPr>
            <w:pStyle w:val="Obsah"/>
            <w:rPr>
              <w:lang w:val="en-GB"/>
            </w:rPr>
          </w:pPr>
          <w:r w:rsidRPr="00D160FB">
            <w:rPr>
              <w:lang w:val="en-GB"/>
            </w:rPr>
            <w:t>Contents</w:t>
          </w:r>
        </w:p>
        <w:p w14:paraId="02ADEF5E" w14:textId="081BBD8F" w:rsidR="003F61C2" w:rsidRDefault="007D42E5">
          <w:pPr>
            <w:pStyle w:val="Obsah1"/>
            <w:rPr>
              <w:rFonts w:asciiTheme="minorHAnsi" w:eastAsiaTheme="minorEastAsia" w:hAnsiTheme="minorHAnsi" w:cstheme="minorBidi"/>
              <w:noProof/>
              <w:sz w:val="22"/>
              <w:szCs w:val="22"/>
            </w:rPr>
          </w:pPr>
          <w:r w:rsidRPr="00D160FB">
            <w:rPr>
              <w:lang w:val="en-GB"/>
            </w:rPr>
            <w:fldChar w:fldCharType="begin"/>
          </w:r>
          <w:r w:rsidR="00867DAB" w:rsidRPr="00D160FB">
            <w:rPr>
              <w:lang w:val="en-GB"/>
            </w:rPr>
            <w:instrText xml:space="preserve"> TOC \o "1-3" \h \z \u </w:instrText>
          </w:r>
          <w:r w:rsidRPr="00D160FB">
            <w:rPr>
              <w:lang w:val="en-GB"/>
            </w:rPr>
            <w:fldChar w:fldCharType="separate"/>
          </w:r>
          <w:hyperlink w:anchor="_Toc132874245" w:history="1">
            <w:r w:rsidR="003F61C2" w:rsidRPr="00A76BAC">
              <w:rPr>
                <w:rStyle w:val="Hypertextovodkaz"/>
                <w:noProof/>
                <w:lang w:val="en-GB"/>
              </w:rPr>
              <w:t>1. Summary</w:t>
            </w:r>
            <w:r w:rsidR="003F61C2">
              <w:rPr>
                <w:noProof/>
                <w:webHidden/>
              </w:rPr>
              <w:tab/>
            </w:r>
            <w:r w:rsidR="003F61C2">
              <w:rPr>
                <w:noProof/>
                <w:webHidden/>
              </w:rPr>
              <w:fldChar w:fldCharType="begin"/>
            </w:r>
            <w:r w:rsidR="003F61C2">
              <w:rPr>
                <w:noProof/>
                <w:webHidden/>
              </w:rPr>
              <w:instrText xml:space="preserve"> PAGEREF _Toc132874245 \h </w:instrText>
            </w:r>
            <w:r w:rsidR="003F61C2">
              <w:rPr>
                <w:noProof/>
                <w:webHidden/>
              </w:rPr>
            </w:r>
            <w:r w:rsidR="003F61C2">
              <w:rPr>
                <w:noProof/>
                <w:webHidden/>
              </w:rPr>
              <w:fldChar w:fldCharType="separate"/>
            </w:r>
            <w:r w:rsidR="003F61C2">
              <w:rPr>
                <w:noProof/>
                <w:webHidden/>
              </w:rPr>
              <w:t>4</w:t>
            </w:r>
            <w:r w:rsidR="003F61C2">
              <w:rPr>
                <w:noProof/>
                <w:webHidden/>
              </w:rPr>
              <w:fldChar w:fldCharType="end"/>
            </w:r>
          </w:hyperlink>
        </w:p>
        <w:p w14:paraId="65C49B46" w14:textId="0CD2DE35" w:rsidR="003F61C2" w:rsidRDefault="003F61C2">
          <w:pPr>
            <w:pStyle w:val="Obsah1"/>
            <w:rPr>
              <w:rFonts w:asciiTheme="minorHAnsi" w:eastAsiaTheme="minorEastAsia" w:hAnsiTheme="minorHAnsi" w:cstheme="minorBidi"/>
              <w:noProof/>
              <w:sz w:val="22"/>
              <w:szCs w:val="22"/>
            </w:rPr>
          </w:pPr>
          <w:hyperlink w:anchor="_Toc132874246" w:history="1">
            <w:r w:rsidRPr="00A76BAC">
              <w:rPr>
                <w:rStyle w:val="Hypertextovodkaz"/>
                <w:noProof/>
                <w:lang w:val="en-GB"/>
              </w:rPr>
              <w:t>2. Overall Economic Performance</w:t>
            </w:r>
            <w:r>
              <w:rPr>
                <w:noProof/>
                <w:webHidden/>
              </w:rPr>
              <w:tab/>
            </w:r>
            <w:r>
              <w:rPr>
                <w:noProof/>
                <w:webHidden/>
              </w:rPr>
              <w:fldChar w:fldCharType="begin"/>
            </w:r>
            <w:r>
              <w:rPr>
                <w:noProof/>
                <w:webHidden/>
              </w:rPr>
              <w:instrText xml:space="preserve"> PAGEREF _Toc132874246 \h </w:instrText>
            </w:r>
            <w:r>
              <w:rPr>
                <w:noProof/>
                <w:webHidden/>
              </w:rPr>
            </w:r>
            <w:r>
              <w:rPr>
                <w:noProof/>
                <w:webHidden/>
              </w:rPr>
              <w:fldChar w:fldCharType="separate"/>
            </w:r>
            <w:r>
              <w:rPr>
                <w:noProof/>
                <w:webHidden/>
              </w:rPr>
              <w:t>7</w:t>
            </w:r>
            <w:r>
              <w:rPr>
                <w:noProof/>
                <w:webHidden/>
              </w:rPr>
              <w:fldChar w:fldCharType="end"/>
            </w:r>
          </w:hyperlink>
        </w:p>
        <w:p w14:paraId="4285BA21" w14:textId="56E77F66" w:rsidR="003F61C2" w:rsidRDefault="003F61C2">
          <w:pPr>
            <w:pStyle w:val="Obsah1"/>
            <w:rPr>
              <w:rFonts w:asciiTheme="minorHAnsi" w:eastAsiaTheme="minorEastAsia" w:hAnsiTheme="minorHAnsi" w:cstheme="minorBidi"/>
              <w:noProof/>
              <w:sz w:val="22"/>
              <w:szCs w:val="22"/>
            </w:rPr>
          </w:pPr>
          <w:hyperlink w:anchor="_Toc132874247" w:history="1">
            <w:r w:rsidRPr="00A76BAC">
              <w:rPr>
                <w:rStyle w:val="Hypertextovodkaz"/>
                <w:noProof/>
                <w:lang w:val="en-GB"/>
              </w:rPr>
              <w:t>3. Branches Performance</w:t>
            </w:r>
            <w:r>
              <w:rPr>
                <w:noProof/>
                <w:webHidden/>
              </w:rPr>
              <w:tab/>
            </w:r>
            <w:r>
              <w:rPr>
                <w:noProof/>
                <w:webHidden/>
              </w:rPr>
              <w:fldChar w:fldCharType="begin"/>
            </w:r>
            <w:r>
              <w:rPr>
                <w:noProof/>
                <w:webHidden/>
              </w:rPr>
              <w:instrText xml:space="preserve"> PAGEREF _Toc132874247 \h </w:instrText>
            </w:r>
            <w:r>
              <w:rPr>
                <w:noProof/>
                <w:webHidden/>
              </w:rPr>
            </w:r>
            <w:r>
              <w:rPr>
                <w:noProof/>
                <w:webHidden/>
              </w:rPr>
              <w:fldChar w:fldCharType="separate"/>
            </w:r>
            <w:r>
              <w:rPr>
                <w:noProof/>
                <w:webHidden/>
              </w:rPr>
              <w:t>13</w:t>
            </w:r>
            <w:r>
              <w:rPr>
                <w:noProof/>
                <w:webHidden/>
              </w:rPr>
              <w:fldChar w:fldCharType="end"/>
            </w:r>
          </w:hyperlink>
        </w:p>
        <w:p w14:paraId="1F424B79" w14:textId="4C563B26" w:rsidR="003F61C2" w:rsidRDefault="003F61C2">
          <w:pPr>
            <w:pStyle w:val="Obsah1"/>
            <w:rPr>
              <w:rFonts w:asciiTheme="minorHAnsi" w:eastAsiaTheme="minorEastAsia" w:hAnsiTheme="minorHAnsi" w:cstheme="minorBidi"/>
              <w:noProof/>
              <w:sz w:val="22"/>
              <w:szCs w:val="22"/>
            </w:rPr>
          </w:pPr>
          <w:hyperlink w:anchor="_Toc132874248" w:history="1">
            <w:r w:rsidRPr="00A76BAC">
              <w:rPr>
                <w:rStyle w:val="Hypertextovodkaz"/>
                <w:noProof/>
                <w:lang w:val="en-GB"/>
              </w:rPr>
              <w:t>4. External Relations</w:t>
            </w:r>
            <w:r>
              <w:rPr>
                <w:noProof/>
                <w:webHidden/>
              </w:rPr>
              <w:tab/>
            </w:r>
            <w:r>
              <w:rPr>
                <w:noProof/>
                <w:webHidden/>
              </w:rPr>
              <w:fldChar w:fldCharType="begin"/>
            </w:r>
            <w:r>
              <w:rPr>
                <w:noProof/>
                <w:webHidden/>
              </w:rPr>
              <w:instrText xml:space="preserve"> PAGEREF _Toc132874248 \h </w:instrText>
            </w:r>
            <w:r>
              <w:rPr>
                <w:noProof/>
                <w:webHidden/>
              </w:rPr>
            </w:r>
            <w:r>
              <w:rPr>
                <w:noProof/>
                <w:webHidden/>
              </w:rPr>
              <w:fldChar w:fldCharType="separate"/>
            </w:r>
            <w:r>
              <w:rPr>
                <w:noProof/>
                <w:webHidden/>
              </w:rPr>
              <w:t>24</w:t>
            </w:r>
            <w:r>
              <w:rPr>
                <w:noProof/>
                <w:webHidden/>
              </w:rPr>
              <w:fldChar w:fldCharType="end"/>
            </w:r>
          </w:hyperlink>
        </w:p>
        <w:p w14:paraId="4D561F5F" w14:textId="3432F2B9" w:rsidR="003F61C2" w:rsidRDefault="003F61C2">
          <w:pPr>
            <w:pStyle w:val="Obsah1"/>
            <w:rPr>
              <w:rFonts w:asciiTheme="minorHAnsi" w:eastAsiaTheme="minorEastAsia" w:hAnsiTheme="minorHAnsi" w:cstheme="minorBidi"/>
              <w:noProof/>
              <w:sz w:val="22"/>
              <w:szCs w:val="22"/>
            </w:rPr>
          </w:pPr>
          <w:hyperlink w:anchor="_Toc132874249" w:history="1">
            <w:r w:rsidRPr="00A76BAC">
              <w:rPr>
                <w:rStyle w:val="Hypertextovodkaz"/>
                <w:noProof/>
                <w:lang w:val="en-GB"/>
              </w:rPr>
              <w:t>5. Prices</w:t>
            </w:r>
            <w:r>
              <w:rPr>
                <w:noProof/>
                <w:webHidden/>
              </w:rPr>
              <w:tab/>
            </w:r>
            <w:r>
              <w:rPr>
                <w:noProof/>
                <w:webHidden/>
              </w:rPr>
              <w:fldChar w:fldCharType="begin"/>
            </w:r>
            <w:r>
              <w:rPr>
                <w:noProof/>
                <w:webHidden/>
              </w:rPr>
              <w:instrText xml:space="preserve"> PAGEREF _Toc132874249 \h </w:instrText>
            </w:r>
            <w:r>
              <w:rPr>
                <w:noProof/>
                <w:webHidden/>
              </w:rPr>
            </w:r>
            <w:r>
              <w:rPr>
                <w:noProof/>
                <w:webHidden/>
              </w:rPr>
              <w:fldChar w:fldCharType="separate"/>
            </w:r>
            <w:r>
              <w:rPr>
                <w:noProof/>
                <w:webHidden/>
              </w:rPr>
              <w:t>28</w:t>
            </w:r>
            <w:r>
              <w:rPr>
                <w:noProof/>
                <w:webHidden/>
              </w:rPr>
              <w:fldChar w:fldCharType="end"/>
            </w:r>
          </w:hyperlink>
        </w:p>
        <w:p w14:paraId="7BFE651C" w14:textId="2FC368BD" w:rsidR="003F61C2" w:rsidRDefault="003F61C2">
          <w:pPr>
            <w:pStyle w:val="Obsah1"/>
            <w:rPr>
              <w:rFonts w:asciiTheme="minorHAnsi" w:eastAsiaTheme="minorEastAsia" w:hAnsiTheme="minorHAnsi" w:cstheme="minorBidi"/>
              <w:noProof/>
              <w:sz w:val="22"/>
              <w:szCs w:val="22"/>
            </w:rPr>
          </w:pPr>
          <w:hyperlink w:anchor="_Toc132874250" w:history="1">
            <w:r w:rsidRPr="00A76BAC">
              <w:rPr>
                <w:rStyle w:val="Hypertextovodkaz"/>
                <w:noProof/>
                <w:lang w:val="en-GB"/>
              </w:rPr>
              <w:t>6. Labour Market</w:t>
            </w:r>
            <w:r>
              <w:rPr>
                <w:noProof/>
                <w:webHidden/>
              </w:rPr>
              <w:tab/>
            </w:r>
            <w:r>
              <w:rPr>
                <w:noProof/>
                <w:webHidden/>
              </w:rPr>
              <w:fldChar w:fldCharType="begin"/>
            </w:r>
            <w:r>
              <w:rPr>
                <w:noProof/>
                <w:webHidden/>
              </w:rPr>
              <w:instrText xml:space="preserve"> PAGEREF _Toc132874250 \h </w:instrText>
            </w:r>
            <w:r>
              <w:rPr>
                <w:noProof/>
                <w:webHidden/>
              </w:rPr>
            </w:r>
            <w:r>
              <w:rPr>
                <w:noProof/>
                <w:webHidden/>
              </w:rPr>
              <w:fldChar w:fldCharType="separate"/>
            </w:r>
            <w:r>
              <w:rPr>
                <w:noProof/>
                <w:webHidden/>
              </w:rPr>
              <w:t>36</w:t>
            </w:r>
            <w:r>
              <w:rPr>
                <w:noProof/>
                <w:webHidden/>
              </w:rPr>
              <w:fldChar w:fldCharType="end"/>
            </w:r>
          </w:hyperlink>
        </w:p>
        <w:p w14:paraId="6979EF10" w14:textId="7BA23792" w:rsidR="003F61C2" w:rsidRDefault="003F61C2">
          <w:pPr>
            <w:pStyle w:val="Obsah1"/>
            <w:rPr>
              <w:rFonts w:asciiTheme="minorHAnsi" w:eastAsiaTheme="minorEastAsia" w:hAnsiTheme="minorHAnsi" w:cstheme="minorBidi"/>
              <w:noProof/>
              <w:sz w:val="22"/>
              <w:szCs w:val="22"/>
            </w:rPr>
          </w:pPr>
          <w:hyperlink w:anchor="_Toc132874251" w:history="1">
            <w:r w:rsidRPr="00A76BAC">
              <w:rPr>
                <w:rStyle w:val="Hypertextovodkaz"/>
                <w:noProof/>
                <w:lang w:val="en-GB"/>
              </w:rPr>
              <w:t>7. Monetary Conditions</w:t>
            </w:r>
            <w:r>
              <w:rPr>
                <w:noProof/>
                <w:webHidden/>
              </w:rPr>
              <w:tab/>
            </w:r>
            <w:r>
              <w:rPr>
                <w:noProof/>
                <w:webHidden/>
              </w:rPr>
              <w:fldChar w:fldCharType="begin"/>
            </w:r>
            <w:r>
              <w:rPr>
                <w:noProof/>
                <w:webHidden/>
              </w:rPr>
              <w:instrText xml:space="preserve"> PAGEREF _Toc132874251 \h </w:instrText>
            </w:r>
            <w:r>
              <w:rPr>
                <w:noProof/>
                <w:webHidden/>
              </w:rPr>
            </w:r>
            <w:r>
              <w:rPr>
                <w:noProof/>
                <w:webHidden/>
              </w:rPr>
              <w:fldChar w:fldCharType="separate"/>
            </w:r>
            <w:r>
              <w:rPr>
                <w:noProof/>
                <w:webHidden/>
              </w:rPr>
              <w:t>43</w:t>
            </w:r>
            <w:r>
              <w:rPr>
                <w:noProof/>
                <w:webHidden/>
              </w:rPr>
              <w:fldChar w:fldCharType="end"/>
            </w:r>
          </w:hyperlink>
        </w:p>
        <w:p w14:paraId="05D51773" w14:textId="1BB8FECF" w:rsidR="003F61C2" w:rsidRDefault="003F61C2">
          <w:pPr>
            <w:pStyle w:val="Obsah1"/>
            <w:rPr>
              <w:rFonts w:asciiTheme="minorHAnsi" w:eastAsiaTheme="minorEastAsia" w:hAnsiTheme="minorHAnsi" w:cstheme="minorBidi"/>
              <w:noProof/>
              <w:sz w:val="22"/>
              <w:szCs w:val="22"/>
            </w:rPr>
          </w:pPr>
          <w:hyperlink w:anchor="_Toc132874252" w:history="1">
            <w:r w:rsidRPr="00A76BAC">
              <w:rPr>
                <w:rStyle w:val="Hypertextovodkaz"/>
                <w:noProof/>
                <w:lang w:val="en-GB"/>
              </w:rPr>
              <w:t>8. State Budget</w:t>
            </w:r>
            <w:r>
              <w:rPr>
                <w:noProof/>
                <w:webHidden/>
              </w:rPr>
              <w:tab/>
            </w:r>
            <w:r>
              <w:rPr>
                <w:noProof/>
                <w:webHidden/>
              </w:rPr>
              <w:fldChar w:fldCharType="begin"/>
            </w:r>
            <w:r>
              <w:rPr>
                <w:noProof/>
                <w:webHidden/>
              </w:rPr>
              <w:instrText xml:space="preserve"> PAGEREF _Toc132874252 \h </w:instrText>
            </w:r>
            <w:r>
              <w:rPr>
                <w:noProof/>
                <w:webHidden/>
              </w:rPr>
            </w:r>
            <w:r>
              <w:rPr>
                <w:noProof/>
                <w:webHidden/>
              </w:rPr>
              <w:fldChar w:fldCharType="separate"/>
            </w:r>
            <w:r>
              <w:rPr>
                <w:noProof/>
                <w:webHidden/>
              </w:rPr>
              <w:t>46</w:t>
            </w:r>
            <w:r>
              <w:rPr>
                <w:noProof/>
                <w:webHidden/>
              </w:rPr>
              <w:fldChar w:fldCharType="end"/>
            </w:r>
          </w:hyperlink>
        </w:p>
        <w:p w14:paraId="39BB97E5" w14:textId="5AF15A10" w:rsidR="00867DAB" w:rsidRPr="00D160FB" w:rsidRDefault="007D42E5">
          <w:pPr>
            <w:rPr>
              <w:lang w:val="en-GB"/>
            </w:rPr>
          </w:pPr>
          <w:r w:rsidRPr="00D160FB">
            <w:rPr>
              <w:lang w:val="en-GB"/>
            </w:rPr>
            <w:fldChar w:fldCharType="end"/>
          </w:r>
        </w:p>
      </w:sdtContent>
    </w:sdt>
    <w:p w14:paraId="6CBF0906" w14:textId="77777777" w:rsidR="00003F5C" w:rsidRPr="00D160FB" w:rsidRDefault="00003F5C" w:rsidP="00003F5C">
      <w:pPr>
        <w:pStyle w:val="Textpoznpodarou"/>
        <w:jc w:val="both"/>
        <w:rPr>
          <w:rFonts w:cs="Arial"/>
          <w:color w:val="000000"/>
          <w:lang w:val="en-GB"/>
        </w:rPr>
      </w:pPr>
    </w:p>
    <w:p w14:paraId="77CA2D67" w14:textId="77777777" w:rsidR="00003F5C" w:rsidRPr="00D160FB" w:rsidRDefault="00003F5C" w:rsidP="00003F5C">
      <w:pPr>
        <w:pStyle w:val="Textpoznpodarou"/>
        <w:jc w:val="both"/>
        <w:rPr>
          <w:rFonts w:cs="Arial"/>
          <w:color w:val="000000"/>
          <w:lang w:val="en-GB"/>
        </w:rPr>
      </w:pPr>
    </w:p>
    <w:p w14:paraId="223CBCEF" w14:textId="77777777" w:rsidR="00003F5C" w:rsidRPr="00D160FB" w:rsidRDefault="00003F5C" w:rsidP="00003F5C">
      <w:pPr>
        <w:pStyle w:val="Textpoznpodarou"/>
        <w:jc w:val="both"/>
        <w:rPr>
          <w:rFonts w:cs="Arial"/>
          <w:color w:val="000000"/>
          <w:lang w:val="en-GB"/>
        </w:rPr>
      </w:pPr>
    </w:p>
    <w:p w14:paraId="0F28E1B0" w14:textId="77777777" w:rsidR="00003F5C" w:rsidRPr="00D160FB" w:rsidRDefault="00003F5C" w:rsidP="00003F5C">
      <w:pPr>
        <w:pStyle w:val="Textpoznpodarou"/>
        <w:jc w:val="both"/>
        <w:rPr>
          <w:rFonts w:cs="Arial"/>
          <w:color w:val="000000"/>
          <w:lang w:val="en-GB"/>
        </w:rPr>
      </w:pPr>
    </w:p>
    <w:p w14:paraId="2E66CDA4" w14:textId="77777777" w:rsidR="00003F5C" w:rsidRPr="00D160FB" w:rsidRDefault="00003F5C" w:rsidP="00003F5C">
      <w:pPr>
        <w:pStyle w:val="Textpoznpodarou"/>
        <w:jc w:val="both"/>
        <w:rPr>
          <w:rFonts w:cs="Arial"/>
          <w:color w:val="000000"/>
          <w:lang w:val="en-GB"/>
        </w:rPr>
      </w:pPr>
    </w:p>
    <w:p w14:paraId="38EBE8F7" w14:textId="77777777" w:rsidR="00003F5C" w:rsidRPr="00D160FB" w:rsidRDefault="00003F5C" w:rsidP="00003F5C">
      <w:pPr>
        <w:pStyle w:val="Textpoznpodarou"/>
        <w:jc w:val="both"/>
        <w:rPr>
          <w:rFonts w:cs="Arial"/>
          <w:color w:val="000000"/>
          <w:lang w:val="en-GB"/>
        </w:rPr>
      </w:pPr>
    </w:p>
    <w:p w14:paraId="4F1A45C4" w14:textId="76D7DB12" w:rsidR="004F4E4D" w:rsidRPr="00D160FB" w:rsidRDefault="004F4E4D" w:rsidP="004F4E4D">
      <w:pPr>
        <w:pStyle w:val="Textpoznpodarou"/>
        <w:jc w:val="both"/>
        <w:rPr>
          <w:rFonts w:cs="Arial"/>
          <w:color w:val="000000"/>
          <w:lang w:val="en-GB"/>
        </w:rPr>
      </w:pPr>
      <w:r w:rsidRPr="00D160FB">
        <w:rPr>
          <w:rFonts w:cs="Arial"/>
          <w:color w:val="000000"/>
          <w:lang w:val="en-GB"/>
        </w:rPr>
        <w:t>Source of data in the whole analysis: Czech Statistical Office (CZSO), Ministry of Finance (MF CR), Czech National Bank (CNB), Ministry of Labour and Social Affairs (MLSA), Czech Social Security Administration (CSSA), Eurostat, CZSO calculations.</w:t>
      </w:r>
    </w:p>
    <w:p w14:paraId="3DF34B3E" w14:textId="070F73BD" w:rsidR="004F4E4D" w:rsidRPr="00D160FB" w:rsidRDefault="004F4E4D" w:rsidP="004F4E4D">
      <w:pPr>
        <w:pStyle w:val="Textpoznpodarou"/>
        <w:jc w:val="both"/>
        <w:rPr>
          <w:rFonts w:cs="Arial"/>
          <w:color w:val="000000"/>
          <w:lang w:val="en-GB"/>
        </w:rPr>
      </w:pPr>
      <w:r w:rsidRPr="00D160FB">
        <w:rPr>
          <w:rFonts w:cs="Arial"/>
          <w:color w:val="000000"/>
          <w:lang w:val="en-GB"/>
        </w:rPr>
        <w:t>Latest information provided in this report has been dated the 14</w:t>
      </w:r>
      <w:r w:rsidRPr="00D160FB">
        <w:rPr>
          <w:rFonts w:cs="Arial"/>
          <w:color w:val="000000"/>
          <w:vertAlign w:val="superscript"/>
          <w:lang w:val="en-GB"/>
        </w:rPr>
        <w:t>th</w:t>
      </w:r>
      <w:r w:rsidRPr="00D160FB">
        <w:rPr>
          <w:rFonts w:cs="Arial"/>
          <w:color w:val="000000"/>
          <w:lang w:val="en-GB"/>
        </w:rPr>
        <w:t xml:space="preserve"> March 2023.</w:t>
      </w:r>
    </w:p>
    <w:p w14:paraId="399A5799" w14:textId="77777777" w:rsidR="004F4E4D" w:rsidRPr="00D160FB" w:rsidRDefault="004F4E4D" w:rsidP="004F4E4D">
      <w:pPr>
        <w:pStyle w:val="Textpoznpodarou"/>
        <w:jc w:val="both"/>
        <w:rPr>
          <w:rFonts w:cs="Arial"/>
          <w:color w:val="000000"/>
          <w:lang w:val="en-GB"/>
        </w:rPr>
      </w:pPr>
    </w:p>
    <w:p w14:paraId="5658862B" w14:textId="711F6CC2" w:rsidR="00003F5C" w:rsidRPr="00D160FB" w:rsidRDefault="00003F5C" w:rsidP="00003F5C">
      <w:pPr>
        <w:pStyle w:val="Textpoznpodarou"/>
        <w:jc w:val="both"/>
        <w:rPr>
          <w:rFonts w:cs="Arial"/>
          <w:color w:val="000000"/>
          <w:lang w:val="en-GB"/>
        </w:rPr>
      </w:pPr>
    </w:p>
    <w:p w14:paraId="1D1FFA96" w14:textId="77777777" w:rsidR="002F1D56" w:rsidRPr="00D160FB" w:rsidRDefault="002F1D56" w:rsidP="00003F5C">
      <w:pPr>
        <w:pStyle w:val="Textpoznpodarou"/>
        <w:jc w:val="both"/>
        <w:rPr>
          <w:rFonts w:cs="Arial"/>
          <w:color w:val="000000"/>
          <w:lang w:val="en-GB"/>
        </w:rPr>
      </w:pPr>
    </w:p>
    <w:p w14:paraId="6EDD1399" w14:textId="77777777" w:rsidR="002F1D56" w:rsidRPr="00D160FB" w:rsidRDefault="002F1D56" w:rsidP="00003F5C">
      <w:pPr>
        <w:pStyle w:val="Textpoznpodarou"/>
        <w:jc w:val="both"/>
        <w:rPr>
          <w:rFonts w:cs="Arial"/>
          <w:lang w:val="en-GB"/>
        </w:rPr>
      </w:pPr>
    </w:p>
    <w:p w14:paraId="7CD2B948" w14:textId="77777777" w:rsidR="001777BA" w:rsidRPr="00D160FB" w:rsidRDefault="00087F2B" w:rsidP="001777BA">
      <w:pPr>
        <w:pStyle w:val="Nadpis1"/>
        <w:rPr>
          <w:lang w:val="en-GB"/>
        </w:rPr>
      </w:pPr>
      <w:r w:rsidRPr="00D160FB">
        <w:rPr>
          <w:color w:val="auto"/>
          <w:lang w:val="en-GB"/>
        </w:rPr>
        <w:br w:type="page"/>
      </w:r>
      <w:bookmarkStart w:id="0" w:name="_Toc97736114"/>
      <w:bookmarkStart w:id="1" w:name="_Toc444112494"/>
      <w:bookmarkStart w:id="2" w:name="_Toc511215208"/>
      <w:bookmarkStart w:id="3" w:name="_Toc26865017"/>
      <w:bookmarkStart w:id="4" w:name="_Toc74643854"/>
      <w:bookmarkStart w:id="5" w:name="_Toc66719928"/>
      <w:bookmarkStart w:id="6" w:name="_Toc19090676"/>
      <w:bookmarkStart w:id="7" w:name="_Toc58605372"/>
    </w:p>
    <w:p w14:paraId="7D6C4A73" w14:textId="02F05E9C" w:rsidR="007C64F7" w:rsidRPr="00D160FB" w:rsidRDefault="007C64F7" w:rsidP="007C64F7">
      <w:pPr>
        <w:pStyle w:val="Nadpis1"/>
        <w:rPr>
          <w:lang w:val="en-GB"/>
        </w:rPr>
      </w:pPr>
      <w:bookmarkStart w:id="8" w:name="_Toc114134045"/>
      <w:bookmarkStart w:id="9" w:name="_Toc58605374"/>
      <w:bookmarkStart w:id="10" w:name="_Toc66719930"/>
      <w:bookmarkStart w:id="11" w:name="_Toc532558287"/>
      <w:bookmarkStart w:id="12" w:name="_Toc58605375"/>
      <w:bookmarkStart w:id="13" w:name="_Toc82508186"/>
      <w:bookmarkStart w:id="14" w:name="_Toc114134047"/>
      <w:bookmarkStart w:id="15" w:name="_Toc114134048"/>
      <w:bookmarkStart w:id="16" w:name="_Toc97736119"/>
      <w:bookmarkStart w:id="17" w:name="_Toc74643859"/>
      <w:bookmarkStart w:id="18" w:name="_Toc90395915"/>
      <w:bookmarkStart w:id="19" w:name="_Toc98245446"/>
      <w:bookmarkStart w:id="20" w:name="_Toc74643860"/>
      <w:bookmarkStart w:id="21" w:name="_Toc132874245"/>
      <w:bookmarkEnd w:id="0"/>
      <w:bookmarkEnd w:id="1"/>
      <w:bookmarkEnd w:id="2"/>
      <w:bookmarkEnd w:id="3"/>
      <w:bookmarkEnd w:id="4"/>
      <w:bookmarkEnd w:id="5"/>
      <w:bookmarkEnd w:id="6"/>
      <w:bookmarkEnd w:id="7"/>
      <w:r w:rsidRPr="00D160FB">
        <w:rPr>
          <w:lang w:val="en-GB"/>
        </w:rPr>
        <w:lastRenderedPageBreak/>
        <w:t>1. S</w:t>
      </w:r>
      <w:r w:rsidR="00262B30" w:rsidRPr="00D160FB">
        <w:rPr>
          <w:lang w:val="en-GB"/>
        </w:rPr>
        <w:t>ummary</w:t>
      </w:r>
      <w:bookmarkEnd w:id="21"/>
    </w:p>
    <w:p w14:paraId="3E710687" w14:textId="585ADECC" w:rsidR="007C64F7" w:rsidRPr="00D160FB" w:rsidRDefault="003E4DAB" w:rsidP="007C64F7">
      <w:pPr>
        <w:pStyle w:val="Normalodrka"/>
        <w:spacing w:after="120"/>
        <w:rPr>
          <w:spacing w:val="-6"/>
          <w:lang w:val="en-GB"/>
        </w:rPr>
      </w:pPr>
      <w:r w:rsidRPr="00D160FB">
        <w:rPr>
          <w:spacing w:val="-6"/>
          <w:lang w:val="en-GB"/>
        </w:rPr>
        <w:t xml:space="preserve">The Gross domestic product </w:t>
      </w:r>
      <w:r w:rsidR="007C64F7" w:rsidRPr="00D160FB">
        <w:rPr>
          <w:spacing w:val="-6"/>
          <w:lang w:val="en-GB"/>
        </w:rPr>
        <w:t>(</w:t>
      </w:r>
      <w:r w:rsidRPr="00D160FB">
        <w:rPr>
          <w:spacing w:val="-6"/>
          <w:lang w:val="en-GB"/>
        </w:rPr>
        <w:t>GDP</w:t>
      </w:r>
      <w:r w:rsidR="007C64F7" w:rsidRPr="00D160FB">
        <w:rPr>
          <w:spacing w:val="-6"/>
          <w:lang w:val="en-GB"/>
        </w:rPr>
        <w:t>)</w:t>
      </w:r>
      <w:r w:rsidRPr="00D160FB">
        <w:rPr>
          <w:spacing w:val="-6"/>
          <w:lang w:val="en-GB"/>
        </w:rPr>
        <w:t xml:space="preserve"> </w:t>
      </w:r>
      <w:r w:rsidR="00DD3096" w:rsidRPr="00D160FB">
        <w:rPr>
          <w:spacing w:val="-6"/>
          <w:lang w:val="en-GB"/>
        </w:rPr>
        <w:t xml:space="preserve">increased by </w:t>
      </w:r>
      <w:r w:rsidR="007C64F7" w:rsidRPr="00D160FB">
        <w:rPr>
          <w:spacing w:val="-6"/>
          <w:lang w:val="en-GB"/>
        </w:rPr>
        <w:t>2</w:t>
      </w:r>
      <w:r w:rsidRPr="00D160FB">
        <w:rPr>
          <w:spacing w:val="-6"/>
          <w:lang w:val="en-GB"/>
        </w:rPr>
        <w:t>.</w:t>
      </w:r>
      <w:r w:rsidR="007C64F7" w:rsidRPr="00D160FB">
        <w:rPr>
          <w:spacing w:val="-6"/>
          <w:lang w:val="en-GB"/>
        </w:rPr>
        <w:t>4%</w:t>
      </w:r>
      <w:r w:rsidR="007C64F7" w:rsidRPr="00D160FB">
        <w:rPr>
          <w:rStyle w:val="Znakapoznpodarou"/>
          <w:spacing w:val="-6"/>
          <w:szCs w:val="20"/>
          <w:lang w:val="en-GB"/>
        </w:rPr>
        <w:footnoteReference w:id="1"/>
      </w:r>
      <w:r w:rsidRPr="00D160FB">
        <w:rPr>
          <w:spacing w:val="-6"/>
          <w:lang w:val="en-GB"/>
        </w:rPr>
        <w:t xml:space="preserve"> in year 2022</w:t>
      </w:r>
      <w:r w:rsidR="007C64F7" w:rsidRPr="00D160FB">
        <w:rPr>
          <w:spacing w:val="-6"/>
          <w:lang w:val="en-GB"/>
        </w:rPr>
        <w:t xml:space="preserve">. </w:t>
      </w:r>
      <w:r w:rsidR="002B4532" w:rsidRPr="00D160FB">
        <w:rPr>
          <w:spacing w:val="-6"/>
          <w:lang w:val="en-GB"/>
        </w:rPr>
        <w:t xml:space="preserve">Especially the capital </w:t>
      </w:r>
      <w:r w:rsidR="00F66656" w:rsidRPr="00D160FB">
        <w:rPr>
          <w:spacing w:val="-6"/>
          <w:lang w:val="en-GB"/>
        </w:rPr>
        <w:t xml:space="preserve">expenditures </w:t>
      </w:r>
      <w:r w:rsidR="00573C09" w:rsidRPr="00D160FB">
        <w:rPr>
          <w:spacing w:val="-6"/>
          <w:lang w:val="en-GB"/>
        </w:rPr>
        <w:t xml:space="preserve">and foreign demand </w:t>
      </w:r>
      <w:r w:rsidR="005446FB" w:rsidRPr="00D160FB">
        <w:rPr>
          <w:spacing w:val="-6"/>
          <w:lang w:val="en-GB"/>
        </w:rPr>
        <w:t>contributed to this development.</w:t>
      </w:r>
      <w:r w:rsidR="00573C09" w:rsidRPr="00D160FB">
        <w:rPr>
          <w:spacing w:val="-6"/>
          <w:lang w:val="en-GB"/>
        </w:rPr>
        <w:t xml:space="preserve"> </w:t>
      </w:r>
      <w:r w:rsidR="00247835" w:rsidRPr="00D160FB">
        <w:rPr>
          <w:spacing w:val="-6"/>
          <w:lang w:val="en-GB"/>
        </w:rPr>
        <w:t xml:space="preserve">On the contrary, the domestic consumption was </w:t>
      </w:r>
      <w:r w:rsidR="004A0197" w:rsidRPr="00D160FB">
        <w:rPr>
          <w:spacing w:val="-6"/>
          <w:lang w:val="en-GB"/>
        </w:rPr>
        <w:t xml:space="preserve">falling </w:t>
      </w:r>
      <w:r w:rsidR="00247835" w:rsidRPr="00D160FB">
        <w:rPr>
          <w:spacing w:val="-6"/>
          <w:lang w:val="en-GB"/>
        </w:rPr>
        <w:t>last year.</w:t>
      </w:r>
      <w:r w:rsidR="00E63AC6" w:rsidRPr="00D160FB">
        <w:rPr>
          <w:spacing w:val="-6"/>
          <w:lang w:val="en-GB"/>
        </w:rPr>
        <w:t xml:space="preserve"> </w:t>
      </w:r>
      <w:r w:rsidR="000F6B1B" w:rsidRPr="00D160FB">
        <w:rPr>
          <w:spacing w:val="-6"/>
          <w:lang w:val="en-GB"/>
        </w:rPr>
        <w:t xml:space="preserve">The growth was </w:t>
      </w:r>
      <w:r w:rsidR="00BC6CAD" w:rsidRPr="00D160FB">
        <w:rPr>
          <w:spacing w:val="-6"/>
          <w:lang w:val="en-GB"/>
        </w:rPr>
        <w:t xml:space="preserve">weakening </w:t>
      </w:r>
      <w:r w:rsidR="00187090" w:rsidRPr="00D160FB">
        <w:rPr>
          <w:spacing w:val="-6"/>
          <w:lang w:val="en-GB"/>
        </w:rPr>
        <w:t>during the year 2022 and the GDP went up by</w:t>
      </w:r>
      <w:r w:rsidR="000C5744" w:rsidRPr="00D160FB">
        <w:rPr>
          <w:spacing w:val="-6"/>
          <w:lang w:val="en-GB"/>
        </w:rPr>
        <w:t xml:space="preserve"> </w:t>
      </w:r>
      <w:r w:rsidR="007C64F7" w:rsidRPr="00D160FB">
        <w:rPr>
          <w:spacing w:val="-6"/>
          <w:lang w:val="en-GB"/>
        </w:rPr>
        <w:t>0</w:t>
      </w:r>
      <w:r w:rsidR="000C5744" w:rsidRPr="00D160FB">
        <w:rPr>
          <w:spacing w:val="-6"/>
          <w:lang w:val="en-GB"/>
        </w:rPr>
        <w:t>.</w:t>
      </w:r>
      <w:r w:rsidR="007C64F7" w:rsidRPr="00D160FB">
        <w:rPr>
          <w:spacing w:val="-6"/>
          <w:lang w:val="en-GB"/>
        </w:rPr>
        <w:t>2%</w:t>
      </w:r>
      <w:r w:rsidR="000C5744" w:rsidRPr="00D160FB">
        <w:rPr>
          <w:spacing w:val="-6"/>
          <w:lang w:val="en-GB"/>
        </w:rPr>
        <w:t xml:space="preserve"> year-on-year in Q4</w:t>
      </w:r>
      <w:r w:rsidR="007C64F7" w:rsidRPr="00D160FB">
        <w:rPr>
          <w:spacing w:val="-6"/>
          <w:lang w:val="en-GB"/>
        </w:rPr>
        <w:t xml:space="preserve">. </w:t>
      </w:r>
      <w:r w:rsidR="00B00024" w:rsidRPr="00D160FB">
        <w:rPr>
          <w:spacing w:val="-6"/>
          <w:lang w:val="en-GB"/>
        </w:rPr>
        <w:t xml:space="preserve">The year-on-year economic growth was mainly supported by the foreign demand in the second half of the year. In contrast, the </w:t>
      </w:r>
      <w:r w:rsidR="00926956" w:rsidRPr="00D160FB">
        <w:rPr>
          <w:spacing w:val="-6"/>
          <w:lang w:val="en-GB"/>
        </w:rPr>
        <w:t xml:space="preserve">favourable effect of the capital expenditures subsided </w:t>
      </w:r>
      <w:r w:rsidR="007C64F7" w:rsidRPr="00D160FB">
        <w:rPr>
          <w:spacing w:val="-6"/>
          <w:lang w:val="en-GB"/>
        </w:rPr>
        <w:t>a</w:t>
      </w:r>
      <w:r w:rsidR="00600ECB" w:rsidRPr="00D160FB">
        <w:rPr>
          <w:spacing w:val="-6"/>
          <w:lang w:val="en-GB"/>
        </w:rPr>
        <w:t>nd the decrease of the domestic consumption deepened. Compared to Q</w:t>
      </w:r>
      <w:r w:rsidR="007C64F7" w:rsidRPr="00D160FB">
        <w:rPr>
          <w:spacing w:val="-6"/>
          <w:lang w:val="en-GB"/>
        </w:rPr>
        <w:t>3</w:t>
      </w:r>
      <w:r w:rsidR="00600ECB" w:rsidRPr="00D160FB">
        <w:rPr>
          <w:spacing w:val="-6"/>
          <w:lang w:val="en-GB"/>
        </w:rPr>
        <w:t xml:space="preserve">, the GDP dropped by </w:t>
      </w:r>
      <w:r w:rsidR="007C64F7" w:rsidRPr="00D160FB">
        <w:rPr>
          <w:spacing w:val="-6"/>
          <w:lang w:val="en-GB"/>
        </w:rPr>
        <w:t>0</w:t>
      </w:r>
      <w:r w:rsidR="00600ECB" w:rsidRPr="00D160FB">
        <w:rPr>
          <w:spacing w:val="-6"/>
          <w:lang w:val="en-GB"/>
        </w:rPr>
        <w:t>.</w:t>
      </w:r>
      <w:r w:rsidR="007C64F7" w:rsidRPr="00D160FB">
        <w:rPr>
          <w:spacing w:val="-6"/>
          <w:lang w:val="en-GB"/>
        </w:rPr>
        <w:t>4% a</w:t>
      </w:r>
      <w:r w:rsidR="00600ECB" w:rsidRPr="00D160FB">
        <w:rPr>
          <w:spacing w:val="-6"/>
          <w:lang w:val="en-GB"/>
        </w:rPr>
        <w:t xml:space="preserve">nd it </w:t>
      </w:r>
      <w:r w:rsidR="00C03264" w:rsidRPr="00D160FB">
        <w:rPr>
          <w:spacing w:val="-6"/>
          <w:lang w:val="en-GB"/>
        </w:rPr>
        <w:t xml:space="preserve">represented a second quarter-on-quarter decrease in a row. The foreign demand </w:t>
      </w:r>
      <w:r w:rsidR="00BA3256" w:rsidRPr="00D160FB">
        <w:rPr>
          <w:spacing w:val="-6"/>
          <w:lang w:val="en-GB"/>
        </w:rPr>
        <w:t xml:space="preserve">had a positive effect </w:t>
      </w:r>
      <w:r w:rsidR="000607D9" w:rsidRPr="00D160FB">
        <w:rPr>
          <w:spacing w:val="-6"/>
          <w:lang w:val="en-GB"/>
        </w:rPr>
        <w:t xml:space="preserve">also on the quarter-on-quarter GDP </w:t>
      </w:r>
      <w:r w:rsidR="002678E4" w:rsidRPr="00D160FB">
        <w:rPr>
          <w:spacing w:val="-6"/>
          <w:lang w:val="en-GB"/>
        </w:rPr>
        <w:t>dynamics</w:t>
      </w:r>
      <w:r w:rsidR="002678E4" w:rsidRPr="00D160FB">
        <w:rPr>
          <w:spacing w:val="-2"/>
          <w:lang w:val="en-GB"/>
        </w:rPr>
        <w:t>;</w:t>
      </w:r>
      <w:r w:rsidR="007C64F7" w:rsidRPr="00D160FB">
        <w:rPr>
          <w:spacing w:val="-2"/>
          <w:lang w:val="en-GB"/>
        </w:rPr>
        <w:t xml:space="preserve"> </w:t>
      </w:r>
      <w:r w:rsidR="003F7872" w:rsidRPr="00D160FB">
        <w:rPr>
          <w:spacing w:val="-2"/>
          <w:lang w:val="en-GB"/>
        </w:rPr>
        <w:t xml:space="preserve">however both the consumption and capital expenditures were falling. </w:t>
      </w:r>
      <w:r w:rsidR="00621E77" w:rsidRPr="00D160FB">
        <w:rPr>
          <w:spacing w:val="-2"/>
          <w:lang w:val="en-GB"/>
        </w:rPr>
        <w:t xml:space="preserve">The </w:t>
      </w:r>
      <w:r w:rsidR="00D91B90" w:rsidRPr="00D160FB">
        <w:rPr>
          <w:spacing w:val="-2"/>
          <w:lang w:val="en-GB"/>
        </w:rPr>
        <w:t xml:space="preserve">Gross domestic product expanded in total by </w:t>
      </w:r>
      <w:r w:rsidR="007C64F7" w:rsidRPr="00D160FB">
        <w:rPr>
          <w:spacing w:val="-6"/>
          <w:lang w:val="en-GB"/>
        </w:rPr>
        <w:t>1</w:t>
      </w:r>
      <w:r w:rsidR="00D91B90" w:rsidRPr="00D160FB">
        <w:rPr>
          <w:spacing w:val="-6"/>
          <w:lang w:val="en-GB"/>
        </w:rPr>
        <w:t>.</w:t>
      </w:r>
      <w:r w:rsidR="007C64F7" w:rsidRPr="00D160FB">
        <w:rPr>
          <w:spacing w:val="-6"/>
          <w:lang w:val="en-GB"/>
        </w:rPr>
        <w:t>7%</w:t>
      </w:r>
      <w:r w:rsidR="00CF5078" w:rsidRPr="00D160FB">
        <w:rPr>
          <w:spacing w:val="-6"/>
          <w:lang w:val="en-GB"/>
        </w:rPr>
        <w:t xml:space="preserve"> in the EU </w:t>
      </w:r>
      <w:r w:rsidR="00D91B90" w:rsidRPr="00D160FB">
        <w:rPr>
          <w:spacing w:val="-6"/>
          <w:lang w:val="en-GB"/>
        </w:rPr>
        <w:t xml:space="preserve">year-on-year </w:t>
      </w:r>
      <w:r w:rsidR="00CF5078" w:rsidRPr="00D160FB">
        <w:rPr>
          <w:spacing w:val="-6"/>
          <w:lang w:val="en-GB"/>
        </w:rPr>
        <w:t xml:space="preserve">in Q4 and it fell by </w:t>
      </w:r>
      <w:r w:rsidR="007C64F7" w:rsidRPr="00D160FB">
        <w:rPr>
          <w:spacing w:val="-6"/>
          <w:lang w:val="en-GB"/>
        </w:rPr>
        <w:t>0</w:t>
      </w:r>
      <w:r w:rsidR="00CF5078" w:rsidRPr="00D160FB">
        <w:rPr>
          <w:spacing w:val="-6"/>
          <w:lang w:val="en-GB"/>
        </w:rPr>
        <w:t>.</w:t>
      </w:r>
      <w:r w:rsidR="007C64F7" w:rsidRPr="00D160FB">
        <w:rPr>
          <w:spacing w:val="-6"/>
          <w:lang w:val="en-GB"/>
        </w:rPr>
        <w:t>1%</w:t>
      </w:r>
      <w:r w:rsidR="00CF5078" w:rsidRPr="00D160FB">
        <w:rPr>
          <w:spacing w:val="-6"/>
          <w:lang w:val="en-GB"/>
        </w:rPr>
        <w:t xml:space="preserve"> quarter-on-quarter</w:t>
      </w:r>
      <w:r w:rsidR="007C64F7" w:rsidRPr="00D160FB">
        <w:rPr>
          <w:spacing w:val="-6"/>
          <w:lang w:val="en-GB"/>
        </w:rPr>
        <w:t xml:space="preserve">. </w:t>
      </w:r>
      <w:r w:rsidR="00CF5078" w:rsidRPr="00D160FB">
        <w:rPr>
          <w:spacing w:val="-6"/>
          <w:lang w:val="en-GB"/>
        </w:rPr>
        <w:t xml:space="preserve">The CR thus </w:t>
      </w:r>
      <w:r w:rsidR="00F26359" w:rsidRPr="00D160FB">
        <w:rPr>
          <w:spacing w:val="-6"/>
          <w:lang w:val="en-GB"/>
        </w:rPr>
        <w:t xml:space="preserve">ranked among the countries with the below-average GDP dynamics towards the end of the year. </w:t>
      </w:r>
    </w:p>
    <w:p w14:paraId="1114407D" w14:textId="2606DF04" w:rsidR="007C64F7" w:rsidRPr="00D160FB" w:rsidRDefault="00EA7CD5" w:rsidP="007C64F7">
      <w:pPr>
        <w:pStyle w:val="Normalodrka"/>
        <w:spacing w:after="120"/>
        <w:rPr>
          <w:spacing w:val="-6"/>
          <w:lang w:val="en-GB"/>
        </w:rPr>
      </w:pPr>
      <w:r w:rsidRPr="00D160FB">
        <w:rPr>
          <w:spacing w:val="-6"/>
          <w:lang w:val="en-GB"/>
        </w:rPr>
        <w:t xml:space="preserve">The Gross value added </w:t>
      </w:r>
      <w:r w:rsidR="007C64F7" w:rsidRPr="00D160FB">
        <w:rPr>
          <w:spacing w:val="-6"/>
          <w:lang w:val="en-GB"/>
        </w:rPr>
        <w:t>(</w:t>
      </w:r>
      <w:r w:rsidRPr="00D160FB">
        <w:rPr>
          <w:spacing w:val="-6"/>
          <w:lang w:val="en-GB"/>
        </w:rPr>
        <w:t>GVA</w:t>
      </w:r>
      <w:r w:rsidR="007C64F7" w:rsidRPr="00D160FB">
        <w:rPr>
          <w:spacing w:val="-6"/>
          <w:lang w:val="en-GB"/>
        </w:rPr>
        <w:t>)</w:t>
      </w:r>
      <w:r w:rsidRPr="00D160FB">
        <w:rPr>
          <w:spacing w:val="-6"/>
          <w:lang w:val="en-GB"/>
        </w:rPr>
        <w:t xml:space="preserve"> increased by </w:t>
      </w:r>
      <w:r w:rsidR="007C64F7" w:rsidRPr="00D160FB">
        <w:rPr>
          <w:spacing w:val="-6"/>
          <w:lang w:val="en-GB"/>
        </w:rPr>
        <w:t>2</w:t>
      </w:r>
      <w:r w:rsidRPr="00D160FB">
        <w:rPr>
          <w:spacing w:val="-6"/>
          <w:lang w:val="en-GB"/>
        </w:rPr>
        <w:t>.</w:t>
      </w:r>
      <w:r w:rsidR="007C64F7" w:rsidRPr="00D160FB">
        <w:rPr>
          <w:spacing w:val="-6"/>
          <w:lang w:val="en-GB"/>
        </w:rPr>
        <w:t>5%</w:t>
      </w:r>
      <w:r w:rsidRPr="00D160FB">
        <w:rPr>
          <w:spacing w:val="-6"/>
          <w:lang w:val="en-GB"/>
        </w:rPr>
        <w:t xml:space="preserve"> in yea</w:t>
      </w:r>
      <w:r w:rsidR="00E14119" w:rsidRPr="00D160FB">
        <w:rPr>
          <w:spacing w:val="-6"/>
          <w:lang w:val="en-GB"/>
        </w:rPr>
        <w:t>r</w:t>
      </w:r>
      <w:r w:rsidRPr="00D160FB">
        <w:rPr>
          <w:spacing w:val="-6"/>
          <w:lang w:val="en-GB"/>
        </w:rPr>
        <w:t xml:space="preserve"> 2022</w:t>
      </w:r>
      <w:r w:rsidR="007C64F7" w:rsidRPr="00D160FB">
        <w:rPr>
          <w:spacing w:val="-6"/>
          <w:lang w:val="en-GB"/>
        </w:rPr>
        <w:t xml:space="preserve">. </w:t>
      </w:r>
      <w:r w:rsidR="007C16C3" w:rsidRPr="00D160FB">
        <w:rPr>
          <w:spacing w:val="-6"/>
          <w:lang w:val="en-GB"/>
        </w:rPr>
        <w:t>Mainly services contributed to growth</w:t>
      </w:r>
      <w:r w:rsidR="007C64F7" w:rsidRPr="00D160FB">
        <w:rPr>
          <w:lang w:val="en-GB"/>
        </w:rPr>
        <w:t xml:space="preserve">, </w:t>
      </w:r>
      <w:r w:rsidR="007C16C3" w:rsidRPr="00D160FB">
        <w:rPr>
          <w:lang w:val="en-GB"/>
        </w:rPr>
        <w:t xml:space="preserve">while various difficulties prevailed in industry </w:t>
      </w:r>
      <w:r w:rsidR="007C64F7" w:rsidRPr="00D160FB">
        <w:rPr>
          <w:lang w:val="en-GB"/>
        </w:rPr>
        <w:t xml:space="preserve">– </w:t>
      </w:r>
      <w:r w:rsidR="007C16C3" w:rsidRPr="00D160FB">
        <w:rPr>
          <w:lang w:val="en-GB"/>
        </w:rPr>
        <w:t xml:space="preserve">disruption of supplies of components or the growth of prices of energies and raw materials. </w:t>
      </w:r>
      <w:r w:rsidR="00FD0F8C" w:rsidRPr="00D160FB">
        <w:rPr>
          <w:lang w:val="en-GB"/>
        </w:rPr>
        <w:t>The GVA increased the most under the influence of weak comparative basis in other activities. Information and communication and professional, scientific, technical and administrative activities also prospered</w:t>
      </w:r>
      <w:r w:rsidR="007C64F7" w:rsidRPr="00D160FB">
        <w:rPr>
          <w:lang w:val="en-GB"/>
        </w:rPr>
        <w:t xml:space="preserve">. </w:t>
      </w:r>
      <w:r w:rsidR="00E02071" w:rsidRPr="00D160FB">
        <w:rPr>
          <w:lang w:val="en-GB"/>
        </w:rPr>
        <w:t xml:space="preserve">Due to the effect of favourable results in manufacturing of motor vehicles and </w:t>
      </w:r>
      <w:r w:rsidR="00024DC3" w:rsidRPr="00D160FB">
        <w:rPr>
          <w:lang w:val="en-GB"/>
        </w:rPr>
        <w:t>affiliated branches the GVA grew soundly in manufacturing</w:t>
      </w:r>
      <w:r w:rsidR="007C64F7" w:rsidRPr="00D160FB">
        <w:rPr>
          <w:lang w:val="en-GB"/>
        </w:rPr>
        <w:t xml:space="preserve">, </w:t>
      </w:r>
      <w:r w:rsidR="00E02071" w:rsidRPr="00D160FB">
        <w:rPr>
          <w:lang w:val="en-GB"/>
        </w:rPr>
        <w:t>industry as a whole however grew slower</w:t>
      </w:r>
      <w:r w:rsidR="007C64F7" w:rsidRPr="00D160FB">
        <w:rPr>
          <w:lang w:val="en-GB"/>
        </w:rPr>
        <w:t xml:space="preserve">. </w:t>
      </w:r>
      <w:r w:rsidR="00D4768F" w:rsidRPr="00D160FB">
        <w:rPr>
          <w:lang w:val="en-GB"/>
        </w:rPr>
        <w:t>The GVA only decreased in agriculture, forestry and fishing last year</w:t>
      </w:r>
      <w:r w:rsidR="007C64F7" w:rsidRPr="00D160FB">
        <w:rPr>
          <w:lang w:val="en-GB"/>
        </w:rPr>
        <w:t xml:space="preserve">. </w:t>
      </w:r>
      <w:r w:rsidR="00FB373F" w:rsidRPr="00D160FB">
        <w:rPr>
          <w:lang w:val="en-GB"/>
        </w:rPr>
        <w:t xml:space="preserve">The GVA grew by </w:t>
      </w:r>
      <w:r w:rsidR="007C64F7" w:rsidRPr="00D160FB">
        <w:rPr>
          <w:lang w:val="en-GB"/>
        </w:rPr>
        <w:t>1</w:t>
      </w:r>
      <w:r w:rsidR="00FB373F" w:rsidRPr="00D160FB">
        <w:rPr>
          <w:lang w:val="en-GB"/>
        </w:rPr>
        <w:t>.</w:t>
      </w:r>
      <w:r w:rsidR="007C64F7" w:rsidRPr="00D160FB">
        <w:rPr>
          <w:lang w:val="en-GB"/>
        </w:rPr>
        <w:t>0%</w:t>
      </w:r>
      <w:r w:rsidR="00FB373F" w:rsidRPr="00D160FB">
        <w:rPr>
          <w:lang w:val="en-GB"/>
        </w:rPr>
        <w:t xml:space="preserve"> year-on-year in Q4 </w:t>
      </w:r>
      <w:r w:rsidR="007C64F7" w:rsidRPr="00D160FB">
        <w:rPr>
          <w:lang w:val="en-GB"/>
        </w:rPr>
        <w:t>a</w:t>
      </w:r>
      <w:r w:rsidR="00FB373F" w:rsidRPr="00D160FB">
        <w:rPr>
          <w:lang w:val="en-GB"/>
        </w:rPr>
        <w:t xml:space="preserve">nd it grew by </w:t>
      </w:r>
      <w:r w:rsidR="007C64F7" w:rsidRPr="00D160FB">
        <w:rPr>
          <w:lang w:val="en-GB"/>
        </w:rPr>
        <w:t>0</w:t>
      </w:r>
      <w:r w:rsidR="00FB373F" w:rsidRPr="00D160FB">
        <w:rPr>
          <w:lang w:val="en-GB"/>
        </w:rPr>
        <w:t>.</w:t>
      </w:r>
      <w:r w:rsidR="007C64F7" w:rsidRPr="00D160FB">
        <w:rPr>
          <w:lang w:val="en-GB"/>
        </w:rPr>
        <w:t>3%</w:t>
      </w:r>
      <w:r w:rsidR="00FB373F" w:rsidRPr="00D160FB">
        <w:rPr>
          <w:lang w:val="en-GB"/>
        </w:rPr>
        <w:t xml:space="preserve"> quarter-on-quarter</w:t>
      </w:r>
      <w:r w:rsidR="007C64F7" w:rsidRPr="00D160FB">
        <w:rPr>
          <w:lang w:val="en-GB"/>
        </w:rPr>
        <w:t xml:space="preserve">. </w:t>
      </w:r>
      <w:r w:rsidR="00236EA9" w:rsidRPr="00D160FB">
        <w:rPr>
          <w:lang w:val="en-GB"/>
        </w:rPr>
        <w:t xml:space="preserve">The GVA grew the most in manufacturing year-on-year towards the end of the year. On the contrary, it fell in the </w:t>
      </w:r>
      <w:r w:rsidR="00FB373F" w:rsidRPr="00D160FB">
        <w:rPr>
          <w:lang w:val="en-GB"/>
        </w:rPr>
        <w:t xml:space="preserve">significant </w:t>
      </w:r>
      <w:r w:rsidR="00236EA9" w:rsidRPr="00D160FB">
        <w:rPr>
          <w:lang w:val="en-GB"/>
        </w:rPr>
        <w:t xml:space="preserve">division trade, transportation, accommodation and food service. </w:t>
      </w:r>
      <w:r w:rsidR="007C64F7" w:rsidRPr="00D160FB">
        <w:rPr>
          <w:lang w:val="en-GB"/>
        </w:rPr>
        <w:t xml:space="preserve"> </w:t>
      </w:r>
    </w:p>
    <w:p w14:paraId="50FAADE9" w14:textId="5E0869C2" w:rsidR="007C64F7" w:rsidRPr="00D160FB" w:rsidRDefault="00EE22A5" w:rsidP="007C64F7">
      <w:pPr>
        <w:pStyle w:val="Normalodrka"/>
        <w:spacing w:after="120"/>
        <w:rPr>
          <w:spacing w:val="-6"/>
          <w:lang w:val="en-GB"/>
        </w:rPr>
      </w:pPr>
      <w:r w:rsidRPr="00D160FB">
        <w:rPr>
          <w:spacing w:val="-6"/>
          <w:lang w:val="en-GB"/>
        </w:rPr>
        <w:t xml:space="preserve">Export of goods and services as well as the import expanded similarly </w:t>
      </w:r>
      <w:r w:rsidR="00607DBA" w:rsidRPr="00D160FB">
        <w:rPr>
          <w:spacing w:val="-6"/>
          <w:lang w:val="en-GB"/>
        </w:rPr>
        <w:t xml:space="preserve">in real terms </w:t>
      </w:r>
      <w:r w:rsidRPr="00D160FB">
        <w:rPr>
          <w:spacing w:val="-6"/>
          <w:lang w:val="en-GB"/>
        </w:rPr>
        <w:t xml:space="preserve">by </w:t>
      </w:r>
      <w:r w:rsidR="007C64F7" w:rsidRPr="00D160FB">
        <w:rPr>
          <w:spacing w:val="-6"/>
          <w:lang w:val="en-GB"/>
        </w:rPr>
        <w:t>5</w:t>
      </w:r>
      <w:r w:rsidRPr="00D160FB">
        <w:rPr>
          <w:spacing w:val="-6"/>
          <w:lang w:val="en-GB"/>
        </w:rPr>
        <w:t>.</w:t>
      </w:r>
      <w:r w:rsidR="007C64F7" w:rsidRPr="00D160FB">
        <w:rPr>
          <w:spacing w:val="-6"/>
          <w:lang w:val="en-GB"/>
        </w:rPr>
        <w:t>7%</w:t>
      </w:r>
      <w:r w:rsidR="007C64F7" w:rsidRPr="00D160FB">
        <w:rPr>
          <w:rStyle w:val="Znakapoznpodarou"/>
          <w:spacing w:val="-6"/>
          <w:lang w:val="en-GB"/>
        </w:rPr>
        <w:footnoteReference w:id="2"/>
      </w:r>
      <w:r w:rsidRPr="00D160FB">
        <w:rPr>
          <w:spacing w:val="-6"/>
          <w:lang w:val="en-GB"/>
        </w:rPr>
        <w:t xml:space="preserve"> year-on-year </w:t>
      </w:r>
      <w:r w:rsidR="00CD6DE1" w:rsidRPr="00D160FB">
        <w:rPr>
          <w:spacing w:val="-6"/>
          <w:lang w:val="en-GB"/>
        </w:rPr>
        <w:t>last year</w:t>
      </w:r>
      <w:r w:rsidR="007C64F7" w:rsidRPr="00D160FB">
        <w:rPr>
          <w:spacing w:val="-6"/>
          <w:lang w:val="en-GB"/>
        </w:rPr>
        <w:t xml:space="preserve">. </w:t>
      </w:r>
      <w:r w:rsidR="006205C7" w:rsidRPr="00D160FB">
        <w:rPr>
          <w:spacing w:val="-6"/>
          <w:lang w:val="en-GB"/>
        </w:rPr>
        <w:t xml:space="preserve">The balance of foreign trade with goods and services in current prices dropped into the </w:t>
      </w:r>
      <w:r w:rsidR="007C64F7" w:rsidRPr="00D160FB">
        <w:rPr>
          <w:spacing w:val="-6"/>
          <w:lang w:val="en-GB"/>
        </w:rPr>
        <w:t>8</w:t>
      </w:r>
      <w:r w:rsidR="006205C7" w:rsidRPr="00D160FB">
        <w:rPr>
          <w:spacing w:val="-6"/>
          <w:lang w:val="en-GB"/>
        </w:rPr>
        <w:t>.</w:t>
      </w:r>
      <w:r w:rsidR="007C64F7" w:rsidRPr="00D160FB">
        <w:rPr>
          <w:spacing w:val="-6"/>
          <w:lang w:val="en-GB"/>
        </w:rPr>
        <w:t>3</w:t>
      </w:r>
      <w:r w:rsidR="006205C7" w:rsidRPr="00D160FB">
        <w:rPr>
          <w:spacing w:val="-6"/>
          <w:lang w:val="en-GB"/>
        </w:rPr>
        <w:t xml:space="preserve"> CZK bn deficit for the first time since year 2003</w:t>
      </w:r>
      <w:r w:rsidR="007C64F7" w:rsidRPr="00D160FB">
        <w:rPr>
          <w:spacing w:val="-6"/>
          <w:lang w:val="en-GB"/>
        </w:rPr>
        <w:t xml:space="preserve">. </w:t>
      </w:r>
      <w:r w:rsidR="00AE4909" w:rsidRPr="00D160FB">
        <w:rPr>
          <w:spacing w:val="-6"/>
          <w:lang w:val="en-GB"/>
        </w:rPr>
        <w:t xml:space="preserve">Export of goods and services increased by </w:t>
      </w:r>
      <w:r w:rsidR="007C64F7" w:rsidRPr="00D160FB">
        <w:rPr>
          <w:lang w:val="en-GB"/>
        </w:rPr>
        <w:t>9</w:t>
      </w:r>
      <w:r w:rsidR="00AE4909" w:rsidRPr="00D160FB">
        <w:rPr>
          <w:lang w:val="en-GB"/>
        </w:rPr>
        <w:t>.</w:t>
      </w:r>
      <w:r w:rsidR="007C64F7" w:rsidRPr="00D160FB">
        <w:rPr>
          <w:lang w:val="en-GB"/>
        </w:rPr>
        <w:t>7%</w:t>
      </w:r>
      <w:r w:rsidR="00AE4909" w:rsidRPr="00D160FB">
        <w:rPr>
          <w:lang w:val="en-GB"/>
        </w:rPr>
        <w:t xml:space="preserve"> in real terms year-on-year in Q4</w:t>
      </w:r>
      <w:r w:rsidR="007C64F7" w:rsidRPr="00D160FB">
        <w:rPr>
          <w:lang w:val="en-GB"/>
        </w:rPr>
        <w:t>.</w:t>
      </w:r>
      <w:r w:rsidR="00F0086F">
        <w:rPr>
          <w:lang w:val="en-GB"/>
        </w:rPr>
        <w:t xml:space="preserve"> </w:t>
      </w:r>
      <w:r w:rsidR="007C64F7" w:rsidRPr="00D160FB">
        <w:rPr>
          <w:lang w:val="en-GB"/>
        </w:rPr>
        <w:t xml:space="preserve"> </w:t>
      </w:r>
      <w:r w:rsidR="00912A38" w:rsidRPr="00D160FB">
        <w:rPr>
          <w:lang w:val="en-GB"/>
        </w:rPr>
        <w:t xml:space="preserve">Import increased by </w:t>
      </w:r>
      <w:r w:rsidR="007C64F7" w:rsidRPr="00D160FB">
        <w:rPr>
          <w:lang w:val="en-GB"/>
        </w:rPr>
        <w:t>7</w:t>
      </w:r>
      <w:r w:rsidR="00912A38" w:rsidRPr="00D160FB">
        <w:rPr>
          <w:lang w:val="en-GB"/>
        </w:rPr>
        <w:t>.</w:t>
      </w:r>
      <w:r w:rsidR="007C64F7" w:rsidRPr="00D160FB">
        <w:rPr>
          <w:lang w:val="en-GB"/>
        </w:rPr>
        <w:t>6%</w:t>
      </w:r>
      <w:r w:rsidR="00912A38" w:rsidRPr="00D160FB">
        <w:rPr>
          <w:lang w:val="en-GB"/>
        </w:rPr>
        <w:t xml:space="preserve"> year-on-year</w:t>
      </w:r>
      <w:r w:rsidR="007C64F7" w:rsidRPr="00D160FB">
        <w:rPr>
          <w:lang w:val="en-GB"/>
        </w:rPr>
        <w:t xml:space="preserve">. </w:t>
      </w:r>
      <w:r w:rsidR="00912A38" w:rsidRPr="00D160FB">
        <w:rPr>
          <w:lang w:val="en-GB"/>
        </w:rPr>
        <w:t xml:space="preserve">The balance of foreign trade with goods and services worsened </w:t>
      </w:r>
      <w:r w:rsidR="00E21DDD" w:rsidRPr="00D160FB">
        <w:rPr>
          <w:lang w:val="en-GB"/>
        </w:rPr>
        <w:t xml:space="preserve">by </w:t>
      </w:r>
      <w:r w:rsidR="007C64F7" w:rsidRPr="00D160FB">
        <w:rPr>
          <w:lang w:val="en-GB"/>
        </w:rPr>
        <w:t>4</w:t>
      </w:r>
      <w:r w:rsidR="00E21DDD" w:rsidRPr="00D160FB">
        <w:rPr>
          <w:lang w:val="en-GB"/>
        </w:rPr>
        <w:t>.</w:t>
      </w:r>
      <w:r w:rsidR="007C64F7" w:rsidRPr="00D160FB">
        <w:rPr>
          <w:lang w:val="en-GB"/>
        </w:rPr>
        <w:t>9</w:t>
      </w:r>
      <w:r w:rsidR="00E21DDD" w:rsidRPr="00D160FB">
        <w:rPr>
          <w:lang w:val="en-GB"/>
        </w:rPr>
        <w:t xml:space="preserve"> CZK bn year-on-year in Q4</w:t>
      </w:r>
      <w:r w:rsidR="007C64F7" w:rsidRPr="00D160FB">
        <w:rPr>
          <w:lang w:val="en-GB"/>
        </w:rPr>
        <w:t xml:space="preserve">, </w:t>
      </w:r>
      <w:r w:rsidR="00E21DDD" w:rsidRPr="00D160FB">
        <w:rPr>
          <w:lang w:val="en-GB"/>
        </w:rPr>
        <w:t xml:space="preserve">it nevertheless remained in surplus </w:t>
      </w:r>
      <w:r w:rsidR="007C64F7" w:rsidRPr="00D160FB">
        <w:rPr>
          <w:lang w:val="en-GB"/>
        </w:rPr>
        <w:t>(11</w:t>
      </w:r>
      <w:r w:rsidR="00E21DDD" w:rsidRPr="00D160FB">
        <w:rPr>
          <w:lang w:val="en-GB"/>
        </w:rPr>
        <w:t>.</w:t>
      </w:r>
      <w:r w:rsidR="007C64F7" w:rsidRPr="00D160FB">
        <w:rPr>
          <w:lang w:val="en-GB"/>
        </w:rPr>
        <w:t>1</w:t>
      </w:r>
      <w:r w:rsidR="00E21DDD" w:rsidRPr="00D160FB">
        <w:rPr>
          <w:lang w:val="en-GB"/>
        </w:rPr>
        <w:t xml:space="preserve"> bn</w:t>
      </w:r>
      <w:r w:rsidR="007C64F7" w:rsidRPr="00D160FB">
        <w:rPr>
          <w:lang w:val="en-GB"/>
        </w:rPr>
        <w:t xml:space="preserve">). </w:t>
      </w:r>
      <w:r w:rsidR="000909D5" w:rsidRPr="00D160FB">
        <w:rPr>
          <w:lang w:val="en-GB"/>
        </w:rPr>
        <w:t xml:space="preserve">The trade with oil and natural gas as well as other imported goods and materials, which experienced a marked price growth </w:t>
      </w:r>
      <w:r w:rsidR="000909D5" w:rsidRPr="00D160FB">
        <w:rPr>
          <w:spacing w:val="-4"/>
          <w:lang w:val="en-GB"/>
        </w:rPr>
        <w:t xml:space="preserve">the most affected the worsening of balance of trade with goods last year. Price factors also stood behind the improvement of the balance of trade with electricity, gas, steam and air conditioning </w:t>
      </w:r>
      <w:r w:rsidR="007C64F7" w:rsidRPr="00D160FB">
        <w:rPr>
          <w:spacing w:val="-4"/>
          <w:lang w:val="en-GB"/>
        </w:rPr>
        <w:t>a</w:t>
      </w:r>
      <w:r w:rsidR="000909D5" w:rsidRPr="00D160FB">
        <w:rPr>
          <w:spacing w:val="-4"/>
          <w:lang w:val="en-GB"/>
        </w:rPr>
        <w:t xml:space="preserve">nd the revival of export of motor vehicles also contributed positively. </w:t>
      </w:r>
      <w:r w:rsidR="007C64F7" w:rsidRPr="00D160FB">
        <w:rPr>
          <w:spacing w:val="-4"/>
          <w:lang w:val="en-GB"/>
        </w:rPr>
        <w:t xml:space="preserve"> </w:t>
      </w:r>
      <w:r w:rsidR="007C64F7" w:rsidRPr="00D160FB">
        <w:rPr>
          <w:lang w:val="en-GB"/>
        </w:rPr>
        <w:t xml:space="preserve"> </w:t>
      </w:r>
      <w:r w:rsidR="007C64F7" w:rsidRPr="00D160FB">
        <w:rPr>
          <w:spacing w:val="-6"/>
          <w:lang w:val="en-GB"/>
        </w:rPr>
        <w:t xml:space="preserve"> </w:t>
      </w:r>
    </w:p>
    <w:p w14:paraId="3BEEADD2" w14:textId="41484FE7" w:rsidR="007C64F7" w:rsidRPr="00D160FB" w:rsidRDefault="00F6715A" w:rsidP="007C64F7">
      <w:pPr>
        <w:pStyle w:val="Normalodrka"/>
        <w:spacing w:after="120"/>
        <w:rPr>
          <w:spacing w:val="-6"/>
          <w:lang w:val="en-GB"/>
        </w:rPr>
      </w:pPr>
      <w:r w:rsidRPr="00D160FB">
        <w:rPr>
          <w:spacing w:val="-6"/>
          <w:lang w:val="en-GB"/>
        </w:rPr>
        <w:t xml:space="preserve">Total price level </w:t>
      </w:r>
      <w:r w:rsidR="007C64F7" w:rsidRPr="00D160FB">
        <w:rPr>
          <w:spacing w:val="-6"/>
          <w:lang w:val="en-GB"/>
        </w:rPr>
        <w:t>(</w:t>
      </w:r>
      <w:r w:rsidRPr="00D160FB">
        <w:rPr>
          <w:spacing w:val="-6"/>
          <w:lang w:val="en-GB"/>
        </w:rPr>
        <w:t>gauged by the GDP deflator</w:t>
      </w:r>
      <w:r w:rsidR="007C64F7" w:rsidRPr="00D160FB">
        <w:rPr>
          <w:spacing w:val="-6"/>
          <w:lang w:val="en-GB"/>
        </w:rPr>
        <w:t>)</w:t>
      </w:r>
      <w:r w:rsidR="004B30B1" w:rsidRPr="00D160FB">
        <w:rPr>
          <w:spacing w:val="-6"/>
          <w:lang w:val="en-GB"/>
        </w:rPr>
        <w:t xml:space="preserve"> rose by </w:t>
      </w:r>
      <w:r w:rsidR="007C64F7" w:rsidRPr="00D160FB">
        <w:rPr>
          <w:spacing w:val="-6"/>
          <w:lang w:val="en-GB"/>
        </w:rPr>
        <w:t>8</w:t>
      </w:r>
      <w:r w:rsidR="004B30B1" w:rsidRPr="00D160FB">
        <w:rPr>
          <w:spacing w:val="-6"/>
          <w:lang w:val="en-GB"/>
        </w:rPr>
        <w:t>.</w:t>
      </w:r>
      <w:r w:rsidR="004F1127">
        <w:rPr>
          <w:spacing w:val="-6"/>
          <w:lang w:val="en-GB"/>
        </w:rPr>
        <w:t>4</w:t>
      </w:r>
      <w:r w:rsidR="007C64F7" w:rsidRPr="00D160FB">
        <w:rPr>
          <w:spacing w:val="-6"/>
          <w:lang w:val="en-GB"/>
        </w:rPr>
        <w:t>%</w:t>
      </w:r>
      <w:r w:rsidRPr="00D160FB">
        <w:rPr>
          <w:spacing w:val="-6"/>
          <w:lang w:val="en-GB"/>
        </w:rPr>
        <w:t xml:space="preserve"> last year</w:t>
      </w:r>
      <w:r w:rsidR="007C64F7" w:rsidRPr="00D160FB">
        <w:rPr>
          <w:spacing w:val="-6"/>
          <w:lang w:val="en-GB"/>
        </w:rPr>
        <w:t xml:space="preserve">. </w:t>
      </w:r>
      <w:r w:rsidR="008431BB" w:rsidRPr="00D160FB">
        <w:rPr>
          <w:spacing w:val="-6"/>
          <w:lang w:val="en-GB"/>
        </w:rPr>
        <w:t>The year-on-year growth of the price level during the year s</w:t>
      </w:r>
      <w:r w:rsidR="00A56017" w:rsidRPr="00D160FB">
        <w:rPr>
          <w:szCs w:val="20"/>
          <w:lang w:val="en-GB"/>
        </w:rPr>
        <w:t xml:space="preserve">trengthened up to </w:t>
      </w:r>
      <w:r w:rsidR="007C64F7" w:rsidRPr="00D160FB">
        <w:rPr>
          <w:szCs w:val="20"/>
          <w:lang w:val="en-GB"/>
        </w:rPr>
        <w:t>10</w:t>
      </w:r>
      <w:r w:rsidR="00A56017" w:rsidRPr="00D160FB">
        <w:rPr>
          <w:szCs w:val="20"/>
          <w:lang w:val="en-GB"/>
        </w:rPr>
        <w:t>.</w:t>
      </w:r>
      <w:r w:rsidR="007C64F7" w:rsidRPr="00D160FB">
        <w:rPr>
          <w:szCs w:val="20"/>
          <w:lang w:val="en-GB"/>
        </w:rPr>
        <w:t xml:space="preserve">7% </w:t>
      </w:r>
      <w:r w:rsidR="008431BB" w:rsidRPr="00D160FB">
        <w:rPr>
          <w:szCs w:val="20"/>
          <w:lang w:val="en-GB"/>
        </w:rPr>
        <w:t>in Q4</w:t>
      </w:r>
      <w:r w:rsidR="007C64F7" w:rsidRPr="00D160FB">
        <w:rPr>
          <w:szCs w:val="20"/>
          <w:lang w:val="en-GB"/>
        </w:rPr>
        <w:t xml:space="preserve">. </w:t>
      </w:r>
      <w:r w:rsidR="008431BB" w:rsidRPr="00D160FB">
        <w:rPr>
          <w:szCs w:val="20"/>
          <w:lang w:val="en-GB"/>
        </w:rPr>
        <w:t xml:space="preserve">Quarter-on-quarter, the price level lowered by </w:t>
      </w:r>
      <w:r w:rsidR="007C64F7" w:rsidRPr="00D160FB">
        <w:rPr>
          <w:szCs w:val="20"/>
          <w:lang w:val="en-GB"/>
        </w:rPr>
        <w:t>0</w:t>
      </w:r>
      <w:r w:rsidR="008431BB" w:rsidRPr="00D160FB">
        <w:rPr>
          <w:szCs w:val="20"/>
          <w:lang w:val="en-GB"/>
        </w:rPr>
        <w:t>.</w:t>
      </w:r>
      <w:r w:rsidR="007C64F7" w:rsidRPr="00D160FB">
        <w:rPr>
          <w:szCs w:val="20"/>
          <w:lang w:val="en-GB"/>
        </w:rPr>
        <w:t>5%.</w:t>
      </w:r>
      <w:r w:rsidR="00E87D5B" w:rsidRPr="00D160FB">
        <w:rPr>
          <w:szCs w:val="20"/>
          <w:lang w:val="en-GB"/>
        </w:rPr>
        <w:t xml:space="preserve"> </w:t>
      </w:r>
      <w:r w:rsidR="008431BB" w:rsidRPr="00D160FB">
        <w:rPr>
          <w:szCs w:val="20"/>
          <w:lang w:val="en-GB"/>
        </w:rPr>
        <w:t xml:space="preserve">The consumer prices increased by </w:t>
      </w:r>
      <w:r w:rsidR="007C64F7" w:rsidRPr="00D160FB">
        <w:rPr>
          <w:spacing w:val="-6"/>
          <w:lang w:val="en-GB"/>
        </w:rPr>
        <w:t>15</w:t>
      </w:r>
      <w:r w:rsidR="008431BB" w:rsidRPr="00D160FB">
        <w:rPr>
          <w:spacing w:val="-6"/>
          <w:lang w:val="en-GB"/>
        </w:rPr>
        <w:t>.</w:t>
      </w:r>
      <w:r w:rsidR="007C64F7" w:rsidRPr="00D160FB">
        <w:rPr>
          <w:spacing w:val="-6"/>
          <w:lang w:val="en-GB"/>
        </w:rPr>
        <w:t>1%</w:t>
      </w:r>
      <w:r w:rsidR="008431BB" w:rsidRPr="00D160FB">
        <w:rPr>
          <w:spacing w:val="-6"/>
          <w:lang w:val="en-GB"/>
        </w:rPr>
        <w:t xml:space="preserve"> last year</w:t>
      </w:r>
      <w:r w:rsidR="007C64F7" w:rsidRPr="00D160FB">
        <w:rPr>
          <w:spacing w:val="-6"/>
          <w:lang w:val="en-GB"/>
        </w:rPr>
        <w:t xml:space="preserve">. </w:t>
      </w:r>
      <w:r w:rsidR="008431BB" w:rsidRPr="00D160FB">
        <w:rPr>
          <w:spacing w:val="-6"/>
          <w:lang w:val="en-GB"/>
        </w:rPr>
        <w:t xml:space="preserve">Their year-on-year growth reduced to </w:t>
      </w:r>
      <w:r w:rsidR="007C64F7" w:rsidRPr="00D160FB">
        <w:rPr>
          <w:spacing w:val="-6"/>
          <w:lang w:val="en-GB"/>
        </w:rPr>
        <w:t>15</w:t>
      </w:r>
      <w:r w:rsidR="008431BB" w:rsidRPr="00D160FB">
        <w:rPr>
          <w:spacing w:val="-6"/>
          <w:lang w:val="en-GB"/>
        </w:rPr>
        <w:t>.</w:t>
      </w:r>
      <w:r w:rsidR="007C64F7" w:rsidRPr="00D160FB">
        <w:rPr>
          <w:spacing w:val="-6"/>
          <w:lang w:val="en-GB"/>
        </w:rPr>
        <w:t>7%</w:t>
      </w:r>
      <w:r w:rsidR="008431BB" w:rsidRPr="00D160FB">
        <w:rPr>
          <w:spacing w:val="-6"/>
          <w:lang w:val="en-GB"/>
        </w:rPr>
        <w:t xml:space="preserve"> in Q4</w:t>
      </w:r>
      <w:r w:rsidR="007C64F7" w:rsidRPr="00D160FB">
        <w:rPr>
          <w:spacing w:val="-6"/>
          <w:lang w:val="en-GB"/>
        </w:rPr>
        <w:t xml:space="preserve">. </w:t>
      </w:r>
      <w:r w:rsidR="005C1D5F" w:rsidRPr="00D160FB">
        <w:rPr>
          <w:spacing w:val="-6"/>
          <w:lang w:val="en-GB"/>
        </w:rPr>
        <w:t xml:space="preserve">The growth of prices was all encompassing last year </w:t>
      </w:r>
      <w:r w:rsidR="007C64F7" w:rsidRPr="00D160FB">
        <w:rPr>
          <w:lang w:val="en-GB"/>
        </w:rPr>
        <w:t>a</w:t>
      </w:r>
      <w:r w:rsidR="004548E8" w:rsidRPr="00D160FB">
        <w:rPr>
          <w:lang w:val="en-GB"/>
        </w:rPr>
        <w:t xml:space="preserve">nd it was double digit in </w:t>
      </w:r>
      <w:r w:rsidR="007C64F7" w:rsidRPr="00D160FB">
        <w:rPr>
          <w:lang w:val="en-GB"/>
        </w:rPr>
        <w:t>7</w:t>
      </w:r>
      <w:r w:rsidR="004548E8" w:rsidRPr="00D160FB">
        <w:rPr>
          <w:lang w:val="en-GB"/>
        </w:rPr>
        <w:t xml:space="preserve"> out of </w:t>
      </w:r>
      <w:r w:rsidR="007C64F7" w:rsidRPr="00D160FB">
        <w:rPr>
          <w:lang w:val="en-GB"/>
        </w:rPr>
        <w:t>12</w:t>
      </w:r>
      <w:r w:rsidR="004548E8" w:rsidRPr="00D160FB">
        <w:rPr>
          <w:lang w:val="en-GB"/>
        </w:rPr>
        <w:t xml:space="preserve"> consumer basket divisions</w:t>
      </w:r>
      <w:r w:rsidR="007C64F7" w:rsidRPr="00D160FB">
        <w:rPr>
          <w:lang w:val="en-GB"/>
        </w:rPr>
        <w:t xml:space="preserve">. </w:t>
      </w:r>
      <w:r w:rsidR="005C1D5F" w:rsidRPr="00D160FB">
        <w:rPr>
          <w:lang w:val="en-GB"/>
        </w:rPr>
        <w:t>The three most weight-significant divisions of consumer basket</w:t>
      </w:r>
      <w:r w:rsidR="007C64F7" w:rsidRPr="00D160FB">
        <w:rPr>
          <w:spacing w:val="-6"/>
          <w:lang w:val="en-GB"/>
        </w:rPr>
        <w:t xml:space="preserve">, </w:t>
      </w:r>
      <w:r w:rsidR="004548E8" w:rsidRPr="00D160FB">
        <w:rPr>
          <w:spacing w:val="-6"/>
          <w:lang w:val="en-GB"/>
        </w:rPr>
        <w:t>i.e. housing and energies, food and non-alcoholic beverages and transport</w:t>
      </w:r>
      <w:r w:rsidR="005C1D5F" w:rsidRPr="00D160FB">
        <w:rPr>
          <w:spacing w:val="-6"/>
          <w:lang w:val="en-GB"/>
        </w:rPr>
        <w:t>, had the largest effect on the growth of price last year</w:t>
      </w:r>
      <w:r w:rsidR="004548E8" w:rsidRPr="00D160FB">
        <w:rPr>
          <w:spacing w:val="-6"/>
          <w:lang w:val="en-GB"/>
        </w:rPr>
        <w:t xml:space="preserve">. </w:t>
      </w:r>
      <w:r w:rsidR="00A33CF3" w:rsidRPr="00D160FB">
        <w:rPr>
          <w:spacing w:val="-6"/>
          <w:lang w:val="en-GB"/>
        </w:rPr>
        <w:t>For food the growth accelerated in the second half of the year</w:t>
      </w:r>
      <w:r w:rsidR="007C64F7" w:rsidRPr="00D160FB">
        <w:rPr>
          <w:spacing w:val="-6"/>
          <w:lang w:val="en-GB"/>
        </w:rPr>
        <w:t xml:space="preserve">, </w:t>
      </w:r>
      <w:r w:rsidR="004548E8" w:rsidRPr="00D160FB">
        <w:rPr>
          <w:spacing w:val="-6"/>
          <w:lang w:val="en-GB"/>
        </w:rPr>
        <w:t>the dynamics on the contrary eased its pace in case of housing and energies and transport</w:t>
      </w:r>
      <w:r w:rsidR="007C64F7" w:rsidRPr="00D160FB">
        <w:rPr>
          <w:spacing w:val="-6"/>
          <w:lang w:val="en-GB"/>
        </w:rPr>
        <w:t xml:space="preserve">. </w:t>
      </w:r>
    </w:p>
    <w:p w14:paraId="4E8F1386" w14:textId="3119E5F5" w:rsidR="007C64F7" w:rsidRPr="00D160FB" w:rsidRDefault="007C64F7" w:rsidP="007C64F7">
      <w:pPr>
        <w:pStyle w:val="Normalodrka"/>
        <w:spacing w:after="120"/>
        <w:rPr>
          <w:spacing w:val="-6"/>
          <w:lang w:val="en-GB"/>
        </w:rPr>
      </w:pPr>
      <w:r w:rsidRPr="00D160FB">
        <w:rPr>
          <w:spacing w:val="-6"/>
          <w:lang w:val="en-GB"/>
        </w:rPr>
        <w:t>M</w:t>
      </w:r>
      <w:r w:rsidR="001B4B62" w:rsidRPr="00D160FB">
        <w:rPr>
          <w:spacing w:val="-6"/>
          <w:lang w:val="en-GB"/>
        </w:rPr>
        <w:t xml:space="preserve">onetary policy-relevant interest rates </w:t>
      </w:r>
      <w:r w:rsidR="00A56017" w:rsidRPr="00D160FB">
        <w:rPr>
          <w:spacing w:val="-6"/>
          <w:lang w:val="en-GB"/>
        </w:rPr>
        <w:t>were rising in H</w:t>
      </w:r>
      <w:r w:rsidRPr="00D160FB">
        <w:rPr>
          <w:spacing w:val="-6"/>
          <w:lang w:val="en-GB"/>
        </w:rPr>
        <w:t>1</w:t>
      </w:r>
      <w:r w:rsidR="00A56017" w:rsidRPr="00D160FB">
        <w:rPr>
          <w:spacing w:val="-6"/>
          <w:lang w:val="en-GB"/>
        </w:rPr>
        <w:t xml:space="preserve"> last year </w:t>
      </w:r>
      <w:r w:rsidRPr="00D160FB">
        <w:rPr>
          <w:spacing w:val="-6"/>
          <w:lang w:val="en-GB"/>
        </w:rPr>
        <w:t>a</w:t>
      </w:r>
      <w:r w:rsidR="00A56017" w:rsidRPr="00D160FB">
        <w:rPr>
          <w:spacing w:val="-6"/>
          <w:lang w:val="en-GB"/>
        </w:rPr>
        <w:t>nd remained at a constant level since June till the end of the year</w:t>
      </w:r>
      <w:r w:rsidRPr="00D160FB">
        <w:rPr>
          <w:spacing w:val="-6"/>
          <w:lang w:val="en-GB"/>
        </w:rPr>
        <w:t xml:space="preserve">. </w:t>
      </w:r>
      <w:r w:rsidR="00AE3258" w:rsidRPr="00D160FB">
        <w:rPr>
          <w:spacing w:val="-6"/>
          <w:lang w:val="en-GB"/>
        </w:rPr>
        <w:t>The client rates on term deposits were raised and the credit financing for both households and businesses became more expensive during the year</w:t>
      </w:r>
      <w:r w:rsidRPr="00D160FB">
        <w:rPr>
          <w:spacing w:val="-6"/>
          <w:lang w:val="en-GB"/>
        </w:rPr>
        <w:t xml:space="preserve">. </w:t>
      </w:r>
      <w:r w:rsidR="00AE3258" w:rsidRPr="00D160FB">
        <w:rPr>
          <w:spacing w:val="-6"/>
          <w:lang w:val="en-GB"/>
        </w:rPr>
        <w:t xml:space="preserve">There was perceptible spill over of funds from current accounts to term deposits. </w:t>
      </w:r>
    </w:p>
    <w:p w14:paraId="61ECEB65" w14:textId="33EABE3B" w:rsidR="007C64F7" w:rsidRPr="00D160FB" w:rsidRDefault="00AE4909" w:rsidP="007C64F7">
      <w:pPr>
        <w:pStyle w:val="Normalodrka"/>
        <w:spacing w:after="120"/>
        <w:rPr>
          <w:spacing w:val="-6"/>
          <w:lang w:val="en-GB"/>
        </w:rPr>
      </w:pPr>
      <w:r w:rsidRPr="00D160FB">
        <w:rPr>
          <w:spacing w:val="-6"/>
          <w:lang w:val="en-GB"/>
        </w:rPr>
        <w:t>Total employment</w:t>
      </w:r>
      <w:r w:rsidR="007C64F7" w:rsidRPr="00D160FB">
        <w:rPr>
          <w:rStyle w:val="Znakapoznpodarou"/>
          <w:spacing w:val="-6"/>
          <w:lang w:val="en-GB"/>
        </w:rPr>
        <w:footnoteReference w:id="3"/>
      </w:r>
      <w:r w:rsidR="007C64F7" w:rsidRPr="00D160FB">
        <w:rPr>
          <w:spacing w:val="-6"/>
          <w:lang w:val="en-GB"/>
        </w:rPr>
        <w:t xml:space="preserve"> </w:t>
      </w:r>
      <w:r w:rsidR="007214EE" w:rsidRPr="00D160FB">
        <w:rPr>
          <w:spacing w:val="-6"/>
          <w:lang w:val="en-GB"/>
        </w:rPr>
        <w:t xml:space="preserve">expanded by </w:t>
      </w:r>
      <w:r w:rsidR="007C64F7" w:rsidRPr="00D160FB">
        <w:rPr>
          <w:spacing w:val="-6"/>
          <w:lang w:val="en-GB"/>
        </w:rPr>
        <w:t>1</w:t>
      </w:r>
      <w:r w:rsidR="007214EE" w:rsidRPr="00D160FB">
        <w:rPr>
          <w:spacing w:val="-6"/>
          <w:lang w:val="en-GB"/>
        </w:rPr>
        <w:t>.</w:t>
      </w:r>
      <w:r w:rsidR="007C64F7" w:rsidRPr="00D160FB">
        <w:rPr>
          <w:spacing w:val="-6"/>
          <w:lang w:val="en-GB"/>
        </w:rPr>
        <w:t>7%</w:t>
      </w:r>
      <w:r w:rsidR="007214EE" w:rsidRPr="00D160FB">
        <w:rPr>
          <w:spacing w:val="-6"/>
          <w:lang w:val="en-GB"/>
        </w:rPr>
        <w:t xml:space="preserve"> last year</w:t>
      </w:r>
      <w:r w:rsidR="007C64F7" w:rsidRPr="00D160FB">
        <w:rPr>
          <w:spacing w:val="-6"/>
          <w:lang w:val="en-GB"/>
        </w:rPr>
        <w:t xml:space="preserve">. </w:t>
      </w:r>
      <w:r w:rsidR="007214EE" w:rsidRPr="00D160FB">
        <w:rPr>
          <w:spacing w:val="-6"/>
          <w:lang w:val="en-GB"/>
        </w:rPr>
        <w:t xml:space="preserve">It increased by </w:t>
      </w:r>
      <w:r w:rsidR="007C64F7" w:rsidRPr="00D160FB">
        <w:rPr>
          <w:spacing w:val="-6"/>
          <w:lang w:val="en-GB"/>
        </w:rPr>
        <w:t>1</w:t>
      </w:r>
      <w:r w:rsidR="007214EE" w:rsidRPr="00D160FB">
        <w:rPr>
          <w:spacing w:val="-6"/>
          <w:lang w:val="en-GB"/>
        </w:rPr>
        <w:t>.</w:t>
      </w:r>
      <w:r w:rsidR="007C64F7" w:rsidRPr="00D160FB">
        <w:rPr>
          <w:spacing w:val="-6"/>
          <w:lang w:val="en-GB"/>
        </w:rPr>
        <w:t>3%</w:t>
      </w:r>
      <w:r w:rsidR="007214EE" w:rsidRPr="00D160FB">
        <w:rPr>
          <w:spacing w:val="-6"/>
          <w:lang w:val="en-GB"/>
        </w:rPr>
        <w:t xml:space="preserve"> year-on-year in Q4</w:t>
      </w:r>
      <w:r w:rsidR="007C64F7" w:rsidRPr="00D160FB">
        <w:rPr>
          <w:spacing w:val="-6"/>
          <w:lang w:val="en-GB"/>
        </w:rPr>
        <w:t xml:space="preserve">, </w:t>
      </w:r>
      <w:r w:rsidR="005C1D5F" w:rsidRPr="00D160FB">
        <w:rPr>
          <w:spacing w:val="-6"/>
          <w:lang w:val="en-GB"/>
        </w:rPr>
        <w:t>however quarter-on-quarter it decreased for the second time in a row</w:t>
      </w:r>
      <w:r w:rsidR="007C64F7" w:rsidRPr="00D160FB">
        <w:rPr>
          <w:spacing w:val="-6"/>
          <w:lang w:val="en-GB"/>
        </w:rPr>
        <w:t xml:space="preserve">, </w:t>
      </w:r>
      <w:r w:rsidR="007214EE" w:rsidRPr="00D160FB">
        <w:rPr>
          <w:spacing w:val="-6"/>
          <w:lang w:val="en-GB"/>
        </w:rPr>
        <w:t xml:space="preserve">specifically by </w:t>
      </w:r>
      <w:r w:rsidR="007C64F7" w:rsidRPr="00D160FB">
        <w:rPr>
          <w:spacing w:val="-6"/>
          <w:lang w:val="en-GB"/>
        </w:rPr>
        <w:t>0</w:t>
      </w:r>
      <w:r w:rsidR="007214EE" w:rsidRPr="00D160FB">
        <w:rPr>
          <w:spacing w:val="-6"/>
          <w:lang w:val="en-GB"/>
        </w:rPr>
        <w:t>.</w:t>
      </w:r>
      <w:r w:rsidR="007C64F7" w:rsidRPr="00D160FB">
        <w:rPr>
          <w:spacing w:val="-6"/>
          <w:lang w:val="en-GB"/>
        </w:rPr>
        <w:t xml:space="preserve">4%. </w:t>
      </w:r>
      <w:r w:rsidR="001F1B91" w:rsidRPr="00D160FB">
        <w:rPr>
          <w:spacing w:val="-6"/>
          <w:lang w:val="en-GB"/>
        </w:rPr>
        <w:t xml:space="preserve">The general unemployment rate stagnated since the beginning of the year and it attained </w:t>
      </w:r>
      <w:r w:rsidR="007C64F7" w:rsidRPr="00D160FB">
        <w:rPr>
          <w:color w:val="0D0D0D" w:themeColor="text1" w:themeTint="F2"/>
          <w:spacing w:val="-4"/>
          <w:lang w:val="en-GB"/>
        </w:rPr>
        <w:t>1</w:t>
      </w:r>
      <w:r w:rsidR="001F1B91" w:rsidRPr="00D160FB">
        <w:rPr>
          <w:color w:val="0D0D0D" w:themeColor="text1" w:themeTint="F2"/>
          <w:spacing w:val="-4"/>
          <w:lang w:val="en-GB"/>
        </w:rPr>
        <w:t>.</w:t>
      </w:r>
      <w:r w:rsidR="007C64F7" w:rsidRPr="00D160FB">
        <w:rPr>
          <w:color w:val="0D0D0D" w:themeColor="text1" w:themeTint="F2"/>
          <w:spacing w:val="-4"/>
          <w:lang w:val="en-GB"/>
        </w:rPr>
        <w:t>8%</w:t>
      </w:r>
      <w:r w:rsidR="001F1B91" w:rsidRPr="00D160FB">
        <w:rPr>
          <w:color w:val="0D0D0D" w:themeColor="text1" w:themeTint="F2"/>
          <w:spacing w:val="-4"/>
          <w:lang w:val="en-GB"/>
        </w:rPr>
        <w:t xml:space="preserve"> for males and </w:t>
      </w:r>
      <w:r w:rsidR="007C64F7" w:rsidRPr="00D160FB">
        <w:rPr>
          <w:color w:val="0D0D0D" w:themeColor="text1" w:themeTint="F2"/>
          <w:spacing w:val="-4"/>
          <w:lang w:val="en-GB"/>
        </w:rPr>
        <w:t>2</w:t>
      </w:r>
      <w:r w:rsidR="001F1B91" w:rsidRPr="00D160FB">
        <w:rPr>
          <w:color w:val="0D0D0D" w:themeColor="text1" w:themeTint="F2"/>
          <w:spacing w:val="-4"/>
          <w:lang w:val="en-GB"/>
        </w:rPr>
        <w:t>.</w:t>
      </w:r>
      <w:r w:rsidR="007C64F7" w:rsidRPr="00D160FB">
        <w:rPr>
          <w:color w:val="0D0D0D" w:themeColor="text1" w:themeTint="F2"/>
          <w:spacing w:val="-4"/>
          <w:lang w:val="en-GB"/>
        </w:rPr>
        <w:t>5%</w:t>
      </w:r>
      <w:r w:rsidR="001F1B91" w:rsidRPr="00D160FB">
        <w:rPr>
          <w:color w:val="0D0D0D" w:themeColor="text1" w:themeTint="F2"/>
          <w:spacing w:val="-4"/>
          <w:lang w:val="en-GB"/>
        </w:rPr>
        <w:t xml:space="preserve"> for females in December</w:t>
      </w:r>
      <w:r w:rsidR="007C64F7" w:rsidRPr="00D160FB">
        <w:rPr>
          <w:color w:val="0D0D0D" w:themeColor="text1" w:themeTint="F2"/>
          <w:spacing w:val="-4"/>
          <w:lang w:val="en-GB"/>
        </w:rPr>
        <w:t>.</w:t>
      </w:r>
      <w:r w:rsidR="007C64F7" w:rsidRPr="00D160FB">
        <w:rPr>
          <w:color w:val="1D1B11" w:themeColor="background2" w:themeShade="1A"/>
          <w:spacing w:val="-6"/>
          <w:lang w:val="en-GB"/>
        </w:rPr>
        <w:t xml:space="preserve"> </w:t>
      </w:r>
      <w:r w:rsidR="007276DF" w:rsidRPr="00D160FB">
        <w:rPr>
          <w:color w:val="1D1B11" w:themeColor="background2" w:themeShade="1A"/>
          <w:spacing w:val="-6"/>
          <w:lang w:val="en-GB"/>
        </w:rPr>
        <w:t xml:space="preserve">The average gross monthly nominal wage reached </w:t>
      </w:r>
      <w:r w:rsidR="007C64F7" w:rsidRPr="00D160FB">
        <w:rPr>
          <w:color w:val="0D0D0D" w:themeColor="text1" w:themeTint="F2"/>
          <w:spacing w:val="-6"/>
          <w:lang w:val="en-GB"/>
        </w:rPr>
        <w:t xml:space="preserve">40 353 </w:t>
      </w:r>
      <w:r w:rsidR="007276DF" w:rsidRPr="00D160FB">
        <w:rPr>
          <w:color w:val="0D0D0D" w:themeColor="text1" w:themeTint="F2"/>
          <w:spacing w:val="-6"/>
          <w:lang w:val="en-GB"/>
        </w:rPr>
        <w:t>CZK last year</w:t>
      </w:r>
      <w:r w:rsidR="007C64F7" w:rsidRPr="00D160FB">
        <w:rPr>
          <w:color w:val="0D0D0D" w:themeColor="text1" w:themeTint="F2"/>
          <w:spacing w:val="-6"/>
          <w:lang w:val="en-GB"/>
        </w:rPr>
        <w:t xml:space="preserve">. </w:t>
      </w:r>
      <w:r w:rsidR="007276DF" w:rsidRPr="00D160FB">
        <w:rPr>
          <w:color w:val="0D0D0D" w:themeColor="text1" w:themeTint="F2"/>
          <w:spacing w:val="-6"/>
          <w:lang w:val="en-GB"/>
        </w:rPr>
        <w:t xml:space="preserve">It grew by </w:t>
      </w:r>
      <w:r w:rsidR="007C64F7" w:rsidRPr="00D160FB">
        <w:rPr>
          <w:color w:val="0D0D0D" w:themeColor="text1" w:themeTint="F2"/>
          <w:spacing w:val="-6"/>
          <w:lang w:val="en-GB"/>
        </w:rPr>
        <w:t>6</w:t>
      </w:r>
      <w:r w:rsidR="007276DF" w:rsidRPr="00D160FB">
        <w:rPr>
          <w:color w:val="0D0D0D" w:themeColor="text1" w:themeTint="F2"/>
          <w:spacing w:val="-6"/>
          <w:lang w:val="en-GB"/>
        </w:rPr>
        <w:t>.</w:t>
      </w:r>
      <w:r w:rsidR="007C64F7" w:rsidRPr="00D160FB">
        <w:rPr>
          <w:color w:val="0D0D0D" w:themeColor="text1" w:themeTint="F2"/>
          <w:spacing w:val="-6"/>
          <w:lang w:val="en-GB"/>
        </w:rPr>
        <w:t>5%</w:t>
      </w:r>
      <w:r w:rsidR="007276DF" w:rsidRPr="00D160FB">
        <w:rPr>
          <w:color w:val="0D0D0D" w:themeColor="text1" w:themeTint="F2"/>
          <w:spacing w:val="-6"/>
          <w:lang w:val="en-GB"/>
        </w:rPr>
        <w:t xml:space="preserve"> in nominal terms</w:t>
      </w:r>
      <w:r w:rsidR="007C64F7" w:rsidRPr="00D160FB">
        <w:rPr>
          <w:color w:val="0D0D0D" w:themeColor="text1" w:themeTint="F2"/>
          <w:spacing w:val="-6"/>
          <w:lang w:val="en-GB"/>
        </w:rPr>
        <w:t>,</w:t>
      </w:r>
      <w:r w:rsidR="007276DF" w:rsidRPr="00D160FB">
        <w:rPr>
          <w:color w:val="0D0D0D" w:themeColor="text1" w:themeTint="F2"/>
          <w:spacing w:val="-6"/>
          <w:lang w:val="en-GB"/>
        </w:rPr>
        <w:t xml:space="preserve"> however </w:t>
      </w:r>
      <w:r w:rsidR="007276DF" w:rsidRPr="00D160FB">
        <w:rPr>
          <w:color w:val="0D0D0D" w:themeColor="text1" w:themeTint="F2"/>
          <w:spacing w:val="-6"/>
          <w:lang w:val="en-GB"/>
        </w:rPr>
        <w:lastRenderedPageBreak/>
        <w:t xml:space="preserve">considering the strong growth of the consumer prices it plunged by </w:t>
      </w:r>
      <w:r w:rsidR="007C64F7" w:rsidRPr="00D160FB">
        <w:rPr>
          <w:color w:val="0D0D0D" w:themeColor="text1" w:themeTint="F2"/>
          <w:spacing w:val="-6"/>
          <w:lang w:val="en-GB"/>
        </w:rPr>
        <w:t>7</w:t>
      </w:r>
      <w:r w:rsidR="007276DF" w:rsidRPr="00D160FB">
        <w:rPr>
          <w:color w:val="0D0D0D" w:themeColor="text1" w:themeTint="F2"/>
          <w:spacing w:val="-6"/>
          <w:lang w:val="en-GB"/>
        </w:rPr>
        <w:t>.</w:t>
      </w:r>
      <w:r w:rsidR="007C64F7" w:rsidRPr="00D160FB">
        <w:rPr>
          <w:color w:val="0D0D0D" w:themeColor="text1" w:themeTint="F2"/>
          <w:spacing w:val="-6"/>
          <w:lang w:val="en-GB"/>
        </w:rPr>
        <w:t>5%</w:t>
      </w:r>
      <w:r w:rsidR="007276DF" w:rsidRPr="00D160FB">
        <w:rPr>
          <w:color w:val="0D0D0D" w:themeColor="text1" w:themeTint="F2"/>
          <w:spacing w:val="-6"/>
          <w:lang w:val="en-GB"/>
        </w:rPr>
        <w:t xml:space="preserve"> in real terms</w:t>
      </w:r>
      <w:r w:rsidR="007C64F7" w:rsidRPr="00D160FB">
        <w:rPr>
          <w:color w:val="0D0D0D" w:themeColor="text1" w:themeTint="F2"/>
          <w:spacing w:val="-6"/>
          <w:lang w:val="en-GB"/>
        </w:rPr>
        <w:t xml:space="preserve">. </w:t>
      </w:r>
      <w:r w:rsidR="00410A5C" w:rsidRPr="00D160FB">
        <w:rPr>
          <w:color w:val="0D0D0D" w:themeColor="text1" w:themeTint="F2"/>
          <w:spacing w:val="-6"/>
          <w:lang w:val="en-GB"/>
        </w:rPr>
        <w:t xml:space="preserve">The average wage rose by </w:t>
      </w:r>
      <w:r w:rsidR="007C64F7" w:rsidRPr="00D160FB">
        <w:rPr>
          <w:color w:val="0D0D0D" w:themeColor="text1" w:themeTint="F2"/>
          <w:spacing w:val="-6"/>
          <w:lang w:val="en-GB"/>
        </w:rPr>
        <w:t>7</w:t>
      </w:r>
      <w:r w:rsidR="00410A5C" w:rsidRPr="00D160FB">
        <w:rPr>
          <w:color w:val="0D0D0D" w:themeColor="text1" w:themeTint="F2"/>
          <w:spacing w:val="-6"/>
          <w:lang w:val="en-GB"/>
        </w:rPr>
        <w:t>.</w:t>
      </w:r>
      <w:r w:rsidR="007C64F7" w:rsidRPr="00D160FB">
        <w:rPr>
          <w:color w:val="0D0D0D" w:themeColor="text1" w:themeTint="F2"/>
          <w:spacing w:val="-6"/>
          <w:lang w:val="en-GB"/>
        </w:rPr>
        <w:t xml:space="preserve">9% </w:t>
      </w:r>
      <w:r w:rsidR="00410A5C" w:rsidRPr="00D160FB">
        <w:rPr>
          <w:color w:val="0D0D0D" w:themeColor="text1" w:themeTint="F2"/>
          <w:spacing w:val="-6"/>
          <w:lang w:val="en-GB"/>
        </w:rPr>
        <w:t xml:space="preserve">to </w:t>
      </w:r>
      <w:r w:rsidR="007C64F7" w:rsidRPr="00D160FB">
        <w:rPr>
          <w:color w:val="0D0D0D" w:themeColor="text1" w:themeTint="F2"/>
          <w:spacing w:val="-6"/>
          <w:lang w:val="en-GB"/>
        </w:rPr>
        <w:t xml:space="preserve">43 412 </w:t>
      </w:r>
      <w:r w:rsidR="00410A5C" w:rsidRPr="00D160FB">
        <w:rPr>
          <w:color w:val="0D0D0D" w:themeColor="text1" w:themeTint="F2"/>
          <w:spacing w:val="-6"/>
          <w:lang w:val="en-GB"/>
        </w:rPr>
        <w:t>CZK year-on-year in Q4</w:t>
      </w:r>
      <w:r w:rsidR="007C64F7" w:rsidRPr="00D160FB">
        <w:rPr>
          <w:color w:val="0D0D0D" w:themeColor="text1" w:themeTint="F2"/>
          <w:spacing w:val="-6"/>
          <w:lang w:val="en-GB"/>
        </w:rPr>
        <w:t xml:space="preserve">. </w:t>
      </w:r>
      <w:r w:rsidR="00410A5C" w:rsidRPr="00D160FB">
        <w:rPr>
          <w:color w:val="0D0D0D" w:themeColor="text1" w:themeTint="F2"/>
          <w:spacing w:val="-6"/>
          <w:lang w:val="en-GB"/>
        </w:rPr>
        <w:t xml:space="preserve">Quarter-on-quarter, it was by </w:t>
      </w:r>
      <w:r w:rsidR="007C64F7" w:rsidRPr="00D160FB">
        <w:rPr>
          <w:color w:val="0D0D0D" w:themeColor="text1" w:themeTint="F2"/>
          <w:spacing w:val="-6"/>
          <w:lang w:val="en-GB"/>
        </w:rPr>
        <w:t>2</w:t>
      </w:r>
      <w:r w:rsidR="00410A5C" w:rsidRPr="00D160FB">
        <w:rPr>
          <w:color w:val="0D0D0D" w:themeColor="text1" w:themeTint="F2"/>
          <w:spacing w:val="-6"/>
          <w:lang w:val="en-GB"/>
        </w:rPr>
        <w:t>.</w:t>
      </w:r>
      <w:r w:rsidR="007C64F7" w:rsidRPr="00D160FB">
        <w:rPr>
          <w:color w:val="0D0D0D" w:themeColor="text1" w:themeTint="F2"/>
          <w:spacing w:val="-6"/>
          <w:lang w:val="en-GB"/>
        </w:rPr>
        <w:t>1%</w:t>
      </w:r>
      <w:r w:rsidR="00410A5C" w:rsidRPr="00D160FB">
        <w:rPr>
          <w:color w:val="0D0D0D" w:themeColor="text1" w:themeTint="F2"/>
          <w:spacing w:val="-6"/>
          <w:lang w:val="en-GB"/>
        </w:rPr>
        <w:t xml:space="preserve"> higher</w:t>
      </w:r>
      <w:r w:rsidR="007C64F7" w:rsidRPr="00D160FB">
        <w:rPr>
          <w:color w:val="0D0D0D" w:themeColor="text1" w:themeTint="F2"/>
          <w:spacing w:val="-6"/>
          <w:lang w:val="en-GB"/>
        </w:rPr>
        <w:t>.</w:t>
      </w:r>
    </w:p>
    <w:p w14:paraId="590F7B39" w14:textId="42411145" w:rsidR="007C64F7" w:rsidRPr="00D160FB" w:rsidRDefault="007276DF" w:rsidP="007C64F7">
      <w:pPr>
        <w:pStyle w:val="Normalodrka"/>
        <w:spacing w:after="120"/>
        <w:rPr>
          <w:spacing w:val="-6"/>
          <w:lang w:val="en-GB"/>
        </w:rPr>
      </w:pPr>
      <w:r w:rsidRPr="00D160FB">
        <w:rPr>
          <w:spacing w:val="-6"/>
          <w:lang w:val="en-GB"/>
        </w:rPr>
        <w:t xml:space="preserve">The state budget (SB) ended in deficit of </w:t>
      </w:r>
      <w:r w:rsidR="007C64F7" w:rsidRPr="00D160FB">
        <w:rPr>
          <w:spacing w:val="-6"/>
          <w:lang w:val="en-GB"/>
        </w:rPr>
        <w:t>360</w:t>
      </w:r>
      <w:r w:rsidRPr="00D160FB">
        <w:rPr>
          <w:spacing w:val="-6"/>
          <w:lang w:val="en-GB"/>
        </w:rPr>
        <w:t>.</w:t>
      </w:r>
      <w:r w:rsidR="007C64F7" w:rsidRPr="00D160FB">
        <w:rPr>
          <w:spacing w:val="-6"/>
          <w:lang w:val="en-GB"/>
        </w:rPr>
        <w:t>4</w:t>
      </w:r>
      <w:r w:rsidRPr="00D160FB">
        <w:rPr>
          <w:spacing w:val="-6"/>
          <w:lang w:val="en-GB"/>
        </w:rPr>
        <w:t xml:space="preserve"> CZK bn last year</w:t>
      </w:r>
      <w:r w:rsidR="007C64F7" w:rsidRPr="00D160FB">
        <w:rPr>
          <w:spacing w:val="-6"/>
          <w:lang w:val="en-GB"/>
        </w:rPr>
        <w:t xml:space="preserve">. </w:t>
      </w:r>
      <w:bookmarkStart w:id="22" w:name="_Toc98245441"/>
      <w:bookmarkStart w:id="23" w:name="_Toc90395910"/>
      <w:r w:rsidR="00A936A2" w:rsidRPr="00D160FB">
        <w:rPr>
          <w:spacing w:val="-4"/>
          <w:lang w:val="en-GB"/>
        </w:rPr>
        <w:t>More successful SB management in Q1 mainly contributed to the year-on-year decrease of the total deficit</w:t>
      </w:r>
      <w:r w:rsidR="007C64F7" w:rsidRPr="00D160FB">
        <w:rPr>
          <w:spacing w:val="-4"/>
          <w:lang w:val="en-GB"/>
        </w:rPr>
        <w:t xml:space="preserve">. </w:t>
      </w:r>
      <w:r w:rsidR="00A936A2" w:rsidRPr="00D160FB">
        <w:rPr>
          <w:spacing w:val="-4"/>
          <w:lang w:val="en-GB"/>
        </w:rPr>
        <w:t>The impacts of the war in Ukraine, i.e. the acceleration of the growth of prices of energies as well as fuels and costs connected to the refugee wave were at the beginning adversely apparent more on the expenditure side of the budget. Their negative impact also on the budget revenues was however still more evident towards the end of the year</w:t>
      </w:r>
      <w:r w:rsidR="007C64F7" w:rsidRPr="00D160FB">
        <w:rPr>
          <w:spacing w:val="-4"/>
          <w:lang w:val="en-GB"/>
        </w:rPr>
        <w:t xml:space="preserve">, </w:t>
      </w:r>
      <w:r w:rsidR="00A936A2" w:rsidRPr="00D160FB">
        <w:rPr>
          <w:spacing w:val="-4"/>
          <w:lang w:val="en-GB"/>
        </w:rPr>
        <w:t xml:space="preserve">first of all in the area of indirect taxes. </w:t>
      </w:r>
      <w:r w:rsidR="007C64F7" w:rsidRPr="00D160FB">
        <w:rPr>
          <w:spacing w:val="-4"/>
          <w:lang w:val="en-GB"/>
        </w:rPr>
        <w:t xml:space="preserve"> </w:t>
      </w:r>
    </w:p>
    <w:p w14:paraId="41F72B60" w14:textId="77777777" w:rsidR="007C64F7" w:rsidRPr="00D160FB" w:rsidRDefault="007C64F7" w:rsidP="007C64F7">
      <w:pPr>
        <w:pStyle w:val="Normalodrka"/>
        <w:numPr>
          <w:ilvl w:val="0"/>
          <w:numId w:val="0"/>
        </w:numPr>
        <w:spacing w:after="0"/>
        <w:rPr>
          <w:b/>
          <w:sz w:val="2"/>
          <w:szCs w:val="2"/>
          <w:lang w:val="en-GB"/>
        </w:rPr>
      </w:pPr>
      <w:r w:rsidRPr="00D160FB">
        <w:rPr>
          <w:spacing w:val="-4"/>
          <w:lang w:val="en-GB"/>
        </w:rPr>
        <w:t xml:space="preserve"> </w:t>
      </w:r>
      <w:bookmarkEnd w:id="22"/>
      <w:bookmarkEnd w:id="23"/>
    </w:p>
    <w:bookmarkEnd w:id="8"/>
    <w:bookmarkEnd w:id="9"/>
    <w:bookmarkEnd w:id="10"/>
    <w:bookmarkEnd w:id="11"/>
    <w:bookmarkEnd w:id="12"/>
    <w:bookmarkEnd w:id="13"/>
    <w:p w14:paraId="38C2B5F7" w14:textId="15CF1472" w:rsidR="00262B30" w:rsidRPr="00D160FB" w:rsidRDefault="00262B30" w:rsidP="006574EA">
      <w:pPr>
        <w:pStyle w:val="Normalodrka"/>
        <w:numPr>
          <w:ilvl w:val="0"/>
          <w:numId w:val="0"/>
        </w:numPr>
        <w:spacing w:after="0"/>
        <w:jc w:val="center"/>
        <w:rPr>
          <w:b/>
          <w:sz w:val="2"/>
          <w:szCs w:val="2"/>
          <w:lang w:val="en-GB"/>
        </w:rPr>
      </w:pPr>
    </w:p>
    <w:p w14:paraId="0D62FB56" w14:textId="049CF1C0" w:rsidR="00A56F8E" w:rsidRPr="00D160FB" w:rsidRDefault="006574EA" w:rsidP="006574EA">
      <w:pPr>
        <w:pStyle w:val="Normalodrka"/>
        <w:numPr>
          <w:ilvl w:val="0"/>
          <w:numId w:val="0"/>
        </w:numPr>
        <w:jc w:val="center"/>
        <w:rPr>
          <w:b/>
          <w:bCs/>
          <w:spacing w:val="-4"/>
          <w:lang w:val="en-GB"/>
        </w:rPr>
      </w:pPr>
      <w:r w:rsidRPr="006574EA">
        <w:rPr>
          <w:noProof/>
        </w:rPr>
        <w:lastRenderedPageBreak/>
        <w:drawing>
          <wp:inline distT="0" distB="0" distL="0" distR="0" wp14:anchorId="6D7E0818" wp14:editId="5060DF8C">
            <wp:extent cx="6120130" cy="9033510"/>
            <wp:effectExtent l="0" t="0" r="0" b="0"/>
            <wp:docPr id="1440792156"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033510"/>
                    </a:xfrm>
                    <a:prstGeom prst="rect">
                      <a:avLst/>
                    </a:prstGeom>
                    <a:noFill/>
                    <a:ln>
                      <a:noFill/>
                    </a:ln>
                  </pic:spPr>
                </pic:pic>
              </a:graphicData>
            </a:graphic>
          </wp:inline>
        </w:drawing>
      </w:r>
    </w:p>
    <w:p w14:paraId="7CB6BCBF" w14:textId="5DA8C017" w:rsidR="008C3A32" w:rsidRPr="00D160FB" w:rsidRDefault="008C3A32" w:rsidP="008C3A32">
      <w:pPr>
        <w:pStyle w:val="Nadpis1"/>
        <w:rPr>
          <w:lang w:val="en-GB"/>
        </w:rPr>
      </w:pPr>
      <w:bookmarkStart w:id="24" w:name="_Toc132874246"/>
      <w:r w:rsidRPr="00D160FB">
        <w:rPr>
          <w:lang w:val="en-GB"/>
        </w:rPr>
        <w:lastRenderedPageBreak/>
        <w:t>2. </w:t>
      </w:r>
      <w:r w:rsidR="00B10258" w:rsidRPr="00D160FB">
        <w:rPr>
          <w:lang w:val="en-GB"/>
        </w:rPr>
        <w:t>Overall Economic Performance</w:t>
      </w:r>
      <w:bookmarkEnd w:id="24"/>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8C3A32" w:rsidRPr="00D160FB" w14:paraId="5933BC0A" w14:textId="77777777" w:rsidTr="001937F8">
        <w:trPr>
          <w:trHeight w:val="145"/>
        </w:trPr>
        <w:tc>
          <w:tcPr>
            <w:tcW w:w="1806" w:type="dxa"/>
            <w:shd w:val="clear" w:color="auto" w:fill="auto"/>
            <w:tcMar>
              <w:left w:w="0" w:type="dxa"/>
            </w:tcMar>
          </w:tcPr>
          <w:p w14:paraId="0973E3BA" w14:textId="7006BD1F" w:rsidR="008C3A32" w:rsidRPr="00D160FB" w:rsidRDefault="0048499C" w:rsidP="00163868">
            <w:pPr>
              <w:pStyle w:val="Marginlie"/>
              <w:rPr>
                <w:lang w:val="en-GB"/>
              </w:rPr>
            </w:pPr>
            <w:r w:rsidRPr="00D160FB">
              <w:rPr>
                <w:lang w:val="en-GB"/>
              </w:rPr>
              <w:t>The Czech economy narrowly maintained its year-on-year growth in Q</w:t>
            </w:r>
            <w:r w:rsidR="008C3A32" w:rsidRPr="00D160FB">
              <w:rPr>
                <w:lang w:val="en-GB"/>
              </w:rPr>
              <w:t>4</w:t>
            </w:r>
            <w:r w:rsidRPr="00D160FB">
              <w:rPr>
                <w:lang w:val="en-GB"/>
              </w:rPr>
              <w:t xml:space="preserve">, quarter-on-quarter however it fell for the second time in a row. </w:t>
            </w:r>
          </w:p>
        </w:tc>
        <w:tc>
          <w:tcPr>
            <w:tcW w:w="223" w:type="dxa"/>
            <w:shd w:val="clear" w:color="auto" w:fill="auto"/>
            <w:tcMar>
              <w:left w:w="0" w:type="dxa"/>
            </w:tcMar>
          </w:tcPr>
          <w:p w14:paraId="3DF3FF42"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549452A7" w14:textId="37851F9C" w:rsidR="008C3A32" w:rsidRPr="00D160FB" w:rsidRDefault="0048499C" w:rsidP="00D160FB">
            <w:pPr>
              <w:rPr>
                <w:spacing w:val="-2"/>
                <w:lang w:val="en-GB"/>
              </w:rPr>
            </w:pPr>
            <w:r w:rsidRPr="00D160FB">
              <w:rPr>
                <w:spacing w:val="-2"/>
                <w:lang w:val="en-GB"/>
              </w:rPr>
              <w:t xml:space="preserve">The Gross domestic product </w:t>
            </w:r>
            <w:r w:rsidR="008C3A32" w:rsidRPr="00D160FB">
              <w:rPr>
                <w:spacing w:val="-2"/>
                <w:lang w:val="en-GB"/>
              </w:rPr>
              <w:t>(</w:t>
            </w:r>
            <w:r w:rsidRPr="00D160FB">
              <w:rPr>
                <w:spacing w:val="-2"/>
                <w:lang w:val="en-GB"/>
              </w:rPr>
              <w:t>GDP</w:t>
            </w:r>
            <w:r w:rsidR="008C3A32" w:rsidRPr="00D160FB">
              <w:rPr>
                <w:spacing w:val="-2"/>
                <w:lang w:val="en-GB"/>
              </w:rPr>
              <w:t>)</w:t>
            </w:r>
            <w:r w:rsidRPr="00D160FB">
              <w:rPr>
                <w:spacing w:val="-2"/>
                <w:lang w:val="en-GB"/>
              </w:rPr>
              <w:t xml:space="preserve"> </w:t>
            </w:r>
            <w:r w:rsidR="002D1543" w:rsidRPr="00D160FB">
              <w:rPr>
                <w:spacing w:val="-2"/>
                <w:lang w:val="en-GB"/>
              </w:rPr>
              <w:t xml:space="preserve">increased by </w:t>
            </w:r>
            <w:r w:rsidR="008C3A32" w:rsidRPr="00D160FB">
              <w:rPr>
                <w:spacing w:val="-2"/>
                <w:lang w:val="en-GB"/>
              </w:rPr>
              <w:t>2</w:t>
            </w:r>
            <w:r w:rsidR="002D1543" w:rsidRPr="00D160FB">
              <w:rPr>
                <w:spacing w:val="-2"/>
                <w:lang w:val="en-GB"/>
              </w:rPr>
              <w:t>.</w:t>
            </w:r>
            <w:r w:rsidR="008C3A32" w:rsidRPr="00D160FB">
              <w:rPr>
                <w:spacing w:val="-2"/>
                <w:lang w:val="en-GB"/>
              </w:rPr>
              <w:t>4%</w:t>
            </w:r>
            <w:r w:rsidR="008C3A32" w:rsidRPr="00D160FB">
              <w:rPr>
                <w:rStyle w:val="Znakapoznpodarou"/>
                <w:rFonts w:cs="Arial"/>
                <w:spacing w:val="-2"/>
                <w:lang w:val="en-GB"/>
              </w:rPr>
              <w:footnoteReference w:id="4"/>
            </w:r>
            <w:r w:rsidR="002D1543" w:rsidRPr="00D160FB">
              <w:rPr>
                <w:spacing w:val="-2"/>
                <w:lang w:val="en-GB"/>
              </w:rPr>
              <w:t xml:space="preserve"> in year 2022</w:t>
            </w:r>
            <w:r w:rsidR="008C3A32" w:rsidRPr="00D160FB">
              <w:rPr>
                <w:spacing w:val="-2"/>
                <w:lang w:val="en-GB"/>
              </w:rPr>
              <w:t xml:space="preserve">, </w:t>
            </w:r>
            <w:r w:rsidRPr="00D160FB">
              <w:rPr>
                <w:spacing w:val="-2"/>
                <w:lang w:val="en-GB"/>
              </w:rPr>
              <w:t xml:space="preserve">which represented a slowdown of the dynamics compared to year </w:t>
            </w:r>
            <w:r w:rsidR="008C3A32" w:rsidRPr="00D160FB">
              <w:rPr>
                <w:spacing w:val="-2"/>
                <w:lang w:val="en-GB"/>
              </w:rPr>
              <w:t xml:space="preserve">2021. </w:t>
            </w:r>
            <w:r w:rsidR="002D1543" w:rsidRPr="00D160FB">
              <w:rPr>
                <w:spacing w:val="-2"/>
                <w:lang w:val="en-GB"/>
              </w:rPr>
              <w:t xml:space="preserve">The gross capital formation and the foreign demand supported the GDP growth </w:t>
            </w:r>
            <w:r w:rsidR="003F7D98" w:rsidRPr="00D160FB">
              <w:rPr>
                <w:spacing w:val="-2"/>
                <w:lang w:val="en-GB"/>
              </w:rPr>
              <w:t xml:space="preserve">the most </w:t>
            </w:r>
            <w:r w:rsidR="002D1543" w:rsidRPr="00D160FB">
              <w:rPr>
                <w:spacing w:val="-2"/>
                <w:lang w:val="en-GB"/>
              </w:rPr>
              <w:t xml:space="preserve">last year. In contrast, the domestic consumption hindered the economic growth. </w:t>
            </w:r>
            <w:r w:rsidR="00D27384" w:rsidRPr="00D160FB">
              <w:rPr>
                <w:spacing w:val="-2"/>
                <w:lang w:val="en-GB"/>
              </w:rPr>
              <w:t xml:space="preserve">Because especially households reduced their expenditures in the environment of the sharp price growth. The real GDP level </w:t>
            </w:r>
            <w:r w:rsidR="008C3A32" w:rsidRPr="00D160FB">
              <w:rPr>
                <w:spacing w:val="-2"/>
                <w:lang w:val="en-GB"/>
              </w:rPr>
              <w:t>(</w:t>
            </w:r>
            <w:r w:rsidR="00D27384" w:rsidRPr="00D160FB">
              <w:rPr>
                <w:spacing w:val="-2"/>
                <w:lang w:val="en-GB"/>
              </w:rPr>
              <w:t xml:space="preserve">expressed in prices of year </w:t>
            </w:r>
            <w:r w:rsidR="008C3A32" w:rsidRPr="00D160FB">
              <w:rPr>
                <w:spacing w:val="-2"/>
                <w:lang w:val="en-GB"/>
              </w:rPr>
              <w:t xml:space="preserve">2015) </w:t>
            </w:r>
            <w:r w:rsidR="00D27384" w:rsidRPr="00D160FB">
              <w:rPr>
                <w:spacing w:val="-2"/>
                <w:lang w:val="en-GB"/>
              </w:rPr>
              <w:t xml:space="preserve">slightly overtook the pre-pandemic year </w:t>
            </w:r>
            <w:r w:rsidR="008C3A32" w:rsidRPr="00D160FB">
              <w:rPr>
                <w:spacing w:val="-2"/>
                <w:lang w:val="en-GB"/>
              </w:rPr>
              <w:t>2019</w:t>
            </w:r>
            <w:r w:rsidR="00D27384" w:rsidRPr="00D160FB">
              <w:rPr>
                <w:spacing w:val="-2"/>
                <w:lang w:val="en-GB"/>
              </w:rPr>
              <w:t xml:space="preserve"> last year</w:t>
            </w:r>
            <w:r w:rsidR="008C3A32" w:rsidRPr="00D160FB">
              <w:rPr>
                <w:spacing w:val="-2"/>
                <w:lang w:val="en-GB"/>
              </w:rPr>
              <w:t xml:space="preserve">. </w:t>
            </w:r>
            <w:r w:rsidR="00EA60E9" w:rsidRPr="00D160FB">
              <w:rPr>
                <w:spacing w:val="-2"/>
                <w:lang w:val="en-GB"/>
              </w:rPr>
              <w:t xml:space="preserve">The year-on-year GDP dynamics gradually slowed down </w:t>
            </w:r>
            <w:r w:rsidR="00846130" w:rsidRPr="00D160FB">
              <w:rPr>
                <w:spacing w:val="-2"/>
                <w:lang w:val="en-GB"/>
              </w:rPr>
              <w:t xml:space="preserve">during the year 2022 </w:t>
            </w:r>
            <w:r w:rsidR="008C3A32" w:rsidRPr="00D160FB">
              <w:rPr>
                <w:spacing w:val="-2"/>
                <w:lang w:val="en-GB"/>
              </w:rPr>
              <w:t>(</w:t>
            </w:r>
            <w:r w:rsidR="00846130" w:rsidRPr="00D160FB">
              <w:rPr>
                <w:spacing w:val="-2"/>
                <w:lang w:val="en-GB"/>
              </w:rPr>
              <w:t xml:space="preserve">additions </w:t>
            </w:r>
            <w:r w:rsidR="008C3A32" w:rsidRPr="00D160FB">
              <w:rPr>
                <w:spacing w:val="-2"/>
                <w:lang w:val="en-GB"/>
              </w:rPr>
              <w:t>4</w:t>
            </w:r>
            <w:r w:rsidR="00846130" w:rsidRPr="00D160FB">
              <w:rPr>
                <w:spacing w:val="-2"/>
                <w:lang w:val="en-GB"/>
              </w:rPr>
              <w:t>.</w:t>
            </w:r>
            <w:r w:rsidR="008C3A32" w:rsidRPr="00D160FB">
              <w:rPr>
                <w:spacing w:val="-2"/>
                <w:lang w:val="en-GB"/>
              </w:rPr>
              <w:t>7%, 3</w:t>
            </w:r>
            <w:r w:rsidR="00846130" w:rsidRPr="00D160FB">
              <w:rPr>
                <w:spacing w:val="-2"/>
                <w:lang w:val="en-GB"/>
              </w:rPr>
              <w:t>.</w:t>
            </w:r>
            <w:r w:rsidR="008C3A32" w:rsidRPr="00D160FB">
              <w:rPr>
                <w:spacing w:val="-2"/>
                <w:lang w:val="en-GB"/>
              </w:rPr>
              <w:t>5% a</w:t>
            </w:r>
            <w:r w:rsidR="00846130" w:rsidRPr="00D160FB">
              <w:rPr>
                <w:spacing w:val="-2"/>
                <w:lang w:val="en-GB"/>
              </w:rPr>
              <w:t>nd</w:t>
            </w:r>
            <w:r w:rsidR="008C3A32" w:rsidRPr="00D160FB">
              <w:rPr>
                <w:spacing w:val="-2"/>
                <w:lang w:val="en-GB"/>
              </w:rPr>
              <w:t xml:space="preserve"> 1</w:t>
            </w:r>
            <w:r w:rsidR="00846130" w:rsidRPr="00D160FB">
              <w:rPr>
                <w:spacing w:val="-2"/>
                <w:lang w:val="en-GB"/>
              </w:rPr>
              <w:t>.</w:t>
            </w:r>
            <w:r w:rsidR="008C3A32" w:rsidRPr="00D160FB">
              <w:rPr>
                <w:spacing w:val="-2"/>
                <w:lang w:val="en-GB"/>
              </w:rPr>
              <w:t xml:space="preserve">5% </w:t>
            </w:r>
            <w:r w:rsidR="00846130" w:rsidRPr="00D160FB">
              <w:rPr>
                <w:spacing w:val="-2"/>
                <w:lang w:val="en-GB"/>
              </w:rPr>
              <w:t xml:space="preserve">in </w:t>
            </w:r>
            <w:r w:rsidR="002B0987" w:rsidRPr="00D160FB">
              <w:rPr>
                <w:spacing w:val="-2"/>
                <w:lang w:val="en-GB"/>
              </w:rPr>
              <w:t>Q</w:t>
            </w:r>
            <w:r w:rsidR="008C3A32" w:rsidRPr="00D160FB">
              <w:rPr>
                <w:spacing w:val="-2"/>
                <w:lang w:val="en-GB"/>
              </w:rPr>
              <w:t xml:space="preserve">1, </w:t>
            </w:r>
            <w:r w:rsidR="002B0987" w:rsidRPr="00D160FB">
              <w:rPr>
                <w:spacing w:val="-2"/>
                <w:lang w:val="en-GB"/>
              </w:rPr>
              <w:t>Q</w:t>
            </w:r>
            <w:r w:rsidR="008C3A32" w:rsidRPr="00D160FB">
              <w:rPr>
                <w:spacing w:val="-2"/>
                <w:lang w:val="en-GB"/>
              </w:rPr>
              <w:t>2</w:t>
            </w:r>
            <w:r w:rsidR="00EA60E9" w:rsidRPr="00D160FB">
              <w:rPr>
                <w:spacing w:val="-2"/>
                <w:lang w:val="en-GB"/>
              </w:rPr>
              <w:t xml:space="preserve"> a</w:t>
            </w:r>
            <w:r w:rsidR="00846130" w:rsidRPr="00D160FB">
              <w:rPr>
                <w:spacing w:val="-2"/>
                <w:lang w:val="en-GB"/>
              </w:rPr>
              <w:t>nd Q</w:t>
            </w:r>
            <w:r w:rsidR="008C3A32" w:rsidRPr="00D160FB">
              <w:rPr>
                <w:spacing w:val="-2"/>
                <w:lang w:val="en-GB"/>
              </w:rPr>
              <w:t>3) a</w:t>
            </w:r>
            <w:r w:rsidR="00D27384" w:rsidRPr="00D160FB">
              <w:rPr>
                <w:spacing w:val="-2"/>
                <w:lang w:val="en-GB"/>
              </w:rPr>
              <w:t>nd the economy stagnated year-on-year in Q</w:t>
            </w:r>
            <w:r w:rsidR="008C3A32" w:rsidRPr="00D160FB">
              <w:rPr>
                <w:spacing w:val="-2"/>
                <w:lang w:val="en-GB"/>
              </w:rPr>
              <w:t>4</w:t>
            </w:r>
            <w:r w:rsidR="00D27384" w:rsidRPr="00D160FB">
              <w:rPr>
                <w:spacing w:val="-2"/>
                <w:lang w:val="en-GB"/>
              </w:rPr>
              <w:t xml:space="preserve"> </w:t>
            </w:r>
            <w:r w:rsidR="008C3A32" w:rsidRPr="00D160FB">
              <w:rPr>
                <w:spacing w:val="-2"/>
                <w:lang w:val="en-GB"/>
              </w:rPr>
              <w:t>(0</w:t>
            </w:r>
            <w:r w:rsidR="00D27384" w:rsidRPr="00D160FB">
              <w:rPr>
                <w:spacing w:val="-2"/>
                <w:lang w:val="en-GB"/>
              </w:rPr>
              <w:t>.</w:t>
            </w:r>
            <w:r w:rsidR="008C3A32" w:rsidRPr="00D160FB">
              <w:rPr>
                <w:spacing w:val="-2"/>
                <w:lang w:val="en-GB"/>
              </w:rPr>
              <w:t xml:space="preserve">2%). </w:t>
            </w:r>
            <w:r w:rsidR="00D27384" w:rsidRPr="00D160FB">
              <w:rPr>
                <w:spacing w:val="-2"/>
                <w:lang w:val="en-GB"/>
              </w:rPr>
              <w:t>Compared to Q</w:t>
            </w:r>
            <w:r w:rsidR="008C3A32" w:rsidRPr="00D160FB">
              <w:rPr>
                <w:spacing w:val="-2"/>
                <w:lang w:val="en-GB"/>
              </w:rPr>
              <w:t>3</w:t>
            </w:r>
            <w:r w:rsidR="00D27384" w:rsidRPr="00D160FB">
              <w:rPr>
                <w:spacing w:val="-2"/>
                <w:lang w:val="en-GB"/>
              </w:rPr>
              <w:t xml:space="preserve"> the GDP decreased by </w:t>
            </w:r>
            <w:r w:rsidR="008C3A32" w:rsidRPr="00D160FB">
              <w:rPr>
                <w:spacing w:val="-2"/>
                <w:lang w:val="en-GB"/>
              </w:rPr>
              <w:t>0</w:t>
            </w:r>
            <w:r w:rsidR="00D27384" w:rsidRPr="00D160FB">
              <w:rPr>
                <w:spacing w:val="-2"/>
                <w:lang w:val="en-GB"/>
              </w:rPr>
              <w:t>.</w:t>
            </w:r>
            <w:r w:rsidR="008C3A32" w:rsidRPr="00D160FB">
              <w:rPr>
                <w:spacing w:val="-2"/>
                <w:lang w:val="en-GB"/>
              </w:rPr>
              <w:t xml:space="preserve">4%, </w:t>
            </w:r>
            <w:r w:rsidR="003F3216" w:rsidRPr="00D160FB">
              <w:rPr>
                <w:spacing w:val="-2"/>
                <w:lang w:val="en-GB"/>
              </w:rPr>
              <w:t>which was the second decrease in a row</w:t>
            </w:r>
            <w:r w:rsidR="008C3A32" w:rsidRPr="00D160FB">
              <w:rPr>
                <w:spacing w:val="-2"/>
                <w:lang w:val="en-GB"/>
              </w:rPr>
              <w:t>.</w:t>
            </w:r>
            <w:r w:rsidR="003F3216" w:rsidRPr="00D160FB">
              <w:rPr>
                <w:spacing w:val="-2"/>
                <w:lang w:val="en-GB"/>
              </w:rPr>
              <w:t xml:space="preserve"> The year-on-year GDP growth was based on the favourable development of the foreign demand at</w:t>
            </w:r>
            <w:r w:rsidR="008C3A32" w:rsidRPr="00D160FB">
              <w:rPr>
                <w:spacing w:val="-2"/>
                <w:lang w:val="en-GB"/>
              </w:rPr>
              <w:t xml:space="preserve"> </w:t>
            </w:r>
            <w:r w:rsidR="003F3216" w:rsidRPr="00D160FB">
              <w:rPr>
                <w:spacing w:val="-2"/>
                <w:lang w:val="en-GB"/>
              </w:rPr>
              <w:t>the end of the year</w:t>
            </w:r>
            <w:r w:rsidR="008C3A32" w:rsidRPr="00D160FB">
              <w:rPr>
                <w:spacing w:val="-2"/>
                <w:lang w:val="en-GB"/>
              </w:rPr>
              <w:t xml:space="preserve">. </w:t>
            </w:r>
            <w:r w:rsidR="00693D9B" w:rsidRPr="00D160FB">
              <w:rPr>
                <w:spacing w:val="-2"/>
                <w:lang w:val="en-GB"/>
              </w:rPr>
              <w:t xml:space="preserve">The addition </w:t>
            </w:r>
            <w:r w:rsidR="003F7D98">
              <w:rPr>
                <w:spacing w:val="-2"/>
                <w:lang w:val="en-GB"/>
              </w:rPr>
              <w:t>of</w:t>
            </w:r>
            <w:r w:rsidR="00693D9B" w:rsidRPr="00D160FB">
              <w:rPr>
                <w:spacing w:val="-2"/>
                <w:lang w:val="en-GB"/>
              </w:rPr>
              <w:t xml:space="preserve"> the capital </w:t>
            </w:r>
            <w:r w:rsidR="003F7D98">
              <w:rPr>
                <w:spacing w:val="-2"/>
                <w:lang w:val="en-GB"/>
              </w:rPr>
              <w:t>expenditures</w:t>
            </w:r>
            <w:r w:rsidR="00693D9B" w:rsidRPr="00D160FB">
              <w:rPr>
                <w:spacing w:val="-2"/>
                <w:lang w:val="en-GB"/>
              </w:rPr>
              <w:t xml:space="preserve"> however weakened and the domestic consumption strongly hindered the year-on-year GDP increase</w:t>
            </w:r>
            <w:r w:rsidR="008C3A32" w:rsidRPr="00D160FB">
              <w:rPr>
                <w:spacing w:val="-2"/>
                <w:lang w:val="en-GB"/>
              </w:rPr>
              <w:t xml:space="preserve">. </w:t>
            </w:r>
            <w:r w:rsidR="00693D9B" w:rsidRPr="00D160FB">
              <w:rPr>
                <w:spacing w:val="-2"/>
                <w:lang w:val="en-GB"/>
              </w:rPr>
              <w:t>The foreign demand also positively affected the quarter-on-quarter GDP dynamics,</w:t>
            </w:r>
            <w:r w:rsidR="008C3A32" w:rsidRPr="00D160FB">
              <w:rPr>
                <w:spacing w:val="-2"/>
                <w:lang w:val="en-GB"/>
              </w:rPr>
              <w:t xml:space="preserve"> </w:t>
            </w:r>
            <w:r w:rsidR="002D1543" w:rsidRPr="00D160FB">
              <w:rPr>
                <w:spacing w:val="-2"/>
                <w:lang w:val="en-GB"/>
              </w:rPr>
              <w:t>but the consumption as well as the capital expenditures were falling.</w:t>
            </w:r>
            <w:r w:rsidR="008C3A32" w:rsidRPr="00D160FB">
              <w:rPr>
                <w:spacing w:val="-2"/>
                <w:lang w:val="en-GB"/>
              </w:rPr>
              <w:t xml:space="preserve">   </w:t>
            </w:r>
          </w:p>
        </w:tc>
      </w:tr>
      <w:tr w:rsidR="008C3A32" w:rsidRPr="00D160FB" w14:paraId="69859CBE" w14:textId="77777777" w:rsidTr="001937F8">
        <w:trPr>
          <w:trHeight w:val="170"/>
        </w:trPr>
        <w:tc>
          <w:tcPr>
            <w:tcW w:w="1806" w:type="dxa"/>
            <w:vMerge w:val="restart"/>
            <w:shd w:val="clear" w:color="auto" w:fill="auto"/>
            <w:tcMar>
              <w:left w:w="0" w:type="dxa"/>
            </w:tcMar>
          </w:tcPr>
          <w:p w14:paraId="773D6F76" w14:textId="77777777" w:rsidR="008C3A32" w:rsidRPr="00D160FB" w:rsidRDefault="008C3A32" w:rsidP="00163868">
            <w:pPr>
              <w:pStyle w:val="Marginlie"/>
              <w:rPr>
                <w:lang w:val="en-GB"/>
              </w:rPr>
            </w:pPr>
          </w:p>
        </w:tc>
        <w:tc>
          <w:tcPr>
            <w:tcW w:w="223" w:type="dxa"/>
            <w:vMerge w:val="restart"/>
            <w:shd w:val="clear" w:color="auto" w:fill="auto"/>
            <w:tcMar>
              <w:left w:w="0" w:type="dxa"/>
            </w:tcMar>
          </w:tcPr>
          <w:p w14:paraId="0AE9F316"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4C1F5827" w14:textId="331CF269" w:rsidR="008C3A32" w:rsidRPr="00D160FB" w:rsidRDefault="0048499C" w:rsidP="00163868">
            <w:pPr>
              <w:spacing w:after="0"/>
              <w:rPr>
                <w:b/>
                <w:szCs w:val="20"/>
                <w:lang w:val="en-GB"/>
              </w:rPr>
            </w:pPr>
            <w:r w:rsidRPr="00D160FB">
              <w:rPr>
                <w:rFonts w:cs="Arial"/>
                <w:b/>
                <w:bCs/>
                <w:color w:val="000000"/>
                <w:szCs w:val="20"/>
                <w:lang w:val="en-GB"/>
              </w:rPr>
              <w:t xml:space="preserve">Chart </w:t>
            </w:r>
            <w:r w:rsidR="008C3A32" w:rsidRPr="00D160FB">
              <w:rPr>
                <w:rFonts w:cs="Arial"/>
                <w:b/>
                <w:bCs/>
                <w:color w:val="000000"/>
                <w:szCs w:val="20"/>
                <w:lang w:val="en-GB"/>
              </w:rPr>
              <w:t xml:space="preserve">1 </w:t>
            </w:r>
            <w:r w:rsidR="001F0A74" w:rsidRPr="00D160FB">
              <w:rPr>
                <w:rFonts w:cs="Arial"/>
                <w:b/>
                <w:bCs/>
                <w:color w:val="000000"/>
                <w:szCs w:val="20"/>
                <w:lang w:val="en-GB"/>
              </w:rPr>
              <w:t>GDP</w:t>
            </w:r>
            <w:r w:rsidR="008C3A32" w:rsidRPr="00D160FB">
              <w:rPr>
                <w:rFonts w:cs="Arial"/>
                <w:b/>
                <w:szCs w:val="20"/>
                <w:lang w:val="en-GB" w:eastAsia="en-US"/>
              </w:rPr>
              <w:t xml:space="preserve"> </w:t>
            </w:r>
            <w:r w:rsidR="008C3A32" w:rsidRPr="00D160FB">
              <w:rPr>
                <w:rFonts w:cs="Arial"/>
                <w:bCs/>
                <w:szCs w:val="20"/>
                <w:lang w:val="en-GB" w:eastAsia="en-US"/>
              </w:rPr>
              <w:t>(</w:t>
            </w:r>
            <w:r w:rsidR="001F0A74" w:rsidRPr="00D160FB">
              <w:rPr>
                <w:rFonts w:cs="Arial"/>
                <w:bCs/>
                <w:szCs w:val="20"/>
                <w:lang w:val="en-GB" w:eastAsia="en-US"/>
              </w:rPr>
              <w:t>volume indices, adjusted for seasonal and calendar effects, in %</w:t>
            </w:r>
            <w:r w:rsidR="008C3A32" w:rsidRPr="00D160FB">
              <w:rPr>
                <w:rFonts w:cs="Arial"/>
                <w:bCs/>
                <w:szCs w:val="20"/>
                <w:lang w:val="en-GB" w:eastAsia="en-US"/>
              </w:rPr>
              <w:t>)</w:t>
            </w:r>
          </w:p>
        </w:tc>
      </w:tr>
      <w:tr w:rsidR="008C3A32" w:rsidRPr="00D160FB" w14:paraId="69E60004" w14:textId="77777777" w:rsidTr="001937F8">
        <w:tblPrEx>
          <w:tblCellMar>
            <w:left w:w="70" w:type="dxa"/>
            <w:right w:w="70" w:type="dxa"/>
          </w:tblCellMar>
        </w:tblPrEx>
        <w:trPr>
          <w:trHeight w:val="170"/>
        </w:trPr>
        <w:tc>
          <w:tcPr>
            <w:tcW w:w="1806" w:type="dxa"/>
            <w:vMerge/>
          </w:tcPr>
          <w:p w14:paraId="45DB174A" w14:textId="77777777" w:rsidR="008C3A32" w:rsidRPr="00D160FB" w:rsidRDefault="008C3A32" w:rsidP="00163868">
            <w:pPr>
              <w:pStyle w:val="Marginlie"/>
              <w:rPr>
                <w:lang w:val="en-GB"/>
              </w:rPr>
            </w:pPr>
          </w:p>
        </w:tc>
        <w:tc>
          <w:tcPr>
            <w:tcW w:w="223" w:type="dxa"/>
            <w:vMerge/>
          </w:tcPr>
          <w:p w14:paraId="01194BCD" w14:textId="77777777" w:rsidR="008C3A32" w:rsidRPr="00D160FB" w:rsidRDefault="008C3A32" w:rsidP="00163868">
            <w:pPr>
              <w:pStyle w:val="Textpoznpodarou"/>
              <w:jc w:val="both"/>
              <w:rPr>
                <w:spacing w:val="-4"/>
                <w:lang w:val="en-GB"/>
              </w:rPr>
            </w:pPr>
          </w:p>
        </w:tc>
        <w:tc>
          <w:tcPr>
            <w:tcW w:w="7610" w:type="dxa"/>
            <w:shd w:val="clear" w:color="auto" w:fill="auto"/>
          </w:tcPr>
          <w:p w14:paraId="427DA9C0" w14:textId="5ED25632" w:rsidR="008C3A32" w:rsidRPr="00D160FB" w:rsidRDefault="001937F8" w:rsidP="00163868">
            <w:pPr>
              <w:spacing w:after="0"/>
              <w:rPr>
                <w:lang w:val="en-GB"/>
              </w:rPr>
            </w:pPr>
            <w:r>
              <w:rPr>
                <w:noProof/>
              </w:rPr>
              <w:drawing>
                <wp:inline distT="0" distB="0" distL="0" distR="0" wp14:anchorId="4641A43D" wp14:editId="5F469D76">
                  <wp:extent cx="4743950" cy="3353175"/>
                  <wp:effectExtent l="0" t="0" r="0" b="0"/>
                  <wp:docPr id="1348784300" name="Graf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8C3A32" w:rsidRPr="00D160FB" w14:paraId="0B9F6C7E" w14:textId="77777777" w:rsidTr="001937F8">
        <w:trPr>
          <w:trHeight w:val="170"/>
        </w:trPr>
        <w:tc>
          <w:tcPr>
            <w:tcW w:w="1806" w:type="dxa"/>
            <w:vMerge/>
            <w:tcMar>
              <w:left w:w="0" w:type="dxa"/>
            </w:tcMar>
          </w:tcPr>
          <w:p w14:paraId="379B99E2" w14:textId="77777777" w:rsidR="008C3A32" w:rsidRPr="00D160FB" w:rsidRDefault="008C3A32" w:rsidP="00163868">
            <w:pPr>
              <w:pStyle w:val="Marginlie"/>
              <w:rPr>
                <w:lang w:val="en-GB"/>
              </w:rPr>
            </w:pPr>
          </w:p>
        </w:tc>
        <w:tc>
          <w:tcPr>
            <w:tcW w:w="223" w:type="dxa"/>
            <w:vMerge/>
            <w:tcMar>
              <w:left w:w="0" w:type="dxa"/>
            </w:tcMar>
          </w:tcPr>
          <w:p w14:paraId="676B3350" w14:textId="77777777" w:rsidR="008C3A32" w:rsidRPr="00D160FB" w:rsidRDefault="008C3A32" w:rsidP="00163868">
            <w:pPr>
              <w:pStyle w:val="Textpoznpodarou"/>
              <w:jc w:val="both"/>
              <w:rPr>
                <w:spacing w:val="-4"/>
                <w:lang w:val="en-GB"/>
              </w:rPr>
            </w:pPr>
          </w:p>
        </w:tc>
        <w:tc>
          <w:tcPr>
            <w:tcW w:w="7610" w:type="dxa"/>
            <w:shd w:val="clear" w:color="auto" w:fill="auto"/>
            <w:tcMar>
              <w:left w:w="0" w:type="dxa"/>
            </w:tcMar>
          </w:tcPr>
          <w:p w14:paraId="169C7774" w14:textId="51E3FF97" w:rsidR="00693F29" w:rsidRPr="00D160FB" w:rsidRDefault="00693F29" w:rsidP="001F0A74">
            <w:pPr>
              <w:spacing w:after="220"/>
              <w:rPr>
                <w:sz w:val="14"/>
                <w:szCs w:val="14"/>
                <w:lang w:val="en-GB"/>
              </w:rPr>
            </w:pPr>
            <w:r w:rsidRPr="00D160FB">
              <w:rPr>
                <w:sz w:val="14"/>
                <w:szCs w:val="14"/>
                <w:lang w:val="en-GB"/>
              </w:rPr>
              <w:t>Source</w:t>
            </w:r>
            <w:r w:rsidR="008C3A32" w:rsidRPr="00D160FB">
              <w:rPr>
                <w:sz w:val="14"/>
                <w:szCs w:val="14"/>
                <w:lang w:val="en-GB"/>
              </w:rPr>
              <w:t xml:space="preserve">: </w:t>
            </w:r>
            <w:r w:rsidRPr="00D160FB">
              <w:rPr>
                <w:sz w:val="14"/>
                <w:szCs w:val="14"/>
                <w:lang w:val="en-GB"/>
              </w:rPr>
              <w:t>CZSO</w:t>
            </w:r>
            <w:r w:rsidR="008C3A32" w:rsidRPr="00D160FB">
              <w:rPr>
                <w:sz w:val="14"/>
                <w:szCs w:val="14"/>
                <w:lang w:val="en-GB"/>
              </w:rPr>
              <w:t>, Eurostat</w:t>
            </w:r>
          </w:p>
        </w:tc>
      </w:tr>
      <w:tr w:rsidR="001937F8" w:rsidRPr="00D160FB" w14:paraId="0FD1942D" w14:textId="77777777" w:rsidTr="001937F8">
        <w:trPr>
          <w:trHeight w:val="145"/>
        </w:trPr>
        <w:tc>
          <w:tcPr>
            <w:tcW w:w="1806" w:type="dxa"/>
            <w:shd w:val="clear" w:color="auto" w:fill="auto"/>
            <w:tcMar>
              <w:left w:w="0" w:type="dxa"/>
            </w:tcMar>
          </w:tcPr>
          <w:p w14:paraId="5BCDE240" w14:textId="0AB071CE" w:rsidR="001937F8" w:rsidRPr="00D160FB" w:rsidRDefault="001937F8" w:rsidP="001937F8">
            <w:pPr>
              <w:pStyle w:val="Marginlie"/>
              <w:rPr>
                <w:lang w:val="en-GB"/>
              </w:rPr>
            </w:pPr>
            <w:r w:rsidRPr="00D160FB">
              <w:rPr>
                <w:lang w:val="en-GB"/>
              </w:rPr>
              <w:t xml:space="preserve">The economic growth also slowed down in the EU last year. </w:t>
            </w:r>
          </w:p>
        </w:tc>
        <w:tc>
          <w:tcPr>
            <w:tcW w:w="223" w:type="dxa"/>
            <w:shd w:val="clear" w:color="auto" w:fill="auto"/>
            <w:tcMar>
              <w:left w:w="0" w:type="dxa"/>
            </w:tcMar>
          </w:tcPr>
          <w:p w14:paraId="046D953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7B01D191" w14:textId="4B942F1A" w:rsidR="001937F8" w:rsidRPr="00D160FB" w:rsidRDefault="001937F8" w:rsidP="001937F8">
            <w:pPr>
              <w:rPr>
                <w:spacing w:val="-2"/>
                <w:lang w:val="en-GB"/>
              </w:rPr>
            </w:pPr>
            <w:r w:rsidRPr="00D160FB">
              <w:rPr>
                <w:lang w:val="en-GB"/>
              </w:rPr>
              <w:t>The year-on-year GDP growth slowed down in the European Union during the whole year 2022 and reached 1.7%</w:t>
            </w:r>
            <w:r w:rsidRPr="00D160FB">
              <w:rPr>
                <w:rStyle w:val="Znakapoznpodarou"/>
                <w:lang w:val="en-GB"/>
              </w:rPr>
              <w:footnoteReference w:id="5"/>
            </w:r>
            <w:r w:rsidRPr="00D160FB">
              <w:rPr>
                <w:lang w:val="en-GB"/>
              </w:rPr>
              <w:t xml:space="preserve"> in Q4. The quarter-on-quarter dynamics also gradually stifled during the year and it fell by 0.1% compared to Q3 in the Union. Colling down of both consumption and capital expenditures was apparent in the EU</w:t>
            </w:r>
            <w:r w:rsidR="003F7D98">
              <w:rPr>
                <w:lang w:val="en-GB"/>
              </w:rPr>
              <w:t xml:space="preserve"> countries</w:t>
            </w:r>
            <w:r w:rsidRPr="00D160FB">
              <w:rPr>
                <w:lang w:val="en-GB"/>
              </w:rPr>
              <w:t xml:space="preserve"> towards the end of the year. The GDP grew the strongest in Ireland (13.1%), Greece (5.2%) and in Romania (4.9%) year-on-year in Q4. On the contrary, the economies of Estonia (−4.4%), Lithuania (−0.4%) and Sweden (−0.1%) registered decrease compared to the same period of year 2021. Apart from the CR (0.2%), the GDP remained close to year-on-year stagnation also in Finland (0.1%). The GDP in Greece (1.4%), Malta (1.2%) and Cyprus (1.1%) had the largest increase compared to Q3. The GDP slumped the most quarter-on-quarter in Poland (−2.4%) and it was also lower in Estonia (−1.6%), in </w:t>
            </w:r>
            <w:r w:rsidRPr="00D160FB">
              <w:rPr>
                <w:lang w:val="en-GB"/>
              </w:rPr>
              <w:lastRenderedPageBreak/>
              <w:t xml:space="preserve">Finland (−0.6%), Sweden (−0.5%), Lithuania (−0.5%), Hungary (−0.4%), Germany (−0.4%), the Czech Republic (−0.4%) and Italy (−0.1%).     </w:t>
            </w:r>
          </w:p>
        </w:tc>
      </w:tr>
      <w:tr w:rsidR="001937F8" w:rsidRPr="00D160FB" w14:paraId="0B5086D5" w14:textId="77777777" w:rsidTr="001937F8">
        <w:trPr>
          <w:trHeight w:val="145"/>
        </w:trPr>
        <w:tc>
          <w:tcPr>
            <w:tcW w:w="1806" w:type="dxa"/>
            <w:shd w:val="clear" w:color="auto" w:fill="auto"/>
            <w:tcMar>
              <w:left w:w="0" w:type="dxa"/>
            </w:tcMar>
          </w:tcPr>
          <w:p w14:paraId="7E11DEF5" w14:textId="4F41142A" w:rsidR="001937F8" w:rsidRPr="00D160FB" w:rsidRDefault="001937F8" w:rsidP="001937F8">
            <w:pPr>
              <w:pStyle w:val="Marginlie"/>
              <w:rPr>
                <w:lang w:val="en-GB"/>
              </w:rPr>
            </w:pPr>
            <w:r w:rsidRPr="00D160FB">
              <w:rPr>
                <w:lang w:val="en-GB"/>
              </w:rPr>
              <w:lastRenderedPageBreak/>
              <w:t xml:space="preserve">Wages and salaries plummeted in real terms last year. </w:t>
            </w:r>
          </w:p>
        </w:tc>
        <w:tc>
          <w:tcPr>
            <w:tcW w:w="223" w:type="dxa"/>
            <w:shd w:val="clear" w:color="auto" w:fill="auto"/>
            <w:tcMar>
              <w:left w:w="0" w:type="dxa"/>
            </w:tcMar>
          </w:tcPr>
          <w:p w14:paraId="0EA35E42"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C63CA31" w14:textId="40D1D6B7" w:rsidR="001937F8" w:rsidRPr="00D160FB" w:rsidRDefault="001937F8" w:rsidP="001937F8">
            <w:pPr>
              <w:rPr>
                <w:lang w:val="en-GB"/>
              </w:rPr>
            </w:pPr>
            <w:r w:rsidRPr="00D160FB">
              <w:rPr>
                <w:spacing w:val="-2"/>
                <w:lang w:val="en-GB"/>
              </w:rPr>
              <w:t>The total volume of wages and salaries expanded by 8.8% given the growth of the total employment by 1.7%</w:t>
            </w:r>
            <w:r w:rsidRPr="00D160FB">
              <w:rPr>
                <w:rStyle w:val="Znakapoznpodarou"/>
                <w:spacing w:val="-2"/>
                <w:lang w:val="en-GB"/>
              </w:rPr>
              <w:footnoteReference w:id="6"/>
            </w:r>
            <w:r w:rsidRPr="00D160FB">
              <w:rPr>
                <w:spacing w:val="-2"/>
                <w:lang w:val="en-GB"/>
              </w:rPr>
              <w:t xml:space="preserve"> in year 2022. The nominal addition to wages and salaries thus accelerated in comparison to year 2021 and it was also higher than in the pre-pandemic year 2019. Considering the sharp price hike however the household earnings dropped in real terms. Wages and salaries reduced by 6.4%</w:t>
            </w:r>
            <w:r w:rsidRPr="00D160FB">
              <w:rPr>
                <w:rStyle w:val="Znakapoznpodarou"/>
                <w:spacing w:val="-2"/>
                <w:lang w:val="en-GB"/>
              </w:rPr>
              <w:footnoteReference w:id="7"/>
            </w:r>
            <w:r w:rsidRPr="00D160FB">
              <w:rPr>
                <w:spacing w:val="-2"/>
                <w:lang w:val="en-GB"/>
              </w:rPr>
              <w:t xml:space="preserve"> in real terms last year. Real estate activities recorded the highest increase of the volume of wages and salaries last year (19.5% given the employment growth of 4.3%), which continued in the sharp hike from year 2021. Further strengthening of growth was further observed for branches strongly hit by the pandemic slump. It was the case of trade, transportation, accommodation and food service (growth of wages and salaries by 16.1% given the simultaneous increase of employment by 2.1%) and of other activities</w:t>
            </w:r>
            <w:r w:rsidRPr="00D160FB">
              <w:rPr>
                <w:rStyle w:val="Znakapoznpodarou"/>
                <w:spacing w:val="-2"/>
                <w:lang w:val="en-GB"/>
              </w:rPr>
              <w:footnoteReference w:id="8"/>
            </w:r>
            <w:r w:rsidRPr="00D160FB">
              <w:rPr>
                <w:spacing w:val="-2"/>
                <w:lang w:val="en-GB"/>
              </w:rPr>
              <w:t xml:space="preserve"> (wages and salaries by 14.9%, employment by 0.7%). The strengthening of the dynamics of wages and salaries accompanied by significant increase of employment affected information and communication (13.3% given the employment growth of 3.9%) and construction (10.5%, employment rose by 3.4%). The volume of paid out wages and salaries grew at an above average pace in professional, scientific, technical and administrative activities (9.6%, employment was higher by 1.1%) and also in financial and insurance activities (9.6%, employment grew by 0.5%). The growth of wages and salaries was below average in manufacturing (8.7%, employment growth 0.7%), agriculture, forestry and fishing (7.8%, employment 0.4%) and branches with the predominance of the government sector</w:t>
            </w:r>
            <w:r w:rsidR="005E3854" w:rsidRPr="00D160FB">
              <w:rPr>
                <w:rStyle w:val="Znakapoznpodarou"/>
                <w:spacing w:val="-2"/>
                <w:lang w:val="en-GB"/>
              </w:rPr>
              <w:footnoteReference w:id="9"/>
            </w:r>
            <w:r w:rsidRPr="00D160FB">
              <w:rPr>
                <w:spacing w:val="-2"/>
                <w:lang w:val="en-GB"/>
              </w:rPr>
              <w:t xml:space="preserve"> (1.0%, employment grew by 2.3%) last year. </w:t>
            </w:r>
          </w:p>
        </w:tc>
      </w:tr>
      <w:tr w:rsidR="001937F8" w:rsidRPr="00D160FB" w14:paraId="0193F77F" w14:textId="77777777" w:rsidTr="001937F8">
        <w:trPr>
          <w:trHeight w:val="145"/>
        </w:trPr>
        <w:tc>
          <w:tcPr>
            <w:tcW w:w="1806" w:type="dxa"/>
            <w:shd w:val="clear" w:color="auto" w:fill="auto"/>
            <w:tcMar>
              <w:left w:w="0" w:type="dxa"/>
            </w:tcMar>
          </w:tcPr>
          <w:p w14:paraId="2B51425E" w14:textId="378091ED" w:rsidR="001937F8" w:rsidRPr="00D160FB" w:rsidRDefault="001937F8" w:rsidP="001937F8">
            <w:pPr>
              <w:pStyle w:val="Marginlie"/>
              <w:rPr>
                <w:lang w:val="en-GB"/>
              </w:rPr>
            </w:pPr>
            <w:r w:rsidRPr="00D160FB">
              <w:rPr>
                <w:lang w:val="en-GB"/>
              </w:rPr>
              <w:t xml:space="preserve">Pressure on the growth of nominal wages and salaries was apparent at the end of the year. </w:t>
            </w:r>
          </w:p>
        </w:tc>
        <w:tc>
          <w:tcPr>
            <w:tcW w:w="223" w:type="dxa"/>
            <w:shd w:val="clear" w:color="auto" w:fill="auto"/>
            <w:tcMar>
              <w:left w:w="0" w:type="dxa"/>
            </w:tcMar>
          </w:tcPr>
          <w:p w14:paraId="676BD15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E4AAB22" w14:textId="025C7689" w:rsidR="001937F8" w:rsidRPr="00D160FB" w:rsidRDefault="001937F8" w:rsidP="001937F8">
            <w:pPr>
              <w:rPr>
                <w:lang w:val="en-GB"/>
              </w:rPr>
            </w:pPr>
            <w:r w:rsidRPr="00D160FB">
              <w:rPr>
                <w:spacing w:val="-2"/>
                <w:lang w:val="en-GB"/>
              </w:rPr>
              <w:t>In Q4, the year-on-year growth of the volume of paid out wages and salaries slightly accelerated to 8.0%. The wages and salaries rose by 2.2% quarter-on-quarter. The year-on-year growth of employment slowed down to 1.3% and the employment fell by 0.4% quarter-on-quarter. The pressure on the growth of wages thus continued in the high-inflation environment despite the total economic slowdown. The wages and salaries however dived by 8.5% in real terms year-on-year. The wages and salaries grew the most in the real estate area year-on-year in Q4 (18.7% given the employment growth of 2.1%). The notable growth for information and communication continued (13.9% with the employment growth of 5.5%). The year-on-year increase was above average in case of financial and insurance activities (10.8%, employment grew by 0.7%), trade, transportation, accommodation and food service (10.3% given the simultaneous increase of employment by 0.8%), construction (9.8%, employment was higher by 3.2%), manufacturing (9.6%, employment of 0.4%), in professional, scientific, technical and administrative activities (9.6%, employment was higher by 1.6%) and in agriculture, forestry and fishing (8.5%, employment decreased by 2.0% year-on-year). In contrast the wages and salaries in branches with the predominant government sector (1.4% given the employment growth of 2.7%) and other activities (5.8%, employment fell by 1.8%) lagged behind the average growth.</w:t>
            </w:r>
          </w:p>
        </w:tc>
      </w:tr>
      <w:tr w:rsidR="001937F8" w:rsidRPr="00D160FB" w14:paraId="73F9BB65" w14:textId="77777777" w:rsidTr="001937F8">
        <w:trPr>
          <w:trHeight w:val="145"/>
        </w:trPr>
        <w:tc>
          <w:tcPr>
            <w:tcW w:w="1806" w:type="dxa"/>
            <w:shd w:val="clear" w:color="auto" w:fill="auto"/>
            <w:tcMar>
              <w:left w:w="0" w:type="dxa"/>
            </w:tcMar>
          </w:tcPr>
          <w:p w14:paraId="248A62D5" w14:textId="72FB2C0F" w:rsidR="001937F8" w:rsidRPr="00D160FB" w:rsidRDefault="001937F8" w:rsidP="001937F8">
            <w:pPr>
              <w:pStyle w:val="Marginlie"/>
              <w:rPr>
                <w:lang w:val="en-GB"/>
              </w:rPr>
            </w:pPr>
            <w:r w:rsidRPr="00D160FB">
              <w:rPr>
                <w:lang w:val="en-GB"/>
              </w:rPr>
              <w:t xml:space="preserve">Wages and salaries rose in all branches quarter-on-quarter. </w:t>
            </w:r>
          </w:p>
        </w:tc>
        <w:tc>
          <w:tcPr>
            <w:tcW w:w="223" w:type="dxa"/>
            <w:shd w:val="clear" w:color="auto" w:fill="auto"/>
            <w:tcMar>
              <w:left w:w="0" w:type="dxa"/>
            </w:tcMar>
          </w:tcPr>
          <w:p w14:paraId="6BFE58D9"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7A36F83" w14:textId="17061642" w:rsidR="001937F8" w:rsidRPr="00D160FB" w:rsidRDefault="001937F8" w:rsidP="001937F8">
            <w:pPr>
              <w:rPr>
                <w:spacing w:val="-2"/>
                <w:lang w:val="en-GB"/>
              </w:rPr>
            </w:pPr>
            <w:r w:rsidRPr="00D160FB">
              <w:rPr>
                <w:spacing w:val="-2"/>
                <w:lang w:val="en-GB"/>
              </w:rPr>
              <w:t xml:space="preserve">The strengthening of the quarter-on-quarter dynamics of wages and salaries affected the majority of branches in Q4. The earnings rose the most in financial and insurance activities (6.2%), in professional, scientific, technical and administrative activities (5.0%), real estate activities (4.8%), other activities (4.2%), agriculture, forestry and fishing (4.0%) and information and communication (3.0%) quarter-on-quarter. The increase was milder </w:t>
            </w:r>
            <w:r w:rsidRPr="00D160FB">
              <w:rPr>
                <w:spacing w:val="-2"/>
                <w:lang w:val="en-GB"/>
              </w:rPr>
              <w:lastRenderedPageBreak/>
              <w:t xml:space="preserve">in division trade, transportation, accommodation and food service (2.5%), construction (2.1%) and in manufacturing (1.9%). Wages and salaries stagnated in branches with the predominant government sector (0.1%).  </w:t>
            </w:r>
          </w:p>
        </w:tc>
      </w:tr>
      <w:tr w:rsidR="001937F8" w:rsidRPr="00D160FB" w14:paraId="127E68C8" w14:textId="77777777" w:rsidTr="001937F8">
        <w:trPr>
          <w:trHeight w:val="145"/>
        </w:trPr>
        <w:tc>
          <w:tcPr>
            <w:tcW w:w="1806" w:type="dxa"/>
            <w:shd w:val="clear" w:color="auto" w:fill="auto"/>
            <w:tcMar>
              <w:left w:w="0" w:type="dxa"/>
            </w:tcMar>
          </w:tcPr>
          <w:p w14:paraId="4E97047B" w14:textId="6650B1BC" w:rsidR="001937F8" w:rsidRPr="00D160FB" w:rsidRDefault="001937F8" w:rsidP="001937F8">
            <w:pPr>
              <w:pStyle w:val="Marginlie"/>
              <w:rPr>
                <w:lang w:val="en-GB"/>
              </w:rPr>
            </w:pPr>
            <w:r w:rsidRPr="00D160FB">
              <w:rPr>
                <w:lang w:val="en-GB"/>
              </w:rPr>
              <w:lastRenderedPageBreak/>
              <w:t xml:space="preserve">The household consumption plunged. </w:t>
            </w:r>
          </w:p>
        </w:tc>
        <w:tc>
          <w:tcPr>
            <w:tcW w:w="223" w:type="dxa"/>
            <w:shd w:val="clear" w:color="auto" w:fill="auto"/>
            <w:tcMar>
              <w:left w:w="0" w:type="dxa"/>
            </w:tcMar>
          </w:tcPr>
          <w:p w14:paraId="1293C704"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4A46A03F" w14:textId="7536C523" w:rsidR="001937F8" w:rsidRPr="00D160FB" w:rsidRDefault="001937F8" w:rsidP="001937F8">
            <w:pPr>
              <w:rPr>
                <w:spacing w:val="-2"/>
                <w:lang w:val="en-GB"/>
              </w:rPr>
            </w:pPr>
            <w:r w:rsidRPr="00D160FB">
              <w:rPr>
                <w:spacing w:val="-2"/>
                <w:lang w:val="en-GB"/>
              </w:rPr>
              <w:t>Domestic consumption decreased by 0.4% in year 2022. The real level of consumption (in prices of year 2019) thus still did not overtake the year 2019 following the pandemic slump in year 2020. The reduction of expenditures of households (−0.9%), who faced an unprecedented slump of real earnings was definitely the reason of the last year’s decrease. The real level of the household consumption even lagged behind the year 2018. Consumption of the government sector was on the contrary higher by 0.7%. Expenditures on the final consumption worked in the direction of the GDP decrease 0.5 p. p.</w:t>
            </w:r>
            <w:r w:rsidRPr="00D160FB">
              <w:rPr>
                <w:rStyle w:val="Znakapoznpodarou"/>
                <w:spacing w:val="-2"/>
                <w:lang w:val="en-GB"/>
              </w:rPr>
              <w:footnoteReference w:id="10"/>
            </w:r>
            <w:r w:rsidRPr="00D160FB">
              <w:rPr>
                <w:spacing w:val="-2"/>
                <w:lang w:val="en-GB"/>
              </w:rPr>
              <w:t xml:space="preserve">. </w:t>
            </w:r>
            <w:r>
              <w:rPr>
                <w:spacing w:val="-2"/>
                <w:lang w:val="en-GB"/>
              </w:rPr>
              <w:t>T</w:t>
            </w:r>
            <w:r w:rsidRPr="00D160FB">
              <w:rPr>
                <w:spacing w:val="-2"/>
                <w:lang w:val="en-GB"/>
              </w:rPr>
              <w:t xml:space="preserve">he consumption fell year-on-year for the second time in a row in Q4 2022 itself, specifically by 3.4%. In that the household consumption slumped by 5.5%, while the government institutions experienced a mild increase of 0.9%. Quarter-on-quarter, the consumption shrank by 0.6%, for the fifth time in a row. For households the decrease deepened to 2.8% compared to Q3, on the contrary the government institutions recorded a marked increase by 3.9%. </w:t>
            </w:r>
          </w:p>
        </w:tc>
      </w:tr>
      <w:tr w:rsidR="001937F8" w:rsidRPr="00D160FB" w14:paraId="0E6466F5" w14:textId="77777777" w:rsidTr="001937F8">
        <w:trPr>
          <w:trHeight w:val="154"/>
        </w:trPr>
        <w:tc>
          <w:tcPr>
            <w:tcW w:w="1806" w:type="dxa"/>
            <w:vMerge w:val="restart"/>
            <w:shd w:val="clear" w:color="auto" w:fill="auto"/>
            <w:tcMar>
              <w:left w:w="0" w:type="dxa"/>
            </w:tcMar>
          </w:tcPr>
          <w:p w14:paraId="1686769C" w14:textId="77777777" w:rsidR="001937F8" w:rsidRPr="00D160FB" w:rsidRDefault="001937F8" w:rsidP="001937F8">
            <w:pPr>
              <w:pStyle w:val="Marginlie"/>
              <w:rPr>
                <w:lang w:val="en-GB"/>
              </w:rPr>
            </w:pPr>
          </w:p>
        </w:tc>
        <w:tc>
          <w:tcPr>
            <w:tcW w:w="223" w:type="dxa"/>
            <w:vMerge w:val="restart"/>
            <w:shd w:val="clear" w:color="auto" w:fill="auto"/>
            <w:tcMar>
              <w:left w:w="0" w:type="dxa"/>
            </w:tcMar>
          </w:tcPr>
          <w:p w14:paraId="3F80E9C2"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4F947BF6" w14:textId="5EFD3169" w:rsidR="001937F8" w:rsidRPr="00D160FB" w:rsidRDefault="001937F8" w:rsidP="001937F8">
            <w:pPr>
              <w:spacing w:after="0"/>
              <w:rPr>
                <w:lang w:val="en-GB"/>
              </w:rPr>
            </w:pPr>
            <w:r w:rsidRPr="00D160FB">
              <w:rPr>
                <w:b/>
                <w:szCs w:val="20"/>
                <w:lang w:val="en-GB"/>
              </w:rPr>
              <w:t>Chart 2 Contribution of expenditure items to real GDP change</w:t>
            </w:r>
            <w:r w:rsidRPr="00D160FB">
              <w:rPr>
                <w:rFonts w:cs="Arial"/>
                <w:b/>
                <w:szCs w:val="20"/>
                <w:lang w:val="en-GB" w:eastAsia="en-US"/>
              </w:rPr>
              <w:t xml:space="preserve">* </w:t>
            </w:r>
            <w:r w:rsidRPr="00D160FB">
              <w:rPr>
                <w:rFonts w:cs="Arial"/>
                <w:bCs/>
                <w:szCs w:val="20"/>
                <w:lang w:val="en-GB" w:eastAsia="en-US"/>
              </w:rPr>
              <w:t>(volume indices, year-on-year growth, contributions in p.p., GDP in %)</w:t>
            </w:r>
          </w:p>
        </w:tc>
      </w:tr>
      <w:tr w:rsidR="001937F8" w:rsidRPr="00D160FB" w14:paraId="60D37CA8" w14:textId="77777777" w:rsidTr="001937F8">
        <w:tblPrEx>
          <w:tblCellMar>
            <w:left w:w="70" w:type="dxa"/>
            <w:right w:w="70" w:type="dxa"/>
          </w:tblCellMar>
        </w:tblPrEx>
        <w:trPr>
          <w:trHeight w:val="154"/>
        </w:trPr>
        <w:tc>
          <w:tcPr>
            <w:tcW w:w="1806" w:type="dxa"/>
            <w:vMerge/>
          </w:tcPr>
          <w:p w14:paraId="3CCE8FA2" w14:textId="77777777" w:rsidR="001937F8" w:rsidRPr="00D160FB" w:rsidRDefault="001937F8" w:rsidP="001937F8">
            <w:pPr>
              <w:pStyle w:val="Marginlie"/>
              <w:rPr>
                <w:lang w:val="en-GB"/>
              </w:rPr>
            </w:pPr>
          </w:p>
        </w:tc>
        <w:tc>
          <w:tcPr>
            <w:tcW w:w="223" w:type="dxa"/>
            <w:vMerge/>
          </w:tcPr>
          <w:p w14:paraId="5B691064" w14:textId="77777777" w:rsidR="001937F8" w:rsidRPr="00D160FB" w:rsidRDefault="001937F8" w:rsidP="001937F8">
            <w:pPr>
              <w:pStyle w:val="Textpoznpodarou"/>
              <w:jc w:val="both"/>
              <w:rPr>
                <w:spacing w:val="-4"/>
                <w:lang w:val="en-GB"/>
              </w:rPr>
            </w:pPr>
          </w:p>
        </w:tc>
        <w:tc>
          <w:tcPr>
            <w:tcW w:w="7610" w:type="dxa"/>
            <w:shd w:val="clear" w:color="auto" w:fill="auto"/>
          </w:tcPr>
          <w:p w14:paraId="68A6C4A9" w14:textId="39FFC22B" w:rsidR="001937F8" w:rsidRPr="00D160FB" w:rsidRDefault="001937F8" w:rsidP="001937F8">
            <w:pPr>
              <w:spacing w:after="0"/>
              <w:rPr>
                <w:lang w:val="en-GB"/>
              </w:rPr>
            </w:pPr>
            <w:r>
              <w:rPr>
                <w:noProof/>
              </w:rPr>
              <w:drawing>
                <wp:inline distT="0" distB="0" distL="0" distR="0" wp14:anchorId="23C8D100" wp14:editId="6A06BD9F">
                  <wp:extent cx="4743950" cy="3286500"/>
                  <wp:effectExtent l="0" t="0" r="0" b="0"/>
                  <wp:docPr id="1561255586" name="Graf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1937F8" w:rsidRPr="00D160FB" w14:paraId="1170B150" w14:textId="77777777" w:rsidTr="001937F8">
        <w:trPr>
          <w:trHeight w:val="154"/>
        </w:trPr>
        <w:tc>
          <w:tcPr>
            <w:tcW w:w="1806" w:type="dxa"/>
            <w:vMerge/>
            <w:tcMar>
              <w:left w:w="0" w:type="dxa"/>
            </w:tcMar>
          </w:tcPr>
          <w:p w14:paraId="2C621D23" w14:textId="77777777" w:rsidR="001937F8" w:rsidRPr="00D160FB" w:rsidRDefault="001937F8" w:rsidP="001937F8">
            <w:pPr>
              <w:pStyle w:val="Marginlie"/>
              <w:rPr>
                <w:lang w:val="en-GB"/>
              </w:rPr>
            </w:pPr>
          </w:p>
        </w:tc>
        <w:tc>
          <w:tcPr>
            <w:tcW w:w="223" w:type="dxa"/>
            <w:vMerge/>
            <w:tcMar>
              <w:left w:w="0" w:type="dxa"/>
            </w:tcMar>
          </w:tcPr>
          <w:p w14:paraId="4B0494F7"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09D3ABFD" w14:textId="38A144FC" w:rsidR="001937F8" w:rsidRPr="00D160FB" w:rsidRDefault="001937F8" w:rsidP="001937F8">
            <w:pPr>
              <w:spacing w:after="0"/>
              <w:rPr>
                <w:sz w:val="14"/>
                <w:szCs w:val="14"/>
                <w:lang w:val="en-GB"/>
              </w:rPr>
            </w:pPr>
            <w:r w:rsidRPr="00D160FB">
              <w:rPr>
                <w:sz w:val="14"/>
                <w:szCs w:val="14"/>
                <w:lang w:val="en-GB"/>
              </w:rPr>
              <w:t>Source: CZSO</w:t>
            </w:r>
          </w:p>
          <w:p w14:paraId="1879BDBD" w14:textId="4B0FDBF9" w:rsidR="001937F8" w:rsidRPr="001937F8" w:rsidRDefault="001937F8" w:rsidP="001937F8">
            <w:pPr>
              <w:rPr>
                <w:sz w:val="14"/>
                <w:szCs w:val="14"/>
                <w:lang w:val="en-GB"/>
              </w:rPr>
            </w:pPr>
            <w:r w:rsidRPr="00D160FB">
              <w:rPr>
                <w:sz w:val="14"/>
                <w:szCs w:val="14"/>
                <w:lang w:val="en-GB"/>
              </w:rPr>
              <w:t>*</w:t>
            </w:r>
            <w:r w:rsidR="002D6630">
              <w:rPr>
                <w:sz w:val="14"/>
                <w:szCs w:val="14"/>
                <w:lang w:val="en-GB"/>
              </w:rPr>
              <w:t xml:space="preserve"> </w:t>
            </w:r>
            <w:r w:rsidRPr="00D160FB">
              <w:rPr>
                <w:sz w:val="14"/>
                <w:szCs w:val="14"/>
                <w:lang w:val="en-GB"/>
              </w:rPr>
              <w:t>after exclusion of imports for final use</w:t>
            </w:r>
          </w:p>
        </w:tc>
      </w:tr>
      <w:tr w:rsidR="001937F8" w:rsidRPr="00D160FB" w14:paraId="31E2C4F9" w14:textId="77777777" w:rsidTr="001937F8">
        <w:trPr>
          <w:trHeight w:val="145"/>
        </w:trPr>
        <w:tc>
          <w:tcPr>
            <w:tcW w:w="1806" w:type="dxa"/>
            <w:shd w:val="clear" w:color="auto" w:fill="auto"/>
            <w:tcMar>
              <w:left w:w="0" w:type="dxa"/>
            </w:tcMar>
          </w:tcPr>
          <w:p w14:paraId="2B4EFFA3" w14:textId="6853711F" w:rsidR="001937F8" w:rsidRPr="00D160FB" w:rsidRDefault="001937F8" w:rsidP="001937F8">
            <w:pPr>
              <w:pStyle w:val="Marginlie"/>
              <w:rPr>
                <w:lang w:val="en-GB"/>
              </w:rPr>
            </w:pPr>
            <w:r w:rsidRPr="00D160FB">
              <w:rPr>
                <w:lang w:val="en-GB"/>
              </w:rPr>
              <w:t xml:space="preserve">Consumption of services maintained a year-on-year growth. </w:t>
            </w:r>
          </w:p>
        </w:tc>
        <w:tc>
          <w:tcPr>
            <w:tcW w:w="223" w:type="dxa"/>
            <w:shd w:val="clear" w:color="auto" w:fill="auto"/>
            <w:tcMar>
              <w:left w:w="0" w:type="dxa"/>
            </w:tcMar>
          </w:tcPr>
          <w:p w14:paraId="10B1E530"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3B2152B" w14:textId="72F26AB1" w:rsidR="001937F8" w:rsidRPr="00D160FB" w:rsidRDefault="001937F8" w:rsidP="001937F8">
            <w:pPr>
              <w:rPr>
                <w:spacing w:val="-2"/>
                <w:lang w:val="en-GB"/>
              </w:rPr>
            </w:pPr>
            <w:r w:rsidRPr="00D160FB">
              <w:rPr>
                <w:spacing w:val="-2"/>
                <w:lang w:val="en-GB"/>
              </w:rPr>
              <w:t>With regard to durability</w:t>
            </w:r>
            <w:r w:rsidRPr="00D160FB">
              <w:rPr>
                <w:rStyle w:val="Znakapoznpodarou"/>
                <w:lang w:val="en-GB"/>
              </w:rPr>
              <w:footnoteReference w:id="11"/>
            </w:r>
            <w:r w:rsidRPr="00D160FB">
              <w:rPr>
                <w:spacing w:val="-2"/>
                <w:lang w:val="en-GB"/>
              </w:rPr>
              <w:t xml:space="preserve"> the demand for durable goods dropped the most last year (−10.4%). It corresponds to the usual behaviour of consumers, who limit expenditures in just these areas in periods of uncertainty. However, the consumption of non-durable goods recorded the second largest decrease (−5.6%), which is very atypical and points to the restriction of expenditures in the area of essential goods, such as for instance food. Consumption of medium-term durability goods was lower by 1.6%. On the contrary, the increase of consumption strengthened to 7.1% for services last year. The expenditures on durable items lowered year-on-year by 16.4%, medium-term durability goods by 13.2% and short-term durability goods by 7.9% in Q4. Consumption of services </w:t>
            </w:r>
            <w:r w:rsidRPr="00D160FB">
              <w:rPr>
                <w:spacing w:val="-2"/>
                <w:lang w:val="en-GB"/>
              </w:rPr>
              <w:lastRenderedPageBreak/>
              <w:t>maintained year-on-year growth throughout the whole year and it went up by 2.7% in Q4. Compared to Q3, only the consumption of non-durable goods was falling (−3.6%), while the slump was deepening. The consumption of services (2.3%) and further durable goods (1.7%) grew the most quarter-on-quarter. The medium-term consumption recorded stagnation (0.3%) following a series of four deep slumps.</w:t>
            </w:r>
          </w:p>
        </w:tc>
      </w:tr>
      <w:tr w:rsidR="001937F8" w:rsidRPr="00D160FB" w14:paraId="5C5F7992" w14:textId="77777777" w:rsidTr="001937F8">
        <w:trPr>
          <w:trHeight w:val="145"/>
        </w:trPr>
        <w:tc>
          <w:tcPr>
            <w:tcW w:w="1806" w:type="dxa"/>
            <w:shd w:val="clear" w:color="auto" w:fill="auto"/>
            <w:tcMar>
              <w:left w:w="0" w:type="dxa"/>
            </w:tcMar>
          </w:tcPr>
          <w:p w14:paraId="63AB60B1" w14:textId="0B9DF1FE" w:rsidR="001937F8" w:rsidRPr="00D160FB" w:rsidRDefault="001937F8" w:rsidP="001937F8">
            <w:pPr>
              <w:pStyle w:val="Marginlie"/>
              <w:rPr>
                <w:lang w:val="en-GB"/>
              </w:rPr>
            </w:pPr>
            <w:r w:rsidRPr="00D160FB">
              <w:rPr>
                <w:lang w:val="en-GB"/>
              </w:rPr>
              <w:lastRenderedPageBreak/>
              <w:t xml:space="preserve">Investment went up last year. </w:t>
            </w:r>
          </w:p>
        </w:tc>
        <w:tc>
          <w:tcPr>
            <w:tcW w:w="223" w:type="dxa"/>
            <w:shd w:val="clear" w:color="auto" w:fill="auto"/>
            <w:tcMar>
              <w:left w:w="0" w:type="dxa"/>
            </w:tcMar>
          </w:tcPr>
          <w:p w14:paraId="40A95725"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3B80EF0C" w14:textId="6C31797A" w:rsidR="001937F8" w:rsidRPr="00D160FB" w:rsidRDefault="001937F8" w:rsidP="001937F8">
            <w:pPr>
              <w:rPr>
                <w:lang w:val="en-GB"/>
              </w:rPr>
            </w:pPr>
            <w:r w:rsidRPr="00D160FB">
              <w:rPr>
                <w:spacing w:val="-2"/>
                <w:lang w:val="en-GB"/>
              </w:rPr>
              <w:t>Expenditures on gross capital formation went up by 8.4% in real terms last year. In that expenditures on gross fixed capital formation (investment) were higher by 6.2%. In addition the inventory stock was also growing</w:t>
            </w:r>
            <w:r w:rsidRPr="00D160FB">
              <w:rPr>
                <w:rStyle w:val="Znakapoznpodarou"/>
                <w:lang w:val="en-GB"/>
              </w:rPr>
              <w:footnoteReference w:id="12"/>
            </w:r>
            <w:r w:rsidRPr="00D160FB">
              <w:rPr>
                <w:spacing w:val="-2"/>
                <w:lang w:val="en-GB"/>
              </w:rPr>
              <w:t xml:space="preserve"> – while it represented mainly the unfinished products in industry in year 2021, the natural gas supplies also had an effect last year. The gross capital formation added to the last year’s GDP growth 2.3 p.p., in that fixed capital 1.4 p.p. Year-on-year growth of the expenditures on gross capital formation gradually weakened during the year – the addition reached 2.6% in Q4. In that however investment expanded by 4.6%. Quarter-on-quarter however, the gross capital formation reduced by 1.3% (second decrease in a row). Investment activity fell quarter-on-quarter for the first time since Q1, specifically by 1.1%.       </w:t>
            </w:r>
          </w:p>
        </w:tc>
      </w:tr>
      <w:tr w:rsidR="001937F8" w:rsidRPr="00D160FB" w14:paraId="1D0DFB42" w14:textId="77777777" w:rsidTr="001937F8">
        <w:trPr>
          <w:trHeight w:val="145"/>
        </w:trPr>
        <w:tc>
          <w:tcPr>
            <w:tcW w:w="1806" w:type="dxa"/>
            <w:shd w:val="clear" w:color="auto" w:fill="auto"/>
            <w:tcMar>
              <w:left w:w="0" w:type="dxa"/>
            </w:tcMar>
          </w:tcPr>
          <w:p w14:paraId="55C7CA8D" w14:textId="06E49807" w:rsidR="001937F8" w:rsidRPr="00D160FB" w:rsidRDefault="001937F8" w:rsidP="001937F8">
            <w:pPr>
              <w:pStyle w:val="Marginlie"/>
              <w:rPr>
                <w:lang w:val="en-GB"/>
              </w:rPr>
            </w:pPr>
            <w:r w:rsidRPr="00D160FB">
              <w:rPr>
                <w:lang w:val="en-GB"/>
              </w:rPr>
              <w:t xml:space="preserve">Investment into housing were falling. </w:t>
            </w:r>
          </w:p>
        </w:tc>
        <w:tc>
          <w:tcPr>
            <w:tcW w:w="223" w:type="dxa"/>
            <w:shd w:val="clear" w:color="auto" w:fill="auto"/>
            <w:tcMar>
              <w:left w:w="0" w:type="dxa"/>
            </w:tcMar>
          </w:tcPr>
          <w:p w14:paraId="6CB26E5E"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441029D" w14:textId="49A8E4E2" w:rsidR="001937F8" w:rsidRPr="00D160FB" w:rsidRDefault="001937F8" w:rsidP="001937F8">
            <w:pPr>
              <w:rPr>
                <w:lang w:val="en-GB"/>
              </w:rPr>
            </w:pPr>
            <w:r w:rsidRPr="00D160FB">
              <w:rPr>
                <w:spacing w:val="-2"/>
                <w:lang w:val="en-GB"/>
              </w:rPr>
              <w:t>Type classification of gross fixed capital formation documents the concerns of households and downswing of the real estate market associated with the increase of the interest rates and worsened accessibility of mortgages. Because investment into housing decreased by 1.2% last year. On the other hand investment into transport equipment (14.9%), other buildings and structures (8.9%), intellectual property products (6.3%) as well as ICT and other machinery and equipment (5.9%) grew. Year-on-year development in Q4 resembled the year-round development – only investment into housing fell by 4.7%, but growth of the other investment items continues. Expenditures on intellectual property products were thus year-on-year by 9.7% higher, on ICT and other machinery and equipment by 7.6%, on other buildings and structures by 4.7% and on transport equipment by 2.6%. The quarter-on-quarter dynamics however shows that investment into other buildings and structures (−7.3%) as well as transport equipment (−4.</w:t>
            </w:r>
            <w:r>
              <w:rPr>
                <w:spacing w:val="-2"/>
                <w:lang w:val="en-GB"/>
              </w:rPr>
              <w:t>0</w:t>
            </w:r>
            <w:r w:rsidRPr="00D160FB">
              <w:rPr>
                <w:spacing w:val="-2"/>
                <w:lang w:val="en-GB"/>
              </w:rPr>
              <w:t>%) considerably slowed down towards the end of the year. Expenditures on housing were slightly lower (−0.7%). Investment into the intellectual property products (5.5%) and ICT and other machinery and equipment (0.6%) in contrast grew quarter-on-quarter.</w:t>
            </w:r>
          </w:p>
        </w:tc>
      </w:tr>
      <w:tr w:rsidR="001937F8" w:rsidRPr="00D160FB" w14:paraId="648559DB" w14:textId="77777777" w:rsidTr="001937F8">
        <w:trPr>
          <w:trHeight w:val="145"/>
        </w:trPr>
        <w:tc>
          <w:tcPr>
            <w:tcW w:w="1806" w:type="dxa"/>
            <w:shd w:val="clear" w:color="auto" w:fill="auto"/>
            <w:tcMar>
              <w:left w:w="0" w:type="dxa"/>
            </w:tcMar>
          </w:tcPr>
          <w:p w14:paraId="3C6CCB9F" w14:textId="4B42BDDB" w:rsidR="001937F8" w:rsidRPr="00D160FB" w:rsidRDefault="001937F8" w:rsidP="001937F8">
            <w:pPr>
              <w:pStyle w:val="Marginlie"/>
              <w:rPr>
                <w:lang w:val="en-GB"/>
              </w:rPr>
            </w:pPr>
            <w:r w:rsidRPr="00D160FB">
              <w:rPr>
                <w:lang w:val="en-GB"/>
              </w:rPr>
              <w:t xml:space="preserve">Foreign demand contributed to the GDP growth last year. </w:t>
            </w:r>
          </w:p>
        </w:tc>
        <w:tc>
          <w:tcPr>
            <w:tcW w:w="223" w:type="dxa"/>
            <w:shd w:val="clear" w:color="auto" w:fill="auto"/>
            <w:tcMar>
              <w:left w:w="0" w:type="dxa"/>
            </w:tcMar>
          </w:tcPr>
          <w:p w14:paraId="34CC78E4"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3468C69" w14:textId="659C6AAA" w:rsidR="001937F8" w:rsidRPr="00D160FB" w:rsidRDefault="001937F8" w:rsidP="001937F8">
            <w:pPr>
              <w:rPr>
                <w:lang w:val="en-GB"/>
              </w:rPr>
            </w:pPr>
            <w:r w:rsidRPr="00D160FB">
              <w:rPr>
                <w:lang w:val="en-GB"/>
              </w:rPr>
              <w:t>Export of goods and services expanded by 5.7%</w:t>
            </w:r>
            <w:r w:rsidRPr="00D160FB">
              <w:rPr>
                <w:rStyle w:val="Znakapoznpodarou"/>
                <w:lang w:val="en-GB"/>
              </w:rPr>
              <w:footnoteReference w:id="13"/>
            </w:r>
            <w:r w:rsidRPr="00D160FB">
              <w:rPr>
                <w:lang w:val="en-GB"/>
              </w:rPr>
              <w:t xml:space="preserve"> in real terms in year 2022. In that the export of goods rose by 3.8%, while services recorded a significant increase of 16.7%. Import was also by 5</w:t>
            </w:r>
            <w:r w:rsidR="002D6630">
              <w:rPr>
                <w:lang w:val="en-GB"/>
              </w:rPr>
              <w:t>.</w:t>
            </w:r>
            <w:r w:rsidRPr="00D160FB">
              <w:rPr>
                <w:lang w:val="en-GB"/>
              </w:rPr>
              <w:t>7% higher in real terms last year. Addition to import of goods was moderate (2.6%), but services managed to be catching up the pandemic slump (26.9%). Foreign demand had a positive effect on the real GDP growth last year (contribution 0.6 p.p.). Total balance of foreign trade with goods and services in current prices deteriorated by 187.6 CZK bn last year and fell into the 8.3 bn deficit, the first since the year 2003. Mainly the trade with goods stood behind this development (total deficit 100.4 CZK bn, worsening by 170.6 bn), but the balance of trade with services also developed in the adverse direction (worsening of surplus by 17.0 CZK bn to 92.1 bn). Steep rise of the prices of oil and natural gas as well as other materials, which further transferred to prices of other goods, played a key role in the dramatic worsening.</w:t>
            </w:r>
          </w:p>
        </w:tc>
      </w:tr>
      <w:tr w:rsidR="001937F8" w:rsidRPr="00D160FB" w14:paraId="6956BC7C" w14:textId="77777777" w:rsidTr="001937F8">
        <w:trPr>
          <w:trHeight w:val="145"/>
        </w:trPr>
        <w:tc>
          <w:tcPr>
            <w:tcW w:w="1806" w:type="dxa"/>
            <w:shd w:val="clear" w:color="auto" w:fill="auto"/>
            <w:tcMar>
              <w:left w:w="0" w:type="dxa"/>
            </w:tcMar>
          </w:tcPr>
          <w:p w14:paraId="6AD50BDC" w14:textId="14576869" w:rsidR="001937F8" w:rsidRPr="00D160FB" w:rsidRDefault="001937F8" w:rsidP="001937F8">
            <w:pPr>
              <w:pStyle w:val="Marginlie"/>
              <w:rPr>
                <w:lang w:val="en-GB"/>
              </w:rPr>
            </w:pPr>
            <w:r w:rsidRPr="00D160FB">
              <w:rPr>
                <w:lang w:val="en-GB"/>
              </w:rPr>
              <w:t xml:space="preserve">Foreign trade balance worsened year-on-year. </w:t>
            </w:r>
          </w:p>
        </w:tc>
        <w:tc>
          <w:tcPr>
            <w:tcW w:w="223" w:type="dxa"/>
            <w:shd w:val="clear" w:color="auto" w:fill="auto"/>
            <w:tcMar>
              <w:left w:w="0" w:type="dxa"/>
            </w:tcMar>
          </w:tcPr>
          <w:p w14:paraId="0A34E6F1"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A8C744F" w14:textId="73C6CA4D" w:rsidR="001937F8" w:rsidRPr="00D160FB" w:rsidRDefault="001937F8" w:rsidP="001937F8">
            <w:pPr>
              <w:rPr>
                <w:lang w:val="en-GB"/>
              </w:rPr>
            </w:pPr>
            <w:r w:rsidRPr="00D160FB">
              <w:rPr>
                <w:lang w:val="en-GB"/>
              </w:rPr>
              <w:t>The export of goods and services increased by 9.7% in real terms year-on-year in Q4. In that, the export of goods grew by 8.2% and services by 18.</w:t>
            </w:r>
            <w:r>
              <w:rPr>
                <w:lang w:val="en-GB"/>
              </w:rPr>
              <w:t>4</w:t>
            </w:r>
            <w:r w:rsidRPr="00D160FB">
              <w:rPr>
                <w:lang w:val="en-GB"/>
              </w:rPr>
              <w:t xml:space="preserve">%. The strong year-on-year real growth was also connected to the weak comparative basis from the second </w:t>
            </w:r>
            <w:r w:rsidRPr="00D160FB">
              <w:rPr>
                <w:lang w:val="en-GB"/>
              </w:rPr>
              <w:lastRenderedPageBreak/>
              <w:t xml:space="preserve">half of year 2021, when the culminating shortage of components complicated situation to exporters. Import increased by 7.6% year-on-year in Q4. Import of goods was by 3.7% in real terms, services featured a sharp jump of 33.3%. Foreign demand had a favourable effect on the year-on-year growth of GDP in Q4, the increase attained 2.4 p.p. Quarter-on-quarter, the export of goods and services rose by 0.5% in Q4 – it fell by 0.8% for goods, while services prospered (growth of 7.5%). Import stagnated quarter-on-quarter – import of goods fell by 1.5%, on the contrary the addition reached 8.1% for services. Total balance of foreign trade with goods and services in current prices deteriorated by 4.9 CZK bn year-on-year in Q4, it however remained in surplus (11.1 bn). Balance of trade with goods ended in deficit 4.4 CZK bn (year-on-year improvement of 10.6 bn). In case of services, the positive balance worsened by 15.6 CZK bn to 15.4 bn.      </w:t>
            </w:r>
          </w:p>
        </w:tc>
      </w:tr>
      <w:tr w:rsidR="001937F8" w:rsidRPr="00D160FB" w14:paraId="064D4BEB" w14:textId="77777777" w:rsidTr="001937F8">
        <w:trPr>
          <w:trHeight w:val="145"/>
        </w:trPr>
        <w:tc>
          <w:tcPr>
            <w:tcW w:w="1806" w:type="dxa"/>
            <w:shd w:val="clear" w:color="auto" w:fill="auto"/>
            <w:tcMar>
              <w:left w:w="0" w:type="dxa"/>
            </w:tcMar>
          </w:tcPr>
          <w:p w14:paraId="3F89CD52" w14:textId="4569B9EE" w:rsidR="001937F8" w:rsidRPr="00D160FB" w:rsidRDefault="001937F8" w:rsidP="001937F8">
            <w:pPr>
              <w:pStyle w:val="Marginlie"/>
              <w:rPr>
                <w:lang w:val="en-GB"/>
              </w:rPr>
            </w:pPr>
            <w:r w:rsidRPr="00D160FB">
              <w:rPr>
                <w:lang w:val="en-GB"/>
              </w:rPr>
              <w:lastRenderedPageBreak/>
              <w:t xml:space="preserve">Gross value added grew mostly thanks to services last year. </w:t>
            </w:r>
          </w:p>
        </w:tc>
        <w:tc>
          <w:tcPr>
            <w:tcW w:w="223" w:type="dxa"/>
            <w:shd w:val="clear" w:color="auto" w:fill="auto"/>
            <w:tcMar>
              <w:left w:w="0" w:type="dxa"/>
            </w:tcMar>
          </w:tcPr>
          <w:p w14:paraId="24968853"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3DF8A135" w14:textId="00027AC5" w:rsidR="001937F8" w:rsidRPr="00D160FB" w:rsidRDefault="001937F8" w:rsidP="001937F8">
            <w:pPr>
              <w:rPr>
                <w:lang w:val="en-GB"/>
              </w:rPr>
            </w:pPr>
            <w:r w:rsidRPr="00D160FB">
              <w:rPr>
                <w:lang w:val="en-GB"/>
              </w:rPr>
              <w:t xml:space="preserve">The Gross value added (GVA) increased by 2.5% in year 2022. Mainly services contributed to growth, while various difficulties persisted in industry – disruption of supplies of components or the raised prices of energies and materials. The GVA increased the most in other activities (9.5%), where the increase was affected by the low comparative bases of the first half of the year 2021. Growth was considerable in information and communication (5.0%), professional, scientific, technical and administrative activities (3.6%) and in division trade, transportation, accommodation and food service (3.4%). Gross value added grew also in manufacturing (2.9%), industry as a whole grew slower (1.6%). Real estate activities also increased last year (2.9%) following two previous falls. GVA increase in construction (1.9%), financial and insurance activities (1.6%) and branches with the dominant government institutions (1.2%) was mild. Only agriculture, forestry and fishing recorded decrease (−2.4%).    </w:t>
            </w:r>
          </w:p>
        </w:tc>
      </w:tr>
      <w:tr w:rsidR="001937F8" w:rsidRPr="00D160FB" w14:paraId="6245C10A" w14:textId="77777777" w:rsidTr="001937F8">
        <w:trPr>
          <w:trHeight w:val="142"/>
        </w:trPr>
        <w:tc>
          <w:tcPr>
            <w:tcW w:w="1806" w:type="dxa"/>
            <w:vMerge w:val="restart"/>
            <w:shd w:val="clear" w:color="auto" w:fill="auto"/>
            <w:tcMar>
              <w:left w:w="0" w:type="dxa"/>
            </w:tcMar>
          </w:tcPr>
          <w:p w14:paraId="38E1E5EA" w14:textId="77777777" w:rsidR="001937F8" w:rsidRPr="00D160FB" w:rsidRDefault="001937F8" w:rsidP="001937F8">
            <w:pPr>
              <w:pStyle w:val="Marginlie"/>
              <w:rPr>
                <w:lang w:val="en-GB"/>
              </w:rPr>
            </w:pPr>
          </w:p>
        </w:tc>
        <w:tc>
          <w:tcPr>
            <w:tcW w:w="223" w:type="dxa"/>
            <w:vMerge w:val="restart"/>
            <w:shd w:val="clear" w:color="auto" w:fill="auto"/>
            <w:tcMar>
              <w:left w:w="0" w:type="dxa"/>
            </w:tcMar>
          </w:tcPr>
          <w:p w14:paraId="4D3E0E49"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60B6DCE9" w14:textId="04F00EB7" w:rsidR="001937F8" w:rsidRPr="00D160FB" w:rsidRDefault="001937F8" w:rsidP="001937F8">
            <w:pPr>
              <w:spacing w:after="0"/>
              <w:rPr>
                <w:lang w:val="en-GB"/>
              </w:rPr>
            </w:pPr>
            <w:r w:rsidRPr="00D160FB">
              <w:rPr>
                <w:b/>
                <w:szCs w:val="20"/>
                <w:lang w:val="en-GB"/>
              </w:rPr>
              <w:t>Chart 3 Contributions</w:t>
            </w:r>
            <w:r w:rsidRPr="00D160FB">
              <w:rPr>
                <w:b/>
                <w:szCs w:val="20"/>
                <w:lang w:val="en-GB" w:eastAsia="en-US"/>
              </w:rPr>
              <w:t xml:space="preserve"> of branches to real change in GVA</w:t>
            </w:r>
            <w:r w:rsidRPr="00D160FB">
              <w:rPr>
                <w:rFonts w:cs="Arial"/>
                <w:b/>
                <w:szCs w:val="20"/>
                <w:lang w:val="en-GB" w:eastAsia="en-US"/>
              </w:rPr>
              <w:t xml:space="preserve"> </w:t>
            </w:r>
            <w:r w:rsidRPr="00D160FB">
              <w:rPr>
                <w:rFonts w:cs="Arial"/>
                <w:bCs/>
                <w:szCs w:val="20"/>
                <w:lang w:val="en-GB" w:eastAsia="en-US"/>
              </w:rPr>
              <w:t>(volume indices, year-on-year contributions in p.p., GVA in %)</w:t>
            </w:r>
            <w:r w:rsidRPr="00D160FB">
              <w:rPr>
                <w:rFonts w:cs="Arial"/>
                <w:szCs w:val="20"/>
                <w:lang w:val="en-GB" w:eastAsia="en-US"/>
              </w:rPr>
              <w:t xml:space="preserve"> </w:t>
            </w:r>
          </w:p>
        </w:tc>
      </w:tr>
      <w:tr w:rsidR="001937F8" w:rsidRPr="00D160FB" w14:paraId="51A633BC" w14:textId="77777777" w:rsidTr="001937F8">
        <w:trPr>
          <w:trHeight w:val="142"/>
        </w:trPr>
        <w:tc>
          <w:tcPr>
            <w:tcW w:w="1806" w:type="dxa"/>
            <w:vMerge/>
            <w:shd w:val="clear" w:color="auto" w:fill="auto"/>
            <w:tcMar>
              <w:left w:w="0" w:type="dxa"/>
            </w:tcMar>
          </w:tcPr>
          <w:p w14:paraId="0B95347C" w14:textId="77777777" w:rsidR="001937F8" w:rsidRPr="00D160FB" w:rsidRDefault="001937F8" w:rsidP="001937F8">
            <w:pPr>
              <w:pStyle w:val="Marginlie"/>
              <w:rPr>
                <w:lang w:val="en-GB"/>
              </w:rPr>
            </w:pPr>
          </w:p>
        </w:tc>
        <w:tc>
          <w:tcPr>
            <w:tcW w:w="223" w:type="dxa"/>
            <w:vMerge/>
            <w:shd w:val="clear" w:color="auto" w:fill="auto"/>
            <w:tcMar>
              <w:left w:w="0" w:type="dxa"/>
            </w:tcMar>
          </w:tcPr>
          <w:p w14:paraId="760B2A1F"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255BE67E" w14:textId="08714432" w:rsidR="001937F8" w:rsidRPr="00D160FB" w:rsidRDefault="001937F8" w:rsidP="001937F8">
            <w:pPr>
              <w:spacing w:after="0"/>
              <w:rPr>
                <w:lang w:val="en-GB"/>
              </w:rPr>
            </w:pPr>
            <w:r>
              <w:rPr>
                <w:noProof/>
              </w:rPr>
              <w:drawing>
                <wp:inline distT="0" distB="0" distL="0" distR="0" wp14:anchorId="7C51F11A" wp14:editId="6E9B6276">
                  <wp:extent cx="4731250" cy="3315075"/>
                  <wp:effectExtent l="0" t="0" r="0" b="0"/>
                  <wp:docPr id="2018448021" name="Graf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937F8" w:rsidRPr="00D160FB" w14:paraId="5B61CAFF" w14:textId="77777777" w:rsidTr="001937F8">
        <w:trPr>
          <w:trHeight w:val="142"/>
        </w:trPr>
        <w:tc>
          <w:tcPr>
            <w:tcW w:w="1806" w:type="dxa"/>
            <w:vMerge/>
            <w:shd w:val="clear" w:color="auto" w:fill="auto"/>
            <w:tcMar>
              <w:left w:w="0" w:type="dxa"/>
            </w:tcMar>
          </w:tcPr>
          <w:p w14:paraId="701B8378" w14:textId="77777777" w:rsidR="001937F8" w:rsidRPr="00D160FB" w:rsidRDefault="001937F8" w:rsidP="001937F8">
            <w:pPr>
              <w:pStyle w:val="Marginlie"/>
              <w:rPr>
                <w:lang w:val="en-GB"/>
              </w:rPr>
            </w:pPr>
          </w:p>
        </w:tc>
        <w:tc>
          <w:tcPr>
            <w:tcW w:w="223" w:type="dxa"/>
            <w:vMerge/>
            <w:shd w:val="clear" w:color="auto" w:fill="auto"/>
            <w:tcMar>
              <w:left w:w="0" w:type="dxa"/>
            </w:tcMar>
          </w:tcPr>
          <w:p w14:paraId="6A8F7A11"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1D4AD889" w14:textId="5A1D37FC" w:rsidR="001937F8" w:rsidRPr="00D160FB" w:rsidRDefault="001937F8" w:rsidP="001937F8">
            <w:pPr>
              <w:rPr>
                <w:lang w:val="en-GB"/>
              </w:rPr>
            </w:pPr>
            <w:r w:rsidRPr="00D160FB">
              <w:rPr>
                <w:sz w:val="14"/>
                <w:szCs w:val="14"/>
                <w:lang w:val="en-GB"/>
              </w:rPr>
              <w:t>Source: CZSO</w:t>
            </w:r>
          </w:p>
        </w:tc>
      </w:tr>
      <w:tr w:rsidR="001937F8" w:rsidRPr="00D160FB" w14:paraId="5A9C6CF8" w14:textId="77777777" w:rsidTr="001937F8">
        <w:trPr>
          <w:trHeight w:val="60"/>
        </w:trPr>
        <w:tc>
          <w:tcPr>
            <w:tcW w:w="1806" w:type="dxa"/>
            <w:shd w:val="clear" w:color="auto" w:fill="auto"/>
            <w:tcMar>
              <w:left w:w="0" w:type="dxa"/>
            </w:tcMar>
          </w:tcPr>
          <w:p w14:paraId="7888A773" w14:textId="16A78B04" w:rsidR="001937F8" w:rsidRPr="00D160FB" w:rsidRDefault="001937F8" w:rsidP="001937F8">
            <w:pPr>
              <w:pStyle w:val="Marginlie"/>
              <w:rPr>
                <w:lang w:val="en-GB"/>
              </w:rPr>
            </w:pPr>
            <w:r w:rsidRPr="00D160FB">
              <w:rPr>
                <w:lang w:val="en-GB"/>
              </w:rPr>
              <w:t xml:space="preserve">GVA growth in manufacturing notably revived at the end of the year. </w:t>
            </w:r>
          </w:p>
        </w:tc>
        <w:tc>
          <w:tcPr>
            <w:tcW w:w="223" w:type="dxa"/>
            <w:shd w:val="clear" w:color="auto" w:fill="auto"/>
            <w:tcMar>
              <w:left w:w="0" w:type="dxa"/>
            </w:tcMar>
          </w:tcPr>
          <w:p w14:paraId="2D8CDA8B" w14:textId="77777777" w:rsidR="001937F8" w:rsidRPr="00D160FB" w:rsidRDefault="001937F8" w:rsidP="001937F8">
            <w:pPr>
              <w:pStyle w:val="Textpoznpodarou"/>
              <w:jc w:val="both"/>
              <w:rPr>
                <w:spacing w:val="-4"/>
                <w:lang w:val="en-GB"/>
              </w:rPr>
            </w:pPr>
          </w:p>
        </w:tc>
        <w:tc>
          <w:tcPr>
            <w:tcW w:w="7610" w:type="dxa"/>
            <w:shd w:val="clear" w:color="auto" w:fill="auto"/>
            <w:tcMar>
              <w:left w:w="0" w:type="dxa"/>
            </w:tcMar>
          </w:tcPr>
          <w:p w14:paraId="0FA8D267" w14:textId="348CD406" w:rsidR="001937F8" w:rsidRPr="00D160FB" w:rsidRDefault="001937F8" w:rsidP="001937F8">
            <w:pPr>
              <w:rPr>
                <w:szCs w:val="20"/>
                <w:lang w:val="en-GB"/>
              </w:rPr>
            </w:pPr>
            <w:r w:rsidRPr="00D160FB">
              <w:rPr>
                <w:lang w:val="en-GB"/>
              </w:rPr>
              <w:t xml:space="preserve">The GVA increased by 1.0% year-on-year in Q4 and it increased by 0.3% quarter-on-quarter. Relatively substantial difference between the dynamics of GDP and GVA in Q4 was caused by the real decrease of collected taxes on products, which was connected to the slump of household consumption. Increased subsidies also had an effect in the </w:t>
            </w:r>
            <w:r w:rsidRPr="00D160FB">
              <w:rPr>
                <w:lang w:val="en-GB"/>
              </w:rPr>
              <w:lastRenderedPageBreak/>
              <w:t>similar direction. The GVA grew the most in manufacturing (6.0%), in real estate areas (5.1%), in other activities (2.7%) and in information and communication (2.5%) year-on-year in Q4. GVA grew only modestly in branches with the dominant government sector (0.7%) and in financial and insurance activities (0.6%) year-on-year. Division trade, accommodation and food service (−2.9%), construction (−2.8%), agriculture, forestry and fishing (−1.4%) and professional, scientific and administrative activities (−0.2%) recorded a year-on-year GVA decrease. GVA in financial and insurance activities (3.6%), real estate activities (2.4%), manufacturing (1.6%) and in branches with the dominant government sector (1.2%) achieved the largest GVA increase compared to Q3. Construction (0.9%) and agriculture, forestry and fishing (0.8%) also experienced a revival. Other activities slightly grew (0.3%). GVA was falling quarter-on-quarter in information and communication (−1.4%) for the first time since Q2 2020 and it was also lower in division trade, transportation, accommodation and food service (−0.3%).</w:t>
            </w:r>
          </w:p>
        </w:tc>
      </w:tr>
      <w:bookmarkEnd w:id="14"/>
    </w:tbl>
    <w:p w14:paraId="52CB9411" w14:textId="77777777" w:rsidR="002D6630" w:rsidRDefault="002D6630">
      <w:pPr>
        <w:spacing w:after="0" w:line="240" w:lineRule="auto"/>
        <w:jc w:val="left"/>
        <w:rPr>
          <w:rFonts w:eastAsia="MS Gothic"/>
          <w:b/>
          <w:bCs/>
          <w:color w:val="71818C"/>
          <w:sz w:val="32"/>
          <w:szCs w:val="32"/>
          <w:lang w:val="en-GB"/>
        </w:rPr>
      </w:pPr>
      <w:r>
        <w:rPr>
          <w:szCs w:val="32"/>
          <w:lang w:val="en-GB"/>
        </w:rPr>
        <w:lastRenderedPageBreak/>
        <w:br w:type="page"/>
      </w:r>
    </w:p>
    <w:p w14:paraId="689537EA" w14:textId="5D70FDF5" w:rsidR="00E87D5B" w:rsidRPr="00D160FB" w:rsidRDefault="00E87D5B" w:rsidP="00E87D5B">
      <w:pPr>
        <w:pStyle w:val="Nadpis11"/>
        <w:rPr>
          <w:lang w:val="en-GB"/>
        </w:rPr>
      </w:pPr>
      <w:bookmarkStart w:id="25" w:name="_Toc132874247"/>
      <w:r w:rsidRPr="00D160FB">
        <w:rPr>
          <w:szCs w:val="32"/>
          <w:lang w:val="en-GB"/>
        </w:rPr>
        <w:lastRenderedPageBreak/>
        <w:t>3</w:t>
      </w:r>
      <w:r w:rsidRPr="00D160FB">
        <w:rPr>
          <w:lang w:val="en-GB"/>
        </w:rPr>
        <w:t>. </w:t>
      </w:r>
      <w:r w:rsidR="0092572D" w:rsidRPr="00D160FB">
        <w:rPr>
          <w:lang w:val="en-GB"/>
        </w:rPr>
        <w:t>Branches Performance</w:t>
      </w:r>
      <w:bookmarkEnd w:id="25"/>
    </w:p>
    <w:p w14:paraId="3F8F0252" w14:textId="77777777" w:rsidR="00E87D5B" w:rsidRPr="00D160FB" w:rsidRDefault="00E87D5B" w:rsidP="00E87D5B">
      <w:pPr>
        <w:pStyle w:val="Nadpis11"/>
        <w:rPr>
          <w:b w:val="0"/>
          <w:sz w:val="2"/>
          <w:szCs w:val="2"/>
          <w:lang w:val="en-GB"/>
        </w:rPr>
      </w:pPr>
    </w:p>
    <w:p w14:paraId="6C58D65C" w14:textId="77777777" w:rsidR="00E87D5B" w:rsidRPr="00D160FB" w:rsidRDefault="00E87D5B" w:rsidP="00E87D5B">
      <w:pPr>
        <w:pStyle w:val="Nadpis11"/>
        <w:rPr>
          <w:b w:val="0"/>
          <w:sz w:val="2"/>
          <w:szCs w:val="2"/>
          <w:lang w:val="en-GB"/>
        </w:rPr>
      </w:pPr>
    </w:p>
    <w:tbl>
      <w:tblPr>
        <w:tblW w:w="963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8"/>
        <w:gridCol w:w="195"/>
        <w:gridCol w:w="7726"/>
      </w:tblGrid>
      <w:tr w:rsidR="00A7439C" w:rsidRPr="00D160FB" w14:paraId="258C5719" w14:textId="77777777" w:rsidTr="00976631">
        <w:trPr>
          <w:trHeight w:val="145"/>
        </w:trPr>
        <w:tc>
          <w:tcPr>
            <w:tcW w:w="1780" w:type="dxa"/>
            <w:tcBorders>
              <w:top w:val="nil"/>
              <w:left w:val="nil"/>
              <w:bottom w:val="nil"/>
              <w:right w:val="nil"/>
            </w:tcBorders>
            <w:shd w:val="clear" w:color="auto" w:fill="auto"/>
            <w:tcMar>
              <w:left w:w="0" w:type="dxa"/>
            </w:tcMar>
          </w:tcPr>
          <w:p w14:paraId="272467B5" w14:textId="00C6EBBE" w:rsidR="00E87D5B" w:rsidRPr="00D160FB" w:rsidRDefault="00690A0C" w:rsidP="00C8019E">
            <w:pPr>
              <w:pStyle w:val="Marginlie"/>
              <w:rPr>
                <w:color w:val="0D0D0D" w:themeColor="text1" w:themeTint="F2"/>
                <w:spacing w:val="-5"/>
                <w:lang w:val="en-GB"/>
              </w:rPr>
            </w:pPr>
            <w:r w:rsidRPr="00D160FB">
              <w:rPr>
                <w:color w:val="0D0D0D" w:themeColor="text1" w:themeTint="F2"/>
                <w:spacing w:val="-5"/>
                <w:lang w:val="en-GB"/>
              </w:rPr>
              <w:t xml:space="preserve">Quarter-on-quarter growth of total GVA </w:t>
            </w:r>
            <w:r w:rsidR="00311CA4" w:rsidRPr="00D160FB">
              <w:rPr>
                <w:color w:val="0D0D0D" w:themeColor="text1" w:themeTint="F2"/>
                <w:spacing w:val="-5"/>
                <w:lang w:val="en-GB"/>
              </w:rPr>
              <w:t>halted in Q</w:t>
            </w:r>
            <w:r w:rsidR="00E87D5B" w:rsidRPr="00D160FB">
              <w:rPr>
                <w:color w:val="0D0D0D" w:themeColor="text1" w:themeTint="F2"/>
                <w:spacing w:val="-5"/>
                <w:lang w:val="en-GB"/>
              </w:rPr>
              <w:t>3.</w:t>
            </w:r>
            <w:r w:rsidR="00311CA4" w:rsidRPr="00D160FB">
              <w:rPr>
                <w:color w:val="0D0D0D" w:themeColor="text1" w:themeTint="F2"/>
                <w:spacing w:val="-5"/>
                <w:lang w:val="en-GB"/>
              </w:rPr>
              <w:t xml:space="preserve"> </w:t>
            </w:r>
            <w:r w:rsidR="007533A0" w:rsidRPr="00D160FB">
              <w:rPr>
                <w:color w:val="0D0D0D" w:themeColor="text1" w:themeTint="F2"/>
                <w:spacing w:val="-5"/>
                <w:lang w:val="en-GB"/>
              </w:rPr>
              <w:t>Lower household consumption afflicted the performance of a number of market servi</w:t>
            </w:r>
            <w:r w:rsidR="00483392">
              <w:rPr>
                <w:color w:val="0D0D0D" w:themeColor="text1" w:themeTint="F2"/>
                <w:spacing w:val="-5"/>
                <w:lang w:val="en-GB"/>
              </w:rPr>
              <w:t>ces as well as the energy industry.</w:t>
            </w:r>
          </w:p>
          <w:p w14:paraId="3AAB4DF7" w14:textId="77777777" w:rsidR="00E87D5B" w:rsidRPr="00D160FB" w:rsidRDefault="00E87D5B" w:rsidP="00C8019E">
            <w:pPr>
              <w:pStyle w:val="Marginlie"/>
              <w:rPr>
                <w:color w:val="0D0D0D" w:themeColor="text1" w:themeTint="F2"/>
                <w:spacing w:val="-5"/>
                <w:lang w:val="en-GB"/>
              </w:rPr>
            </w:pPr>
          </w:p>
          <w:p w14:paraId="58DAD3F2" w14:textId="77777777" w:rsidR="00E87D5B" w:rsidRPr="00D160FB" w:rsidRDefault="00E87D5B" w:rsidP="00C8019E">
            <w:pPr>
              <w:pStyle w:val="Marginlie"/>
              <w:rPr>
                <w:color w:val="0D0D0D" w:themeColor="text1" w:themeTint="F2"/>
                <w:spacing w:val="-5"/>
                <w:lang w:val="en-GB"/>
              </w:rPr>
            </w:pPr>
          </w:p>
          <w:p w14:paraId="5E01D53C" w14:textId="77777777" w:rsidR="00E87D5B" w:rsidRPr="00D160FB" w:rsidRDefault="00E87D5B" w:rsidP="00C8019E">
            <w:pPr>
              <w:pStyle w:val="Marginlie"/>
              <w:rPr>
                <w:color w:val="0D0D0D" w:themeColor="text1" w:themeTint="F2"/>
                <w:spacing w:val="-5"/>
                <w:lang w:val="en-GB"/>
              </w:rPr>
            </w:pPr>
          </w:p>
          <w:p w14:paraId="075E5556" w14:textId="77777777" w:rsidR="00E87D5B" w:rsidRPr="00D160FB" w:rsidRDefault="00E87D5B" w:rsidP="00C8019E">
            <w:pPr>
              <w:pStyle w:val="Marginlie"/>
              <w:rPr>
                <w:color w:val="0D0D0D" w:themeColor="text1" w:themeTint="F2"/>
                <w:spacing w:val="-5"/>
                <w:lang w:val="en-GB"/>
              </w:rPr>
            </w:pPr>
          </w:p>
          <w:p w14:paraId="48FC855B" w14:textId="758D40BC" w:rsidR="00E87D5B" w:rsidRPr="00D160FB" w:rsidRDefault="00954183" w:rsidP="00C8019E">
            <w:pPr>
              <w:pStyle w:val="Marginlie"/>
              <w:rPr>
                <w:color w:val="0D0D0D" w:themeColor="text1" w:themeTint="F2"/>
                <w:spacing w:val="-5"/>
                <w:lang w:val="en-GB"/>
              </w:rPr>
            </w:pPr>
            <w:r w:rsidRPr="00D160FB">
              <w:rPr>
                <w:color w:val="0D0D0D" w:themeColor="text1" w:themeTint="F2"/>
                <w:spacing w:val="-5"/>
                <w:lang w:val="en-GB"/>
              </w:rPr>
              <w:t xml:space="preserve">Total branch performance </w:t>
            </w:r>
            <w:r w:rsidR="004C18CE" w:rsidRPr="00D160FB">
              <w:rPr>
                <w:color w:val="0D0D0D" w:themeColor="text1" w:themeTint="F2"/>
                <w:spacing w:val="-5"/>
                <w:lang w:val="en-GB"/>
              </w:rPr>
              <w:t xml:space="preserve">stays behind the peak from the pre-pandemic boom in the CR. </w:t>
            </w:r>
          </w:p>
        </w:tc>
        <w:tc>
          <w:tcPr>
            <w:tcW w:w="200" w:type="dxa"/>
            <w:tcBorders>
              <w:top w:val="nil"/>
              <w:left w:val="nil"/>
              <w:bottom w:val="nil"/>
              <w:right w:val="nil"/>
            </w:tcBorders>
            <w:shd w:val="clear" w:color="auto" w:fill="auto"/>
            <w:tcMar>
              <w:left w:w="0" w:type="dxa"/>
            </w:tcMar>
          </w:tcPr>
          <w:p w14:paraId="1A94C7FB"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58C8AC71" w14:textId="29A30CB9" w:rsidR="00E87D5B" w:rsidRPr="00D160FB" w:rsidRDefault="007B78A7" w:rsidP="00483392">
            <w:pPr>
              <w:spacing w:after="180"/>
              <w:rPr>
                <w:spacing w:val="-5"/>
                <w:lang w:val="en-GB"/>
              </w:rPr>
            </w:pPr>
            <w:r w:rsidRPr="00D160FB">
              <w:rPr>
                <w:spacing w:val="-5"/>
                <w:lang w:val="en-GB"/>
              </w:rPr>
              <w:t xml:space="preserve">Data from the supply side of the economy </w:t>
            </w:r>
            <w:r w:rsidR="007E0CBA" w:rsidRPr="00D160FB">
              <w:rPr>
                <w:spacing w:val="-5"/>
                <w:lang w:val="en-GB"/>
              </w:rPr>
              <w:t xml:space="preserve">confirm, that </w:t>
            </w:r>
            <w:r w:rsidR="004A23BC">
              <w:rPr>
                <w:spacing w:val="-5"/>
                <w:lang w:val="en-GB"/>
              </w:rPr>
              <w:t>the Czech</w:t>
            </w:r>
            <w:r w:rsidR="00A272FF" w:rsidRPr="00D160FB">
              <w:rPr>
                <w:spacing w:val="-5"/>
                <w:lang w:val="en-GB"/>
              </w:rPr>
              <w:t xml:space="preserve"> economy </w:t>
            </w:r>
            <w:r w:rsidR="00BF361E" w:rsidRPr="00D160FB">
              <w:rPr>
                <w:spacing w:val="-5"/>
                <w:lang w:val="en-GB"/>
              </w:rPr>
              <w:t xml:space="preserve">found itself </w:t>
            </w:r>
            <w:r w:rsidR="00472A29" w:rsidRPr="00D160FB">
              <w:rPr>
                <w:spacing w:val="-5"/>
                <w:lang w:val="en-GB"/>
              </w:rPr>
              <w:t xml:space="preserve">due to the effect of external </w:t>
            </w:r>
            <w:r w:rsidR="00F703B6" w:rsidRPr="00D160FB">
              <w:rPr>
                <w:spacing w:val="-5"/>
                <w:lang w:val="en-GB"/>
              </w:rPr>
              <w:t xml:space="preserve">shocks </w:t>
            </w:r>
            <w:r w:rsidR="00472A29" w:rsidRPr="00D160FB">
              <w:rPr>
                <w:spacing w:val="-5"/>
                <w:lang w:val="en-GB"/>
              </w:rPr>
              <w:t xml:space="preserve">in the contraction phase of the business </w:t>
            </w:r>
            <w:r w:rsidR="00F703B6" w:rsidRPr="00D160FB">
              <w:rPr>
                <w:spacing w:val="-5"/>
                <w:lang w:val="en-GB"/>
              </w:rPr>
              <w:t xml:space="preserve">cycle </w:t>
            </w:r>
            <w:r w:rsidR="004C7341" w:rsidRPr="00D160FB">
              <w:rPr>
                <w:spacing w:val="-5"/>
                <w:lang w:val="en-GB"/>
              </w:rPr>
              <w:t>last year</w:t>
            </w:r>
            <w:r w:rsidR="00E87D5B" w:rsidRPr="00D160FB">
              <w:rPr>
                <w:spacing w:val="-5"/>
                <w:lang w:val="en-GB"/>
              </w:rPr>
              <w:t xml:space="preserve">. </w:t>
            </w:r>
            <w:r w:rsidR="005606B6" w:rsidRPr="00D160FB">
              <w:rPr>
                <w:spacing w:val="-5"/>
                <w:lang w:val="en-GB"/>
              </w:rPr>
              <w:t xml:space="preserve">Quarter-on-quarter growth of the Gross value added </w:t>
            </w:r>
            <w:r w:rsidR="00E87D5B" w:rsidRPr="00D160FB">
              <w:rPr>
                <w:spacing w:val="-5"/>
                <w:lang w:val="en-GB"/>
              </w:rPr>
              <w:t>(</w:t>
            </w:r>
            <w:r w:rsidR="005606B6" w:rsidRPr="00D160FB">
              <w:rPr>
                <w:spacing w:val="-5"/>
                <w:lang w:val="en-GB"/>
              </w:rPr>
              <w:t>GVA</w:t>
            </w:r>
            <w:r w:rsidR="00E87D5B" w:rsidRPr="00D160FB">
              <w:rPr>
                <w:spacing w:val="-5"/>
                <w:lang w:val="en-GB"/>
              </w:rPr>
              <w:t>)</w:t>
            </w:r>
            <w:r w:rsidR="00E87D5B" w:rsidRPr="00D160FB">
              <w:rPr>
                <w:rStyle w:val="Znakapoznpodarou"/>
                <w:color w:val="0D0D0D" w:themeColor="text1" w:themeTint="F2"/>
                <w:spacing w:val="-5"/>
                <w:lang w:val="en-GB"/>
              </w:rPr>
              <w:footnoteReference w:id="14"/>
            </w:r>
            <w:r w:rsidR="00E87D5B" w:rsidRPr="00D160FB">
              <w:rPr>
                <w:spacing w:val="-5"/>
                <w:lang w:val="en-GB"/>
              </w:rPr>
              <w:t xml:space="preserve">, </w:t>
            </w:r>
            <w:r w:rsidR="005606B6" w:rsidRPr="00D160FB">
              <w:rPr>
                <w:spacing w:val="-5"/>
                <w:lang w:val="en-GB"/>
              </w:rPr>
              <w:t>lasting five quarters in a row</w:t>
            </w:r>
            <w:r w:rsidR="00E87D5B" w:rsidRPr="00D160FB">
              <w:rPr>
                <w:spacing w:val="-5"/>
                <w:lang w:val="en-GB"/>
              </w:rPr>
              <w:t>,</w:t>
            </w:r>
            <w:r w:rsidR="005606B6" w:rsidRPr="00D160FB">
              <w:rPr>
                <w:spacing w:val="-5"/>
                <w:lang w:val="en-GB"/>
              </w:rPr>
              <w:t xml:space="preserve"> halted in Q</w:t>
            </w:r>
            <w:r w:rsidR="00E87D5B" w:rsidRPr="00D160FB">
              <w:rPr>
                <w:spacing w:val="-5"/>
                <w:lang w:val="en-GB"/>
              </w:rPr>
              <w:t>3</w:t>
            </w:r>
            <w:r w:rsidR="005606B6" w:rsidRPr="00D160FB">
              <w:rPr>
                <w:spacing w:val="-5"/>
                <w:lang w:val="en-GB"/>
              </w:rPr>
              <w:t xml:space="preserve"> </w:t>
            </w:r>
            <w:r w:rsidR="00E87D5B" w:rsidRPr="00D160FB">
              <w:rPr>
                <w:spacing w:val="-5"/>
                <w:lang w:val="en-GB"/>
              </w:rPr>
              <w:t>(–0</w:t>
            </w:r>
            <w:r w:rsidR="005606B6" w:rsidRPr="00D160FB">
              <w:rPr>
                <w:spacing w:val="-5"/>
                <w:lang w:val="en-GB"/>
              </w:rPr>
              <w:t>.</w:t>
            </w:r>
            <w:r w:rsidR="00E87D5B" w:rsidRPr="00D160FB">
              <w:rPr>
                <w:spacing w:val="-5"/>
                <w:lang w:val="en-GB"/>
              </w:rPr>
              <w:t>2%) a</w:t>
            </w:r>
            <w:r w:rsidR="005606B6" w:rsidRPr="00D160FB">
              <w:rPr>
                <w:spacing w:val="-5"/>
                <w:lang w:val="en-GB"/>
              </w:rPr>
              <w:t>nd</w:t>
            </w:r>
            <w:r w:rsidR="00E87D5B" w:rsidRPr="00D160FB">
              <w:rPr>
                <w:spacing w:val="-5"/>
                <w:lang w:val="en-GB"/>
              </w:rPr>
              <w:t xml:space="preserve"> </w:t>
            </w:r>
            <w:r w:rsidR="005C173A" w:rsidRPr="00D160FB">
              <w:rPr>
                <w:spacing w:val="-5"/>
                <w:lang w:val="en-GB"/>
              </w:rPr>
              <w:t xml:space="preserve">the development in the remaining part of the </w:t>
            </w:r>
            <w:r w:rsidR="004A23BC">
              <w:rPr>
                <w:spacing w:val="-5"/>
                <w:lang w:val="en-GB"/>
              </w:rPr>
              <w:t xml:space="preserve">last </w:t>
            </w:r>
            <w:r w:rsidR="005C173A" w:rsidRPr="00D160FB">
              <w:rPr>
                <w:spacing w:val="-5"/>
                <w:lang w:val="en-GB"/>
              </w:rPr>
              <w:t xml:space="preserve">year also did not bring any </w:t>
            </w:r>
            <w:r w:rsidR="00514F47" w:rsidRPr="00D160FB">
              <w:rPr>
                <w:spacing w:val="-5"/>
                <w:lang w:val="en-GB"/>
              </w:rPr>
              <w:t xml:space="preserve">fundamental </w:t>
            </w:r>
            <w:r w:rsidR="0056764B" w:rsidRPr="00D160FB">
              <w:rPr>
                <w:spacing w:val="-5"/>
                <w:lang w:val="en-GB"/>
              </w:rPr>
              <w:t xml:space="preserve">change </w:t>
            </w:r>
            <w:r w:rsidR="00E87D5B" w:rsidRPr="00D160FB">
              <w:rPr>
                <w:spacing w:val="-5"/>
                <w:lang w:val="en-GB"/>
              </w:rPr>
              <w:t>(+0</w:t>
            </w:r>
            <w:r w:rsidR="0056764B" w:rsidRPr="00D160FB">
              <w:rPr>
                <w:spacing w:val="-5"/>
                <w:lang w:val="en-GB"/>
              </w:rPr>
              <w:t>.</w:t>
            </w:r>
            <w:r w:rsidR="00E87D5B" w:rsidRPr="00D160FB">
              <w:rPr>
                <w:spacing w:val="-5"/>
                <w:lang w:val="en-GB"/>
              </w:rPr>
              <w:t xml:space="preserve">3%). </w:t>
            </w:r>
            <w:r w:rsidR="00696689" w:rsidRPr="00D160FB">
              <w:rPr>
                <w:spacing w:val="-5"/>
                <w:lang w:val="en-GB"/>
              </w:rPr>
              <w:t xml:space="preserve">Distinct </w:t>
            </w:r>
            <w:r w:rsidR="009C77AF" w:rsidRPr="00D160FB">
              <w:rPr>
                <w:spacing w:val="-5"/>
                <w:lang w:val="en-GB"/>
              </w:rPr>
              <w:t xml:space="preserve">GVA decrease </w:t>
            </w:r>
            <w:r w:rsidR="003A5B3F" w:rsidRPr="00D160FB">
              <w:rPr>
                <w:spacing w:val="-5"/>
                <w:lang w:val="en-GB"/>
              </w:rPr>
              <w:t xml:space="preserve">affected the weight significant segment of services in H2 last year </w:t>
            </w:r>
            <w:r w:rsidR="00E87D5B" w:rsidRPr="00D160FB">
              <w:rPr>
                <w:spacing w:val="-5"/>
                <w:lang w:val="en-GB"/>
              </w:rPr>
              <w:t xml:space="preserve">– </w:t>
            </w:r>
            <w:r w:rsidR="00E2291F">
              <w:rPr>
                <w:spacing w:val="-5"/>
                <w:lang w:val="en-GB"/>
              </w:rPr>
              <w:t>T</w:t>
            </w:r>
            <w:r w:rsidR="009C77AF" w:rsidRPr="00D160FB">
              <w:rPr>
                <w:spacing w:val="-5"/>
                <w:lang w:val="en-GB"/>
              </w:rPr>
              <w:t>rade, transportation, accommodation and food service</w:t>
            </w:r>
            <w:r w:rsidR="00E87D5B" w:rsidRPr="00D160FB">
              <w:rPr>
                <w:spacing w:val="-5"/>
                <w:lang w:val="en-GB"/>
              </w:rPr>
              <w:t xml:space="preserve">. </w:t>
            </w:r>
            <w:r w:rsidR="00467938" w:rsidRPr="00D160FB">
              <w:rPr>
                <w:spacing w:val="-5"/>
                <w:lang w:val="en-GB"/>
              </w:rPr>
              <w:t xml:space="preserve">This was linked to the deepening </w:t>
            </w:r>
            <w:r w:rsidR="003A5B3F" w:rsidRPr="00D160FB">
              <w:rPr>
                <w:spacing w:val="-5"/>
                <w:lang w:val="en-GB"/>
              </w:rPr>
              <w:t>slump</w:t>
            </w:r>
            <w:r w:rsidR="00096AB8" w:rsidRPr="00D160FB">
              <w:rPr>
                <w:spacing w:val="-5"/>
                <w:lang w:val="en-GB"/>
              </w:rPr>
              <w:t xml:space="preserve"> of the household consumption</w:t>
            </w:r>
            <w:r w:rsidR="00E87D5B" w:rsidRPr="00D160FB">
              <w:rPr>
                <w:spacing w:val="-5"/>
                <w:lang w:val="en-GB"/>
              </w:rPr>
              <w:t xml:space="preserve">. </w:t>
            </w:r>
            <w:r w:rsidR="00096AB8" w:rsidRPr="00D160FB">
              <w:rPr>
                <w:spacing w:val="-5"/>
                <w:lang w:val="en-GB"/>
              </w:rPr>
              <w:t xml:space="preserve">Quarter-on-quarter GVA development </w:t>
            </w:r>
            <w:r w:rsidR="00E705A5" w:rsidRPr="00D160FB">
              <w:rPr>
                <w:spacing w:val="-5"/>
                <w:lang w:val="en-GB"/>
              </w:rPr>
              <w:t xml:space="preserve">also adversely impacted the lower consumption expenditures of government institutions for </w:t>
            </w:r>
            <w:r w:rsidR="00FA0ECC" w:rsidRPr="00D160FB">
              <w:rPr>
                <w:spacing w:val="-5"/>
                <w:lang w:val="en-GB"/>
              </w:rPr>
              <w:t xml:space="preserve">most </w:t>
            </w:r>
            <w:r w:rsidR="0087573C" w:rsidRPr="00D160FB">
              <w:rPr>
                <w:spacing w:val="-5"/>
                <w:lang w:val="en-GB"/>
              </w:rPr>
              <w:t>part of the year</w:t>
            </w:r>
            <w:r w:rsidR="00E87D5B" w:rsidRPr="00D160FB">
              <w:rPr>
                <w:spacing w:val="-5"/>
                <w:lang w:val="en-GB"/>
              </w:rPr>
              <w:t>. Post</w:t>
            </w:r>
            <w:r w:rsidR="00876E06" w:rsidRPr="00D160FB">
              <w:rPr>
                <w:spacing w:val="-5"/>
                <w:lang w:val="en-GB"/>
              </w:rPr>
              <w:t>-</w:t>
            </w:r>
            <w:r w:rsidR="00E87D5B" w:rsidRPr="00D160FB">
              <w:rPr>
                <w:spacing w:val="-5"/>
                <w:lang w:val="en-GB"/>
              </w:rPr>
              <w:t>pandemic</w:t>
            </w:r>
            <w:r w:rsidR="00876E06" w:rsidRPr="00D160FB">
              <w:rPr>
                <w:spacing w:val="-5"/>
                <w:lang w:val="en-GB"/>
              </w:rPr>
              <w:t xml:space="preserve"> recovery ceased also </w:t>
            </w:r>
            <w:r w:rsidR="00483392" w:rsidRPr="00D160FB">
              <w:rPr>
                <w:spacing w:val="-5"/>
                <w:lang w:val="en-GB"/>
              </w:rPr>
              <w:t xml:space="preserve">in construction </w:t>
            </w:r>
            <w:r w:rsidR="00483392">
              <w:rPr>
                <w:spacing w:val="-5"/>
                <w:lang w:val="en-GB"/>
              </w:rPr>
              <w:t xml:space="preserve">and </w:t>
            </w:r>
            <w:r w:rsidR="00876E06" w:rsidRPr="00D160FB">
              <w:rPr>
                <w:spacing w:val="-5"/>
                <w:lang w:val="en-GB"/>
              </w:rPr>
              <w:t>in the numb</w:t>
            </w:r>
            <w:r w:rsidR="00483392">
              <w:rPr>
                <w:spacing w:val="-5"/>
                <w:lang w:val="en-GB"/>
              </w:rPr>
              <w:t>er of services for businesses</w:t>
            </w:r>
            <w:r w:rsidR="00876E06" w:rsidRPr="00D160FB">
              <w:rPr>
                <w:spacing w:val="-5"/>
                <w:lang w:val="en-GB"/>
              </w:rPr>
              <w:t xml:space="preserve">. Savings of households as well as businesses also reflected </w:t>
            </w:r>
            <w:r w:rsidR="001F13AF" w:rsidRPr="00D160FB">
              <w:rPr>
                <w:spacing w:val="-5"/>
                <w:lang w:val="en-GB"/>
              </w:rPr>
              <w:t xml:space="preserve">in the lowered performance of the energy industry at the end of the year. </w:t>
            </w:r>
            <w:r w:rsidR="009567A9" w:rsidRPr="00D160FB">
              <w:rPr>
                <w:spacing w:val="-5"/>
                <w:lang w:val="en-GB"/>
              </w:rPr>
              <w:t>In contrast</w:t>
            </w:r>
            <w:r w:rsidR="00D160FB">
              <w:rPr>
                <w:spacing w:val="-5"/>
                <w:lang w:val="en-GB"/>
              </w:rPr>
              <w:t xml:space="preserve">, </w:t>
            </w:r>
            <w:r w:rsidR="00D33950" w:rsidRPr="00D160FB">
              <w:rPr>
                <w:spacing w:val="-5"/>
                <w:lang w:val="en-GB"/>
              </w:rPr>
              <w:t xml:space="preserve">manufacturing had a pro-growth effect </w:t>
            </w:r>
            <w:r w:rsidR="00847CD6" w:rsidRPr="00D160FB">
              <w:rPr>
                <w:spacing w:val="-5"/>
                <w:lang w:val="en-GB"/>
              </w:rPr>
              <w:t xml:space="preserve">on the whole economy in spite of </w:t>
            </w:r>
            <w:r w:rsidR="000F61AF" w:rsidRPr="00D160FB">
              <w:rPr>
                <w:spacing w:val="-5"/>
                <w:lang w:val="en-GB"/>
              </w:rPr>
              <w:t xml:space="preserve">fluctuating development of number of </w:t>
            </w:r>
            <w:r w:rsidR="00483392">
              <w:rPr>
                <w:spacing w:val="-5"/>
                <w:lang w:val="en-GB"/>
              </w:rPr>
              <w:t xml:space="preserve">industrial </w:t>
            </w:r>
            <w:r w:rsidR="000F61AF" w:rsidRPr="00D160FB">
              <w:rPr>
                <w:spacing w:val="-5"/>
                <w:lang w:val="en-GB"/>
              </w:rPr>
              <w:t xml:space="preserve">branches </w:t>
            </w:r>
            <w:r w:rsidR="00F97EDD" w:rsidRPr="00D160FB">
              <w:rPr>
                <w:spacing w:val="-5"/>
                <w:lang w:val="en-GB"/>
              </w:rPr>
              <w:t>for the most part of the last year</w:t>
            </w:r>
            <w:r w:rsidR="00E87D5B" w:rsidRPr="00D160FB">
              <w:rPr>
                <w:spacing w:val="-5"/>
                <w:lang w:val="en-GB"/>
              </w:rPr>
              <w:t xml:space="preserve">, </w:t>
            </w:r>
            <w:r w:rsidR="00290745" w:rsidRPr="00D160FB">
              <w:rPr>
                <w:spacing w:val="-5"/>
                <w:lang w:val="en-GB"/>
              </w:rPr>
              <w:t>the similar was also valid for the public services</w:t>
            </w:r>
            <w:r w:rsidR="00E87D5B" w:rsidRPr="00D160FB">
              <w:rPr>
                <w:rStyle w:val="Znakapoznpodarou"/>
                <w:spacing w:val="-4"/>
                <w:lang w:val="en-GB"/>
              </w:rPr>
              <w:footnoteReference w:id="15"/>
            </w:r>
            <w:r w:rsidR="00E87D5B" w:rsidRPr="00D160FB">
              <w:rPr>
                <w:spacing w:val="-5"/>
                <w:lang w:val="en-GB"/>
              </w:rPr>
              <w:t xml:space="preserve">. </w:t>
            </w:r>
            <w:r w:rsidR="00290745" w:rsidRPr="00D160FB">
              <w:rPr>
                <w:spacing w:val="-5"/>
                <w:lang w:val="en-GB"/>
              </w:rPr>
              <w:t>Performa</w:t>
            </w:r>
            <w:r w:rsidR="00483392">
              <w:rPr>
                <w:spacing w:val="-5"/>
                <w:lang w:val="en-GB"/>
              </w:rPr>
              <w:t xml:space="preserve">nce of all branches (GVA) of the Czech economy </w:t>
            </w:r>
            <w:r w:rsidR="00290745" w:rsidRPr="00D160FB">
              <w:rPr>
                <w:spacing w:val="-5"/>
                <w:lang w:val="en-GB"/>
              </w:rPr>
              <w:t xml:space="preserve">has not exceeded its maximum so far </w:t>
            </w:r>
            <w:r w:rsidR="00E87D5B" w:rsidRPr="00D160FB">
              <w:rPr>
                <w:color w:val="0D0D0D" w:themeColor="text1" w:themeTint="F2"/>
                <w:spacing w:val="-6"/>
                <w:lang w:val="en-GB"/>
              </w:rPr>
              <w:t>(</w:t>
            </w:r>
            <w:r w:rsidR="00290745" w:rsidRPr="00D160FB">
              <w:rPr>
                <w:color w:val="0D0D0D" w:themeColor="text1" w:themeTint="F2"/>
                <w:spacing w:val="-6"/>
                <w:lang w:val="en-GB"/>
              </w:rPr>
              <w:t xml:space="preserve">from the end of year </w:t>
            </w:r>
            <w:r w:rsidR="00E87D5B" w:rsidRPr="00D160FB">
              <w:rPr>
                <w:color w:val="0D0D0D" w:themeColor="text1" w:themeTint="F2"/>
                <w:spacing w:val="-6"/>
                <w:lang w:val="en-GB"/>
              </w:rPr>
              <w:t>2019)</w:t>
            </w:r>
            <w:r w:rsidR="00E87D5B" w:rsidRPr="00D160FB">
              <w:rPr>
                <w:rStyle w:val="Znakapoznpodarou"/>
                <w:color w:val="0D0D0D" w:themeColor="text1" w:themeTint="F2"/>
                <w:spacing w:val="-6"/>
                <w:lang w:val="en-GB"/>
              </w:rPr>
              <w:footnoteReference w:id="16"/>
            </w:r>
            <w:r w:rsidR="00E87D5B" w:rsidRPr="00D160FB">
              <w:rPr>
                <w:color w:val="0D0D0D" w:themeColor="text1" w:themeTint="F2"/>
                <w:spacing w:val="-6"/>
                <w:lang w:val="en-GB"/>
              </w:rPr>
              <w:t xml:space="preserve"> a</w:t>
            </w:r>
            <w:r w:rsidR="00290745" w:rsidRPr="00D160FB">
              <w:rPr>
                <w:color w:val="0D0D0D" w:themeColor="text1" w:themeTint="F2"/>
                <w:spacing w:val="-6"/>
                <w:lang w:val="en-GB"/>
              </w:rPr>
              <w:t xml:space="preserve">nd </w:t>
            </w:r>
            <w:r w:rsidR="001D3B58" w:rsidRPr="00D160FB">
              <w:rPr>
                <w:color w:val="0D0D0D" w:themeColor="text1" w:themeTint="F2"/>
                <w:spacing w:val="-6"/>
                <w:lang w:val="en-GB"/>
              </w:rPr>
              <w:t>slightly lagged behind it in Q</w:t>
            </w:r>
            <w:r w:rsidR="00E87D5B" w:rsidRPr="00D160FB">
              <w:rPr>
                <w:color w:val="0D0D0D" w:themeColor="text1" w:themeTint="F2"/>
                <w:spacing w:val="-6"/>
                <w:lang w:val="en-GB"/>
              </w:rPr>
              <w:t>4</w:t>
            </w:r>
            <w:r w:rsidR="001D3B58" w:rsidRPr="00D160FB">
              <w:rPr>
                <w:color w:val="0D0D0D" w:themeColor="text1" w:themeTint="F2"/>
                <w:spacing w:val="-6"/>
                <w:lang w:val="en-GB"/>
              </w:rPr>
              <w:t xml:space="preserve"> </w:t>
            </w:r>
            <w:r w:rsidR="00E87D5B" w:rsidRPr="00D160FB">
              <w:rPr>
                <w:color w:val="0D0D0D" w:themeColor="text1" w:themeTint="F2"/>
                <w:spacing w:val="-6"/>
                <w:lang w:val="en-GB"/>
              </w:rPr>
              <w:t>(</w:t>
            </w:r>
            <w:r w:rsidR="001D3B58" w:rsidRPr="00D160FB">
              <w:rPr>
                <w:color w:val="0D0D0D" w:themeColor="text1" w:themeTint="F2"/>
                <w:spacing w:val="-6"/>
                <w:lang w:val="en-GB"/>
              </w:rPr>
              <w:t xml:space="preserve">by </w:t>
            </w:r>
            <w:r w:rsidR="00E87D5B" w:rsidRPr="00D160FB">
              <w:rPr>
                <w:color w:val="0D0D0D" w:themeColor="text1" w:themeTint="F2"/>
                <w:spacing w:val="-6"/>
                <w:lang w:val="en-GB"/>
              </w:rPr>
              <w:t>0</w:t>
            </w:r>
            <w:r w:rsidR="001D3B58" w:rsidRPr="00D160FB">
              <w:rPr>
                <w:color w:val="0D0D0D" w:themeColor="text1" w:themeTint="F2"/>
                <w:spacing w:val="-6"/>
                <w:lang w:val="en-GB"/>
              </w:rPr>
              <w:t>.</w:t>
            </w:r>
            <w:r w:rsidR="00E87D5B" w:rsidRPr="00D160FB">
              <w:rPr>
                <w:color w:val="0D0D0D" w:themeColor="text1" w:themeTint="F2"/>
                <w:spacing w:val="-6"/>
                <w:lang w:val="en-GB"/>
              </w:rPr>
              <w:t>3%).</w:t>
            </w:r>
          </w:p>
        </w:tc>
      </w:tr>
      <w:tr w:rsidR="00A7439C" w:rsidRPr="00D160FB" w14:paraId="3E3EBFCF" w14:textId="77777777" w:rsidTr="00976631">
        <w:trPr>
          <w:trHeight w:val="145"/>
        </w:trPr>
        <w:tc>
          <w:tcPr>
            <w:tcW w:w="1780" w:type="dxa"/>
            <w:tcBorders>
              <w:top w:val="nil"/>
              <w:left w:val="nil"/>
              <w:bottom w:val="nil"/>
              <w:right w:val="nil"/>
            </w:tcBorders>
            <w:shd w:val="clear" w:color="auto" w:fill="auto"/>
            <w:tcMar>
              <w:left w:w="0" w:type="dxa"/>
            </w:tcMar>
          </w:tcPr>
          <w:p w14:paraId="13F63114" w14:textId="68808AB5" w:rsidR="00E87D5B" w:rsidRPr="00D160FB" w:rsidRDefault="0028351F" w:rsidP="00C8019E">
            <w:pPr>
              <w:pStyle w:val="Marginlie"/>
              <w:rPr>
                <w:color w:val="0D0D0D" w:themeColor="text1" w:themeTint="F2"/>
                <w:spacing w:val="-4"/>
                <w:lang w:val="en-GB"/>
              </w:rPr>
            </w:pPr>
            <w:r w:rsidRPr="00D160FB">
              <w:rPr>
                <w:color w:val="0D0D0D" w:themeColor="text1" w:themeTint="F2"/>
                <w:spacing w:val="-4"/>
                <w:lang w:val="en-GB"/>
              </w:rPr>
              <w:t xml:space="preserve">Despite </w:t>
            </w:r>
            <w:r w:rsidR="00FA46B9" w:rsidRPr="00D160FB">
              <w:rPr>
                <w:color w:val="0D0D0D" w:themeColor="text1" w:themeTint="F2"/>
                <w:spacing w:val="-4"/>
                <w:lang w:val="en-GB"/>
              </w:rPr>
              <w:t>gr</w:t>
            </w:r>
            <w:r w:rsidR="00C7053D">
              <w:rPr>
                <w:color w:val="0D0D0D" w:themeColor="text1" w:themeTint="F2"/>
                <w:spacing w:val="-4"/>
                <w:lang w:val="en-GB"/>
              </w:rPr>
              <w:t>owing challenges, the division T</w:t>
            </w:r>
            <w:r w:rsidR="00FA46B9" w:rsidRPr="00D160FB">
              <w:rPr>
                <w:color w:val="0D0D0D" w:themeColor="text1" w:themeTint="F2"/>
                <w:spacing w:val="-4"/>
                <w:lang w:val="en-GB"/>
              </w:rPr>
              <w:t xml:space="preserve">rade, </w:t>
            </w:r>
            <w:r w:rsidR="005C0461" w:rsidRPr="00D160FB">
              <w:rPr>
                <w:color w:val="0D0D0D" w:themeColor="text1" w:themeTint="F2"/>
                <w:spacing w:val="-4"/>
                <w:lang w:val="en-GB"/>
              </w:rPr>
              <w:t>transportation</w:t>
            </w:r>
            <w:r w:rsidR="00FA46B9" w:rsidRPr="00D160FB">
              <w:rPr>
                <w:color w:val="0D0D0D" w:themeColor="text1" w:themeTint="F2"/>
                <w:spacing w:val="-4"/>
                <w:lang w:val="en-GB"/>
              </w:rPr>
              <w:t xml:space="preserve">, accommodation and food service </w:t>
            </w:r>
            <w:r w:rsidR="005C0461" w:rsidRPr="00D160FB">
              <w:rPr>
                <w:color w:val="0D0D0D" w:themeColor="text1" w:themeTint="F2"/>
                <w:spacing w:val="-4"/>
                <w:lang w:val="en-GB"/>
              </w:rPr>
              <w:t xml:space="preserve">fundamentally </w:t>
            </w:r>
            <w:r w:rsidR="00FA46B9" w:rsidRPr="00D160FB">
              <w:rPr>
                <w:color w:val="0D0D0D" w:themeColor="text1" w:themeTint="F2"/>
                <w:spacing w:val="-4"/>
                <w:lang w:val="en-GB"/>
              </w:rPr>
              <w:t>contributed</w:t>
            </w:r>
            <w:r w:rsidR="005C0461" w:rsidRPr="00D160FB">
              <w:rPr>
                <w:color w:val="0D0D0D" w:themeColor="text1" w:themeTint="F2"/>
                <w:spacing w:val="-4"/>
                <w:lang w:val="en-GB"/>
              </w:rPr>
              <w:t xml:space="preserve"> to the growth of the economy for the whole last year. </w:t>
            </w:r>
          </w:p>
          <w:p w14:paraId="66C57B52" w14:textId="77777777" w:rsidR="00E87D5B" w:rsidRPr="00D160FB" w:rsidRDefault="00E87D5B" w:rsidP="00C8019E">
            <w:pPr>
              <w:pStyle w:val="Marginlie"/>
              <w:rPr>
                <w:color w:val="0D0D0D" w:themeColor="text1" w:themeTint="F2"/>
                <w:spacing w:val="-4"/>
                <w:lang w:val="en-GB"/>
              </w:rPr>
            </w:pPr>
          </w:p>
          <w:p w14:paraId="4118D553" w14:textId="77777777" w:rsidR="00E87D5B" w:rsidRPr="00D160FB" w:rsidRDefault="00E87D5B" w:rsidP="00C8019E">
            <w:pPr>
              <w:pStyle w:val="Marginlie"/>
              <w:rPr>
                <w:color w:val="0D0D0D" w:themeColor="text1" w:themeTint="F2"/>
                <w:spacing w:val="-4"/>
                <w:lang w:val="en-GB"/>
              </w:rPr>
            </w:pPr>
          </w:p>
          <w:p w14:paraId="70BCB780" w14:textId="77777777" w:rsidR="00E87D5B" w:rsidRPr="00D160FB" w:rsidRDefault="00E87D5B" w:rsidP="00C8019E">
            <w:pPr>
              <w:pStyle w:val="Marginlie"/>
              <w:rPr>
                <w:color w:val="0D0D0D" w:themeColor="text1" w:themeTint="F2"/>
                <w:spacing w:val="-4"/>
                <w:lang w:val="en-GB"/>
              </w:rPr>
            </w:pPr>
          </w:p>
          <w:p w14:paraId="12D8AE5A" w14:textId="77777777" w:rsidR="00E87D5B" w:rsidRPr="00D160FB" w:rsidRDefault="00E87D5B" w:rsidP="00C8019E">
            <w:pPr>
              <w:pStyle w:val="Marginlie"/>
              <w:rPr>
                <w:color w:val="0D0D0D" w:themeColor="text1" w:themeTint="F2"/>
                <w:spacing w:val="-4"/>
                <w:lang w:val="en-GB"/>
              </w:rPr>
            </w:pPr>
          </w:p>
          <w:p w14:paraId="1DA5681F" w14:textId="78FBF142" w:rsidR="00E87D5B" w:rsidRPr="00D160FB" w:rsidRDefault="00522199" w:rsidP="00C8019E">
            <w:pPr>
              <w:pStyle w:val="Marginlie"/>
              <w:rPr>
                <w:color w:val="0D0D0D" w:themeColor="text1" w:themeTint="F2"/>
                <w:spacing w:val="-4"/>
                <w:lang w:val="en-GB"/>
              </w:rPr>
            </w:pPr>
            <w:r w:rsidRPr="00D160FB">
              <w:rPr>
                <w:color w:val="0D0D0D" w:themeColor="text1" w:themeTint="F2"/>
                <w:spacing w:val="-4"/>
                <w:lang w:val="en-GB"/>
              </w:rPr>
              <w:t xml:space="preserve">Long-term swift growth of GVA in the area of ICT </w:t>
            </w:r>
            <w:r w:rsidR="00092BF8" w:rsidRPr="00D160FB">
              <w:rPr>
                <w:color w:val="0D0D0D" w:themeColor="text1" w:themeTint="F2"/>
                <w:spacing w:val="-4"/>
                <w:lang w:val="en-GB"/>
              </w:rPr>
              <w:t xml:space="preserve">eased pace at the end of the year. </w:t>
            </w:r>
          </w:p>
        </w:tc>
        <w:tc>
          <w:tcPr>
            <w:tcW w:w="200" w:type="dxa"/>
            <w:tcBorders>
              <w:top w:val="nil"/>
              <w:left w:val="nil"/>
              <w:bottom w:val="nil"/>
              <w:right w:val="nil"/>
            </w:tcBorders>
            <w:shd w:val="clear" w:color="auto" w:fill="auto"/>
            <w:tcMar>
              <w:left w:w="0" w:type="dxa"/>
            </w:tcMar>
          </w:tcPr>
          <w:p w14:paraId="6D98344B"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31B0295" w14:textId="296AF38D" w:rsidR="00E87D5B" w:rsidRPr="00D160FB" w:rsidRDefault="00632874" w:rsidP="00E2291F">
            <w:pPr>
              <w:spacing w:after="180"/>
              <w:rPr>
                <w:spacing w:val="-5"/>
                <w:lang w:val="en-GB"/>
              </w:rPr>
            </w:pPr>
            <w:r w:rsidRPr="00D160FB">
              <w:rPr>
                <w:color w:val="0D0D0D" w:themeColor="text1" w:themeTint="F2"/>
                <w:spacing w:val="-4"/>
                <w:lang w:val="en-GB"/>
              </w:rPr>
              <w:t xml:space="preserve">In the year-on-year view the GVA growth subsided </w:t>
            </w:r>
            <w:r w:rsidR="00E87D5B" w:rsidRPr="00D160FB">
              <w:rPr>
                <w:color w:val="0D0D0D" w:themeColor="text1" w:themeTint="F2"/>
                <w:spacing w:val="-4"/>
                <w:lang w:val="en-GB"/>
              </w:rPr>
              <w:t>(</w:t>
            </w:r>
            <w:r w:rsidR="00CB2AB0" w:rsidRPr="00D160FB">
              <w:rPr>
                <w:color w:val="0D0D0D" w:themeColor="text1" w:themeTint="F2"/>
                <w:spacing w:val="-4"/>
                <w:lang w:val="en-GB"/>
              </w:rPr>
              <w:t xml:space="preserve">down to even </w:t>
            </w:r>
            <w:r w:rsidR="00E87D5B" w:rsidRPr="00D160FB">
              <w:rPr>
                <w:color w:val="0D0D0D" w:themeColor="text1" w:themeTint="F2"/>
                <w:spacing w:val="-4"/>
                <w:lang w:val="en-GB"/>
              </w:rPr>
              <w:t>1%</w:t>
            </w:r>
            <w:r w:rsidR="00CB2AB0" w:rsidRPr="00D160FB">
              <w:rPr>
                <w:color w:val="0D0D0D" w:themeColor="text1" w:themeTint="F2"/>
                <w:spacing w:val="-4"/>
                <w:lang w:val="en-GB"/>
              </w:rPr>
              <w:t xml:space="preserve"> in Q</w:t>
            </w:r>
            <w:r w:rsidR="00E87D5B" w:rsidRPr="00D160FB">
              <w:rPr>
                <w:color w:val="0D0D0D" w:themeColor="text1" w:themeTint="F2"/>
                <w:spacing w:val="-4"/>
                <w:lang w:val="en-GB"/>
              </w:rPr>
              <w:t>4</w:t>
            </w:r>
            <w:r w:rsidR="00CB2AB0" w:rsidRPr="00D160FB">
              <w:rPr>
                <w:color w:val="0D0D0D" w:themeColor="text1" w:themeTint="F2"/>
                <w:spacing w:val="-4"/>
                <w:lang w:val="en-GB"/>
              </w:rPr>
              <w:t xml:space="preserve"> </w:t>
            </w:r>
            <w:r w:rsidR="00E87D5B" w:rsidRPr="00D160FB">
              <w:rPr>
                <w:color w:val="0D0D0D" w:themeColor="text1" w:themeTint="F2"/>
                <w:spacing w:val="-4"/>
                <w:lang w:val="en-GB"/>
              </w:rPr>
              <w:t xml:space="preserve">2022), </w:t>
            </w:r>
            <w:r w:rsidR="00115BC8" w:rsidRPr="00D160FB">
              <w:rPr>
                <w:color w:val="0D0D0D" w:themeColor="text1" w:themeTint="F2"/>
                <w:spacing w:val="-4"/>
                <w:lang w:val="en-GB"/>
              </w:rPr>
              <w:t xml:space="preserve">it was </w:t>
            </w:r>
            <w:r w:rsidR="00E87D5B" w:rsidRPr="00D160FB">
              <w:rPr>
                <w:spacing w:val="-5"/>
                <w:lang w:val="en-GB"/>
              </w:rPr>
              <w:t>2</w:t>
            </w:r>
            <w:r w:rsidR="00115BC8" w:rsidRPr="00D160FB">
              <w:rPr>
                <w:spacing w:val="-5"/>
                <w:lang w:val="en-GB"/>
              </w:rPr>
              <w:t>.</w:t>
            </w:r>
            <w:r w:rsidR="00E87D5B" w:rsidRPr="00D160FB">
              <w:rPr>
                <w:color w:val="0D0D0D" w:themeColor="text1" w:themeTint="F2"/>
                <w:spacing w:val="-4"/>
                <w:lang w:val="en-GB"/>
              </w:rPr>
              <w:t>5</w:t>
            </w:r>
            <w:r w:rsidR="00E87D5B" w:rsidRPr="00D160FB">
              <w:rPr>
                <w:spacing w:val="-5"/>
                <w:lang w:val="en-GB"/>
              </w:rPr>
              <w:t>%</w:t>
            </w:r>
            <w:r w:rsidR="00115BC8" w:rsidRPr="00D160FB">
              <w:rPr>
                <w:spacing w:val="-5"/>
                <w:lang w:val="en-GB"/>
              </w:rPr>
              <w:t xml:space="preserve"> for the whole year</w:t>
            </w:r>
            <w:r w:rsidR="00E87D5B" w:rsidRPr="00D160FB">
              <w:rPr>
                <w:spacing w:val="-5"/>
                <w:lang w:val="en-GB"/>
              </w:rPr>
              <w:t xml:space="preserve"> (</w:t>
            </w:r>
            <w:r w:rsidR="00115BC8" w:rsidRPr="00D160FB">
              <w:rPr>
                <w:spacing w:val="-5"/>
                <w:lang w:val="en-GB"/>
              </w:rPr>
              <w:t xml:space="preserve">after </w:t>
            </w:r>
            <w:r w:rsidR="00E87D5B" w:rsidRPr="00D160FB">
              <w:rPr>
                <w:spacing w:val="-5"/>
                <w:lang w:val="en-GB"/>
              </w:rPr>
              <w:t>3</w:t>
            </w:r>
            <w:r w:rsidR="00115BC8" w:rsidRPr="00D160FB">
              <w:rPr>
                <w:spacing w:val="-5"/>
                <w:lang w:val="en-GB"/>
              </w:rPr>
              <w:t>.</w:t>
            </w:r>
            <w:r w:rsidR="00E87D5B" w:rsidRPr="00D160FB">
              <w:rPr>
                <w:spacing w:val="-5"/>
                <w:lang w:val="en-GB"/>
              </w:rPr>
              <w:t>4%</w:t>
            </w:r>
            <w:r w:rsidR="00115BC8" w:rsidRPr="00D160FB">
              <w:rPr>
                <w:spacing w:val="-5"/>
                <w:lang w:val="en-GB"/>
              </w:rPr>
              <w:t xml:space="preserve"> from year </w:t>
            </w:r>
            <w:r w:rsidR="00E87D5B" w:rsidRPr="00D160FB">
              <w:rPr>
                <w:spacing w:val="-5"/>
                <w:lang w:val="en-GB"/>
              </w:rPr>
              <w:t xml:space="preserve">2021). </w:t>
            </w:r>
            <w:r w:rsidR="00AE207E" w:rsidRPr="00D160FB">
              <w:rPr>
                <w:spacing w:val="-5"/>
                <w:lang w:val="en-GB"/>
              </w:rPr>
              <w:t xml:space="preserve">Even despite this slowdown, </w:t>
            </w:r>
            <w:r w:rsidR="00DE3503" w:rsidRPr="00D160FB">
              <w:rPr>
                <w:spacing w:val="-5"/>
                <w:lang w:val="en-GB"/>
              </w:rPr>
              <w:t xml:space="preserve">all main divisions of services contributed to the economic growth last year </w:t>
            </w:r>
            <w:r w:rsidR="00E87D5B" w:rsidRPr="00D160FB">
              <w:rPr>
                <w:spacing w:val="-5"/>
                <w:lang w:val="en-GB"/>
              </w:rPr>
              <w:t xml:space="preserve">– </w:t>
            </w:r>
            <w:r w:rsidR="00E2291F">
              <w:rPr>
                <w:spacing w:val="-5"/>
                <w:lang w:val="en-GB"/>
              </w:rPr>
              <w:t>the segment T</w:t>
            </w:r>
            <w:r w:rsidR="003F0CC3" w:rsidRPr="00D160FB">
              <w:rPr>
                <w:spacing w:val="-5"/>
                <w:lang w:val="en-GB"/>
              </w:rPr>
              <w:t xml:space="preserve">rade, transportation, accommodation and food service </w:t>
            </w:r>
            <w:r w:rsidR="00E87D5B" w:rsidRPr="00D160FB">
              <w:rPr>
                <w:spacing w:val="-4"/>
                <w:lang w:val="en-GB"/>
              </w:rPr>
              <w:t>(+0</w:t>
            </w:r>
            <w:r w:rsidR="003F0CC3" w:rsidRPr="00D160FB">
              <w:rPr>
                <w:spacing w:val="-4"/>
                <w:lang w:val="en-GB"/>
              </w:rPr>
              <w:t>.</w:t>
            </w:r>
            <w:r w:rsidR="00E87D5B" w:rsidRPr="00D160FB">
              <w:rPr>
                <w:spacing w:val="-4"/>
                <w:lang w:val="en-GB"/>
              </w:rPr>
              <w:t>6 p.</w:t>
            </w:r>
            <w:r w:rsidR="003F0CC3" w:rsidRPr="00D160FB">
              <w:rPr>
                <w:spacing w:val="-4"/>
                <w:lang w:val="en-GB"/>
              </w:rPr>
              <w:t>p</w:t>
            </w:r>
            <w:r w:rsidR="00E87D5B" w:rsidRPr="00D160FB">
              <w:rPr>
                <w:spacing w:val="-4"/>
                <w:lang w:val="en-GB"/>
              </w:rPr>
              <w:t>.)</w:t>
            </w:r>
            <w:r w:rsidR="003F0CC3" w:rsidRPr="00D160FB">
              <w:rPr>
                <w:spacing w:val="-4"/>
                <w:lang w:val="en-GB"/>
              </w:rPr>
              <w:t xml:space="preserve"> the most</w:t>
            </w:r>
            <w:r w:rsidR="00E87D5B" w:rsidRPr="00D160FB">
              <w:rPr>
                <w:spacing w:val="-4"/>
                <w:lang w:val="en-GB"/>
              </w:rPr>
              <w:t xml:space="preserve">. </w:t>
            </w:r>
            <w:r w:rsidR="00E2291F">
              <w:rPr>
                <w:spacing w:val="-4"/>
                <w:lang w:val="en-GB"/>
              </w:rPr>
              <w:t>The GVA</w:t>
            </w:r>
            <w:r w:rsidR="002024FA" w:rsidRPr="00D160FB">
              <w:rPr>
                <w:spacing w:val="-4"/>
                <w:lang w:val="en-GB"/>
              </w:rPr>
              <w:t xml:space="preserve"> however grew the most dynamically in other </w:t>
            </w:r>
            <w:r w:rsidR="00B659B0" w:rsidRPr="00D160FB">
              <w:rPr>
                <w:spacing w:val="-4"/>
                <w:lang w:val="en-GB"/>
              </w:rPr>
              <w:t>services activities</w:t>
            </w:r>
            <w:r w:rsidR="00E87D5B" w:rsidRPr="00D160FB">
              <w:rPr>
                <w:rStyle w:val="Znakapoznpodarou"/>
                <w:color w:val="0D0D0D" w:themeColor="text1" w:themeTint="F2"/>
                <w:spacing w:val="-4"/>
                <w:lang w:val="en-GB"/>
              </w:rPr>
              <w:footnoteReference w:id="17"/>
            </w:r>
            <w:r w:rsidR="00E87D5B" w:rsidRPr="00D160FB">
              <w:rPr>
                <w:color w:val="0D0D0D" w:themeColor="text1" w:themeTint="F2"/>
                <w:spacing w:val="-4"/>
                <w:lang w:val="en-GB"/>
              </w:rPr>
              <w:t xml:space="preserve"> (+9</w:t>
            </w:r>
            <w:r w:rsidR="00B659B0" w:rsidRPr="00D160FB">
              <w:rPr>
                <w:color w:val="0D0D0D" w:themeColor="text1" w:themeTint="F2"/>
                <w:spacing w:val="-4"/>
                <w:lang w:val="en-GB"/>
              </w:rPr>
              <w:t>.</w:t>
            </w:r>
            <w:r w:rsidR="00E87D5B" w:rsidRPr="00D160FB">
              <w:rPr>
                <w:color w:val="0D0D0D" w:themeColor="text1" w:themeTint="F2"/>
                <w:spacing w:val="-4"/>
                <w:lang w:val="en-GB"/>
              </w:rPr>
              <w:t xml:space="preserve">5%), </w:t>
            </w:r>
            <w:r w:rsidR="005346B6" w:rsidRPr="00D160FB">
              <w:rPr>
                <w:color w:val="0D0D0D" w:themeColor="text1" w:themeTint="F2"/>
                <w:spacing w:val="-4"/>
                <w:lang w:val="en-GB"/>
              </w:rPr>
              <w:t xml:space="preserve">partially due to the effect of low comparative basis from the beginning of year </w:t>
            </w:r>
            <w:r w:rsidR="00E87D5B" w:rsidRPr="00D160FB">
              <w:rPr>
                <w:spacing w:val="-4"/>
                <w:lang w:val="en-GB"/>
              </w:rPr>
              <w:t xml:space="preserve">2021, </w:t>
            </w:r>
            <w:r w:rsidR="005346B6" w:rsidRPr="00D160FB">
              <w:rPr>
                <w:spacing w:val="-4"/>
                <w:lang w:val="en-GB"/>
              </w:rPr>
              <w:t xml:space="preserve">when these services were </w:t>
            </w:r>
            <w:r w:rsidR="001A6CDD" w:rsidRPr="00D160FB">
              <w:rPr>
                <w:spacing w:val="-4"/>
                <w:lang w:val="en-GB"/>
              </w:rPr>
              <w:t xml:space="preserve">as a result of government counter pandemic measures considerably restricted. </w:t>
            </w:r>
            <w:r w:rsidR="001E6DD9" w:rsidRPr="00D160FB">
              <w:rPr>
                <w:spacing w:val="-4"/>
                <w:lang w:val="en-GB"/>
              </w:rPr>
              <w:t xml:space="preserve">In the long-term prospering information and communication the GVA increased by even </w:t>
            </w:r>
            <w:r w:rsidR="00E87D5B" w:rsidRPr="00D160FB">
              <w:rPr>
                <w:spacing w:val="-4"/>
                <w:lang w:val="en-GB"/>
              </w:rPr>
              <w:t>5%</w:t>
            </w:r>
            <w:r w:rsidR="001E6DD9" w:rsidRPr="00D160FB">
              <w:rPr>
                <w:spacing w:val="-4"/>
                <w:lang w:val="en-GB"/>
              </w:rPr>
              <w:t xml:space="preserve"> last year</w:t>
            </w:r>
            <w:r w:rsidR="00E87D5B" w:rsidRPr="00D160FB">
              <w:rPr>
                <w:spacing w:val="-4"/>
                <w:lang w:val="en-GB"/>
              </w:rPr>
              <w:t xml:space="preserve"> (</w:t>
            </w:r>
            <w:r w:rsidR="00513175" w:rsidRPr="00D160FB">
              <w:rPr>
                <w:spacing w:val="-4"/>
                <w:lang w:val="en-GB"/>
              </w:rPr>
              <w:t xml:space="preserve">the growth narrowed to </w:t>
            </w:r>
            <w:r w:rsidR="00E87D5B" w:rsidRPr="00D160FB">
              <w:rPr>
                <w:spacing w:val="-4"/>
                <w:lang w:val="en-GB"/>
              </w:rPr>
              <w:t>2</w:t>
            </w:r>
            <w:r w:rsidR="00513175" w:rsidRPr="00D160FB">
              <w:rPr>
                <w:spacing w:val="-4"/>
                <w:lang w:val="en-GB"/>
              </w:rPr>
              <w:t>.</w:t>
            </w:r>
            <w:r w:rsidR="00E87D5B" w:rsidRPr="00D160FB">
              <w:rPr>
                <w:spacing w:val="-4"/>
                <w:lang w:val="en-GB"/>
              </w:rPr>
              <w:t>5%</w:t>
            </w:r>
            <w:r w:rsidR="00513175" w:rsidRPr="00D160FB">
              <w:rPr>
                <w:spacing w:val="-4"/>
                <w:lang w:val="en-GB"/>
              </w:rPr>
              <w:t xml:space="preserve"> in Q4 </w:t>
            </w:r>
            <w:r w:rsidR="00E2291F">
              <w:rPr>
                <w:spacing w:val="-4"/>
                <w:lang w:val="en-GB"/>
              </w:rPr>
              <w:t xml:space="preserve">2022 </w:t>
            </w:r>
            <w:r w:rsidR="00513175" w:rsidRPr="00D160FB">
              <w:rPr>
                <w:spacing w:val="-4"/>
                <w:lang w:val="en-GB"/>
              </w:rPr>
              <w:t>itself</w:t>
            </w:r>
            <w:r w:rsidR="00E87D5B" w:rsidRPr="00D160FB">
              <w:rPr>
                <w:spacing w:val="-4"/>
                <w:lang w:val="en-GB"/>
              </w:rPr>
              <w:t>,</w:t>
            </w:r>
            <w:r w:rsidR="00513175" w:rsidRPr="00D160FB">
              <w:rPr>
                <w:spacing w:val="-4"/>
                <w:lang w:val="en-GB"/>
              </w:rPr>
              <w:t xml:space="preserve"> which was the least since the end of year </w:t>
            </w:r>
            <w:r w:rsidR="00E87D5B" w:rsidRPr="00D160FB">
              <w:rPr>
                <w:spacing w:val="-4"/>
                <w:lang w:val="en-GB"/>
              </w:rPr>
              <w:t xml:space="preserve">2016). </w:t>
            </w:r>
            <w:r w:rsidR="00CB42C0" w:rsidRPr="00D160FB">
              <w:rPr>
                <w:spacing w:val="-4"/>
                <w:lang w:val="en-GB"/>
              </w:rPr>
              <w:t>It was associated with weakening demand in the wider spectrum of services for businesses</w:t>
            </w:r>
            <w:r w:rsidR="00E87D5B" w:rsidRPr="00D160FB">
              <w:rPr>
                <w:spacing w:val="-4"/>
                <w:lang w:val="en-GB"/>
              </w:rPr>
              <w:t xml:space="preserve">. </w:t>
            </w:r>
            <w:r w:rsidR="00CB42C0" w:rsidRPr="00D160FB">
              <w:rPr>
                <w:spacing w:val="-4"/>
                <w:lang w:val="en-GB"/>
              </w:rPr>
              <w:t xml:space="preserve">On the contrary, </w:t>
            </w:r>
            <w:r w:rsidR="001C2439" w:rsidRPr="00D160FB">
              <w:rPr>
                <w:spacing w:val="-4"/>
                <w:lang w:val="en-GB"/>
              </w:rPr>
              <w:t>the bloom of activities in the area of real estate continued despite the slump of the mortgage m</w:t>
            </w:r>
            <w:r w:rsidR="00E2291F">
              <w:rPr>
                <w:spacing w:val="-4"/>
                <w:lang w:val="en-GB"/>
              </w:rPr>
              <w:t>arket throughout the whole year.</w:t>
            </w:r>
            <w:r w:rsidR="001C2439" w:rsidRPr="00D160FB">
              <w:rPr>
                <w:spacing w:val="-4"/>
                <w:lang w:val="en-GB"/>
              </w:rPr>
              <w:t xml:space="preserve"> </w:t>
            </w:r>
            <w:r w:rsidR="00E2291F">
              <w:rPr>
                <w:spacing w:val="-4"/>
                <w:lang w:val="en-GB"/>
              </w:rPr>
              <w:t>T</w:t>
            </w:r>
            <w:r w:rsidR="009A16E6" w:rsidRPr="00D160FB">
              <w:rPr>
                <w:spacing w:val="-4"/>
                <w:lang w:val="en-GB"/>
              </w:rPr>
              <w:t xml:space="preserve">he performance of this branch was however compared to year </w:t>
            </w:r>
            <w:r w:rsidR="00E87D5B" w:rsidRPr="00D160FB">
              <w:rPr>
                <w:spacing w:val="-4"/>
                <w:lang w:val="en-GB"/>
              </w:rPr>
              <w:t>2019</w:t>
            </w:r>
            <w:r w:rsidR="009A16E6" w:rsidRPr="00D160FB">
              <w:rPr>
                <w:spacing w:val="-4"/>
                <w:lang w:val="en-GB"/>
              </w:rPr>
              <w:t xml:space="preserve"> still lower at the end of the </w:t>
            </w:r>
            <w:r w:rsidR="00E2291F">
              <w:rPr>
                <w:spacing w:val="-4"/>
                <w:lang w:val="en-GB"/>
              </w:rPr>
              <w:t xml:space="preserve">last </w:t>
            </w:r>
            <w:r w:rsidR="009A16E6" w:rsidRPr="00D160FB">
              <w:rPr>
                <w:spacing w:val="-4"/>
                <w:lang w:val="en-GB"/>
              </w:rPr>
              <w:t xml:space="preserve">year </w:t>
            </w:r>
            <w:r w:rsidR="00E87D5B" w:rsidRPr="00D160FB">
              <w:rPr>
                <w:spacing w:val="-4"/>
                <w:lang w:val="en-GB"/>
              </w:rPr>
              <w:t>(</w:t>
            </w:r>
            <w:r w:rsidR="009A16E6" w:rsidRPr="00D160FB">
              <w:rPr>
                <w:spacing w:val="-4"/>
                <w:lang w:val="en-GB"/>
              </w:rPr>
              <w:t xml:space="preserve">by </w:t>
            </w:r>
            <w:r w:rsidR="00E87D5B" w:rsidRPr="00D160FB">
              <w:rPr>
                <w:spacing w:val="-4"/>
                <w:lang w:val="en-GB"/>
              </w:rPr>
              <w:t xml:space="preserve">2%). </w:t>
            </w:r>
            <w:r w:rsidR="00540F2B" w:rsidRPr="00D160FB">
              <w:rPr>
                <w:spacing w:val="-4"/>
                <w:lang w:val="en-GB"/>
              </w:rPr>
              <w:t>Public services register</w:t>
            </w:r>
            <w:r w:rsidR="00E2291F">
              <w:rPr>
                <w:spacing w:val="-4"/>
                <w:lang w:val="en-GB"/>
              </w:rPr>
              <w:t>ed</w:t>
            </w:r>
            <w:r w:rsidR="00540F2B" w:rsidRPr="00D160FB">
              <w:rPr>
                <w:spacing w:val="-4"/>
                <w:lang w:val="en-GB"/>
              </w:rPr>
              <w:t xml:space="preserve"> moderate, </w:t>
            </w:r>
            <w:r w:rsidR="00424050" w:rsidRPr="00D160FB">
              <w:rPr>
                <w:spacing w:val="-4"/>
                <w:lang w:val="en-GB"/>
              </w:rPr>
              <w:t xml:space="preserve">nevertheless long-time </w:t>
            </w:r>
            <w:r w:rsidR="00540F2B" w:rsidRPr="00D160FB">
              <w:rPr>
                <w:spacing w:val="-4"/>
                <w:lang w:val="en-GB"/>
              </w:rPr>
              <w:t>stable</w:t>
            </w:r>
            <w:r w:rsidR="00424050" w:rsidRPr="00D160FB">
              <w:rPr>
                <w:spacing w:val="-4"/>
                <w:lang w:val="en-GB"/>
              </w:rPr>
              <w:t xml:space="preserve"> GVA growth </w:t>
            </w:r>
            <w:r w:rsidR="00E87D5B" w:rsidRPr="00D160FB">
              <w:rPr>
                <w:spacing w:val="-4"/>
                <w:lang w:val="en-GB"/>
              </w:rPr>
              <w:t>(1</w:t>
            </w:r>
            <w:r w:rsidR="00963B36" w:rsidRPr="00D160FB">
              <w:rPr>
                <w:spacing w:val="-4"/>
                <w:lang w:val="en-GB"/>
              </w:rPr>
              <w:t>.</w:t>
            </w:r>
            <w:r w:rsidR="00E87D5B" w:rsidRPr="00D160FB">
              <w:rPr>
                <w:spacing w:val="-4"/>
                <w:lang w:val="en-GB"/>
              </w:rPr>
              <w:t>2%</w:t>
            </w:r>
            <w:r w:rsidR="00963B36" w:rsidRPr="00D160FB">
              <w:rPr>
                <w:spacing w:val="-4"/>
                <w:lang w:val="en-GB"/>
              </w:rPr>
              <w:t xml:space="preserve"> last year</w:t>
            </w:r>
            <w:r w:rsidR="00E87D5B" w:rsidRPr="00D160FB">
              <w:rPr>
                <w:spacing w:val="-4"/>
                <w:lang w:val="en-GB"/>
              </w:rPr>
              <w:t xml:space="preserve">). </w:t>
            </w:r>
          </w:p>
        </w:tc>
      </w:tr>
      <w:tr w:rsidR="00A7439C" w:rsidRPr="00D160FB" w14:paraId="3536519D" w14:textId="77777777" w:rsidTr="00976631">
        <w:trPr>
          <w:trHeight w:val="145"/>
        </w:trPr>
        <w:tc>
          <w:tcPr>
            <w:tcW w:w="1780" w:type="dxa"/>
            <w:tcBorders>
              <w:top w:val="nil"/>
              <w:left w:val="nil"/>
              <w:bottom w:val="nil"/>
              <w:right w:val="nil"/>
            </w:tcBorders>
            <w:shd w:val="clear" w:color="auto" w:fill="auto"/>
            <w:tcMar>
              <w:left w:w="0" w:type="dxa"/>
            </w:tcMar>
          </w:tcPr>
          <w:p w14:paraId="08512C17" w14:textId="7FA4090B" w:rsidR="00E87D5B" w:rsidRPr="00D160FB" w:rsidRDefault="00E41463" w:rsidP="00C8019E">
            <w:pPr>
              <w:pStyle w:val="Marginlie"/>
              <w:rPr>
                <w:color w:val="0D0D0D" w:themeColor="text1" w:themeTint="F2"/>
                <w:spacing w:val="-4"/>
                <w:lang w:val="en-GB"/>
              </w:rPr>
            </w:pPr>
            <w:r w:rsidRPr="00D160FB">
              <w:rPr>
                <w:color w:val="0D0D0D" w:themeColor="text1" w:themeTint="F2"/>
                <w:spacing w:val="-4"/>
                <w:lang w:val="en-GB"/>
              </w:rPr>
              <w:t xml:space="preserve">GVA growth </w:t>
            </w:r>
            <w:r w:rsidR="00E917A5" w:rsidRPr="00D160FB">
              <w:rPr>
                <w:color w:val="0D0D0D" w:themeColor="text1" w:themeTint="F2"/>
                <w:spacing w:val="-4"/>
                <w:lang w:val="en-GB"/>
              </w:rPr>
              <w:t xml:space="preserve">in manufacturing </w:t>
            </w:r>
            <w:r w:rsidR="00A308D6" w:rsidRPr="00D160FB">
              <w:rPr>
                <w:color w:val="0D0D0D" w:themeColor="text1" w:themeTint="F2"/>
                <w:spacing w:val="-4"/>
                <w:lang w:val="en-GB"/>
              </w:rPr>
              <w:t xml:space="preserve">was maintained even at the end of year 2022 unlike the energy industry as well as construction. </w:t>
            </w:r>
            <w:r w:rsidR="00E87D5B" w:rsidRPr="00D160FB">
              <w:rPr>
                <w:color w:val="0D0D0D" w:themeColor="text1" w:themeTint="F2"/>
                <w:spacing w:val="-4"/>
                <w:lang w:val="en-GB"/>
              </w:rPr>
              <w:t xml:space="preserve"> </w:t>
            </w:r>
          </w:p>
          <w:p w14:paraId="2D152834" w14:textId="77777777" w:rsidR="00E87D5B" w:rsidRPr="00D160FB" w:rsidRDefault="00E87D5B" w:rsidP="00C8019E">
            <w:pPr>
              <w:pStyle w:val="Marginlie"/>
              <w:rPr>
                <w:color w:val="0D0D0D" w:themeColor="text1" w:themeTint="F2"/>
                <w:spacing w:val="-4"/>
                <w:lang w:val="en-GB"/>
              </w:rPr>
            </w:pPr>
          </w:p>
          <w:p w14:paraId="1FB40F0F" w14:textId="77777777" w:rsidR="00E87D5B" w:rsidRPr="00D160FB" w:rsidRDefault="00E87D5B" w:rsidP="00C8019E">
            <w:pPr>
              <w:pStyle w:val="Marginlie"/>
              <w:rPr>
                <w:color w:val="0D0D0D" w:themeColor="text1" w:themeTint="F2"/>
                <w:spacing w:val="-4"/>
                <w:lang w:val="en-GB"/>
              </w:rPr>
            </w:pPr>
          </w:p>
          <w:p w14:paraId="59B286D1" w14:textId="77777777" w:rsidR="00E87D5B" w:rsidRPr="00D160FB" w:rsidRDefault="00E87D5B" w:rsidP="00C8019E">
            <w:pPr>
              <w:pStyle w:val="Marginlie"/>
              <w:rPr>
                <w:color w:val="0D0D0D" w:themeColor="text1" w:themeTint="F2"/>
                <w:spacing w:val="-4"/>
                <w:lang w:val="en-GB"/>
              </w:rPr>
            </w:pPr>
          </w:p>
          <w:p w14:paraId="6BED332C" w14:textId="46D1F275" w:rsidR="00E87D5B" w:rsidRPr="00D160FB" w:rsidRDefault="00C50101" w:rsidP="00806C53">
            <w:pPr>
              <w:pStyle w:val="Marginlie"/>
              <w:rPr>
                <w:color w:val="0D0D0D" w:themeColor="text1" w:themeTint="F2"/>
                <w:spacing w:val="-4"/>
                <w:lang w:val="en-GB"/>
              </w:rPr>
            </w:pPr>
            <w:r w:rsidRPr="00D160FB">
              <w:rPr>
                <w:color w:val="0D0D0D" w:themeColor="text1" w:themeTint="F2"/>
                <w:spacing w:val="-4"/>
                <w:lang w:val="en-GB"/>
              </w:rPr>
              <w:t xml:space="preserve">Decrease of the </w:t>
            </w:r>
            <w:r w:rsidR="007E442B" w:rsidRPr="00D160FB">
              <w:rPr>
                <w:color w:val="0D0D0D" w:themeColor="text1" w:themeTint="F2"/>
                <w:spacing w:val="-4"/>
                <w:lang w:val="en-GB"/>
              </w:rPr>
              <w:t>wood logging continued for the second year in a row. T</w:t>
            </w:r>
            <w:r w:rsidR="00806C53" w:rsidRPr="00D160FB">
              <w:rPr>
                <w:color w:val="0D0D0D" w:themeColor="text1" w:themeTint="F2"/>
                <w:spacing w:val="-4"/>
                <w:lang w:val="en-GB"/>
              </w:rPr>
              <w:t xml:space="preserve">he crop of cereals was above average again. </w:t>
            </w:r>
          </w:p>
          <w:p w14:paraId="0AA6BB70" w14:textId="77777777" w:rsidR="006B662A" w:rsidRDefault="006B662A" w:rsidP="00C8019E">
            <w:pPr>
              <w:pStyle w:val="Marginlie"/>
              <w:rPr>
                <w:color w:val="0D0D0D" w:themeColor="text1" w:themeTint="F2"/>
                <w:spacing w:val="-4"/>
                <w:lang w:val="en-GB"/>
              </w:rPr>
            </w:pPr>
          </w:p>
          <w:p w14:paraId="05D11959" w14:textId="15ADDC5B" w:rsidR="00E87D5B" w:rsidRPr="00D160FB" w:rsidRDefault="00932098" w:rsidP="00C8019E">
            <w:pPr>
              <w:pStyle w:val="Marginlie"/>
              <w:rPr>
                <w:color w:val="0D0D0D" w:themeColor="text1" w:themeTint="F2"/>
                <w:spacing w:val="-4"/>
                <w:lang w:val="en-GB"/>
              </w:rPr>
            </w:pPr>
            <w:r w:rsidRPr="00D160FB">
              <w:rPr>
                <w:color w:val="0D0D0D" w:themeColor="text1" w:themeTint="F2"/>
                <w:spacing w:val="-4"/>
                <w:lang w:val="en-GB"/>
              </w:rPr>
              <w:lastRenderedPageBreak/>
              <w:t xml:space="preserve">Rising production costs as well as weaker consumer </w:t>
            </w:r>
            <w:r w:rsidR="006B662A">
              <w:rPr>
                <w:color w:val="0D0D0D" w:themeColor="text1" w:themeTint="F2"/>
                <w:spacing w:val="-4"/>
                <w:lang w:val="en-GB"/>
              </w:rPr>
              <w:t>demand</w:t>
            </w:r>
            <w:r w:rsidR="00D85668" w:rsidRPr="00D160FB">
              <w:rPr>
                <w:color w:val="0D0D0D" w:themeColor="text1" w:themeTint="F2"/>
                <w:spacing w:val="-4"/>
                <w:lang w:val="en-GB"/>
              </w:rPr>
              <w:t xml:space="preserve"> added to the decrease of the meat production. </w:t>
            </w:r>
          </w:p>
        </w:tc>
        <w:tc>
          <w:tcPr>
            <w:tcW w:w="200" w:type="dxa"/>
            <w:tcBorders>
              <w:top w:val="nil"/>
              <w:left w:val="nil"/>
              <w:bottom w:val="nil"/>
              <w:right w:val="nil"/>
            </w:tcBorders>
            <w:shd w:val="clear" w:color="auto" w:fill="auto"/>
            <w:tcMar>
              <w:left w:w="0" w:type="dxa"/>
            </w:tcMar>
          </w:tcPr>
          <w:p w14:paraId="41C61046"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66B15F5" w14:textId="32A9549E" w:rsidR="00E87D5B" w:rsidRPr="00D160FB" w:rsidRDefault="00B55437" w:rsidP="00C8019E">
            <w:pPr>
              <w:rPr>
                <w:spacing w:val="-4"/>
                <w:lang w:val="en-GB"/>
              </w:rPr>
            </w:pPr>
            <w:r w:rsidRPr="00D160FB">
              <w:rPr>
                <w:color w:val="0D0D0D" w:themeColor="text1" w:themeTint="F2"/>
                <w:spacing w:val="-4"/>
                <w:lang w:val="en-GB"/>
              </w:rPr>
              <w:t xml:space="preserve">Among the branches outside the services sector, the GVA grew the most in manufacturing last year </w:t>
            </w:r>
            <w:r w:rsidR="00E87D5B" w:rsidRPr="00D160FB">
              <w:rPr>
                <w:color w:val="0D0D0D" w:themeColor="text1" w:themeTint="F2"/>
                <w:spacing w:val="-4"/>
                <w:lang w:val="en-GB"/>
              </w:rPr>
              <w:t>(+2</w:t>
            </w:r>
            <w:r w:rsidRPr="00D160FB">
              <w:rPr>
                <w:color w:val="0D0D0D" w:themeColor="text1" w:themeTint="F2"/>
                <w:spacing w:val="-4"/>
                <w:lang w:val="en-GB"/>
              </w:rPr>
              <w:t>.</w:t>
            </w:r>
            <w:r w:rsidR="00E87D5B" w:rsidRPr="00D160FB">
              <w:rPr>
                <w:color w:val="0D0D0D" w:themeColor="text1" w:themeTint="F2"/>
                <w:spacing w:val="-4"/>
                <w:lang w:val="en-GB"/>
              </w:rPr>
              <w:t xml:space="preserve">9%, </w:t>
            </w:r>
            <w:r w:rsidR="0020473C" w:rsidRPr="00D160FB">
              <w:rPr>
                <w:color w:val="0D0D0D" w:themeColor="text1" w:themeTint="F2"/>
                <w:spacing w:val="-4"/>
                <w:lang w:val="en-GB"/>
              </w:rPr>
              <w:t xml:space="preserve">contribution to the growth of the whole economy </w:t>
            </w:r>
            <w:r w:rsidR="00E87D5B" w:rsidRPr="00D160FB">
              <w:rPr>
                <w:color w:val="0D0D0D" w:themeColor="text1" w:themeTint="F2"/>
                <w:spacing w:val="-4"/>
                <w:lang w:val="en-GB"/>
              </w:rPr>
              <w:t>+0</w:t>
            </w:r>
            <w:r w:rsidR="0020473C" w:rsidRPr="00D160FB">
              <w:rPr>
                <w:color w:val="0D0D0D" w:themeColor="text1" w:themeTint="F2"/>
                <w:spacing w:val="-4"/>
                <w:lang w:val="en-GB"/>
              </w:rPr>
              <w:t>.</w:t>
            </w:r>
            <w:r w:rsidR="00E87D5B" w:rsidRPr="00D160FB">
              <w:rPr>
                <w:color w:val="0D0D0D" w:themeColor="text1" w:themeTint="F2"/>
                <w:spacing w:val="-4"/>
                <w:lang w:val="en-GB"/>
              </w:rPr>
              <w:t>7 p.</w:t>
            </w:r>
            <w:r w:rsidR="0020473C" w:rsidRPr="00D160FB">
              <w:rPr>
                <w:color w:val="0D0D0D" w:themeColor="text1" w:themeTint="F2"/>
                <w:spacing w:val="-4"/>
                <w:lang w:val="en-GB"/>
              </w:rPr>
              <w:t>p</w:t>
            </w:r>
            <w:r w:rsidR="00E87D5B" w:rsidRPr="00D160FB">
              <w:rPr>
                <w:color w:val="0D0D0D" w:themeColor="text1" w:themeTint="F2"/>
                <w:spacing w:val="-4"/>
                <w:lang w:val="en-GB"/>
              </w:rPr>
              <w:t xml:space="preserve">.), </w:t>
            </w:r>
            <w:r w:rsidR="00DA2E21" w:rsidRPr="00D160FB">
              <w:rPr>
                <w:color w:val="0D0D0D" w:themeColor="text1" w:themeTint="F2"/>
                <w:spacing w:val="-4"/>
                <w:lang w:val="en-GB"/>
              </w:rPr>
              <w:t xml:space="preserve">which profited from the solid both domestic and foreign demand and thus maintained its growth </w:t>
            </w:r>
            <w:r w:rsidRPr="00D160FB">
              <w:rPr>
                <w:color w:val="0D0D0D" w:themeColor="text1" w:themeTint="F2"/>
                <w:spacing w:val="-4"/>
                <w:lang w:val="en-GB"/>
              </w:rPr>
              <w:t xml:space="preserve">at the end of the year as well. </w:t>
            </w:r>
            <w:r w:rsidR="00E87D5B" w:rsidRPr="00D160FB">
              <w:rPr>
                <w:color w:val="0D0D0D" w:themeColor="text1" w:themeTint="F2"/>
                <w:spacing w:val="-4"/>
                <w:lang w:val="en-GB"/>
              </w:rPr>
              <w:t>T</w:t>
            </w:r>
            <w:r w:rsidR="00783B17" w:rsidRPr="00D160FB">
              <w:rPr>
                <w:color w:val="0D0D0D" w:themeColor="text1" w:themeTint="F2"/>
                <w:spacing w:val="-4"/>
                <w:lang w:val="en-GB"/>
              </w:rPr>
              <w:t xml:space="preserve">his is not valid for other branches – energy industry or construction. </w:t>
            </w:r>
            <w:r w:rsidR="00E2291F">
              <w:rPr>
                <w:color w:val="0D0D0D" w:themeColor="text1" w:themeTint="F2"/>
                <w:spacing w:val="-4"/>
                <w:lang w:val="en-GB"/>
              </w:rPr>
              <w:t>The GVA fell by 2.4% in the branch A</w:t>
            </w:r>
            <w:r w:rsidR="00744F9D" w:rsidRPr="00D160FB">
              <w:rPr>
                <w:color w:val="0D0D0D" w:themeColor="text1" w:themeTint="F2"/>
                <w:spacing w:val="-4"/>
                <w:lang w:val="en-GB"/>
              </w:rPr>
              <w:t xml:space="preserve">griculture, forestry and fishing last year and mitigated the </w:t>
            </w:r>
            <w:r w:rsidR="00E2291F">
              <w:rPr>
                <w:color w:val="0D0D0D" w:themeColor="text1" w:themeTint="F2"/>
                <w:spacing w:val="-4"/>
                <w:lang w:val="en-GB"/>
              </w:rPr>
              <w:t xml:space="preserve">15% </w:t>
            </w:r>
            <w:r w:rsidR="00744F9D" w:rsidRPr="00D160FB">
              <w:rPr>
                <w:color w:val="0D0D0D" w:themeColor="text1" w:themeTint="F2"/>
                <w:spacing w:val="-4"/>
                <w:lang w:val="en-GB"/>
              </w:rPr>
              <w:t xml:space="preserve">slump </w:t>
            </w:r>
            <w:r w:rsidR="0010748A" w:rsidRPr="00D160FB">
              <w:rPr>
                <w:color w:val="0D0D0D" w:themeColor="text1" w:themeTint="F2"/>
                <w:spacing w:val="-4"/>
                <w:lang w:val="en-GB"/>
              </w:rPr>
              <w:t xml:space="preserve">from year </w:t>
            </w:r>
            <w:r w:rsidR="00E87D5B" w:rsidRPr="00D160FB">
              <w:rPr>
                <w:spacing w:val="-4"/>
                <w:lang w:val="en-GB"/>
              </w:rPr>
              <w:t xml:space="preserve">2021. </w:t>
            </w:r>
            <w:r w:rsidR="00923AE5" w:rsidRPr="00D160FB">
              <w:rPr>
                <w:spacing w:val="-4"/>
                <w:lang w:val="en-GB"/>
              </w:rPr>
              <w:t xml:space="preserve">The situation </w:t>
            </w:r>
            <w:r w:rsidR="00C113FF" w:rsidRPr="00D160FB">
              <w:rPr>
                <w:spacing w:val="-4"/>
                <w:lang w:val="en-GB"/>
              </w:rPr>
              <w:t xml:space="preserve">in forestry, where the receding bark beetle </w:t>
            </w:r>
            <w:r w:rsidR="00492BBA" w:rsidRPr="00D160FB">
              <w:rPr>
                <w:spacing w:val="-4"/>
                <w:lang w:val="en-GB"/>
              </w:rPr>
              <w:t xml:space="preserve">outbreak </w:t>
            </w:r>
            <w:r w:rsidR="0097053D" w:rsidRPr="00D160FB">
              <w:rPr>
                <w:spacing w:val="-4"/>
                <w:lang w:val="en-GB"/>
              </w:rPr>
              <w:t xml:space="preserve">drastically </w:t>
            </w:r>
            <w:r w:rsidR="00492BBA" w:rsidRPr="00D160FB">
              <w:rPr>
                <w:spacing w:val="-4"/>
                <w:lang w:val="en-GB"/>
              </w:rPr>
              <w:t xml:space="preserve">lowered the need </w:t>
            </w:r>
            <w:r w:rsidR="00A77AE6" w:rsidRPr="00D160FB">
              <w:rPr>
                <w:spacing w:val="-4"/>
                <w:lang w:val="en-GB"/>
              </w:rPr>
              <w:t>for the wood logging</w:t>
            </w:r>
            <w:r w:rsidR="00C50101" w:rsidRPr="00D160FB">
              <w:rPr>
                <w:spacing w:val="-4"/>
                <w:lang w:val="en-GB"/>
              </w:rPr>
              <w:t xml:space="preserve"> for the second year in a row</w:t>
            </w:r>
            <w:r w:rsidR="00A77AE6" w:rsidRPr="00D160FB">
              <w:rPr>
                <w:spacing w:val="-4"/>
                <w:lang w:val="en-GB"/>
              </w:rPr>
              <w:t xml:space="preserve">, </w:t>
            </w:r>
            <w:r w:rsidR="00C113FF" w:rsidRPr="00D160FB">
              <w:rPr>
                <w:spacing w:val="-4"/>
                <w:lang w:val="en-GB"/>
              </w:rPr>
              <w:t>was likely still essential for the development of the whole primary sector</w:t>
            </w:r>
            <w:r w:rsidR="00E87D5B" w:rsidRPr="00D160FB">
              <w:rPr>
                <w:spacing w:val="-4"/>
                <w:lang w:val="en-GB"/>
              </w:rPr>
              <w:t xml:space="preserve">. </w:t>
            </w:r>
            <w:r w:rsidR="00120D41" w:rsidRPr="00D160FB">
              <w:rPr>
                <w:spacing w:val="-4"/>
                <w:lang w:val="en-GB"/>
              </w:rPr>
              <w:t>Total last year</w:t>
            </w:r>
            <w:r w:rsidR="00734926" w:rsidRPr="00D160FB">
              <w:rPr>
                <w:spacing w:val="-4"/>
                <w:lang w:val="en-GB"/>
              </w:rPr>
              <w:t xml:space="preserve">’s harvest of cereals </w:t>
            </w:r>
            <w:r w:rsidR="00F4680A" w:rsidRPr="00D160FB">
              <w:rPr>
                <w:spacing w:val="-4"/>
                <w:lang w:val="en-GB"/>
              </w:rPr>
              <w:t xml:space="preserve">only </w:t>
            </w:r>
            <w:r w:rsidR="00D53AD9" w:rsidRPr="00D160FB">
              <w:rPr>
                <w:spacing w:val="-4"/>
                <w:lang w:val="en-GB"/>
              </w:rPr>
              <w:t>negligibly</w:t>
            </w:r>
            <w:r w:rsidR="00F4680A" w:rsidRPr="00D160FB">
              <w:rPr>
                <w:spacing w:val="-4"/>
                <w:lang w:val="en-GB"/>
              </w:rPr>
              <w:t xml:space="preserve"> lagged behind the </w:t>
            </w:r>
            <w:r w:rsidR="00165310">
              <w:rPr>
                <w:spacing w:val="-4"/>
                <w:lang w:val="en-GB"/>
              </w:rPr>
              <w:t xml:space="preserve">above average </w:t>
            </w:r>
            <w:r w:rsidR="00CF42CB" w:rsidRPr="00D160FB">
              <w:rPr>
                <w:spacing w:val="-4"/>
                <w:lang w:val="en-GB"/>
              </w:rPr>
              <w:t xml:space="preserve">crop </w:t>
            </w:r>
            <w:r w:rsidR="00165310">
              <w:rPr>
                <w:spacing w:val="-4"/>
                <w:lang w:val="en-GB"/>
              </w:rPr>
              <w:t xml:space="preserve">form 2021 </w:t>
            </w:r>
            <w:r w:rsidR="00CF42CB" w:rsidRPr="00D160FB">
              <w:rPr>
                <w:spacing w:val="-4"/>
                <w:lang w:val="en-GB"/>
              </w:rPr>
              <w:t xml:space="preserve">by </w:t>
            </w:r>
            <w:r w:rsidR="00E87D5B" w:rsidRPr="00D160FB">
              <w:rPr>
                <w:spacing w:val="-4"/>
                <w:lang w:val="en-GB"/>
              </w:rPr>
              <w:t>0</w:t>
            </w:r>
            <w:r w:rsidR="00CF42CB" w:rsidRPr="00D160FB">
              <w:rPr>
                <w:spacing w:val="-4"/>
                <w:lang w:val="en-GB"/>
              </w:rPr>
              <w:t>.</w:t>
            </w:r>
            <w:r w:rsidR="00E87D5B" w:rsidRPr="00D160FB">
              <w:rPr>
                <w:spacing w:val="-4"/>
                <w:lang w:val="en-GB"/>
              </w:rPr>
              <w:t>1%</w:t>
            </w:r>
            <w:r w:rsidR="00E87D5B" w:rsidRPr="00D160FB">
              <w:rPr>
                <w:rStyle w:val="Znakapoznpodarou"/>
                <w:spacing w:val="-4"/>
                <w:lang w:val="en-GB"/>
              </w:rPr>
              <w:footnoteReference w:id="18"/>
            </w:r>
            <w:r w:rsidR="00E87D5B" w:rsidRPr="00D160FB">
              <w:rPr>
                <w:spacing w:val="-4"/>
                <w:lang w:val="en-GB"/>
              </w:rPr>
              <w:t xml:space="preserve">. </w:t>
            </w:r>
            <w:r w:rsidR="006C2EAB" w:rsidRPr="00D160FB">
              <w:rPr>
                <w:spacing w:val="-4"/>
                <w:lang w:val="en-GB"/>
              </w:rPr>
              <w:t>Deeper slump of the harvest of</w:t>
            </w:r>
            <w:r w:rsidR="009227A9" w:rsidRPr="00D160FB">
              <w:rPr>
                <w:spacing w:val="-4"/>
                <w:lang w:val="en-GB"/>
              </w:rPr>
              <w:t xml:space="preserve"> grain maize</w:t>
            </w:r>
            <w:r w:rsidR="00B54058" w:rsidRPr="00D160FB">
              <w:rPr>
                <w:spacing w:val="-4"/>
                <w:lang w:val="en-GB"/>
              </w:rPr>
              <w:t xml:space="preserve"> </w:t>
            </w:r>
            <w:r w:rsidR="005C31D1" w:rsidRPr="00D160FB">
              <w:rPr>
                <w:spacing w:val="-4"/>
                <w:lang w:val="en-GB"/>
              </w:rPr>
              <w:t>was offset by the growth for wheat and barley</w:t>
            </w:r>
            <w:r w:rsidR="0073044E" w:rsidRPr="00D160FB">
              <w:rPr>
                <w:spacing w:val="-4"/>
                <w:lang w:val="en-GB"/>
              </w:rPr>
              <w:t xml:space="preserve">. </w:t>
            </w:r>
            <w:r w:rsidR="00EF0DA4" w:rsidRPr="00D160FB">
              <w:rPr>
                <w:spacing w:val="-4"/>
                <w:lang w:val="en-GB"/>
              </w:rPr>
              <w:t xml:space="preserve">Oilseed rape </w:t>
            </w:r>
            <w:r w:rsidR="007F6638" w:rsidRPr="00D160FB">
              <w:rPr>
                <w:spacing w:val="-4"/>
                <w:lang w:val="en-GB"/>
              </w:rPr>
              <w:t xml:space="preserve">and other </w:t>
            </w:r>
            <w:r w:rsidR="00237669" w:rsidRPr="00D160FB">
              <w:rPr>
                <w:spacing w:val="-4"/>
                <w:lang w:val="en-GB"/>
              </w:rPr>
              <w:t xml:space="preserve">industrial crops </w:t>
            </w:r>
            <w:r w:rsidR="0041710D" w:rsidRPr="00D160FB">
              <w:rPr>
                <w:spacing w:val="-4"/>
                <w:lang w:val="en-GB"/>
              </w:rPr>
              <w:t>or fruit farming</w:t>
            </w:r>
            <w:r w:rsidR="00237669" w:rsidRPr="00D160FB">
              <w:rPr>
                <w:spacing w:val="-4"/>
                <w:lang w:val="en-GB"/>
              </w:rPr>
              <w:t xml:space="preserve"> </w:t>
            </w:r>
            <w:r w:rsidR="007F6638" w:rsidRPr="00D160FB">
              <w:rPr>
                <w:spacing w:val="-4"/>
                <w:lang w:val="en-GB"/>
              </w:rPr>
              <w:t>flourished</w:t>
            </w:r>
            <w:r w:rsidR="00E87D5B" w:rsidRPr="00D160FB">
              <w:rPr>
                <w:spacing w:val="-4"/>
                <w:lang w:val="en-GB"/>
              </w:rPr>
              <w:t>. M</w:t>
            </w:r>
            <w:r w:rsidR="0059687F" w:rsidRPr="00D160FB">
              <w:rPr>
                <w:spacing w:val="-4"/>
                <w:lang w:val="en-GB"/>
              </w:rPr>
              <w:t xml:space="preserve">oderate </w:t>
            </w:r>
            <w:r w:rsidR="00E87D5B" w:rsidRPr="00D160FB">
              <w:rPr>
                <w:spacing w:val="-4"/>
                <w:lang w:val="en-GB"/>
              </w:rPr>
              <w:t xml:space="preserve">2% </w:t>
            </w:r>
            <w:r w:rsidR="0059687F" w:rsidRPr="00D160FB">
              <w:rPr>
                <w:spacing w:val="-4"/>
                <w:lang w:val="en-GB"/>
              </w:rPr>
              <w:t>year-on-year decrease of crop</w:t>
            </w:r>
            <w:r w:rsidR="008167EC" w:rsidRPr="00D160FB">
              <w:rPr>
                <w:spacing w:val="-4"/>
                <w:lang w:val="en-GB"/>
              </w:rPr>
              <w:t xml:space="preserve">s however occurred for both potatoes and </w:t>
            </w:r>
            <w:r w:rsidR="006D4F16" w:rsidRPr="00D160FB">
              <w:rPr>
                <w:spacing w:val="-4"/>
                <w:lang w:val="en-GB"/>
              </w:rPr>
              <w:t>sugar beet</w:t>
            </w:r>
            <w:r w:rsidR="00E87D5B" w:rsidRPr="00D160FB">
              <w:rPr>
                <w:spacing w:val="-4"/>
                <w:lang w:val="en-GB"/>
              </w:rPr>
              <w:t xml:space="preserve">, </w:t>
            </w:r>
            <w:r w:rsidR="00165310">
              <w:rPr>
                <w:spacing w:val="-4"/>
                <w:lang w:val="en-GB"/>
              </w:rPr>
              <w:t xml:space="preserve">deeper decline </w:t>
            </w:r>
            <w:r w:rsidR="00165310" w:rsidRPr="00165310">
              <w:rPr>
                <w:spacing w:val="-4"/>
                <w:lang w:val="en-GB"/>
              </w:rPr>
              <w:t>affected</w:t>
            </w:r>
            <w:r w:rsidR="00C22546" w:rsidRPr="00D160FB">
              <w:rPr>
                <w:spacing w:val="-4"/>
                <w:lang w:val="en-GB"/>
              </w:rPr>
              <w:t xml:space="preserve"> </w:t>
            </w:r>
            <w:r w:rsidR="00165310">
              <w:rPr>
                <w:spacing w:val="-4"/>
                <w:lang w:val="en-GB"/>
              </w:rPr>
              <w:t>forage plant</w:t>
            </w:r>
            <w:r w:rsidR="00ED62B7" w:rsidRPr="00D160FB">
              <w:rPr>
                <w:spacing w:val="-4"/>
                <w:lang w:val="en-GB"/>
              </w:rPr>
              <w:t xml:space="preserve">s and majority of vegetable types. </w:t>
            </w:r>
            <w:r w:rsidR="005F23DC" w:rsidRPr="00D160FB">
              <w:rPr>
                <w:spacing w:val="-4"/>
                <w:lang w:val="en-GB"/>
              </w:rPr>
              <w:t>Hop plant recorded a slump of harvest</w:t>
            </w:r>
            <w:r w:rsidR="00E87D5B" w:rsidRPr="00D160FB">
              <w:rPr>
                <w:rStyle w:val="Znakapoznpodarou"/>
                <w:spacing w:val="-4"/>
                <w:lang w:val="en-GB"/>
              </w:rPr>
              <w:footnoteReference w:id="19"/>
            </w:r>
            <w:r w:rsidR="00E87D5B" w:rsidRPr="00D160FB">
              <w:rPr>
                <w:spacing w:val="-4"/>
                <w:lang w:val="en-GB"/>
              </w:rPr>
              <w:t xml:space="preserve">, </w:t>
            </w:r>
            <w:r w:rsidR="00AA3734" w:rsidRPr="00D160FB">
              <w:rPr>
                <w:spacing w:val="-4"/>
                <w:lang w:val="en-GB"/>
              </w:rPr>
              <w:t xml:space="preserve">on the </w:t>
            </w:r>
            <w:r w:rsidR="00AA3734" w:rsidRPr="00D160FB">
              <w:rPr>
                <w:spacing w:val="-4"/>
                <w:lang w:val="en-GB"/>
              </w:rPr>
              <w:lastRenderedPageBreak/>
              <w:t xml:space="preserve">contrary the long-term trend of harvest growth continued for </w:t>
            </w:r>
            <w:r w:rsidR="007C7242" w:rsidRPr="00D160FB">
              <w:rPr>
                <w:spacing w:val="-4"/>
                <w:lang w:val="en-GB"/>
              </w:rPr>
              <w:t>vineyards</w:t>
            </w:r>
            <w:r w:rsidR="00E87D5B" w:rsidRPr="00D160FB">
              <w:rPr>
                <w:spacing w:val="-4"/>
                <w:lang w:val="en-GB"/>
              </w:rPr>
              <w:t xml:space="preserve">. </w:t>
            </w:r>
            <w:r w:rsidR="00C21B30" w:rsidRPr="00D160FB">
              <w:rPr>
                <w:spacing w:val="-4"/>
                <w:lang w:val="en-GB"/>
              </w:rPr>
              <w:t xml:space="preserve">Four years lasting growth of the </w:t>
            </w:r>
            <w:r w:rsidR="00723553" w:rsidRPr="00D160FB">
              <w:rPr>
                <w:spacing w:val="-4"/>
                <w:lang w:val="en-GB"/>
              </w:rPr>
              <w:t>natural production of meat halted last year</w:t>
            </w:r>
            <w:r w:rsidR="00FA6E38" w:rsidRPr="00D160FB">
              <w:rPr>
                <w:spacing w:val="-4"/>
                <w:lang w:val="en-GB"/>
              </w:rPr>
              <w:t xml:space="preserve"> </w:t>
            </w:r>
            <w:r w:rsidR="00E87D5B" w:rsidRPr="00D160FB">
              <w:rPr>
                <w:spacing w:val="-4"/>
                <w:lang w:val="en-GB"/>
              </w:rPr>
              <w:t>(</w:t>
            </w:r>
            <w:r w:rsidR="00FA6E38" w:rsidRPr="00D160FB">
              <w:rPr>
                <w:spacing w:val="-4"/>
                <w:lang w:val="en-GB"/>
              </w:rPr>
              <w:t xml:space="preserve">its level returned to the </w:t>
            </w:r>
            <w:r w:rsidR="00E4273C" w:rsidRPr="00D160FB">
              <w:rPr>
                <w:spacing w:val="-4"/>
                <w:lang w:val="en-GB"/>
              </w:rPr>
              <w:t xml:space="preserve">extent from year </w:t>
            </w:r>
            <w:r w:rsidR="00E87D5B" w:rsidRPr="00D160FB">
              <w:rPr>
                <w:spacing w:val="-4"/>
                <w:lang w:val="en-GB"/>
              </w:rPr>
              <w:t>2018). L</w:t>
            </w:r>
            <w:r w:rsidR="00040088" w:rsidRPr="00D160FB">
              <w:rPr>
                <w:spacing w:val="-4"/>
                <w:lang w:val="en-GB"/>
              </w:rPr>
              <w:t xml:space="preserve">ast year’s </w:t>
            </w:r>
            <w:r w:rsidR="005912C9" w:rsidRPr="00D160FB">
              <w:rPr>
                <w:spacing w:val="-4"/>
                <w:lang w:val="en-GB"/>
              </w:rPr>
              <w:t xml:space="preserve">decrease </w:t>
            </w:r>
            <w:r w:rsidR="00E87D5B" w:rsidRPr="00D160FB">
              <w:rPr>
                <w:spacing w:val="-4"/>
                <w:lang w:val="en-GB"/>
              </w:rPr>
              <w:t>(4</w:t>
            </w:r>
            <w:r w:rsidR="005912C9" w:rsidRPr="00D160FB">
              <w:rPr>
                <w:spacing w:val="-4"/>
                <w:lang w:val="en-GB"/>
              </w:rPr>
              <w:t>.</w:t>
            </w:r>
            <w:r w:rsidR="00E87D5B" w:rsidRPr="00D160FB">
              <w:rPr>
                <w:spacing w:val="-4"/>
                <w:lang w:val="en-GB"/>
              </w:rPr>
              <w:t xml:space="preserve">2%) </w:t>
            </w:r>
            <w:r w:rsidR="005912C9" w:rsidRPr="00D160FB">
              <w:rPr>
                <w:spacing w:val="-4"/>
                <w:lang w:val="en-GB"/>
              </w:rPr>
              <w:t xml:space="preserve">was affected the most by lower production of pork meat, the decrease however occurred for </w:t>
            </w:r>
            <w:r w:rsidR="007C79C0" w:rsidRPr="00D160FB">
              <w:rPr>
                <w:spacing w:val="-4"/>
                <w:lang w:val="en-GB"/>
              </w:rPr>
              <w:t>all other main types of meat</w:t>
            </w:r>
            <w:r w:rsidR="00E87D5B" w:rsidRPr="00D160FB">
              <w:rPr>
                <w:spacing w:val="-4"/>
                <w:lang w:val="en-GB"/>
              </w:rPr>
              <w:t xml:space="preserve">. </w:t>
            </w:r>
            <w:r w:rsidR="000A65D5" w:rsidRPr="00D160FB">
              <w:rPr>
                <w:spacing w:val="-4"/>
                <w:lang w:val="en-GB"/>
              </w:rPr>
              <w:t xml:space="preserve">High growth of the production costs </w:t>
            </w:r>
            <w:r w:rsidR="00E87D5B" w:rsidRPr="00D160FB">
              <w:rPr>
                <w:spacing w:val="-4"/>
                <w:lang w:val="en-GB"/>
              </w:rPr>
              <w:t>(</w:t>
            </w:r>
            <w:r w:rsidR="00465934" w:rsidRPr="00D160FB">
              <w:rPr>
                <w:spacing w:val="-4"/>
                <w:lang w:val="en-GB"/>
              </w:rPr>
              <w:t>feed, energies</w:t>
            </w:r>
            <w:r w:rsidR="00E87D5B" w:rsidRPr="00D160FB">
              <w:rPr>
                <w:spacing w:val="-4"/>
                <w:lang w:val="en-GB"/>
              </w:rPr>
              <w:t xml:space="preserve">) </w:t>
            </w:r>
            <w:r w:rsidR="000A65D5" w:rsidRPr="00D160FB">
              <w:rPr>
                <w:spacing w:val="-4"/>
                <w:lang w:val="en-GB"/>
              </w:rPr>
              <w:t xml:space="preserve">as well as lower consumption in households manifested. </w:t>
            </w:r>
            <w:r w:rsidR="00926C8A" w:rsidRPr="00D160FB">
              <w:rPr>
                <w:spacing w:val="-4"/>
                <w:lang w:val="en-GB"/>
              </w:rPr>
              <w:t>Decline within the animal production was partially</w:t>
            </w:r>
            <w:r w:rsidR="00AD5DD8" w:rsidRPr="00D160FB">
              <w:rPr>
                <w:spacing w:val="-4"/>
                <w:lang w:val="en-GB"/>
              </w:rPr>
              <w:t xml:space="preserve"> </w:t>
            </w:r>
            <w:r w:rsidR="007E7623" w:rsidRPr="00D160FB">
              <w:rPr>
                <w:spacing w:val="-4"/>
                <w:lang w:val="en-GB"/>
              </w:rPr>
              <w:t>softened by mildly growing production of mil</w:t>
            </w:r>
            <w:r w:rsidR="00F977DB" w:rsidRPr="00D160FB">
              <w:rPr>
                <w:spacing w:val="-4"/>
                <w:lang w:val="en-GB"/>
              </w:rPr>
              <w:t>k</w:t>
            </w:r>
            <w:r w:rsidR="007E7623" w:rsidRPr="00D160FB">
              <w:rPr>
                <w:spacing w:val="-4"/>
                <w:lang w:val="en-GB"/>
              </w:rPr>
              <w:t>. The GVA</w:t>
            </w:r>
            <w:r w:rsidR="00BC507A" w:rsidRPr="00D160FB">
              <w:rPr>
                <w:spacing w:val="-4"/>
                <w:lang w:val="en-GB"/>
              </w:rPr>
              <w:t xml:space="preserve"> </w:t>
            </w:r>
            <w:r w:rsidR="007B0587" w:rsidRPr="00D160FB">
              <w:rPr>
                <w:spacing w:val="-4"/>
                <w:lang w:val="en-GB"/>
              </w:rPr>
              <w:t xml:space="preserve">in all main branches of the primary as well as secondary sector was </w:t>
            </w:r>
            <w:r w:rsidR="00E62429" w:rsidRPr="00D160FB">
              <w:rPr>
                <w:spacing w:val="-4"/>
                <w:lang w:val="en-GB"/>
              </w:rPr>
              <w:t>in Q4</w:t>
            </w:r>
            <w:r w:rsidR="00144375">
              <w:rPr>
                <w:spacing w:val="-4"/>
                <w:lang w:val="en-GB"/>
              </w:rPr>
              <w:t xml:space="preserve"> 2022</w:t>
            </w:r>
            <w:r w:rsidR="00E62429" w:rsidRPr="00D160FB">
              <w:rPr>
                <w:spacing w:val="-4"/>
                <w:lang w:val="en-GB"/>
              </w:rPr>
              <w:t xml:space="preserve"> below the level of year 2019 </w:t>
            </w:r>
            <w:r w:rsidR="00E87D5B" w:rsidRPr="00D160FB">
              <w:rPr>
                <w:spacing w:val="-10"/>
                <w:lang w:val="en-GB"/>
              </w:rPr>
              <w:t>(</w:t>
            </w:r>
            <w:r w:rsidR="00F977DB" w:rsidRPr="00D160FB">
              <w:rPr>
                <w:spacing w:val="-10"/>
                <w:lang w:val="en-GB"/>
              </w:rPr>
              <w:t xml:space="preserve">the most in construction </w:t>
            </w:r>
            <w:r w:rsidR="00E87D5B" w:rsidRPr="00D160FB">
              <w:rPr>
                <w:spacing w:val="-10"/>
                <w:lang w:val="en-GB"/>
              </w:rPr>
              <w:t xml:space="preserve">– </w:t>
            </w:r>
            <w:r w:rsidR="00F977DB" w:rsidRPr="00D160FB">
              <w:rPr>
                <w:spacing w:val="-10"/>
                <w:lang w:val="en-GB"/>
              </w:rPr>
              <w:t>by</w:t>
            </w:r>
            <w:r w:rsidR="00E87D5B" w:rsidRPr="00D160FB">
              <w:rPr>
                <w:spacing w:val="-10"/>
                <w:lang w:val="en-GB"/>
              </w:rPr>
              <w:t xml:space="preserve"> 11%).</w:t>
            </w:r>
          </w:p>
        </w:tc>
      </w:tr>
      <w:tr w:rsidR="00A7439C" w:rsidRPr="00D160FB" w14:paraId="241931F9" w14:textId="77777777" w:rsidTr="00976631">
        <w:trPr>
          <w:trHeight w:val="145"/>
        </w:trPr>
        <w:tc>
          <w:tcPr>
            <w:tcW w:w="1780" w:type="dxa"/>
            <w:tcBorders>
              <w:top w:val="nil"/>
              <w:left w:val="nil"/>
              <w:bottom w:val="nil"/>
              <w:right w:val="nil"/>
            </w:tcBorders>
            <w:shd w:val="clear" w:color="auto" w:fill="auto"/>
            <w:tcMar>
              <w:left w:w="0" w:type="dxa"/>
            </w:tcMar>
          </w:tcPr>
          <w:p w14:paraId="7FE5C64E" w14:textId="38977AF3" w:rsidR="00E87D5B" w:rsidRPr="00D160FB" w:rsidRDefault="002F4E46" w:rsidP="00C8019E">
            <w:pPr>
              <w:pStyle w:val="Marginlie"/>
              <w:rPr>
                <w:color w:val="0D0D0D" w:themeColor="text1" w:themeTint="F2"/>
                <w:spacing w:val="-4"/>
                <w:lang w:val="en-GB"/>
              </w:rPr>
            </w:pPr>
            <w:r w:rsidRPr="00D160FB">
              <w:rPr>
                <w:color w:val="0D0D0D" w:themeColor="text1" w:themeTint="F2"/>
                <w:spacing w:val="-4"/>
                <w:lang w:val="en-GB"/>
              </w:rPr>
              <w:lastRenderedPageBreak/>
              <w:t>The quarter-on-quarter growth of the industrial output continued in the period Q1 to Q3</w:t>
            </w:r>
            <w:r w:rsidR="00E87D5B" w:rsidRPr="00D160FB">
              <w:rPr>
                <w:color w:val="0D0D0D" w:themeColor="text1" w:themeTint="F2"/>
                <w:spacing w:val="-4"/>
                <w:lang w:val="en-GB"/>
              </w:rPr>
              <w:t xml:space="preserve">. </w:t>
            </w:r>
            <w:r w:rsidR="00646C3A" w:rsidRPr="00D160FB">
              <w:rPr>
                <w:color w:val="0D0D0D" w:themeColor="text1" w:themeTint="F2"/>
                <w:spacing w:val="-4"/>
                <w:lang w:val="en-GB"/>
              </w:rPr>
              <w:t xml:space="preserve">Its volume </w:t>
            </w:r>
            <w:r w:rsidRPr="00D160FB">
              <w:rPr>
                <w:color w:val="0D0D0D" w:themeColor="text1" w:themeTint="F2"/>
                <w:spacing w:val="-4"/>
                <w:lang w:val="en-GB"/>
              </w:rPr>
              <w:t xml:space="preserve">for the first time overtook the maximum level from year </w:t>
            </w:r>
            <w:r w:rsidR="00E87D5B" w:rsidRPr="00D160FB">
              <w:rPr>
                <w:color w:val="0D0D0D" w:themeColor="text1" w:themeTint="F2"/>
                <w:spacing w:val="-4"/>
                <w:lang w:val="en-GB"/>
              </w:rPr>
              <w:t>2019.</w:t>
            </w:r>
          </w:p>
          <w:p w14:paraId="2CF5891C" w14:textId="77777777" w:rsidR="00E87D5B" w:rsidRPr="00D160FB" w:rsidRDefault="00E87D5B" w:rsidP="00C8019E">
            <w:pPr>
              <w:pStyle w:val="Marginlie"/>
              <w:rPr>
                <w:color w:val="0D0D0D" w:themeColor="text1" w:themeTint="F2"/>
                <w:spacing w:val="-4"/>
                <w:lang w:val="en-GB"/>
              </w:rPr>
            </w:pPr>
          </w:p>
          <w:p w14:paraId="6299CADD" w14:textId="77777777" w:rsidR="00E87D5B" w:rsidRPr="00D160FB" w:rsidRDefault="00E87D5B" w:rsidP="00C8019E">
            <w:pPr>
              <w:pStyle w:val="Marginlie"/>
              <w:rPr>
                <w:color w:val="0D0D0D" w:themeColor="text1" w:themeTint="F2"/>
                <w:spacing w:val="-4"/>
                <w:lang w:val="en-GB"/>
              </w:rPr>
            </w:pPr>
          </w:p>
          <w:p w14:paraId="41087C5E" w14:textId="77777777" w:rsidR="00E87D5B" w:rsidRPr="00D160FB" w:rsidRDefault="00E87D5B" w:rsidP="00C8019E">
            <w:pPr>
              <w:pStyle w:val="Marginlie"/>
              <w:rPr>
                <w:color w:val="0D0D0D" w:themeColor="text1" w:themeTint="F2"/>
                <w:spacing w:val="-4"/>
                <w:lang w:val="en-GB"/>
              </w:rPr>
            </w:pPr>
          </w:p>
          <w:p w14:paraId="7D97F431" w14:textId="77777777" w:rsidR="00E87D5B" w:rsidRPr="00D160FB" w:rsidRDefault="00E87D5B" w:rsidP="00C8019E">
            <w:pPr>
              <w:pStyle w:val="Marginlie"/>
              <w:rPr>
                <w:color w:val="0D0D0D" w:themeColor="text1" w:themeTint="F2"/>
                <w:spacing w:val="-4"/>
                <w:lang w:val="en-GB"/>
              </w:rPr>
            </w:pPr>
          </w:p>
          <w:p w14:paraId="497FF808" w14:textId="77777777" w:rsidR="00E87D5B" w:rsidRPr="00D160FB" w:rsidRDefault="00E87D5B" w:rsidP="00C8019E">
            <w:pPr>
              <w:pStyle w:val="Marginlie"/>
              <w:rPr>
                <w:color w:val="0D0D0D" w:themeColor="text1" w:themeTint="F2"/>
                <w:spacing w:val="-4"/>
                <w:lang w:val="en-GB"/>
              </w:rPr>
            </w:pPr>
          </w:p>
          <w:p w14:paraId="4D5B2B0A" w14:textId="77777777" w:rsidR="00E87D5B" w:rsidRPr="00D160FB" w:rsidRDefault="00E87D5B" w:rsidP="00C8019E">
            <w:pPr>
              <w:pStyle w:val="Marginlie"/>
              <w:rPr>
                <w:color w:val="0D0D0D" w:themeColor="text1" w:themeTint="F2"/>
                <w:spacing w:val="-4"/>
                <w:lang w:val="en-GB"/>
              </w:rPr>
            </w:pPr>
          </w:p>
          <w:p w14:paraId="3D8EFA32" w14:textId="561E0DFB" w:rsidR="00E87D5B" w:rsidRPr="00D160FB" w:rsidRDefault="00F54C62" w:rsidP="00C8019E">
            <w:pPr>
              <w:pStyle w:val="Marginlie"/>
              <w:rPr>
                <w:color w:val="0D0D0D" w:themeColor="text1" w:themeTint="F2"/>
                <w:spacing w:val="-4"/>
                <w:lang w:val="en-GB"/>
              </w:rPr>
            </w:pPr>
            <w:r w:rsidRPr="00D160FB">
              <w:rPr>
                <w:color w:val="0D0D0D" w:themeColor="text1" w:themeTint="F2"/>
                <w:spacing w:val="-4"/>
                <w:lang w:val="en-GB"/>
              </w:rPr>
              <w:t>The industrial production was adversely affected by the impacts of sharp hike of prices of inputs</w:t>
            </w:r>
            <w:r w:rsidR="00997646" w:rsidRPr="00D160FB">
              <w:rPr>
                <w:color w:val="0D0D0D" w:themeColor="text1" w:themeTint="F2"/>
                <w:spacing w:val="-4"/>
                <w:lang w:val="en-GB"/>
              </w:rPr>
              <w:t>, rising difficulties with the supplies of production components as well as worsened performance of the euro area economy in Q</w:t>
            </w:r>
            <w:r w:rsidR="00E87D5B" w:rsidRPr="00D160FB">
              <w:rPr>
                <w:color w:val="0D0D0D" w:themeColor="text1" w:themeTint="F2"/>
                <w:spacing w:val="-4"/>
                <w:lang w:val="en-GB"/>
              </w:rPr>
              <w:t>4.</w:t>
            </w:r>
            <w:r w:rsidR="00997646" w:rsidRPr="00D160FB">
              <w:rPr>
                <w:color w:val="0D0D0D" w:themeColor="text1" w:themeTint="F2"/>
                <w:spacing w:val="-4"/>
                <w:lang w:val="en-GB"/>
              </w:rPr>
              <w:t xml:space="preserve"> </w:t>
            </w:r>
            <w:r w:rsidR="00E87D5B" w:rsidRPr="00D160FB">
              <w:rPr>
                <w:color w:val="0D0D0D" w:themeColor="text1" w:themeTint="F2"/>
                <w:spacing w:val="-4"/>
                <w:lang w:val="en-GB"/>
              </w:rPr>
              <w:t xml:space="preserve"> </w:t>
            </w:r>
          </w:p>
          <w:p w14:paraId="312128A8" w14:textId="77777777" w:rsidR="00E87D5B" w:rsidRPr="00D160FB" w:rsidRDefault="00E87D5B" w:rsidP="00C8019E">
            <w:pPr>
              <w:pStyle w:val="Marginlie"/>
              <w:rPr>
                <w:color w:val="0D0D0D" w:themeColor="text1" w:themeTint="F2"/>
                <w:spacing w:val="-4"/>
                <w:lang w:val="en-GB"/>
              </w:rPr>
            </w:pPr>
            <w:r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60217C5D"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FACD2A0" w14:textId="71C92BBE" w:rsidR="00E87D5B" w:rsidRPr="006176EF" w:rsidRDefault="00377007" w:rsidP="006176EF">
            <w:pPr>
              <w:spacing w:after="220"/>
              <w:rPr>
                <w:color w:val="0D0D0D" w:themeColor="text1" w:themeTint="F2"/>
                <w:spacing w:val="-4"/>
                <w:lang w:val="en-GB"/>
              </w:rPr>
            </w:pPr>
            <w:r w:rsidRPr="00D160FB">
              <w:rPr>
                <w:spacing w:val="-4"/>
                <w:lang w:val="en-GB"/>
              </w:rPr>
              <w:t xml:space="preserve">Data from the business statistics also confirm, </w:t>
            </w:r>
            <w:r w:rsidR="000F07C9" w:rsidRPr="00D160FB">
              <w:rPr>
                <w:spacing w:val="-4"/>
                <w:lang w:val="en-GB"/>
              </w:rPr>
              <w:t xml:space="preserve">that the </w:t>
            </w:r>
            <w:r w:rsidR="00BF0099" w:rsidRPr="00D160FB">
              <w:rPr>
                <w:spacing w:val="-4"/>
                <w:lang w:val="en-GB"/>
              </w:rPr>
              <w:t xml:space="preserve">domestic </w:t>
            </w:r>
            <w:r w:rsidR="001F4A57" w:rsidRPr="00D160FB">
              <w:rPr>
                <w:spacing w:val="-4"/>
                <w:lang w:val="en-GB"/>
              </w:rPr>
              <w:t xml:space="preserve">industry </w:t>
            </w:r>
            <w:r w:rsidR="009F026B" w:rsidRPr="00D160FB">
              <w:rPr>
                <w:spacing w:val="-4"/>
                <w:lang w:val="en-GB"/>
              </w:rPr>
              <w:t xml:space="preserve">continued in mild post-pandemic revival for the most part of the last year. </w:t>
            </w:r>
            <w:r w:rsidR="0022639E" w:rsidRPr="00D160FB">
              <w:rPr>
                <w:spacing w:val="-4"/>
                <w:lang w:val="en-GB"/>
              </w:rPr>
              <w:t xml:space="preserve">It managed to </w:t>
            </w:r>
            <w:r w:rsidR="00F205AB" w:rsidRPr="00D160FB">
              <w:rPr>
                <w:spacing w:val="-4"/>
                <w:lang w:val="en-GB"/>
              </w:rPr>
              <w:t xml:space="preserve">offset the weaker performance of the motor vehicle segment at the beginning of the year </w:t>
            </w:r>
            <w:r w:rsidR="00761774">
              <w:rPr>
                <w:spacing w:val="-4"/>
                <w:lang w:val="en-GB"/>
              </w:rPr>
              <w:t xml:space="preserve">2022 </w:t>
            </w:r>
            <w:r w:rsidR="00F205AB" w:rsidRPr="00D160FB">
              <w:rPr>
                <w:spacing w:val="-4"/>
                <w:lang w:val="en-GB"/>
              </w:rPr>
              <w:t xml:space="preserve">and later also of some significant businesses in other branches, which were affected by the </w:t>
            </w:r>
            <w:r w:rsidR="008D3CEE" w:rsidRPr="00D160FB">
              <w:rPr>
                <w:spacing w:val="-4"/>
                <w:lang w:val="en-GB"/>
              </w:rPr>
              <w:t>disruption</w:t>
            </w:r>
            <w:r w:rsidR="00F205AB" w:rsidRPr="00D160FB">
              <w:rPr>
                <w:spacing w:val="-4"/>
                <w:lang w:val="en-GB"/>
              </w:rPr>
              <w:t xml:space="preserve"> of the supply chains due to the unexpected </w:t>
            </w:r>
            <w:r w:rsidR="008D3CEE" w:rsidRPr="00D160FB">
              <w:rPr>
                <w:spacing w:val="-4"/>
                <w:lang w:val="en-GB"/>
              </w:rPr>
              <w:t xml:space="preserve">ignition of the war in Ukraine. </w:t>
            </w:r>
            <w:r w:rsidR="001E74E8" w:rsidRPr="00D160FB">
              <w:rPr>
                <w:spacing w:val="-4"/>
                <w:lang w:val="en-GB"/>
              </w:rPr>
              <w:t>During Q</w:t>
            </w:r>
            <w:r w:rsidR="00E87D5B" w:rsidRPr="00D160FB">
              <w:rPr>
                <w:color w:val="0D0D0D" w:themeColor="text1" w:themeTint="F2"/>
                <w:spacing w:val="-4"/>
                <w:lang w:val="en-GB"/>
              </w:rPr>
              <w:t>3,</w:t>
            </w:r>
            <w:r w:rsidR="001E74E8" w:rsidRPr="00D160FB">
              <w:rPr>
                <w:color w:val="0D0D0D" w:themeColor="text1" w:themeTint="F2"/>
                <w:spacing w:val="-4"/>
                <w:lang w:val="en-GB"/>
              </w:rPr>
              <w:t xml:space="preserve"> when the quarter-on-quarter growth of the domestic economy stopped, the industrial output</w:t>
            </w:r>
            <w:r w:rsidR="00E87D5B" w:rsidRPr="00D160FB">
              <w:rPr>
                <w:rStyle w:val="Znakapoznpodarou"/>
                <w:color w:val="0D0D0D" w:themeColor="text1" w:themeTint="F2"/>
                <w:spacing w:val="-4"/>
                <w:lang w:val="en-GB"/>
              </w:rPr>
              <w:footnoteReference w:id="20"/>
            </w:r>
            <w:r w:rsidR="001E74E8" w:rsidRPr="00D160FB">
              <w:rPr>
                <w:color w:val="0D0D0D" w:themeColor="text1" w:themeTint="F2"/>
                <w:spacing w:val="-4"/>
                <w:lang w:val="en-GB"/>
              </w:rPr>
              <w:t xml:space="preserve"> </w:t>
            </w:r>
            <w:r w:rsidR="00761774">
              <w:rPr>
                <w:color w:val="0D0D0D" w:themeColor="text1" w:themeTint="F2"/>
                <w:spacing w:val="-4"/>
                <w:lang w:val="en-GB"/>
              </w:rPr>
              <w:t xml:space="preserve">however </w:t>
            </w:r>
            <w:r w:rsidR="001E74E8" w:rsidRPr="00D160FB">
              <w:rPr>
                <w:color w:val="0D0D0D" w:themeColor="text1" w:themeTint="F2"/>
                <w:spacing w:val="-4"/>
                <w:lang w:val="en-GB"/>
              </w:rPr>
              <w:t xml:space="preserve">increased by </w:t>
            </w:r>
            <w:r w:rsidR="00E87D5B" w:rsidRPr="00D160FB">
              <w:rPr>
                <w:color w:val="0D0D0D" w:themeColor="text1" w:themeTint="F2"/>
                <w:spacing w:val="-4"/>
                <w:lang w:val="en-GB"/>
              </w:rPr>
              <w:t>1</w:t>
            </w:r>
            <w:r w:rsidR="001E74E8" w:rsidRPr="00D160FB">
              <w:rPr>
                <w:color w:val="0D0D0D" w:themeColor="text1" w:themeTint="F2"/>
                <w:spacing w:val="-4"/>
                <w:lang w:val="en-GB"/>
              </w:rPr>
              <w:t>.</w:t>
            </w:r>
            <w:r w:rsidR="00761774">
              <w:rPr>
                <w:color w:val="0D0D0D" w:themeColor="text1" w:themeTint="F2"/>
                <w:spacing w:val="-4"/>
                <w:lang w:val="en-GB"/>
              </w:rPr>
              <w:t>9% (</w:t>
            </w:r>
            <w:r w:rsidR="006C2764" w:rsidRPr="00D160FB">
              <w:rPr>
                <w:color w:val="0D0D0D" w:themeColor="text1" w:themeTint="F2"/>
                <w:spacing w:val="-4"/>
                <w:lang w:val="en-GB"/>
              </w:rPr>
              <w:t xml:space="preserve">which was the most since the end of year </w:t>
            </w:r>
            <w:r w:rsidR="00E87D5B" w:rsidRPr="00D160FB">
              <w:rPr>
                <w:color w:val="0D0D0D" w:themeColor="text1" w:themeTint="F2"/>
                <w:spacing w:val="-4"/>
                <w:lang w:val="en-GB"/>
              </w:rPr>
              <w:t>2020</w:t>
            </w:r>
            <w:r w:rsidR="00761774">
              <w:rPr>
                <w:color w:val="0D0D0D" w:themeColor="text1" w:themeTint="F2"/>
                <w:spacing w:val="-4"/>
                <w:lang w:val="en-GB"/>
              </w:rPr>
              <w:t>)</w:t>
            </w:r>
            <w:r w:rsidR="00E87D5B" w:rsidRPr="00D160FB">
              <w:rPr>
                <w:color w:val="0D0D0D" w:themeColor="text1" w:themeTint="F2"/>
                <w:spacing w:val="-4"/>
                <w:lang w:val="en-GB"/>
              </w:rPr>
              <w:t xml:space="preserve">. </w:t>
            </w:r>
            <w:r w:rsidR="00C66509" w:rsidRPr="00D160FB">
              <w:rPr>
                <w:color w:val="0D0D0D" w:themeColor="text1" w:themeTint="F2"/>
                <w:spacing w:val="-4"/>
                <w:lang w:val="en-GB"/>
              </w:rPr>
              <w:t xml:space="preserve">The </w:t>
            </w:r>
            <w:r w:rsidR="00761774">
              <w:rPr>
                <w:color w:val="0D0D0D" w:themeColor="text1" w:themeTint="F2"/>
                <w:spacing w:val="-4"/>
                <w:lang w:val="en-GB"/>
              </w:rPr>
              <w:t>fact</w:t>
            </w:r>
            <w:r w:rsidR="00C66509" w:rsidRPr="00D160FB">
              <w:rPr>
                <w:color w:val="0D0D0D" w:themeColor="text1" w:themeTint="F2"/>
                <w:spacing w:val="-4"/>
                <w:lang w:val="en-GB"/>
              </w:rPr>
              <w:t xml:space="preserve">, that the investment activity in the economy did not weaken </w:t>
            </w:r>
            <w:r w:rsidR="00F5199B" w:rsidRPr="00D160FB">
              <w:rPr>
                <w:color w:val="0D0D0D" w:themeColor="text1" w:themeTint="F2"/>
                <w:spacing w:val="-4"/>
                <w:lang w:val="en-GB"/>
              </w:rPr>
              <w:t xml:space="preserve">markedly </w:t>
            </w:r>
            <w:r w:rsidR="00C66509" w:rsidRPr="00D160FB">
              <w:rPr>
                <w:color w:val="0D0D0D" w:themeColor="text1" w:themeTint="F2"/>
                <w:spacing w:val="-4"/>
                <w:lang w:val="en-GB"/>
              </w:rPr>
              <w:t>also contribute</w:t>
            </w:r>
            <w:r w:rsidR="00F5199B" w:rsidRPr="00D160FB">
              <w:rPr>
                <w:color w:val="0D0D0D" w:themeColor="text1" w:themeTint="F2"/>
                <w:spacing w:val="-4"/>
                <w:lang w:val="en-GB"/>
              </w:rPr>
              <w:t>d</w:t>
            </w:r>
            <w:r w:rsidR="00E87D5B" w:rsidRPr="00D160FB">
              <w:rPr>
                <w:color w:val="0D0D0D" w:themeColor="text1" w:themeTint="F2"/>
                <w:spacing w:val="-4"/>
                <w:lang w:val="en-GB"/>
              </w:rPr>
              <w:t xml:space="preserve">. </w:t>
            </w:r>
            <w:r w:rsidR="00F5199B" w:rsidRPr="00D160FB">
              <w:rPr>
                <w:color w:val="0D0D0D" w:themeColor="text1" w:themeTint="F2"/>
                <w:spacing w:val="-4"/>
                <w:lang w:val="en-GB"/>
              </w:rPr>
              <w:t xml:space="preserve">The same was also valid for the </w:t>
            </w:r>
            <w:r w:rsidR="00FE00E7" w:rsidRPr="00D160FB">
              <w:rPr>
                <w:color w:val="0D0D0D" w:themeColor="text1" w:themeTint="F2"/>
                <w:spacing w:val="-4"/>
                <w:lang w:val="en-GB"/>
              </w:rPr>
              <w:t xml:space="preserve">value of foreign </w:t>
            </w:r>
            <w:r w:rsidR="00761774">
              <w:rPr>
                <w:color w:val="0D0D0D" w:themeColor="text1" w:themeTint="F2"/>
                <w:spacing w:val="-4"/>
                <w:lang w:val="en-GB"/>
              </w:rPr>
              <w:t xml:space="preserve">industrial </w:t>
            </w:r>
            <w:r w:rsidR="006A1C31" w:rsidRPr="00D160FB">
              <w:rPr>
                <w:color w:val="0D0D0D" w:themeColor="text1" w:themeTint="F2"/>
                <w:spacing w:val="-4"/>
                <w:lang w:val="en-GB"/>
              </w:rPr>
              <w:t>orders since</w:t>
            </w:r>
            <w:r w:rsidR="009E4DFB" w:rsidRPr="00D160FB">
              <w:rPr>
                <w:color w:val="0D0D0D" w:themeColor="text1" w:themeTint="F2"/>
                <w:spacing w:val="-4"/>
                <w:lang w:val="en-GB"/>
              </w:rPr>
              <w:t xml:space="preserve"> the euro area as well as the German economy itself still </w:t>
            </w:r>
            <w:r w:rsidR="000351A6" w:rsidRPr="00D160FB">
              <w:rPr>
                <w:color w:val="0D0D0D" w:themeColor="text1" w:themeTint="F2"/>
                <w:spacing w:val="-4"/>
                <w:lang w:val="en-GB"/>
              </w:rPr>
              <w:t xml:space="preserve">resisted the </w:t>
            </w:r>
            <w:r w:rsidR="0053593E" w:rsidRPr="00D160FB">
              <w:rPr>
                <w:color w:val="0D0D0D" w:themeColor="text1" w:themeTint="F2"/>
                <w:spacing w:val="-4"/>
                <w:lang w:val="en-GB"/>
              </w:rPr>
              <w:t xml:space="preserve">threat of recession. </w:t>
            </w:r>
            <w:r w:rsidR="00156013" w:rsidRPr="00D160FB">
              <w:rPr>
                <w:color w:val="0D0D0D" w:themeColor="text1" w:themeTint="F2"/>
                <w:spacing w:val="-4"/>
                <w:lang w:val="en-GB"/>
              </w:rPr>
              <w:t>The</w:t>
            </w:r>
            <w:r w:rsidR="00361A59" w:rsidRPr="00D160FB">
              <w:rPr>
                <w:color w:val="0D0D0D" w:themeColor="text1" w:themeTint="F2"/>
                <w:spacing w:val="-4"/>
                <w:lang w:val="en-GB"/>
              </w:rPr>
              <w:t xml:space="preserve"> fact, that the situation with the supplies of the production components for the motor vehicle industry </w:t>
            </w:r>
            <w:r w:rsidR="00D160FB">
              <w:rPr>
                <w:color w:val="0D0D0D" w:themeColor="text1" w:themeTint="F2"/>
                <w:spacing w:val="-4"/>
                <w:lang w:val="en-GB"/>
              </w:rPr>
              <w:t xml:space="preserve">temporarily improved, </w:t>
            </w:r>
            <w:r w:rsidR="0053593E" w:rsidRPr="00D160FB">
              <w:rPr>
                <w:spacing w:val="-5"/>
                <w:lang w:val="en-GB"/>
              </w:rPr>
              <w:t>played an important role</w:t>
            </w:r>
            <w:r w:rsidR="00E87D5B" w:rsidRPr="00D160FB">
              <w:rPr>
                <w:spacing w:val="-5"/>
                <w:lang w:val="en-GB"/>
              </w:rPr>
              <w:t>.</w:t>
            </w:r>
            <w:r w:rsidR="0053593E" w:rsidRPr="00D160FB">
              <w:rPr>
                <w:spacing w:val="-5"/>
                <w:lang w:val="en-GB"/>
              </w:rPr>
              <w:t xml:space="preserve"> The total industrial </w:t>
            </w:r>
            <w:r w:rsidR="00ED1FB8" w:rsidRPr="00D160FB">
              <w:rPr>
                <w:spacing w:val="-5"/>
                <w:lang w:val="en-GB"/>
              </w:rPr>
              <w:t>output th</w:t>
            </w:r>
            <w:r w:rsidR="006A1C31" w:rsidRPr="00D160FB">
              <w:rPr>
                <w:spacing w:val="-5"/>
                <w:lang w:val="en-GB"/>
              </w:rPr>
              <w:t>u</w:t>
            </w:r>
            <w:r w:rsidR="00ED1FB8" w:rsidRPr="00D160FB">
              <w:rPr>
                <w:spacing w:val="-5"/>
                <w:lang w:val="en-GB"/>
              </w:rPr>
              <w:t>s</w:t>
            </w:r>
            <w:r w:rsidR="00B73D35" w:rsidRPr="00D160FB">
              <w:rPr>
                <w:spacing w:val="-5"/>
                <w:lang w:val="en-GB"/>
              </w:rPr>
              <w:t xml:space="preserve"> exceeded the level from the pre-pandemic </w:t>
            </w:r>
            <w:r w:rsidR="00EE222F" w:rsidRPr="00D160FB">
              <w:rPr>
                <w:spacing w:val="-5"/>
                <w:lang w:val="en-GB"/>
              </w:rPr>
              <w:t>boom for the first time last year in</w:t>
            </w:r>
            <w:r w:rsidR="00A263BA">
              <w:rPr>
                <w:spacing w:val="-5"/>
                <w:lang w:val="en-GB"/>
              </w:rPr>
              <w:t xml:space="preserve"> summer</w:t>
            </w:r>
            <w:r w:rsidR="00E87D5B" w:rsidRPr="00D160FB">
              <w:rPr>
                <w:rStyle w:val="Znakapoznpodarou"/>
                <w:color w:val="0D0D0D" w:themeColor="text1" w:themeTint="F2"/>
                <w:spacing w:val="-4"/>
                <w:lang w:val="en-GB"/>
              </w:rPr>
              <w:footnoteReference w:id="21"/>
            </w:r>
            <w:r w:rsidR="00E87D5B" w:rsidRPr="00D160FB">
              <w:rPr>
                <w:color w:val="0D0D0D" w:themeColor="text1" w:themeTint="F2"/>
                <w:spacing w:val="-4"/>
                <w:lang w:val="en-GB"/>
              </w:rPr>
              <w:t xml:space="preserve">. </w:t>
            </w:r>
            <w:r w:rsidR="00E062CF" w:rsidRPr="00D160FB">
              <w:rPr>
                <w:color w:val="0D0D0D" w:themeColor="text1" w:themeTint="F2"/>
                <w:spacing w:val="-4"/>
                <w:lang w:val="en-GB"/>
              </w:rPr>
              <w:t>However, the</w:t>
            </w:r>
            <w:r w:rsidR="00C829C2" w:rsidRPr="00D160FB">
              <w:rPr>
                <w:color w:val="0D0D0D" w:themeColor="text1" w:themeTint="F2"/>
                <w:spacing w:val="-4"/>
                <w:lang w:val="en-GB"/>
              </w:rPr>
              <w:t xml:space="preserve"> stock prices </w:t>
            </w:r>
            <w:r w:rsidR="00E062CF" w:rsidRPr="00D160FB">
              <w:rPr>
                <w:color w:val="0D0D0D" w:themeColor="text1" w:themeTint="F2"/>
                <w:spacing w:val="-4"/>
                <w:lang w:val="en-GB"/>
              </w:rPr>
              <w:t xml:space="preserve">of both electricity and gas escalated </w:t>
            </w:r>
            <w:r w:rsidR="00AB5901" w:rsidRPr="00D160FB">
              <w:rPr>
                <w:color w:val="0D0D0D" w:themeColor="text1" w:themeTint="F2"/>
                <w:spacing w:val="-4"/>
                <w:lang w:val="en-GB"/>
              </w:rPr>
              <w:t>in Europe in August last year</w:t>
            </w:r>
            <w:r w:rsidR="00E87D5B" w:rsidRPr="00D160FB">
              <w:rPr>
                <w:color w:val="0D0D0D" w:themeColor="text1" w:themeTint="F2"/>
                <w:spacing w:val="-4"/>
                <w:lang w:val="en-GB"/>
              </w:rPr>
              <w:t>,</w:t>
            </w:r>
            <w:r w:rsidR="006176EF">
              <w:rPr>
                <w:color w:val="0D0D0D" w:themeColor="text1" w:themeTint="F2"/>
                <w:spacing w:val="-4"/>
                <w:lang w:val="en-GB"/>
              </w:rPr>
              <w:t xml:space="preserve"> which</w:t>
            </w:r>
            <w:r w:rsidR="0011492C" w:rsidRPr="00D160FB">
              <w:rPr>
                <w:color w:val="0D0D0D" w:themeColor="text1" w:themeTint="F2"/>
                <w:spacing w:val="-4"/>
                <w:lang w:val="en-GB"/>
              </w:rPr>
              <w:t xml:space="preserve"> </w:t>
            </w:r>
            <w:r w:rsidR="00AB5901" w:rsidRPr="00D160FB">
              <w:rPr>
                <w:color w:val="0D0D0D" w:themeColor="text1" w:themeTint="F2"/>
                <w:spacing w:val="-4"/>
                <w:lang w:val="en-GB"/>
              </w:rPr>
              <w:t xml:space="preserve">together with the ongoing swift growth of prices </w:t>
            </w:r>
            <w:r w:rsidR="0011492C" w:rsidRPr="00D160FB">
              <w:rPr>
                <w:color w:val="0D0D0D" w:themeColor="text1" w:themeTint="F2"/>
                <w:spacing w:val="-4"/>
                <w:lang w:val="en-GB"/>
              </w:rPr>
              <w:t xml:space="preserve">of other material inputs adversely reflected in the performance especially of </w:t>
            </w:r>
            <w:r w:rsidR="003755A0" w:rsidRPr="00D160FB">
              <w:rPr>
                <w:color w:val="0D0D0D" w:themeColor="text1" w:themeTint="F2"/>
                <w:spacing w:val="-4"/>
                <w:lang w:val="en-GB"/>
              </w:rPr>
              <w:t xml:space="preserve">more </w:t>
            </w:r>
            <w:r w:rsidR="0011492C" w:rsidRPr="00D160FB">
              <w:rPr>
                <w:color w:val="0D0D0D" w:themeColor="text1" w:themeTint="F2"/>
                <w:spacing w:val="-4"/>
                <w:lang w:val="en-GB"/>
              </w:rPr>
              <w:t>energy</w:t>
            </w:r>
            <w:r w:rsidR="006176EF">
              <w:rPr>
                <w:color w:val="0D0D0D" w:themeColor="text1" w:themeTint="F2"/>
                <w:spacing w:val="-4"/>
                <w:lang w:val="en-GB"/>
              </w:rPr>
              <w:t>-</w:t>
            </w:r>
            <w:r w:rsidR="003755A0" w:rsidRPr="00D160FB">
              <w:rPr>
                <w:color w:val="0D0D0D" w:themeColor="text1" w:themeTint="F2"/>
                <w:spacing w:val="-4"/>
                <w:lang w:val="en-GB"/>
              </w:rPr>
              <w:t>inte</w:t>
            </w:r>
            <w:r w:rsidR="005F6B2D" w:rsidRPr="00D160FB">
              <w:rPr>
                <w:color w:val="0D0D0D" w:themeColor="text1" w:themeTint="F2"/>
                <w:spacing w:val="-4"/>
                <w:lang w:val="en-GB"/>
              </w:rPr>
              <w:t xml:space="preserve">nsive branches </w:t>
            </w:r>
            <w:r w:rsidR="00E87D5B" w:rsidRPr="00D160FB">
              <w:rPr>
                <w:color w:val="0D0D0D" w:themeColor="text1" w:themeTint="F2"/>
                <w:spacing w:val="-4"/>
                <w:lang w:val="en-GB"/>
              </w:rPr>
              <w:t>(</w:t>
            </w:r>
            <w:r w:rsidR="00C041F5" w:rsidRPr="00D160FB">
              <w:rPr>
                <w:color w:val="0D0D0D" w:themeColor="text1" w:themeTint="F2"/>
                <w:spacing w:val="-4"/>
                <w:lang w:val="en-GB"/>
              </w:rPr>
              <w:t xml:space="preserve">metallurgy, </w:t>
            </w:r>
            <w:r w:rsidR="001F78A8" w:rsidRPr="00D160FB">
              <w:rPr>
                <w:color w:val="0D0D0D" w:themeColor="text1" w:themeTint="F2"/>
                <w:spacing w:val="-4"/>
                <w:lang w:val="en-GB"/>
              </w:rPr>
              <w:t xml:space="preserve">metalworking industry, </w:t>
            </w:r>
            <w:r w:rsidR="007C0319" w:rsidRPr="00D160FB">
              <w:rPr>
                <w:color w:val="0D0D0D" w:themeColor="text1" w:themeTint="F2"/>
                <w:spacing w:val="-4"/>
                <w:lang w:val="en-GB"/>
              </w:rPr>
              <w:t>manufacturing</w:t>
            </w:r>
            <w:r w:rsidR="001F78A8" w:rsidRPr="00D160FB">
              <w:rPr>
                <w:color w:val="0D0D0D" w:themeColor="text1" w:themeTint="F2"/>
                <w:spacing w:val="-4"/>
                <w:lang w:val="en-GB"/>
              </w:rPr>
              <w:t xml:space="preserve"> of glass or </w:t>
            </w:r>
            <w:r w:rsidR="004D0FB7" w:rsidRPr="00D160FB">
              <w:rPr>
                <w:color w:val="0D0D0D" w:themeColor="text1" w:themeTint="F2"/>
                <w:spacing w:val="-4"/>
                <w:lang w:val="en-GB"/>
              </w:rPr>
              <w:t xml:space="preserve">extraction </w:t>
            </w:r>
            <w:r w:rsidR="001F78A8" w:rsidRPr="00D160FB">
              <w:rPr>
                <w:color w:val="0D0D0D" w:themeColor="text1" w:themeTint="F2"/>
                <w:spacing w:val="-4"/>
                <w:lang w:val="en-GB"/>
              </w:rPr>
              <w:t xml:space="preserve">and </w:t>
            </w:r>
            <w:r w:rsidR="0034081B" w:rsidRPr="00D160FB">
              <w:rPr>
                <w:color w:val="0D0D0D" w:themeColor="text1" w:themeTint="F2"/>
                <w:spacing w:val="-4"/>
                <w:lang w:val="en-GB"/>
              </w:rPr>
              <w:t xml:space="preserve">manufacturing of </w:t>
            </w:r>
            <w:r w:rsidR="007C477C" w:rsidRPr="00D160FB">
              <w:rPr>
                <w:color w:val="0D0D0D" w:themeColor="text1" w:themeTint="F2"/>
                <w:spacing w:val="-4"/>
                <w:lang w:val="en-GB"/>
              </w:rPr>
              <w:t>building materials</w:t>
            </w:r>
            <w:r w:rsidR="00E87D5B" w:rsidRPr="00D160FB">
              <w:rPr>
                <w:color w:val="0D0D0D" w:themeColor="text1" w:themeTint="F2"/>
                <w:spacing w:val="-4"/>
                <w:lang w:val="en-GB"/>
              </w:rPr>
              <w:t>)</w:t>
            </w:r>
            <w:r w:rsidR="006176EF">
              <w:rPr>
                <w:color w:val="0D0D0D" w:themeColor="text1" w:themeTint="F2"/>
                <w:spacing w:val="-4"/>
                <w:lang w:val="en-GB"/>
              </w:rPr>
              <w:t>.</w:t>
            </w:r>
            <w:r w:rsidR="00E87D5B" w:rsidRPr="00D160FB">
              <w:rPr>
                <w:color w:val="0D0D0D" w:themeColor="text1" w:themeTint="F2"/>
                <w:spacing w:val="-4"/>
                <w:lang w:val="en-GB"/>
              </w:rPr>
              <w:t xml:space="preserve"> </w:t>
            </w:r>
            <w:r w:rsidR="006176EF">
              <w:rPr>
                <w:color w:val="0D0D0D" w:themeColor="text1" w:themeTint="F2"/>
                <w:spacing w:val="-4"/>
                <w:lang w:val="en-GB"/>
              </w:rPr>
              <w:t>S</w:t>
            </w:r>
            <w:r w:rsidR="006176EF" w:rsidRPr="006176EF">
              <w:rPr>
                <w:color w:val="0D0D0D" w:themeColor="text1" w:themeTint="F2"/>
                <w:spacing w:val="-4"/>
                <w:lang w:val="en-GB"/>
              </w:rPr>
              <w:t>avings translated into falling demand</w:t>
            </w:r>
            <w:r w:rsidR="006176EF">
              <w:rPr>
                <w:color w:val="0D0D0D" w:themeColor="text1" w:themeTint="F2"/>
                <w:spacing w:val="-4"/>
                <w:lang w:val="en-GB"/>
              </w:rPr>
              <w:t xml:space="preserve"> (both of households and enterprises) affected the </w:t>
            </w:r>
            <w:r w:rsidR="00612680" w:rsidRPr="00D160FB">
              <w:rPr>
                <w:color w:val="0D0D0D" w:themeColor="text1" w:themeTint="F2"/>
                <w:spacing w:val="-4"/>
                <w:lang w:val="en-GB"/>
              </w:rPr>
              <w:t>branch of energy industry</w:t>
            </w:r>
            <w:r w:rsidR="00E87D5B" w:rsidRPr="00D160FB">
              <w:rPr>
                <w:color w:val="0D0D0D" w:themeColor="text1" w:themeTint="F2"/>
                <w:spacing w:val="-4"/>
                <w:lang w:val="en-GB"/>
              </w:rPr>
              <w:t xml:space="preserve">. </w:t>
            </w:r>
            <w:r w:rsidR="0075236C" w:rsidRPr="00D160FB">
              <w:rPr>
                <w:color w:val="0D0D0D" w:themeColor="text1" w:themeTint="F2"/>
                <w:spacing w:val="-4"/>
                <w:lang w:val="en-GB"/>
              </w:rPr>
              <w:t>In addition the industria</w:t>
            </w:r>
            <w:r w:rsidR="00E0768A" w:rsidRPr="00D160FB">
              <w:rPr>
                <w:color w:val="0D0D0D" w:themeColor="text1" w:themeTint="F2"/>
                <w:spacing w:val="-4"/>
                <w:lang w:val="en-GB"/>
              </w:rPr>
              <w:t>l</w:t>
            </w:r>
            <w:r w:rsidR="0075236C" w:rsidRPr="00D160FB">
              <w:rPr>
                <w:color w:val="0D0D0D" w:themeColor="text1" w:themeTint="F2"/>
                <w:spacing w:val="-4"/>
                <w:lang w:val="en-GB"/>
              </w:rPr>
              <w:t xml:space="preserve"> businesses </w:t>
            </w:r>
            <w:r w:rsidR="00E0768A" w:rsidRPr="00D160FB">
              <w:rPr>
                <w:color w:val="0D0D0D" w:themeColor="text1" w:themeTint="F2"/>
                <w:spacing w:val="-4"/>
                <w:lang w:val="en-GB"/>
              </w:rPr>
              <w:t xml:space="preserve">in the CR </w:t>
            </w:r>
            <w:r w:rsidR="0075236C" w:rsidRPr="00D160FB">
              <w:rPr>
                <w:color w:val="0D0D0D" w:themeColor="text1" w:themeTint="F2"/>
                <w:spacing w:val="-4"/>
                <w:lang w:val="en-GB"/>
              </w:rPr>
              <w:t>started</w:t>
            </w:r>
            <w:r w:rsidR="00E0768A" w:rsidRPr="00D160FB">
              <w:rPr>
                <w:color w:val="0D0D0D" w:themeColor="text1" w:themeTint="F2"/>
                <w:spacing w:val="-4"/>
                <w:lang w:val="en-GB"/>
              </w:rPr>
              <w:t xml:space="preserve"> still more to experience concerns associated with the worsening economic situation in the number of </w:t>
            </w:r>
            <w:r w:rsidR="000411B1" w:rsidRPr="00D160FB">
              <w:rPr>
                <w:color w:val="0D0D0D" w:themeColor="text1" w:themeTint="F2"/>
                <w:spacing w:val="-4"/>
                <w:lang w:val="en-GB"/>
              </w:rPr>
              <w:t xml:space="preserve">significant export territories, which also became apparent in the negative </w:t>
            </w:r>
            <w:r w:rsidR="006B3FBA" w:rsidRPr="00D160FB">
              <w:rPr>
                <w:color w:val="0D0D0D" w:themeColor="text1" w:themeTint="F2"/>
                <w:spacing w:val="-4"/>
                <w:lang w:val="en-GB"/>
              </w:rPr>
              <w:t xml:space="preserve">business cycle </w:t>
            </w:r>
            <w:r w:rsidR="000411B1" w:rsidRPr="00D160FB">
              <w:rPr>
                <w:color w:val="0D0D0D" w:themeColor="text1" w:themeTint="F2"/>
                <w:spacing w:val="-4"/>
                <w:lang w:val="en-GB"/>
              </w:rPr>
              <w:t xml:space="preserve">expectations of </w:t>
            </w:r>
            <w:r w:rsidR="0065235A">
              <w:rPr>
                <w:color w:val="0D0D0D" w:themeColor="text1" w:themeTint="F2"/>
                <w:spacing w:val="-4"/>
                <w:lang w:val="en-GB"/>
              </w:rPr>
              <w:t xml:space="preserve">domestic </w:t>
            </w:r>
            <w:r w:rsidR="000411B1" w:rsidRPr="00D160FB">
              <w:rPr>
                <w:color w:val="0D0D0D" w:themeColor="text1" w:themeTint="F2"/>
                <w:spacing w:val="-4"/>
                <w:lang w:val="en-GB"/>
              </w:rPr>
              <w:t>busin</w:t>
            </w:r>
            <w:r w:rsidR="006B3FBA" w:rsidRPr="00D160FB">
              <w:rPr>
                <w:color w:val="0D0D0D" w:themeColor="text1" w:themeTint="F2"/>
                <w:spacing w:val="-4"/>
                <w:lang w:val="en-GB"/>
              </w:rPr>
              <w:t xml:space="preserve">esses. </w:t>
            </w:r>
            <w:r w:rsidR="00A670A0" w:rsidRPr="00D160FB">
              <w:rPr>
                <w:color w:val="0D0D0D" w:themeColor="text1" w:themeTint="F2"/>
                <w:spacing w:val="-4"/>
                <w:lang w:val="en-GB"/>
              </w:rPr>
              <w:t>T</w:t>
            </w:r>
            <w:r w:rsidR="00281D1B" w:rsidRPr="00D160FB">
              <w:rPr>
                <w:color w:val="0D0D0D" w:themeColor="text1" w:themeTint="F2"/>
                <w:spacing w:val="-4"/>
                <w:lang w:val="en-GB"/>
              </w:rPr>
              <w:t>hus t</w:t>
            </w:r>
            <w:r w:rsidR="00A670A0" w:rsidRPr="00D160FB">
              <w:rPr>
                <w:color w:val="0D0D0D" w:themeColor="text1" w:themeTint="F2"/>
                <w:spacing w:val="-4"/>
                <w:lang w:val="en-GB"/>
              </w:rPr>
              <w:t xml:space="preserve">he quarter-on-quarter growth of production in industry as well as its key segment of manufacturing of motor vehicles </w:t>
            </w:r>
            <w:r w:rsidR="008132F7" w:rsidRPr="00D160FB">
              <w:rPr>
                <w:color w:val="0D0D0D" w:themeColor="text1" w:themeTint="F2"/>
                <w:spacing w:val="-4"/>
                <w:lang w:val="en-GB"/>
              </w:rPr>
              <w:t xml:space="preserve">in effect </w:t>
            </w:r>
            <w:r w:rsidR="00281D1B" w:rsidRPr="00D160FB">
              <w:rPr>
                <w:color w:val="0D0D0D" w:themeColor="text1" w:themeTint="F2"/>
                <w:spacing w:val="-4"/>
                <w:lang w:val="en-GB"/>
              </w:rPr>
              <w:t>halte</w:t>
            </w:r>
            <w:r w:rsidR="00D160FB">
              <w:rPr>
                <w:color w:val="0D0D0D" w:themeColor="text1" w:themeTint="F2"/>
                <w:spacing w:val="-4"/>
                <w:lang w:val="en-GB"/>
              </w:rPr>
              <w:t xml:space="preserve">d </w:t>
            </w:r>
            <w:r w:rsidR="00281D1B" w:rsidRPr="00D160FB">
              <w:rPr>
                <w:color w:val="0D0D0D" w:themeColor="text1" w:themeTint="F2"/>
                <w:spacing w:val="-4"/>
                <w:lang w:val="en-GB"/>
              </w:rPr>
              <w:t>in Q</w:t>
            </w:r>
            <w:r w:rsidR="00E87D5B" w:rsidRPr="00D160FB">
              <w:rPr>
                <w:color w:val="0D0D0D" w:themeColor="text1" w:themeTint="F2"/>
                <w:spacing w:val="-4"/>
                <w:lang w:val="en-GB"/>
              </w:rPr>
              <w:t xml:space="preserve">4. </w:t>
            </w:r>
          </w:p>
        </w:tc>
      </w:tr>
      <w:tr w:rsidR="00A7439C" w:rsidRPr="00D160FB" w14:paraId="3BF66136" w14:textId="77777777" w:rsidTr="00976631">
        <w:trPr>
          <w:trHeight w:val="145"/>
        </w:trPr>
        <w:tc>
          <w:tcPr>
            <w:tcW w:w="1780" w:type="dxa"/>
            <w:tcBorders>
              <w:top w:val="nil"/>
              <w:left w:val="nil"/>
              <w:bottom w:val="nil"/>
              <w:right w:val="nil"/>
            </w:tcBorders>
            <w:shd w:val="clear" w:color="auto" w:fill="auto"/>
            <w:tcMar>
              <w:left w:w="0" w:type="dxa"/>
            </w:tcMar>
          </w:tcPr>
          <w:p w14:paraId="6A6B9F5B" w14:textId="7F66F4EB" w:rsidR="00E87D5B" w:rsidRPr="00D160FB" w:rsidRDefault="00EF75D0" w:rsidP="00EF75D0">
            <w:pPr>
              <w:pStyle w:val="Marginlie"/>
              <w:rPr>
                <w:color w:val="0D0D0D" w:themeColor="text1" w:themeTint="F2"/>
                <w:spacing w:val="-4"/>
                <w:lang w:val="en-GB"/>
              </w:rPr>
            </w:pPr>
            <w:r w:rsidRPr="00D160FB">
              <w:rPr>
                <w:color w:val="0D0D0D" w:themeColor="text1" w:themeTint="F2"/>
                <w:spacing w:val="-4"/>
                <w:lang w:val="en-GB"/>
              </w:rPr>
              <w:t xml:space="preserve">Last year’s </w:t>
            </w:r>
            <w:r w:rsidR="000B614F" w:rsidRPr="00D160FB">
              <w:rPr>
                <w:color w:val="0D0D0D" w:themeColor="text1" w:themeTint="F2"/>
                <w:spacing w:val="-4"/>
                <w:lang w:val="en-GB"/>
              </w:rPr>
              <w:t>growth</w:t>
            </w:r>
            <w:r w:rsidRPr="00D160FB">
              <w:rPr>
                <w:color w:val="0D0D0D" w:themeColor="text1" w:themeTint="F2"/>
                <w:spacing w:val="-4"/>
                <w:lang w:val="en-GB"/>
              </w:rPr>
              <w:t xml:space="preserve"> of industrial output was driven mainly by the manufacturing of motor vehicles. </w:t>
            </w:r>
            <w:r w:rsidR="001D55CF" w:rsidRPr="00D160FB">
              <w:rPr>
                <w:color w:val="0D0D0D" w:themeColor="text1" w:themeTint="F2"/>
                <w:spacing w:val="-4"/>
                <w:lang w:val="en-GB"/>
              </w:rPr>
              <w:t xml:space="preserve">It however also faced difficulties. </w:t>
            </w:r>
            <w:r w:rsidR="00E87D5B"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3DCD437F"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6A32606" w14:textId="250DD784" w:rsidR="00E87D5B" w:rsidRPr="00D160FB" w:rsidRDefault="001D55CF" w:rsidP="00C8019E">
            <w:pPr>
              <w:spacing w:after="220"/>
              <w:rPr>
                <w:spacing w:val="-4"/>
                <w:lang w:val="en-GB"/>
              </w:rPr>
            </w:pPr>
            <w:r w:rsidRPr="00D160FB">
              <w:rPr>
                <w:spacing w:val="-4"/>
                <w:lang w:val="en-GB"/>
              </w:rPr>
              <w:t xml:space="preserve">Even though </w:t>
            </w:r>
            <w:r w:rsidR="00ED4380" w:rsidRPr="00D160FB">
              <w:rPr>
                <w:spacing w:val="-4"/>
                <w:lang w:val="en-GB"/>
              </w:rPr>
              <w:t xml:space="preserve">the output dropped in approximately one third of industrial </w:t>
            </w:r>
            <w:r w:rsidR="00593591" w:rsidRPr="00D160FB">
              <w:rPr>
                <w:spacing w:val="-4"/>
                <w:lang w:val="en-GB"/>
              </w:rPr>
              <w:t>activities for the last year</w:t>
            </w:r>
            <w:r w:rsidR="00E87D5B" w:rsidRPr="00D160FB">
              <w:rPr>
                <w:spacing w:val="-4"/>
                <w:lang w:val="en-GB"/>
              </w:rPr>
              <w:t xml:space="preserve">, </w:t>
            </w:r>
            <w:r w:rsidRPr="00D160FB">
              <w:rPr>
                <w:spacing w:val="-4"/>
                <w:lang w:val="en-GB"/>
              </w:rPr>
              <w:t xml:space="preserve">it went slightly up in total for the whole industry </w:t>
            </w:r>
            <w:r w:rsidR="00E87D5B" w:rsidRPr="00D160FB">
              <w:rPr>
                <w:color w:val="0D0D0D" w:themeColor="text1" w:themeTint="F2"/>
                <w:spacing w:val="-4"/>
                <w:lang w:val="en-GB"/>
              </w:rPr>
              <w:t>(+2</w:t>
            </w:r>
            <w:r w:rsidRPr="00D160FB">
              <w:rPr>
                <w:color w:val="0D0D0D" w:themeColor="text1" w:themeTint="F2"/>
                <w:spacing w:val="-4"/>
                <w:lang w:val="en-GB"/>
              </w:rPr>
              <w:t>.</w:t>
            </w:r>
            <w:r w:rsidR="00E87D5B" w:rsidRPr="00D160FB">
              <w:rPr>
                <w:color w:val="0D0D0D" w:themeColor="text1" w:themeTint="F2"/>
                <w:spacing w:val="-4"/>
                <w:lang w:val="en-GB"/>
              </w:rPr>
              <w:t xml:space="preserve">5%). </w:t>
            </w:r>
            <w:r w:rsidR="00D832FA" w:rsidRPr="00D160FB">
              <w:rPr>
                <w:color w:val="0D0D0D" w:themeColor="text1" w:themeTint="F2"/>
                <w:spacing w:val="-4"/>
                <w:lang w:val="en-GB"/>
              </w:rPr>
              <w:t xml:space="preserve">It was mainly thanks to the manufacturing of motor </w:t>
            </w:r>
            <w:r w:rsidR="00C97D83" w:rsidRPr="00D160FB">
              <w:rPr>
                <w:color w:val="0D0D0D" w:themeColor="text1" w:themeTint="F2"/>
                <w:spacing w:val="-4"/>
                <w:lang w:val="en-GB"/>
              </w:rPr>
              <w:t>vehicles</w:t>
            </w:r>
            <w:r w:rsidR="00D832FA" w:rsidRPr="00D160FB">
              <w:rPr>
                <w:color w:val="0D0D0D" w:themeColor="text1" w:themeTint="F2"/>
                <w:spacing w:val="-4"/>
                <w:lang w:val="en-GB"/>
              </w:rPr>
              <w:t xml:space="preserve">, which </w:t>
            </w:r>
            <w:r w:rsidR="00593591" w:rsidRPr="00D160FB">
              <w:rPr>
                <w:color w:val="0D0D0D" w:themeColor="text1" w:themeTint="F2"/>
                <w:spacing w:val="-4"/>
                <w:lang w:val="en-GB"/>
              </w:rPr>
              <w:t xml:space="preserve">even despite weaker basis </w:t>
            </w:r>
            <w:r w:rsidR="00E87D5B" w:rsidRPr="00D160FB">
              <w:rPr>
                <w:spacing w:val="-4"/>
                <w:lang w:val="en-GB"/>
              </w:rPr>
              <w:t>(</w:t>
            </w:r>
            <w:r w:rsidR="00593591" w:rsidRPr="00D160FB">
              <w:rPr>
                <w:spacing w:val="-4"/>
                <w:lang w:val="en-GB"/>
              </w:rPr>
              <w:t xml:space="preserve">because of </w:t>
            </w:r>
            <w:r w:rsidR="00423519" w:rsidRPr="00D160FB">
              <w:rPr>
                <w:spacing w:val="-4"/>
                <w:lang w:val="en-GB"/>
              </w:rPr>
              <w:t>forced shutdowns of operations in Q</w:t>
            </w:r>
            <w:r w:rsidR="00E87D5B" w:rsidRPr="00D160FB">
              <w:rPr>
                <w:spacing w:val="-4"/>
                <w:lang w:val="en-GB"/>
              </w:rPr>
              <w:t>3</w:t>
            </w:r>
            <w:r w:rsidR="00423519" w:rsidRPr="00D160FB">
              <w:rPr>
                <w:spacing w:val="-4"/>
                <w:lang w:val="en-GB"/>
              </w:rPr>
              <w:t xml:space="preserve"> </w:t>
            </w:r>
            <w:r w:rsidR="00E87D5B" w:rsidRPr="00D160FB">
              <w:rPr>
                <w:spacing w:val="-4"/>
                <w:lang w:val="en-GB"/>
              </w:rPr>
              <w:t xml:space="preserve">2021) </w:t>
            </w:r>
            <w:r w:rsidR="00EA04C3" w:rsidRPr="00D160FB">
              <w:rPr>
                <w:spacing w:val="-4"/>
                <w:lang w:val="en-GB"/>
              </w:rPr>
              <w:t xml:space="preserve">increased by </w:t>
            </w:r>
            <w:r w:rsidR="00E87D5B" w:rsidRPr="00D160FB">
              <w:rPr>
                <w:spacing w:val="-4"/>
                <w:lang w:val="en-GB"/>
              </w:rPr>
              <w:t>11</w:t>
            </w:r>
            <w:r w:rsidR="00EA04C3" w:rsidRPr="00D160FB">
              <w:rPr>
                <w:spacing w:val="-4"/>
                <w:lang w:val="en-GB"/>
              </w:rPr>
              <w:t>.</w:t>
            </w:r>
            <w:r w:rsidR="00E87D5B" w:rsidRPr="00D160FB">
              <w:rPr>
                <w:spacing w:val="-4"/>
                <w:lang w:val="en-GB"/>
              </w:rPr>
              <w:t>8% a</w:t>
            </w:r>
            <w:r w:rsidR="004F6AFB" w:rsidRPr="00D160FB">
              <w:rPr>
                <w:spacing w:val="-4"/>
                <w:lang w:val="en-GB"/>
              </w:rPr>
              <w:t xml:space="preserve">nd contributed even </w:t>
            </w:r>
            <w:r w:rsidR="00E87D5B" w:rsidRPr="00D160FB">
              <w:rPr>
                <w:spacing w:val="-4"/>
                <w:lang w:val="en-GB"/>
              </w:rPr>
              <w:t>2 p.</w:t>
            </w:r>
            <w:r w:rsidR="004F6AFB" w:rsidRPr="00D160FB">
              <w:rPr>
                <w:spacing w:val="-4"/>
                <w:lang w:val="en-GB"/>
              </w:rPr>
              <w:t>p</w:t>
            </w:r>
            <w:r w:rsidR="00E87D5B" w:rsidRPr="00D160FB">
              <w:rPr>
                <w:spacing w:val="-4"/>
                <w:lang w:val="en-GB"/>
              </w:rPr>
              <w:t>.</w:t>
            </w:r>
            <w:r w:rsidR="004F6AFB" w:rsidRPr="00D160FB">
              <w:rPr>
                <w:spacing w:val="-4"/>
                <w:lang w:val="en-GB"/>
              </w:rPr>
              <w:t xml:space="preserve"> to the growth of the whole industry. </w:t>
            </w:r>
            <w:r w:rsidR="00011FC2" w:rsidRPr="00D160FB">
              <w:rPr>
                <w:spacing w:val="-4"/>
                <w:lang w:val="en-GB"/>
              </w:rPr>
              <w:t>It was assisted by the strong demand connected to the renewal of the company</w:t>
            </w:r>
            <w:r w:rsidR="00AC4D34" w:rsidRPr="00D160FB">
              <w:rPr>
                <w:spacing w:val="-4"/>
                <w:lang w:val="en-GB"/>
              </w:rPr>
              <w:t xml:space="preserve"> vehicle fleet </w:t>
            </w:r>
            <w:r w:rsidR="00E87D5B" w:rsidRPr="00D160FB">
              <w:rPr>
                <w:color w:val="0D0D0D" w:themeColor="text1" w:themeTint="F2"/>
                <w:spacing w:val="-4"/>
                <w:lang w:val="en-GB"/>
              </w:rPr>
              <w:t>(</w:t>
            </w:r>
            <w:r w:rsidR="00011FC2" w:rsidRPr="00D160FB">
              <w:rPr>
                <w:color w:val="0D0D0D" w:themeColor="text1" w:themeTint="F2"/>
                <w:spacing w:val="-4"/>
                <w:lang w:val="en-GB"/>
              </w:rPr>
              <w:t>interrupted during the pandemics</w:t>
            </w:r>
            <w:r w:rsidR="00E87D5B" w:rsidRPr="00D160FB">
              <w:rPr>
                <w:color w:val="0D0D0D" w:themeColor="text1" w:themeTint="F2"/>
                <w:spacing w:val="-4"/>
                <w:lang w:val="en-GB"/>
              </w:rPr>
              <w:t xml:space="preserve">) </w:t>
            </w:r>
            <w:r w:rsidR="00955655" w:rsidRPr="00D160FB">
              <w:rPr>
                <w:color w:val="0D0D0D" w:themeColor="text1" w:themeTint="F2"/>
                <w:spacing w:val="-4"/>
                <w:lang w:val="en-GB"/>
              </w:rPr>
              <w:t>as well as the gradually develop</w:t>
            </w:r>
            <w:r w:rsidR="000735EF" w:rsidRPr="00D160FB">
              <w:rPr>
                <w:color w:val="0D0D0D" w:themeColor="text1" w:themeTint="F2"/>
                <w:spacing w:val="-4"/>
                <w:lang w:val="en-GB"/>
              </w:rPr>
              <w:t xml:space="preserve">ing </w:t>
            </w:r>
            <w:r w:rsidR="00955655" w:rsidRPr="00D160FB">
              <w:rPr>
                <w:color w:val="0D0D0D" w:themeColor="text1" w:themeTint="F2"/>
                <w:spacing w:val="-4"/>
                <w:lang w:val="en-GB"/>
              </w:rPr>
              <w:t>segment of el</w:t>
            </w:r>
            <w:r w:rsidR="00D06CA2" w:rsidRPr="00D160FB">
              <w:rPr>
                <w:color w:val="0D0D0D" w:themeColor="text1" w:themeTint="F2"/>
                <w:spacing w:val="-4"/>
                <w:lang w:val="en-GB"/>
              </w:rPr>
              <w:t xml:space="preserve">ectrical </w:t>
            </w:r>
            <w:r w:rsidR="00DD6003" w:rsidRPr="00D160FB">
              <w:rPr>
                <w:color w:val="0D0D0D" w:themeColor="text1" w:themeTint="F2"/>
                <w:spacing w:val="-4"/>
                <w:lang w:val="en-GB"/>
              </w:rPr>
              <w:t>vehicles</w:t>
            </w:r>
            <w:r w:rsidR="00AC4D34" w:rsidRPr="00D160FB">
              <w:rPr>
                <w:color w:val="0D0D0D" w:themeColor="text1" w:themeTint="F2"/>
                <w:spacing w:val="-4"/>
                <w:lang w:val="en-GB"/>
              </w:rPr>
              <w:t xml:space="preserve"> </w:t>
            </w:r>
            <w:r w:rsidR="00E87D5B" w:rsidRPr="00D160FB">
              <w:rPr>
                <w:color w:val="0D0D0D" w:themeColor="text1" w:themeTint="F2"/>
                <w:spacing w:val="-4"/>
                <w:lang w:val="en-GB"/>
              </w:rPr>
              <w:t xml:space="preserve">– </w:t>
            </w:r>
            <w:r w:rsidR="000735EF" w:rsidRPr="00D160FB">
              <w:rPr>
                <w:color w:val="0D0D0D" w:themeColor="text1" w:themeTint="F2"/>
                <w:spacing w:val="-4"/>
                <w:lang w:val="en-GB"/>
              </w:rPr>
              <w:t>as also evident from the data regarding the physical production</w:t>
            </w:r>
            <w:r w:rsidR="00E87D5B" w:rsidRPr="00D160FB">
              <w:rPr>
                <w:rStyle w:val="Znakapoznpodarou"/>
                <w:color w:val="0D0D0D" w:themeColor="text1" w:themeTint="F2"/>
                <w:spacing w:val="-4"/>
                <w:lang w:val="en-GB"/>
              </w:rPr>
              <w:footnoteReference w:id="22"/>
            </w:r>
            <w:r w:rsidR="00E87D5B" w:rsidRPr="00D160FB">
              <w:rPr>
                <w:color w:val="0D0D0D" w:themeColor="text1" w:themeTint="F2"/>
                <w:spacing w:val="-4"/>
                <w:lang w:val="en-GB"/>
              </w:rPr>
              <w:t xml:space="preserve">. </w:t>
            </w:r>
            <w:r w:rsidR="00813AED" w:rsidRPr="00D160FB">
              <w:rPr>
                <w:color w:val="0D0D0D" w:themeColor="text1" w:themeTint="F2"/>
                <w:spacing w:val="-4"/>
                <w:lang w:val="en-GB"/>
              </w:rPr>
              <w:t xml:space="preserve">Still the situation in the manufacturing of motor vehicles remains complicated. </w:t>
            </w:r>
            <w:r w:rsidR="00391B9F" w:rsidRPr="00D160FB">
              <w:rPr>
                <w:color w:val="0D0D0D" w:themeColor="text1" w:themeTint="F2"/>
                <w:spacing w:val="-4"/>
                <w:lang w:val="en-GB"/>
              </w:rPr>
              <w:t>Utilisation of production capacities</w:t>
            </w:r>
            <w:r w:rsidR="009D25FB" w:rsidRPr="00D160FB">
              <w:rPr>
                <w:color w:val="0D0D0D" w:themeColor="text1" w:themeTint="F2"/>
                <w:spacing w:val="-4"/>
                <w:lang w:val="en-GB"/>
              </w:rPr>
              <w:t xml:space="preserve"> was around</w:t>
            </w:r>
            <w:r w:rsidR="00391B9F" w:rsidRPr="00D160FB">
              <w:rPr>
                <w:color w:val="0D0D0D" w:themeColor="text1" w:themeTint="F2"/>
                <w:spacing w:val="-4"/>
                <w:lang w:val="en-GB"/>
              </w:rPr>
              <w:t xml:space="preserve"> </w:t>
            </w:r>
            <w:r w:rsidR="00E87D5B" w:rsidRPr="00D160FB">
              <w:rPr>
                <w:color w:val="0D0D0D" w:themeColor="text1" w:themeTint="F2"/>
                <w:spacing w:val="-4"/>
                <w:lang w:val="en-GB"/>
              </w:rPr>
              <w:t>80%</w:t>
            </w:r>
            <w:r w:rsidR="009D25FB" w:rsidRPr="00D160FB">
              <w:rPr>
                <w:color w:val="0D0D0D" w:themeColor="text1" w:themeTint="F2"/>
                <w:spacing w:val="-4"/>
                <w:lang w:val="en-GB"/>
              </w:rPr>
              <w:t xml:space="preserve"> here nearly for the whole </w:t>
            </w:r>
            <w:r w:rsidR="009D25FB" w:rsidRPr="00D160FB">
              <w:rPr>
                <w:color w:val="0D0D0D" w:themeColor="text1" w:themeTint="F2"/>
                <w:spacing w:val="-4"/>
                <w:lang w:val="en-GB"/>
              </w:rPr>
              <w:lastRenderedPageBreak/>
              <w:t xml:space="preserve">last year </w:t>
            </w:r>
            <w:r w:rsidR="00E87D5B" w:rsidRPr="00D160FB">
              <w:rPr>
                <w:color w:val="0D0D0D" w:themeColor="text1" w:themeTint="F2"/>
                <w:spacing w:val="-4"/>
                <w:lang w:val="en-GB"/>
              </w:rPr>
              <w:t>(</w:t>
            </w:r>
            <w:r w:rsidR="009D25FB" w:rsidRPr="00D160FB">
              <w:rPr>
                <w:color w:val="0D0D0D" w:themeColor="text1" w:themeTint="F2"/>
                <w:spacing w:val="-4"/>
                <w:lang w:val="en-GB"/>
              </w:rPr>
              <w:t xml:space="preserve">while the long-term average </w:t>
            </w:r>
            <w:r w:rsidR="007B0820" w:rsidRPr="00D160FB">
              <w:rPr>
                <w:color w:val="0D0D0D" w:themeColor="text1" w:themeTint="F2"/>
                <w:spacing w:val="-4"/>
                <w:lang w:val="en-GB"/>
              </w:rPr>
              <w:t xml:space="preserve">slightly exceeds </w:t>
            </w:r>
            <w:r w:rsidR="00E87D5B" w:rsidRPr="00D160FB">
              <w:rPr>
                <w:color w:val="0D0D0D" w:themeColor="text1" w:themeTint="F2"/>
                <w:spacing w:val="-4"/>
                <w:lang w:val="en-GB"/>
              </w:rPr>
              <w:t xml:space="preserve">90%). </w:t>
            </w:r>
            <w:r w:rsidR="00A46502" w:rsidRPr="00D160FB">
              <w:rPr>
                <w:color w:val="0D0D0D" w:themeColor="text1" w:themeTint="F2"/>
                <w:spacing w:val="-4"/>
                <w:lang w:val="en-GB"/>
              </w:rPr>
              <w:t xml:space="preserve">In addition, </w:t>
            </w:r>
            <w:r w:rsidR="00E87D5B" w:rsidRPr="00D160FB">
              <w:rPr>
                <w:color w:val="0D0D0D" w:themeColor="text1" w:themeTint="F2"/>
                <w:spacing w:val="-4"/>
                <w:lang w:val="en-GB"/>
              </w:rPr>
              <w:t>85%</w:t>
            </w:r>
            <w:r w:rsidR="00E87D5B" w:rsidRPr="00D160FB">
              <w:rPr>
                <w:rStyle w:val="Znakapoznpodarou"/>
                <w:color w:val="0D0D0D" w:themeColor="text1" w:themeTint="F2"/>
                <w:spacing w:val="-4"/>
                <w:lang w:val="en-GB"/>
              </w:rPr>
              <w:footnoteReference w:id="23"/>
            </w:r>
            <w:r w:rsidR="00E87D5B" w:rsidRPr="00D160FB">
              <w:rPr>
                <w:color w:val="0D0D0D" w:themeColor="text1" w:themeTint="F2"/>
                <w:spacing w:val="-4"/>
                <w:lang w:val="en-GB"/>
              </w:rPr>
              <w:t xml:space="preserve"> </w:t>
            </w:r>
            <w:r w:rsidR="00152A72" w:rsidRPr="00D160FB">
              <w:rPr>
                <w:color w:val="0D0D0D" w:themeColor="text1" w:themeTint="F2"/>
                <w:spacing w:val="-4"/>
                <w:lang w:val="en-GB"/>
              </w:rPr>
              <w:t xml:space="preserve">of businesses in the manufacturing of motor vehicles </w:t>
            </w:r>
            <w:r w:rsidR="00A46502" w:rsidRPr="00D160FB">
              <w:rPr>
                <w:color w:val="0D0D0D" w:themeColor="text1" w:themeTint="F2"/>
                <w:spacing w:val="-4"/>
                <w:lang w:val="en-GB"/>
              </w:rPr>
              <w:t xml:space="preserve">declared </w:t>
            </w:r>
            <w:r w:rsidR="00DB51B9">
              <w:rPr>
                <w:color w:val="0D0D0D" w:themeColor="text1" w:themeTint="F2"/>
                <w:spacing w:val="-4"/>
                <w:lang w:val="en-GB"/>
              </w:rPr>
              <w:t xml:space="preserve">a shortage of material or equipment </w:t>
            </w:r>
            <w:r w:rsidR="00115B00" w:rsidRPr="00D160FB">
              <w:rPr>
                <w:color w:val="0D0D0D" w:themeColor="text1" w:themeTint="F2"/>
                <w:spacing w:val="-4"/>
                <w:lang w:val="en-GB"/>
              </w:rPr>
              <w:t>in January</w:t>
            </w:r>
            <w:r w:rsidR="00DB51B9">
              <w:rPr>
                <w:color w:val="0D0D0D" w:themeColor="text1" w:themeTint="F2"/>
                <w:spacing w:val="-4"/>
                <w:lang w:val="en-GB"/>
              </w:rPr>
              <w:t xml:space="preserve"> 2023</w:t>
            </w:r>
            <w:r w:rsidR="00115B00" w:rsidRPr="00D160FB">
              <w:rPr>
                <w:color w:val="0D0D0D" w:themeColor="text1" w:themeTint="F2"/>
                <w:spacing w:val="-4"/>
                <w:lang w:val="en-GB"/>
              </w:rPr>
              <w:t xml:space="preserve"> </w:t>
            </w:r>
            <w:r w:rsidR="00E87D5B" w:rsidRPr="00D160FB">
              <w:rPr>
                <w:color w:val="0D0D0D" w:themeColor="text1" w:themeTint="F2"/>
                <w:spacing w:val="-4"/>
                <w:lang w:val="en-GB"/>
              </w:rPr>
              <w:t>(</w:t>
            </w:r>
            <w:r w:rsidR="00115B00" w:rsidRPr="00D160FB">
              <w:rPr>
                <w:color w:val="0D0D0D" w:themeColor="text1" w:themeTint="F2"/>
                <w:spacing w:val="-4"/>
                <w:lang w:val="en-GB"/>
              </w:rPr>
              <w:t xml:space="preserve">their share </w:t>
            </w:r>
            <w:r w:rsidR="00152A72" w:rsidRPr="00D160FB">
              <w:rPr>
                <w:color w:val="0D0D0D" w:themeColor="text1" w:themeTint="F2"/>
                <w:spacing w:val="-4"/>
                <w:lang w:val="en-GB"/>
              </w:rPr>
              <w:t>did not lower as opposed to other industrial branches in the last half-year</w:t>
            </w:r>
            <w:r w:rsidR="00E87D5B" w:rsidRPr="00D160FB">
              <w:rPr>
                <w:color w:val="0D0D0D" w:themeColor="text1" w:themeTint="F2"/>
                <w:spacing w:val="-4"/>
                <w:lang w:val="en-GB"/>
              </w:rPr>
              <w:t xml:space="preserve">). </w:t>
            </w:r>
          </w:p>
        </w:tc>
      </w:tr>
      <w:tr w:rsidR="00A7439C" w:rsidRPr="00D160FB" w14:paraId="0CB53B7A" w14:textId="77777777" w:rsidTr="00976631">
        <w:trPr>
          <w:trHeight w:val="145"/>
        </w:trPr>
        <w:tc>
          <w:tcPr>
            <w:tcW w:w="1780" w:type="dxa"/>
            <w:tcBorders>
              <w:top w:val="nil"/>
              <w:left w:val="nil"/>
              <w:bottom w:val="nil"/>
              <w:right w:val="nil"/>
            </w:tcBorders>
            <w:shd w:val="clear" w:color="auto" w:fill="auto"/>
            <w:tcMar>
              <w:left w:w="0" w:type="dxa"/>
            </w:tcMar>
          </w:tcPr>
          <w:p w14:paraId="6783652E" w14:textId="5C4AFEF9" w:rsidR="00E87D5B" w:rsidRPr="00D160FB" w:rsidRDefault="00666104" w:rsidP="00666104">
            <w:pPr>
              <w:pStyle w:val="Marginlie"/>
              <w:rPr>
                <w:color w:val="0D0D0D" w:themeColor="text1" w:themeTint="F2"/>
                <w:spacing w:val="-4"/>
                <w:lang w:val="en-GB"/>
              </w:rPr>
            </w:pPr>
            <w:r w:rsidRPr="00D160FB">
              <w:rPr>
                <w:color w:val="0D0D0D" w:themeColor="text1" w:themeTint="F2"/>
                <w:spacing w:val="-4"/>
                <w:lang w:val="en-GB"/>
              </w:rPr>
              <w:lastRenderedPageBreak/>
              <w:t xml:space="preserve">Manufacturing of electrical equipment, computers or machinery also thrived. Some smaller branches strongly hit by the slump of demand during the pandemics markedly </w:t>
            </w:r>
            <w:r w:rsidR="00DB51B9">
              <w:rPr>
                <w:color w:val="0D0D0D" w:themeColor="text1" w:themeTint="F2"/>
                <w:spacing w:val="-4"/>
                <w:lang w:val="en-GB"/>
              </w:rPr>
              <w:t>revived.</w:t>
            </w:r>
            <w:r w:rsidR="00E87D5B"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36CD9085"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72E0CFF" w14:textId="1AC798FC" w:rsidR="00E87D5B" w:rsidRPr="00D160FB" w:rsidRDefault="0064378A" w:rsidP="00C8019E">
            <w:pPr>
              <w:spacing w:after="200"/>
              <w:rPr>
                <w:color w:val="0D0D0D" w:themeColor="text1" w:themeTint="F2"/>
                <w:spacing w:val="-6"/>
                <w:lang w:val="en-GB"/>
              </w:rPr>
            </w:pPr>
            <w:r w:rsidRPr="00D160FB">
              <w:rPr>
                <w:color w:val="0D0D0D" w:themeColor="text1" w:themeTint="F2"/>
                <w:spacing w:val="-6"/>
                <w:lang w:val="en-GB"/>
              </w:rPr>
              <w:t xml:space="preserve">Next to the manufacturing or motor vehicles, </w:t>
            </w:r>
            <w:r w:rsidR="00D86B80" w:rsidRPr="00D160FB">
              <w:rPr>
                <w:color w:val="0D0D0D" w:themeColor="text1" w:themeTint="F2"/>
                <w:spacing w:val="-6"/>
                <w:lang w:val="en-GB"/>
              </w:rPr>
              <w:t xml:space="preserve">the diversified branch of manufacturing of electrical equipment </w:t>
            </w:r>
            <w:r w:rsidRPr="00D160FB">
              <w:rPr>
                <w:color w:val="0D0D0D" w:themeColor="text1" w:themeTint="F2"/>
                <w:spacing w:val="-6"/>
                <w:lang w:val="en-GB"/>
              </w:rPr>
              <w:t xml:space="preserve">also more notably added to the </w:t>
            </w:r>
            <w:r w:rsidR="00D86B80" w:rsidRPr="00D160FB">
              <w:rPr>
                <w:color w:val="0D0D0D" w:themeColor="text1" w:themeTint="F2"/>
                <w:spacing w:val="-6"/>
                <w:lang w:val="en-GB"/>
              </w:rPr>
              <w:t xml:space="preserve">industry growth </w:t>
            </w:r>
            <w:r w:rsidR="00E87D5B" w:rsidRPr="00D160FB">
              <w:rPr>
                <w:color w:val="0D0D0D" w:themeColor="text1" w:themeTint="F2"/>
                <w:spacing w:val="-6"/>
                <w:lang w:val="en-GB"/>
              </w:rPr>
              <w:t>(+0</w:t>
            </w:r>
            <w:r w:rsidR="00D86B80" w:rsidRPr="00D160FB">
              <w:rPr>
                <w:color w:val="0D0D0D" w:themeColor="text1" w:themeTint="F2"/>
                <w:spacing w:val="-6"/>
                <w:lang w:val="en-GB"/>
              </w:rPr>
              <w:t>.</w:t>
            </w:r>
            <w:r w:rsidR="00E87D5B" w:rsidRPr="00D160FB">
              <w:rPr>
                <w:color w:val="0D0D0D" w:themeColor="text1" w:themeTint="F2"/>
                <w:spacing w:val="-6"/>
                <w:lang w:val="en-GB"/>
              </w:rPr>
              <w:t xml:space="preserve">5 </w:t>
            </w:r>
            <w:r w:rsidR="00DE3E22" w:rsidRPr="00D160FB">
              <w:rPr>
                <w:color w:val="0D0D0D" w:themeColor="text1" w:themeTint="F2"/>
                <w:spacing w:val="-6"/>
                <w:lang w:val="en-GB"/>
              </w:rPr>
              <w:t>p.</w:t>
            </w:r>
            <w:r w:rsidR="00D86B80" w:rsidRPr="00D160FB">
              <w:rPr>
                <w:color w:val="0D0D0D" w:themeColor="text1" w:themeTint="F2"/>
                <w:spacing w:val="-6"/>
                <w:lang w:val="en-GB"/>
              </w:rPr>
              <w:t>p.</w:t>
            </w:r>
            <w:r w:rsidR="00E87D5B" w:rsidRPr="00D160FB">
              <w:rPr>
                <w:color w:val="0D0D0D" w:themeColor="text1" w:themeTint="F2"/>
                <w:spacing w:val="-6"/>
                <w:lang w:val="en-GB"/>
              </w:rPr>
              <w:t xml:space="preserve">, </w:t>
            </w:r>
            <w:r w:rsidR="000F3B45">
              <w:rPr>
                <w:color w:val="0D0D0D" w:themeColor="text1" w:themeTint="F2"/>
                <w:spacing w:val="-6"/>
                <w:lang w:val="en-GB"/>
              </w:rPr>
              <w:t>given the branch</w:t>
            </w:r>
            <w:r w:rsidR="004C6D4D" w:rsidRPr="00D160FB">
              <w:rPr>
                <w:color w:val="0D0D0D" w:themeColor="text1" w:themeTint="F2"/>
                <w:spacing w:val="-6"/>
                <w:lang w:val="en-GB"/>
              </w:rPr>
              <w:t xml:space="preserve"> growth of </w:t>
            </w:r>
            <w:r w:rsidR="00E87D5B" w:rsidRPr="00D160FB">
              <w:rPr>
                <w:color w:val="0D0D0D" w:themeColor="text1" w:themeTint="F2"/>
                <w:spacing w:val="-6"/>
                <w:lang w:val="en-GB"/>
              </w:rPr>
              <w:t>6</w:t>
            </w:r>
            <w:r w:rsidR="004C6D4D" w:rsidRPr="00D160FB">
              <w:rPr>
                <w:color w:val="0D0D0D" w:themeColor="text1" w:themeTint="F2"/>
                <w:spacing w:val="-6"/>
                <w:lang w:val="en-GB"/>
              </w:rPr>
              <w:t>.</w:t>
            </w:r>
            <w:r w:rsidR="00E87D5B" w:rsidRPr="00D160FB">
              <w:rPr>
                <w:color w:val="0D0D0D" w:themeColor="text1" w:themeTint="F2"/>
                <w:spacing w:val="-6"/>
                <w:lang w:val="en-GB"/>
              </w:rPr>
              <w:t xml:space="preserve">7%), </w:t>
            </w:r>
            <w:r w:rsidR="004C6D4D" w:rsidRPr="00D160FB">
              <w:rPr>
                <w:color w:val="0D0D0D" w:themeColor="text1" w:themeTint="F2"/>
                <w:spacing w:val="-6"/>
                <w:lang w:val="en-GB"/>
              </w:rPr>
              <w:t>since it was supported by a solid demand both</w:t>
            </w:r>
            <w:r w:rsidR="000F3B45">
              <w:rPr>
                <w:color w:val="0D0D0D" w:themeColor="text1" w:themeTint="F2"/>
                <w:spacing w:val="-6"/>
                <w:lang w:val="en-GB"/>
              </w:rPr>
              <w:t xml:space="preserve"> locally and abroad. The output in the</w:t>
            </w:r>
            <w:r w:rsidR="004C6D4D" w:rsidRPr="00D160FB">
              <w:rPr>
                <w:color w:val="0D0D0D" w:themeColor="text1" w:themeTint="F2"/>
                <w:spacing w:val="-6"/>
                <w:lang w:val="en-GB"/>
              </w:rPr>
              <w:t xml:space="preserve"> significant branch of </w:t>
            </w:r>
            <w:r w:rsidR="005D2873" w:rsidRPr="00D160FB">
              <w:rPr>
                <w:color w:val="0D0D0D" w:themeColor="text1" w:themeTint="F2"/>
                <w:spacing w:val="-6"/>
                <w:lang w:val="en-GB"/>
              </w:rPr>
              <w:t>machinery</w:t>
            </w:r>
            <w:r w:rsidR="004C6D4D" w:rsidRPr="00D160FB">
              <w:rPr>
                <w:color w:val="0D0D0D" w:themeColor="text1" w:themeTint="F2"/>
                <w:spacing w:val="-6"/>
                <w:lang w:val="en-GB"/>
              </w:rPr>
              <w:t xml:space="preserve"> increased by </w:t>
            </w:r>
            <w:r w:rsidR="00E87D5B" w:rsidRPr="00D160FB">
              <w:rPr>
                <w:color w:val="0D0D0D" w:themeColor="text1" w:themeTint="F2"/>
                <w:spacing w:val="-6"/>
                <w:lang w:val="en-GB"/>
              </w:rPr>
              <w:t xml:space="preserve">5%, </w:t>
            </w:r>
            <w:r w:rsidR="004C6D4D" w:rsidRPr="00D160FB">
              <w:rPr>
                <w:color w:val="0D0D0D" w:themeColor="text1" w:themeTint="F2"/>
                <w:spacing w:val="-6"/>
                <w:lang w:val="en-GB"/>
              </w:rPr>
              <w:t xml:space="preserve">its output thus </w:t>
            </w:r>
            <w:r w:rsidR="005D2873" w:rsidRPr="00D160FB">
              <w:rPr>
                <w:color w:val="0D0D0D" w:themeColor="text1" w:themeTint="F2"/>
                <w:spacing w:val="-6"/>
                <w:lang w:val="en-GB"/>
              </w:rPr>
              <w:t>even</w:t>
            </w:r>
            <w:r w:rsidR="00B33DE5" w:rsidRPr="00D160FB">
              <w:rPr>
                <w:color w:val="0D0D0D" w:themeColor="text1" w:themeTint="F2"/>
                <w:spacing w:val="-6"/>
                <w:lang w:val="en-GB"/>
              </w:rPr>
              <w:t>ed</w:t>
            </w:r>
            <w:r w:rsidR="005D2873" w:rsidRPr="00D160FB">
              <w:rPr>
                <w:color w:val="0D0D0D" w:themeColor="text1" w:themeTint="F2"/>
                <w:spacing w:val="-6"/>
                <w:lang w:val="en-GB"/>
              </w:rPr>
              <w:t xml:space="preserve"> up the level from the peak of the pre-pandemic boom in Q</w:t>
            </w:r>
            <w:r w:rsidR="00E87D5B" w:rsidRPr="00D160FB">
              <w:rPr>
                <w:color w:val="0D0D0D" w:themeColor="text1" w:themeTint="F2"/>
                <w:spacing w:val="-6"/>
                <w:lang w:val="en-GB"/>
              </w:rPr>
              <w:t>4</w:t>
            </w:r>
            <w:r w:rsidR="000F3B45">
              <w:rPr>
                <w:color w:val="0D0D0D" w:themeColor="text1" w:themeTint="F2"/>
                <w:spacing w:val="-6"/>
                <w:lang w:val="en-GB"/>
              </w:rPr>
              <w:t xml:space="preserve"> 2022</w:t>
            </w:r>
            <w:r w:rsidR="00E87D5B" w:rsidRPr="00D160FB">
              <w:rPr>
                <w:color w:val="0D0D0D" w:themeColor="text1" w:themeTint="F2"/>
                <w:spacing w:val="-6"/>
                <w:lang w:val="en-GB"/>
              </w:rPr>
              <w:t>.</w:t>
            </w:r>
            <w:r w:rsidR="005D2873" w:rsidRPr="00D160FB">
              <w:rPr>
                <w:color w:val="0D0D0D" w:themeColor="text1" w:themeTint="F2"/>
                <w:spacing w:val="-6"/>
                <w:lang w:val="en-GB"/>
              </w:rPr>
              <w:t xml:space="preserve"> </w:t>
            </w:r>
            <w:r w:rsidR="00805A7E" w:rsidRPr="00D160FB">
              <w:rPr>
                <w:color w:val="0D0D0D" w:themeColor="text1" w:themeTint="F2"/>
                <w:spacing w:val="-6"/>
                <w:lang w:val="en-GB"/>
              </w:rPr>
              <w:t xml:space="preserve">The last year’s growth of output </w:t>
            </w:r>
            <w:r w:rsidR="002443BC" w:rsidRPr="00D160FB">
              <w:rPr>
                <w:color w:val="0D0D0D" w:themeColor="text1" w:themeTint="F2"/>
                <w:spacing w:val="-6"/>
                <w:lang w:val="en-GB"/>
              </w:rPr>
              <w:t>was supported by the growing domestic demand in the manufact</w:t>
            </w:r>
            <w:r w:rsidR="00D160FB">
              <w:rPr>
                <w:color w:val="0D0D0D" w:themeColor="text1" w:themeTint="F2"/>
                <w:spacing w:val="-6"/>
                <w:lang w:val="en-GB"/>
              </w:rPr>
              <w:t>uring of computers, electronic</w:t>
            </w:r>
            <w:r w:rsidR="002443BC" w:rsidRPr="00D160FB">
              <w:rPr>
                <w:color w:val="0D0D0D" w:themeColor="text1" w:themeTint="F2"/>
                <w:spacing w:val="-6"/>
                <w:lang w:val="en-GB"/>
              </w:rPr>
              <w:t xml:space="preserve"> and optical </w:t>
            </w:r>
            <w:r w:rsidR="005A6032">
              <w:rPr>
                <w:color w:val="0D0D0D" w:themeColor="text1" w:themeTint="F2"/>
                <w:spacing w:val="-6"/>
                <w:lang w:val="en-GB"/>
              </w:rPr>
              <w:t>products</w:t>
            </w:r>
            <w:r w:rsidR="002443BC" w:rsidRPr="00D160FB">
              <w:rPr>
                <w:color w:val="0D0D0D" w:themeColor="text1" w:themeTint="F2"/>
                <w:spacing w:val="-6"/>
                <w:lang w:val="en-GB"/>
              </w:rPr>
              <w:t xml:space="preserve"> </w:t>
            </w:r>
            <w:r w:rsidR="00E87D5B" w:rsidRPr="00D160FB">
              <w:rPr>
                <w:color w:val="0D0D0D" w:themeColor="text1" w:themeTint="F2"/>
                <w:spacing w:val="-6"/>
                <w:lang w:val="en-GB"/>
              </w:rPr>
              <w:t xml:space="preserve">(+4%). </w:t>
            </w:r>
            <w:r w:rsidR="00D778EB" w:rsidRPr="00D160FB">
              <w:rPr>
                <w:color w:val="0D0D0D" w:themeColor="text1" w:themeTint="F2"/>
                <w:spacing w:val="-6"/>
                <w:lang w:val="en-GB"/>
              </w:rPr>
              <w:t xml:space="preserve">Among smaller branches, mainly leatherworking and footwear industries </w:t>
            </w:r>
            <w:r w:rsidR="00E87D5B" w:rsidRPr="00D160FB">
              <w:rPr>
                <w:color w:val="0D0D0D" w:themeColor="text1" w:themeTint="F2"/>
                <w:spacing w:val="-6"/>
                <w:lang w:val="en-GB"/>
              </w:rPr>
              <w:t>(</w:t>
            </w:r>
            <w:r w:rsidR="00107C3A" w:rsidRPr="00D160FB">
              <w:rPr>
                <w:color w:val="0D0D0D" w:themeColor="text1" w:themeTint="F2"/>
                <w:spacing w:val="-6"/>
                <w:lang w:val="en-GB"/>
              </w:rPr>
              <w:t>output</w:t>
            </w:r>
            <w:r w:rsidR="00660CD3" w:rsidRPr="00D160FB">
              <w:rPr>
                <w:color w:val="0D0D0D" w:themeColor="text1" w:themeTint="F2"/>
                <w:spacing w:val="-6"/>
                <w:lang w:val="en-GB"/>
              </w:rPr>
              <w:t xml:space="preserve"> growth by record </w:t>
            </w:r>
            <w:r w:rsidR="00E87D5B" w:rsidRPr="00D160FB">
              <w:rPr>
                <w:color w:val="0D0D0D" w:themeColor="text1" w:themeTint="F2"/>
                <w:spacing w:val="-6"/>
                <w:lang w:val="en-GB"/>
              </w:rPr>
              <w:t>20</w:t>
            </w:r>
            <w:r w:rsidR="00660CD3" w:rsidRPr="00D160FB">
              <w:rPr>
                <w:color w:val="0D0D0D" w:themeColor="text1" w:themeTint="F2"/>
                <w:spacing w:val="-6"/>
                <w:lang w:val="en-GB"/>
              </w:rPr>
              <w:t>.</w:t>
            </w:r>
            <w:r w:rsidR="00E87D5B" w:rsidRPr="00D160FB">
              <w:rPr>
                <w:color w:val="0D0D0D" w:themeColor="text1" w:themeTint="F2"/>
                <w:spacing w:val="-6"/>
                <w:lang w:val="en-GB"/>
              </w:rPr>
              <w:t xml:space="preserve">7%) </w:t>
            </w:r>
            <w:r w:rsidR="00660CD3" w:rsidRPr="00D160FB">
              <w:rPr>
                <w:color w:val="0D0D0D" w:themeColor="text1" w:themeTint="F2"/>
                <w:spacing w:val="-6"/>
                <w:lang w:val="en-GB"/>
              </w:rPr>
              <w:t xml:space="preserve">or wearing apparel industry </w:t>
            </w:r>
            <w:r w:rsidR="00E87D5B" w:rsidRPr="00D160FB">
              <w:rPr>
                <w:color w:val="0D0D0D" w:themeColor="text1" w:themeTint="F2"/>
                <w:spacing w:val="-6"/>
                <w:lang w:val="en-GB"/>
              </w:rPr>
              <w:t>(+13</w:t>
            </w:r>
            <w:r w:rsidR="00660CD3" w:rsidRPr="00D160FB">
              <w:rPr>
                <w:color w:val="0D0D0D" w:themeColor="text1" w:themeTint="F2"/>
                <w:spacing w:val="-6"/>
                <w:lang w:val="en-GB"/>
              </w:rPr>
              <w:t>.</w:t>
            </w:r>
            <w:r w:rsidR="00E87D5B" w:rsidRPr="00D160FB">
              <w:rPr>
                <w:color w:val="0D0D0D" w:themeColor="text1" w:themeTint="F2"/>
                <w:spacing w:val="-6"/>
                <w:lang w:val="en-GB"/>
              </w:rPr>
              <w:t>0%),</w:t>
            </w:r>
            <w:r w:rsidR="00107C3A" w:rsidRPr="00D160FB">
              <w:rPr>
                <w:color w:val="0D0D0D" w:themeColor="text1" w:themeTint="F2"/>
                <w:spacing w:val="-6"/>
                <w:lang w:val="en-GB"/>
              </w:rPr>
              <w:t xml:space="preserve"> which were also assisted by the domestic demand</w:t>
            </w:r>
            <w:r w:rsidR="00E449A8" w:rsidRPr="00D160FB">
              <w:rPr>
                <w:color w:val="0D0D0D" w:themeColor="text1" w:themeTint="F2"/>
                <w:spacing w:val="-6"/>
                <w:lang w:val="en-GB"/>
              </w:rPr>
              <w:t>, prospered</w:t>
            </w:r>
            <w:r w:rsidR="00E87D5B" w:rsidRPr="00D160FB">
              <w:rPr>
                <w:color w:val="0D0D0D" w:themeColor="text1" w:themeTint="F2"/>
                <w:spacing w:val="-6"/>
                <w:lang w:val="en-GB"/>
              </w:rPr>
              <w:t>.</w:t>
            </w:r>
            <w:r w:rsidR="00E449A8" w:rsidRPr="00D160FB">
              <w:rPr>
                <w:color w:val="0D0D0D" w:themeColor="text1" w:themeTint="F2"/>
                <w:spacing w:val="-6"/>
                <w:lang w:val="en-GB"/>
              </w:rPr>
              <w:t xml:space="preserve"> The gradually expanding numbers of foreign tourists in the CR </w:t>
            </w:r>
            <w:r w:rsidR="00107C3A" w:rsidRPr="00D160FB">
              <w:rPr>
                <w:color w:val="0D0D0D" w:themeColor="text1" w:themeTint="F2"/>
                <w:spacing w:val="-6"/>
                <w:lang w:val="en-GB"/>
              </w:rPr>
              <w:t>fuelled</w:t>
            </w:r>
            <w:r w:rsidR="00D0676F" w:rsidRPr="00D160FB">
              <w:rPr>
                <w:color w:val="0D0D0D" w:themeColor="text1" w:themeTint="F2"/>
                <w:spacing w:val="-6"/>
                <w:lang w:val="en-GB"/>
              </w:rPr>
              <w:t xml:space="preserve"> the manufacturing of beverages, </w:t>
            </w:r>
            <w:r w:rsidR="00C87EB8" w:rsidRPr="00D160FB">
              <w:rPr>
                <w:color w:val="0D0D0D" w:themeColor="text1" w:themeTint="F2"/>
                <w:spacing w:val="-6"/>
                <w:lang w:val="en-GB"/>
              </w:rPr>
              <w:t xml:space="preserve">whose output increased by </w:t>
            </w:r>
            <w:r w:rsidR="00E87D5B" w:rsidRPr="00D160FB">
              <w:rPr>
                <w:color w:val="0D0D0D" w:themeColor="text1" w:themeTint="F2"/>
                <w:spacing w:val="-4"/>
                <w:lang w:val="en-GB"/>
              </w:rPr>
              <w:t>7</w:t>
            </w:r>
            <w:r w:rsidR="00C87EB8" w:rsidRPr="00D160FB">
              <w:rPr>
                <w:color w:val="0D0D0D" w:themeColor="text1" w:themeTint="F2"/>
                <w:spacing w:val="-4"/>
                <w:lang w:val="en-GB"/>
              </w:rPr>
              <w:t>.</w:t>
            </w:r>
            <w:r w:rsidR="00E87D5B" w:rsidRPr="00D160FB">
              <w:rPr>
                <w:color w:val="0D0D0D" w:themeColor="text1" w:themeTint="F2"/>
                <w:spacing w:val="-4"/>
                <w:lang w:val="en-GB"/>
              </w:rPr>
              <w:t>8%</w:t>
            </w:r>
            <w:r w:rsidR="00C87EB8" w:rsidRPr="00D160FB">
              <w:rPr>
                <w:color w:val="0D0D0D" w:themeColor="text1" w:themeTint="F2"/>
                <w:spacing w:val="-4"/>
                <w:lang w:val="en-GB"/>
              </w:rPr>
              <w:t xml:space="preserve"> last year</w:t>
            </w:r>
            <w:r w:rsidR="00E87D5B" w:rsidRPr="00D160FB">
              <w:rPr>
                <w:color w:val="0D0D0D" w:themeColor="text1" w:themeTint="F2"/>
                <w:spacing w:val="-4"/>
                <w:lang w:val="en-GB"/>
              </w:rPr>
              <w:t xml:space="preserve"> (</w:t>
            </w:r>
            <w:r w:rsidR="00C87EB8" w:rsidRPr="00D160FB">
              <w:rPr>
                <w:color w:val="0D0D0D" w:themeColor="text1" w:themeTint="F2"/>
                <w:spacing w:val="-4"/>
                <w:lang w:val="en-GB"/>
              </w:rPr>
              <w:t xml:space="preserve">the most after year </w:t>
            </w:r>
            <w:r w:rsidR="00E87D5B" w:rsidRPr="00D160FB">
              <w:rPr>
                <w:color w:val="0D0D0D" w:themeColor="text1" w:themeTint="F2"/>
                <w:spacing w:val="-4"/>
                <w:lang w:val="en-GB"/>
              </w:rPr>
              <w:t xml:space="preserve">2006). </w:t>
            </w:r>
            <w:r w:rsidR="00653601" w:rsidRPr="00D160FB">
              <w:rPr>
                <w:color w:val="0D0D0D" w:themeColor="text1" w:themeTint="F2"/>
                <w:spacing w:val="-4"/>
                <w:lang w:val="en-GB"/>
              </w:rPr>
              <w:t xml:space="preserve">Long-time developing and </w:t>
            </w:r>
            <w:r w:rsidR="00C375DE" w:rsidRPr="00D160FB">
              <w:rPr>
                <w:color w:val="0D0D0D" w:themeColor="text1" w:themeTint="F2"/>
                <w:spacing w:val="-4"/>
                <w:lang w:val="en-GB"/>
              </w:rPr>
              <w:t xml:space="preserve">substantially export oriented pharmaceutical industry fared well </w:t>
            </w:r>
            <w:r w:rsidR="00E87D5B" w:rsidRPr="00D160FB">
              <w:rPr>
                <w:color w:val="0D0D0D" w:themeColor="text1" w:themeTint="F2"/>
                <w:spacing w:val="-4"/>
                <w:lang w:val="en-GB"/>
              </w:rPr>
              <w:t>(+8</w:t>
            </w:r>
            <w:r w:rsidR="00C375DE" w:rsidRPr="00D160FB">
              <w:rPr>
                <w:color w:val="0D0D0D" w:themeColor="text1" w:themeTint="F2"/>
                <w:spacing w:val="-4"/>
                <w:lang w:val="en-GB"/>
              </w:rPr>
              <w:t>.</w:t>
            </w:r>
            <w:r w:rsidR="00E87D5B" w:rsidRPr="00D160FB">
              <w:rPr>
                <w:color w:val="0D0D0D" w:themeColor="text1" w:themeTint="F2"/>
                <w:spacing w:val="-4"/>
                <w:lang w:val="en-GB"/>
              </w:rPr>
              <w:t>0%).</w:t>
            </w:r>
          </w:p>
        </w:tc>
      </w:tr>
      <w:tr w:rsidR="00A7439C" w:rsidRPr="00D160FB" w14:paraId="3C6C8DB6" w14:textId="77777777" w:rsidTr="00976631">
        <w:trPr>
          <w:trHeight w:val="170"/>
        </w:trPr>
        <w:tc>
          <w:tcPr>
            <w:tcW w:w="1780" w:type="dxa"/>
            <w:vMerge w:val="restart"/>
            <w:tcBorders>
              <w:top w:val="nil"/>
              <w:left w:val="nil"/>
              <w:bottom w:val="nil"/>
              <w:right w:val="nil"/>
            </w:tcBorders>
            <w:shd w:val="clear" w:color="auto" w:fill="auto"/>
            <w:tcMar>
              <w:left w:w="0" w:type="dxa"/>
            </w:tcMar>
          </w:tcPr>
          <w:p w14:paraId="3BBEA19F" w14:textId="77777777" w:rsidR="00E87D5B" w:rsidRPr="00D160FB" w:rsidRDefault="00E87D5B" w:rsidP="00C8019E">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1B4B2C07"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DE4C529" w14:textId="5B266176" w:rsidR="00E87D5B" w:rsidRPr="00D160FB" w:rsidRDefault="00204A71" w:rsidP="00C8019E">
            <w:pPr>
              <w:spacing w:after="0"/>
              <w:rPr>
                <w:spacing w:val="-4"/>
                <w:lang w:val="en-GB"/>
              </w:rPr>
            </w:pPr>
            <w:r w:rsidRPr="00D160FB">
              <w:rPr>
                <w:rFonts w:cs="Arial"/>
                <w:b/>
                <w:bCs/>
                <w:color w:val="000000"/>
                <w:szCs w:val="20"/>
                <w:lang w:val="en-GB"/>
              </w:rPr>
              <w:t xml:space="preserve">Chart </w:t>
            </w:r>
            <w:r w:rsidR="00E87D5B" w:rsidRPr="00D160FB">
              <w:rPr>
                <w:rFonts w:cs="Arial"/>
                <w:b/>
                <w:bCs/>
                <w:color w:val="000000"/>
                <w:szCs w:val="20"/>
                <w:lang w:val="en-GB"/>
              </w:rPr>
              <w:t xml:space="preserve">4 </w:t>
            </w:r>
            <w:r w:rsidR="003650D9" w:rsidRPr="00D160FB">
              <w:rPr>
                <w:b/>
                <w:spacing w:val="-2"/>
                <w:lang w:val="en-GB"/>
              </w:rPr>
              <w:t xml:space="preserve">Contributions of sub-branches to the year-on-year change of the total industrial output </w:t>
            </w:r>
            <w:r w:rsidR="003650D9" w:rsidRPr="00D160FB">
              <w:rPr>
                <w:spacing w:val="-2"/>
                <w:lang w:val="en-GB"/>
              </w:rPr>
              <w:t xml:space="preserve">(adjusted for calendar effects, real, in p.p.) </w:t>
            </w:r>
            <w:r w:rsidR="005279E0">
              <w:rPr>
                <w:b/>
                <w:bCs/>
                <w:spacing w:val="-2"/>
                <w:lang w:val="en-GB"/>
              </w:rPr>
              <w:t>and sales</w:t>
            </w:r>
            <w:r w:rsidR="003650D9" w:rsidRPr="00D160FB">
              <w:rPr>
                <w:b/>
                <w:bCs/>
                <w:spacing w:val="-2"/>
                <w:lang w:val="en-GB"/>
              </w:rPr>
              <w:t xml:space="preserve"> and output in the entire industry</w:t>
            </w:r>
            <w:r w:rsidR="003650D9" w:rsidRPr="00D160FB">
              <w:rPr>
                <w:spacing w:val="-2"/>
                <w:lang w:val="en-GB"/>
              </w:rPr>
              <w:t xml:space="preserve"> (seasonally adjusted, level of year 2015=100, right axis)</w:t>
            </w:r>
          </w:p>
        </w:tc>
      </w:tr>
      <w:tr w:rsidR="00A7439C" w:rsidRPr="00D160FB" w14:paraId="65539438" w14:textId="77777777" w:rsidTr="00976631">
        <w:tblPrEx>
          <w:tblCellMar>
            <w:left w:w="70" w:type="dxa"/>
            <w:right w:w="70" w:type="dxa"/>
          </w:tblCellMar>
        </w:tblPrEx>
        <w:trPr>
          <w:trHeight w:val="170"/>
        </w:trPr>
        <w:tc>
          <w:tcPr>
            <w:tcW w:w="1780" w:type="dxa"/>
            <w:vMerge/>
            <w:tcBorders>
              <w:top w:val="nil"/>
              <w:left w:val="nil"/>
              <w:bottom w:val="nil"/>
              <w:right w:val="nil"/>
            </w:tcBorders>
            <w:shd w:val="clear" w:color="auto" w:fill="auto"/>
          </w:tcPr>
          <w:p w14:paraId="2B855476" w14:textId="77777777" w:rsidR="00E87D5B" w:rsidRPr="00D160FB" w:rsidRDefault="00E87D5B" w:rsidP="00C8019E">
            <w:pPr>
              <w:pStyle w:val="Marginlie"/>
              <w:rPr>
                <w:lang w:val="en-GB"/>
              </w:rPr>
            </w:pPr>
          </w:p>
        </w:tc>
        <w:tc>
          <w:tcPr>
            <w:tcW w:w="200" w:type="dxa"/>
            <w:vMerge/>
            <w:tcBorders>
              <w:top w:val="nil"/>
              <w:left w:val="nil"/>
              <w:bottom w:val="nil"/>
              <w:right w:val="nil"/>
            </w:tcBorders>
            <w:shd w:val="clear" w:color="auto" w:fill="auto"/>
          </w:tcPr>
          <w:p w14:paraId="35060870"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Pr>
          <w:p w14:paraId="437E74CC" w14:textId="7D507D1F" w:rsidR="00E87D5B" w:rsidRPr="00D160FB" w:rsidRDefault="00181788" w:rsidP="00C8019E">
            <w:pPr>
              <w:spacing w:after="0"/>
              <w:rPr>
                <w:spacing w:val="-6"/>
                <w:lang w:val="en-GB"/>
              </w:rPr>
            </w:pPr>
            <w:r>
              <w:rPr>
                <w:noProof/>
              </w:rPr>
              <w:drawing>
                <wp:inline distT="0" distB="0" distL="0" distR="0" wp14:anchorId="13DD0D1E" wp14:editId="403B141A">
                  <wp:extent cx="4600332" cy="3432421"/>
                  <wp:effectExtent l="0" t="0" r="0" b="0"/>
                  <wp:docPr id="25" name="Graf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A7439C" w:rsidRPr="00D160FB" w14:paraId="32278D1E" w14:textId="77777777" w:rsidTr="00976631">
        <w:trPr>
          <w:trHeight w:val="170"/>
        </w:trPr>
        <w:tc>
          <w:tcPr>
            <w:tcW w:w="1780" w:type="dxa"/>
            <w:vMerge/>
            <w:tcBorders>
              <w:top w:val="nil"/>
              <w:left w:val="nil"/>
              <w:bottom w:val="nil"/>
              <w:right w:val="nil"/>
            </w:tcBorders>
            <w:shd w:val="clear" w:color="auto" w:fill="auto"/>
            <w:tcMar>
              <w:left w:w="0" w:type="dxa"/>
            </w:tcMar>
          </w:tcPr>
          <w:p w14:paraId="526A0794" w14:textId="77777777" w:rsidR="00E87D5B" w:rsidRPr="00D160FB" w:rsidRDefault="00E87D5B" w:rsidP="00C8019E">
            <w:pPr>
              <w:pStyle w:val="Marginlie"/>
              <w:rPr>
                <w:lang w:val="en-GB"/>
              </w:rPr>
            </w:pPr>
          </w:p>
        </w:tc>
        <w:tc>
          <w:tcPr>
            <w:tcW w:w="200" w:type="dxa"/>
            <w:vMerge/>
            <w:tcBorders>
              <w:top w:val="nil"/>
              <w:left w:val="nil"/>
              <w:bottom w:val="nil"/>
              <w:right w:val="nil"/>
            </w:tcBorders>
            <w:shd w:val="clear" w:color="auto" w:fill="auto"/>
            <w:tcMar>
              <w:left w:w="0" w:type="dxa"/>
            </w:tcMar>
          </w:tcPr>
          <w:p w14:paraId="48B18D6F" w14:textId="77777777" w:rsidR="00E87D5B" w:rsidRPr="00D160FB" w:rsidRDefault="00E87D5B" w:rsidP="00C8019E">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66DFD25" w14:textId="60EC94C2" w:rsidR="00181788" w:rsidRDefault="003650D9" w:rsidP="00181788">
            <w:pPr>
              <w:tabs>
                <w:tab w:val="right" w:pos="7683"/>
              </w:tabs>
              <w:spacing w:after="0"/>
              <w:jc w:val="left"/>
              <w:rPr>
                <w:rFonts w:cs="Arial"/>
                <w:sz w:val="14"/>
                <w:szCs w:val="14"/>
                <w:lang w:val="en-GB"/>
              </w:rPr>
            </w:pPr>
            <w:r w:rsidRPr="00D160FB">
              <w:rPr>
                <w:rFonts w:cs="Arial"/>
                <w:sz w:val="14"/>
                <w:szCs w:val="14"/>
                <w:lang w:val="en-GB"/>
              </w:rPr>
              <w:t>Note</w:t>
            </w:r>
            <w:r w:rsidR="00E87D5B" w:rsidRPr="00D160FB">
              <w:rPr>
                <w:rFonts w:cs="Arial"/>
                <w:sz w:val="14"/>
                <w:szCs w:val="14"/>
                <w:lang w:val="en-GB"/>
              </w:rPr>
              <w:t xml:space="preserve">: </w:t>
            </w:r>
            <w:r w:rsidRPr="00D160FB">
              <w:rPr>
                <w:rFonts w:cs="Arial"/>
                <w:sz w:val="14"/>
                <w:szCs w:val="14"/>
                <w:lang w:val="en-GB"/>
              </w:rPr>
              <w:t>Sal</w:t>
            </w:r>
            <w:r w:rsidR="00D50BC3">
              <w:rPr>
                <w:rFonts w:cs="Arial"/>
                <w:sz w:val="14"/>
                <w:szCs w:val="14"/>
                <w:lang w:val="en-GB"/>
              </w:rPr>
              <w:t>es are given in current prices, Output in constant prices.</w:t>
            </w:r>
            <w:r w:rsidR="00E87D5B" w:rsidRPr="00D160FB">
              <w:rPr>
                <w:rFonts w:cs="Arial"/>
                <w:sz w:val="14"/>
                <w:szCs w:val="14"/>
                <w:lang w:val="en-GB"/>
              </w:rPr>
              <w:tab/>
              <w:t xml:space="preserve"> </w:t>
            </w:r>
          </w:p>
          <w:p w14:paraId="5E8BBEE7" w14:textId="7BD7F20E" w:rsidR="00E87D5B" w:rsidRPr="00D160FB" w:rsidRDefault="00204A71" w:rsidP="00181788">
            <w:pPr>
              <w:tabs>
                <w:tab w:val="right" w:pos="7683"/>
              </w:tabs>
              <w:spacing w:after="200"/>
              <w:jc w:val="left"/>
              <w:rPr>
                <w:spacing w:val="-2"/>
                <w:sz w:val="14"/>
                <w:szCs w:val="14"/>
                <w:lang w:val="en-GB"/>
              </w:rPr>
            </w:pPr>
            <w:r w:rsidRPr="00D160FB">
              <w:rPr>
                <w:rFonts w:cs="Arial"/>
                <w:sz w:val="14"/>
                <w:szCs w:val="14"/>
                <w:lang w:val="en-GB"/>
              </w:rPr>
              <w:t>Source</w:t>
            </w:r>
            <w:r w:rsidR="00E87D5B" w:rsidRPr="00D160FB">
              <w:rPr>
                <w:rFonts w:cs="Arial"/>
                <w:sz w:val="14"/>
                <w:szCs w:val="14"/>
                <w:lang w:val="en-GB"/>
              </w:rPr>
              <w:t xml:space="preserve">: </w:t>
            </w:r>
            <w:r w:rsidRPr="00D160FB">
              <w:rPr>
                <w:rFonts w:cs="Arial"/>
                <w:sz w:val="14"/>
                <w:szCs w:val="14"/>
                <w:lang w:val="en-GB"/>
              </w:rPr>
              <w:t>CZSO</w:t>
            </w:r>
          </w:p>
        </w:tc>
      </w:tr>
      <w:tr w:rsidR="00D152B6" w:rsidRPr="00D160FB" w14:paraId="50A5A579" w14:textId="77777777" w:rsidTr="00976631">
        <w:trPr>
          <w:trHeight w:val="170"/>
        </w:trPr>
        <w:tc>
          <w:tcPr>
            <w:tcW w:w="1780" w:type="dxa"/>
            <w:tcBorders>
              <w:top w:val="nil"/>
              <w:left w:val="nil"/>
              <w:bottom w:val="nil"/>
              <w:right w:val="nil"/>
            </w:tcBorders>
            <w:shd w:val="clear" w:color="auto" w:fill="auto"/>
            <w:tcMar>
              <w:left w:w="0" w:type="dxa"/>
            </w:tcMar>
          </w:tcPr>
          <w:p w14:paraId="0E46B9AD" w14:textId="77777777" w:rsidR="00D152B6" w:rsidRPr="00D160FB" w:rsidRDefault="00D152B6" w:rsidP="00D152B6">
            <w:pPr>
              <w:pStyle w:val="Marginlie"/>
              <w:rPr>
                <w:color w:val="0D0D0D" w:themeColor="text1" w:themeTint="F2"/>
                <w:spacing w:val="-4"/>
                <w:lang w:val="en-GB"/>
              </w:rPr>
            </w:pPr>
            <w:r w:rsidRPr="00D160FB">
              <w:rPr>
                <w:color w:val="0D0D0D" w:themeColor="text1" w:themeTint="F2"/>
                <w:spacing w:val="-4"/>
                <w:lang w:val="en-GB"/>
              </w:rPr>
              <w:t>The fall of output d</w:t>
            </w:r>
            <w:r>
              <w:rPr>
                <w:color w:val="0D0D0D" w:themeColor="text1" w:themeTint="F2"/>
                <w:spacing w:val="-4"/>
                <w:lang w:val="en-GB"/>
              </w:rPr>
              <w:t>eepened in the majority of high energy-</w:t>
            </w:r>
            <w:r w:rsidRPr="00D160FB">
              <w:rPr>
                <w:color w:val="0D0D0D" w:themeColor="text1" w:themeTint="F2"/>
                <w:spacing w:val="-4"/>
                <w:lang w:val="en-GB"/>
              </w:rPr>
              <w:t>intensive industrial branches in H2</w:t>
            </w:r>
            <w:r>
              <w:rPr>
                <w:color w:val="0D0D0D" w:themeColor="text1" w:themeTint="F2"/>
                <w:spacing w:val="-4"/>
                <w:lang w:val="en-GB"/>
              </w:rPr>
              <w:t xml:space="preserve"> 2022.</w:t>
            </w:r>
          </w:p>
          <w:p w14:paraId="4A4DD34D" w14:textId="77777777" w:rsidR="00D152B6" w:rsidRPr="00D160FB" w:rsidRDefault="00D152B6" w:rsidP="00D152B6">
            <w:pPr>
              <w:pStyle w:val="Marginlie"/>
              <w:rPr>
                <w:color w:val="0D0D0D" w:themeColor="text1" w:themeTint="F2"/>
                <w:spacing w:val="-4"/>
                <w:lang w:val="en-GB"/>
              </w:rPr>
            </w:pPr>
          </w:p>
          <w:p w14:paraId="26B00651" w14:textId="77777777" w:rsidR="00D152B6" w:rsidRPr="00D160FB" w:rsidRDefault="00D152B6" w:rsidP="00D152B6">
            <w:pPr>
              <w:pStyle w:val="Marginlie"/>
              <w:rPr>
                <w:color w:val="0D0D0D" w:themeColor="text1" w:themeTint="F2"/>
                <w:spacing w:val="-4"/>
                <w:lang w:val="en-GB"/>
              </w:rPr>
            </w:pPr>
          </w:p>
          <w:p w14:paraId="49EF26FE" w14:textId="77777777" w:rsidR="00D152B6" w:rsidRPr="00D160FB" w:rsidRDefault="00D152B6" w:rsidP="00D152B6">
            <w:pPr>
              <w:pStyle w:val="Marginlie"/>
              <w:rPr>
                <w:color w:val="0D0D0D" w:themeColor="text1" w:themeTint="F2"/>
                <w:spacing w:val="-4"/>
                <w:lang w:val="en-GB"/>
              </w:rPr>
            </w:pPr>
          </w:p>
          <w:p w14:paraId="76B7C8BE" w14:textId="77777777" w:rsidR="00D152B6" w:rsidRPr="00D160FB" w:rsidRDefault="00D152B6" w:rsidP="00D152B6">
            <w:pPr>
              <w:pStyle w:val="Marginlie"/>
              <w:rPr>
                <w:color w:val="0D0D0D" w:themeColor="text1" w:themeTint="F2"/>
                <w:spacing w:val="-4"/>
                <w:lang w:val="en-GB"/>
              </w:rPr>
            </w:pPr>
          </w:p>
          <w:p w14:paraId="039D2580" w14:textId="77777777" w:rsidR="00D152B6" w:rsidRPr="00D160FB" w:rsidRDefault="00D152B6" w:rsidP="00D152B6">
            <w:pPr>
              <w:pStyle w:val="Marginlie"/>
              <w:rPr>
                <w:color w:val="0D0D0D" w:themeColor="text1" w:themeTint="F2"/>
                <w:spacing w:val="-4"/>
                <w:lang w:val="en-GB"/>
              </w:rPr>
            </w:pPr>
          </w:p>
          <w:p w14:paraId="3EB4585F" w14:textId="77777777" w:rsidR="00D152B6" w:rsidRPr="00D160FB" w:rsidRDefault="00D152B6" w:rsidP="00D152B6">
            <w:pPr>
              <w:pStyle w:val="Marginlie"/>
              <w:rPr>
                <w:color w:val="0D0D0D" w:themeColor="text1" w:themeTint="F2"/>
                <w:spacing w:val="-4"/>
                <w:lang w:val="en-GB"/>
              </w:rPr>
            </w:pPr>
            <w:r w:rsidRPr="00D160FB">
              <w:rPr>
                <w:color w:val="0D0D0D" w:themeColor="text1" w:themeTint="F2"/>
                <w:spacing w:val="-4"/>
                <w:lang w:val="en-GB"/>
              </w:rPr>
              <w:lastRenderedPageBreak/>
              <w:t xml:space="preserve">Decline of the household consumption as well as the rising production costs led to the decreased output in the long-term growing food industry. </w:t>
            </w:r>
          </w:p>
          <w:p w14:paraId="3C74E7D1" w14:textId="27AF092F" w:rsidR="00D152B6" w:rsidRPr="00D160FB" w:rsidRDefault="00D152B6" w:rsidP="00D152B6">
            <w:pPr>
              <w:pStyle w:val="Marginlie"/>
              <w:rPr>
                <w:color w:val="0D0D0D" w:themeColor="text1" w:themeTint="F2"/>
                <w:lang w:val="en-GB"/>
              </w:rPr>
            </w:pPr>
            <w:r w:rsidRPr="00D160FB">
              <w:rPr>
                <w:color w:val="0D0D0D" w:themeColor="text1" w:themeTint="F2"/>
                <w:spacing w:val="-4"/>
                <w:lang w:val="en-GB"/>
              </w:rPr>
              <w:t xml:space="preserve"> </w:t>
            </w:r>
          </w:p>
        </w:tc>
        <w:tc>
          <w:tcPr>
            <w:tcW w:w="200" w:type="dxa"/>
            <w:tcBorders>
              <w:top w:val="nil"/>
              <w:left w:val="nil"/>
              <w:bottom w:val="nil"/>
              <w:right w:val="nil"/>
            </w:tcBorders>
            <w:shd w:val="clear" w:color="auto" w:fill="auto"/>
            <w:tcMar>
              <w:left w:w="0" w:type="dxa"/>
            </w:tcMar>
          </w:tcPr>
          <w:p w14:paraId="6BEE05D4"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5628C1B" w14:textId="01000D4B" w:rsidR="00D152B6" w:rsidRPr="00D160FB" w:rsidRDefault="00D152B6" w:rsidP="00D152B6">
            <w:pPr>
              <w:spacing w:after="200"/>
              <w:rPr>
                <w:color w:val="0D0D0D" w:themeColor="text1" w:themeTint="F2"/>
                <w:spacing w:val="-4"/>
                <w:lang w:val="en-GB"/>
              </w:rPr>
            </w:pPr>
            <w:r>
              <w:rPr>
                <w:color w:val="0D0D0D" w:themeColor="text1" w:themeTint="F2"/>
                <w:spacing w:val="-4"/>
                <w:lang w:val="en-GB"/>
              </w:rPr>
              <w:t>High energy-</w:t>
            </w:r>
            <w:r w:rsidRPr="00D160FB">
              <w:rPr>
                <w:color w:val="0D0D0D" w:themeColor="text1" w:themeTint="F2"/>
                <w:spacing w:val="-4"/>
                <w:lang w:val="en-GB"/>
              </w:rPr>
              <w:t xml:space="preserve">intensive branches of chemical, metallurgical and metalworking industries or manufacturing of glass and building materials on the contrary sank into still more complicated situation. Following the fast recovery in year 2021, when the performance of these branches climbed up above the level from the pre-crisis year 2019 </w:t>
            </w:r>
            <w:r>
              <w:rPr>
                <w:color w:val="0D0D0D" w:themeColor="text1" w:themeTint="F2"/>
                <w:spacing w:val="-4"/>
                <w:lang w:val="en-GB"/>
              </w:rPr>
              <w:t>(</w:t>
            </w:r>
            <w:r w:rsidRPr="00D160FB">
              <w:rPr>
                <w:color w:val="0D0D0D" w:themeColor="text1" w:themeTint="F2"/>
                <w:spacing w:val="-4"/>
                <w:lang w:val="en-GB"/>
              </w:rPr>
              <w:t>thanks to the swift demand both locally and abroad</w:t>
            </w:r>
            <w:r>
              <w:rPr>
                <w:color w:val="0D0D0D" w:themeColor="text1" w:themeTint="F2"/>
                <w:spacing w:val="-4"/>
                <w:lang w:val="en-GB"/>
              </w:rPr>
              <w:t>)</w:t>
            </w:r>
            <w:r w:rsidRPr="00D160FB">
              <w:rPr>
                <w:color w:val="0D0D0D" w:themeColor="text1" w:themeTint="F2"/>
                <w:spacing w:val="-4"/>
                <w:lang w:val="en-GB"/>
              </w:rPr>
              <w:t>, a slump occurred due to the sharp jump of prices of inputs, which deepened during H2</w:t>
            </w:r>
            <w:r>
              <w:rPr>
                <w:color w:val="0D0D0D" w:themeColor="text1" w:themeTint="F2"/>
                <w:spacing w:val="-4"/>
                <w:lang w:val="en-GB"/>
              </w:rPr>
              <w:t xml:space="preserve"> 2022</w:t>
            </w:r>
            <w:r w:rsidRPr="00D160FB">
              <w:rPr>
                <w:color w:val="0D0D0D" w:themeColor="text1" w:themeTint="F2"/>
                <w:spacing w:val="-4"/>
                <w:lang w:val="en-GB"/>
              </w:rPr>
              <w:t xml:space="preserve">. At the same time, the largest slump afflicted metallurgy, where the output fell by 8.3% due to the weakening of the foreign demand last year (it last recorded a deeper slump during recession in year 2009). Milder, however still significant in the view of the whole industry was the output decrease, which affected the chemical and also the </w:t>
            </w:r>
            <w:r w:rsidRPr="00D160FB">
              <w:rPr>
                <w:rFonts w:cs="Arial"/>
                <w:szCs w:val="20"/>
                <w:lang w:val="en-GB"/>
              </w:rPr>
              <w:lastRenderedPageBreak/>
              <w:t>fabricated metal product industry</w:t>
            </w:r>
            <w:r w:rsidRPr="00D160FB">
              <w:rPr>
                <w:color w:val="0D0D0D" w:themeColor="text1" w:themeTint="F2"/>
                <w:spacing w:val="-4"/>
                <w:lang w:val="en-GB"/>
              </w:rPr>
              <w:t>, which was not aided much even by the growing demand in the small segment of the arms production. The food industry also struggled with high growth of production costs together with the weakening consumer demand, whose output lowered for the first time after year 2013 (by 1.5%). In contrast the slump in the wood industry, which manifested for the second year in a row (last year by 7%) had a different background. The performance of the follow-up branches (paper and furniture industries) stagnated; the weaker demand started to be evident also here in H2</w:t>
            </w:r>
            <w:r>
              <w:rPr>
                <w:color w:val="0D0D0D" w:themeColor="text1" w:themeTint="F2"/>
                <w:spacing w:val="-4"/>
                <w:lang w:val="en-GB"/>
              </w:rPr>
              <w:t xml:space="preserve"> 2022</w:t>
            </w:r>
            <w:r w:rsidRPr="00D160FB">
              <w:rPr>
                <w:color w:val="0D0D0D" w:themeColor="text1" w:themeTint="F2"/>
                <w:spacing w:val="-4"/>
                <w:lang w:val="en-GB"/>
              </w:rPr>
              <w:t>. The output in the manufacturing of other (especially rail) transport equipment features traditionally fluctuating character. It dived mainly due to the high comparative basis by 7.5%</w:t>
            </w:r>
            <w:r w:rsidRPr="00D160FB">
              <w:rPr>
                <w:rStyle w:val="Znakapoznpodarou"/>
                <w:color w:val="0D0D0D" w:themeColor="text1" w:themeTint="F2"/>
                <w:spacing w:val="-4"/>
                <w:lang w:val="en-GB"/>
              </w:rPr>
              <w:footnoteReference w:id="24"/>
            </w:r>
            <w:r w:rsidRPr="00D160FB">
              <w:rPr>
                <w:color w:val="0D0D0D" w:themeColor="text1" w:themeTint="F2"/>
                <w:spacing w:val="-4"/>
                <w:lang w:val="en-GB"/>
              </w:rPr>
              <w:t xml:space="preserve"> last year. </w:t>
            </w:r>
          </w:p>
        </w:tc>
      </w:tr>
      <w:tr w:rsidR="00D152B6" w:rsidRPr="00D160FB" w14:paraId="435D2229" w14:textId="77777777" w:rsidTr="00976631">
        <w:trPr>
          <w:trHeight w:val="170"/>
        </w:trPr>
        <w:tc>
          <w:tcPr>
            <w:tcW w:w="1780" w:type="dxa"/>
            <w:tcBorders>
              <w:top w:val="nil"/>
              <w:left w:val="nil"/>
              <w:bottom w:val="nil"/>
              <w:right w:val="nil"/>
            </w:tcBorders>
            <w:shd w:val="clear" w:color="auto" w:fill="auto"/>
            <w:tcMar>
              <w:left w:w="0" w:type="dxa"/>
            </w:tcMar>
          </w:tcPr>
          <w:p w14:paraId="325D92A3" w14:textId="10EB20EC" w:rsidR="00D152B6" w:rsidRPr="00D160FB" w:rsidRDefault="00D152B6" w:rsidP="00D152B6">
            <w:pPr>
              <w:pStyle w:val="Marginlie"/>
              <w:rPr>
                <w:color w:val="0D0D0D" w:themeColor="text1" w:themeTint="F2"/>
                <w:lang w:val="en-GB"/>
              </w:rPr>
            </w:pPr>
            <w:r w:rsidRPr="00D160FB">
              <w:rPr>
                <w:color w:val="0D0D0D" w:themeColor="text1" w:themeTint="F2"/>
                <w:lang w:val="en-GB"/>
              </w:rPr>
              <w:lastRenderedPageBreak/>
              <w:t xml:space="preserve">Output growth in the coal mining reached record level last year, the quarrying of building materials on the other hand decreased. </w:t>
            </w:r>
          </w:p>
          <w:p w14:paraId="4ACF4FC8" w14:textId="77777777" w:rsidR="00D152B6" w:rsidRPr="00D160FB" w:rsidRDefault="00D152B6" w:rsidP="00D152B6">
            <w:pPr>
              <w:pStyle w:val="Marginlie"/>
              <w:rPr>
                <w:color w:val="0D0D0D" w:themeColor="text1" w:themeTint="F2"/>
                <w:lang w:val="en-GB"/>
              </w:rPr>
            </w:pPr>
          </w:p>
          <w:p w14:paraId="0E3479F6" w14:textId="77777777" w:rsidR="00D152B6" w:rsidRPr="00D160FB" w:rsidRDefault="00D152B6" w:rsidP="00D152B6">
            <w:pPr>
              <w:pStyle w:val="Marginlie"/>
              <w:rPr>
                <w:color w:val="0D0D0D" w:themeColor="text1" w:themeTint="F2"/>
                <w:lang w:val="en-GB"/>
              </w:rPr>
            </w:pPr>
          </w:p>
          <w:p w14:paraId="0E377EBA" w14:textId="77777777" w:rsidR="00D152B6" w:rsidRPr="00D160FB" w:rsidRDefault="00D152B6" w:rsidP="00D152B6">
            <w:pPr>
              <w:pStyle w:val="Marginlie"/>
              <w:rPr>
                <w:color w:val="0D0D0D" w:themeColor="text1" w:themeTint="F2"/>
                <w:lang w:val="en-GB"/>
              </w:rPr>
            </w:pPr>
          </w:p>
          <w:p w14:paraId="02056D6E" w14:textId="3902D0B6" w:rsidR="00D152B6" w:rsidRPr="00D160FB" w:rsidRDefault="00D152B6" w:rsidP="00D152B6">
            <w:pPr>
              <w:pStyle w:val="Marginlie"/>
              <w:rPr>
                <w:color w:val="0D0D0D" w:themeColor="text1" w:themeTint="F2"/>
                <w:lang w:val="en-GB"/>
              </w:rPr>
            </w:pPr>
            <w:r w:rsidRPr="00D160FB">
              <w:rPr>
                <w:color w:val="0D0D0D" w:themeColor="text1" w:themeTint="F2"/>
                <w:lang w:val="en-GB"/>
              </w:rPr>
              <w:t xml:space="preserve">Warmer weather as well as savings of customers stood behind the decrease of output of the energy industry, especially at the end of the </w:t>
            </w:r>
            <w:r w:rsidR="00F65460">
              <w:rPr>
                <w:color w:val="0D0D0D" w:themeColor="text1" w:themeTint="F2"/>
                <w:lang w:val="en-GB"/>
              </w:rPr>
              <w:t xml:space="preserve">last </w:t>
            </w:r>
            <w:r w:rsidRPr="00D160FB">
              <w:rPr>
                <w:color w:val="0D0D0D" w:themeColor="text1" w:themeTint="F2"/>
                <w:lang w:val="en-GB"/>
              </w:rPr>
              <w:t xml:space="preserve">year. </w:t>
            </w:r>
          </w:p>
          <w:p w14:paraId="2543CFDB" w14:textId="77777777" w:rsidR="00D152B6" w:rsidRPr="00D160FB" w:rsidRDefault="00D152B6" w:rsidP="00D152B6">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3589D58F"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03D2A6FE" w14:textId="18AC9D22" w:rsidR="00D152B6" w:rsidRPr="00D160FB" w:rsidRDefault="00D152B6" w:rsidP="00D152B6">
            <w:pPr>
              <w:spacing w:after="200"/>
              <w:rPr>
                <w:color w:val="0D0D0D" w:themeColor="text1" w:themeTint="F2"/>
                <w:spacing w:val="-4"/>
                <w:lang w:val="en-GB"/>
              </w:rPr>
            </w:pPr>
            <w:r w:rsidRPr="00D160FB">
              <w:rPr>
                <w:color w:val="0D0D0D" w:themeColor="text1" w:themeTint="F2"/>
                <w:spacing w:val="-4"/>
                <w:lang w:val="en-GB"/>
              </w:rPr>
              <w:t xml:space="preserve">The energy shock, which shook the so far relatively stable energy mix in the number of European economies and </w:t>
            </w:r>
            <w:r w:rsidR="00A83177">
              <w:rPr>
                <w:color w:val="0D0D0D" w:themeColor="text1" w:themeTint="F2"/>
                <w:spacing w:val="-4"/>
                <w:lang w:val="en-GB"/>
              </w:rPr>
              <w:t>interrupted</w:t>
            </w:r>
            <w:r w:rsidRPr="00D160FB">
              <w:rPr>
                <w:color w:val="0D0D0D" w:themeColor="text1" w:themeTint="F2"/>
                <w:spacing w:val="-4"/>
                <w:lang w:val="en-GB"/>
              </w:rPr>
              <w:t xml:space="preserve"> long-term trends in the demand for important </w:t>
            </w:r>
            <w:r w:rsidR="00A83177">
              <w:rPr>
                <w:color w:val="0D0D0D" w:themeColor="text1" w:themeTint="F2"/>
                <w:spacing w:val="-4"/>
                <w:lang w:val="en-GB"/>
              </w:rPr>
              <w:t xml:space="preserve">commodities </w:t>
            </w:r>
            <w:r w:rsidRPr="00D160FB">
              <w:rPr>
                <w:color w:val="0D0D0D" w:themeColor="text1" w:themeTint="F2"/>
                <w:spacing w:val="-4"/>
                <w:lang w:val="en-GB"/>
              </w:rPr>
              <w:t xml:space="preserve">substantially influenced the situation in the non-manufacturing industrial branches last year. Output in the mining and quarrying went mildly up for the second year in a row. In that the output in the segment of coal mining increased </w:t>
            </w:r>
            <w:r w:rsidR="00A83177">
              <w:rPr>
                <w:color w:val="0D0D0D" w:themeColor="text1" w:themeTint="F2"/>
                <w:spacing w:val="-4"/>
                <w:lang w:val="en-GB"/>
              </w:rPr>
              <w:t xml:space="preserve">in 2022 </w:t>
            </w:r>
            <w:r w:rsidRPr="00D160FB">
              <w:rPr>
                <w:color w:val="0D0D0D" w:themeColor="text1" w:themeTint="F2"/>
                <w:spacing w:val="-4"/>
                <w:lang w:val="en-GB"/>
              </w:rPr>
              <w:t xml:space="preserve">by nearly one tenth year-on-year, when it grew for the first time since year 2011 and its pace was the highest in the comparable time series (since year 2000). On the contrary the output slightly decreased in the extraction of building materials (by 1.6%), which was related to the weakening of demand on the part of builders as well as the high energy intensity of this branch. The output decreased also in the energy industry </w:t>
            </w:r>
            <w:r w:rsidR="00F65460">
              <w:rPr>
                <w:color w:val="0D0D0D" w:themeColor="text1" w:themeTint="F2"/>
                <w:spacing w:val="-4"/>
                <w:lang w:val="en-GB"/>
              </w:rPr>
              <w:t xml:space="preserve">last year </w:t>
            </w:r>
            <w:r w:rsidR="00F65460" w:rsidRPr="00D160FB">
              <w:rPr>
                <w:color w:val="0D0D0D" w:themeColor="text1" w:themeTint="F2"/>
                <w:spacing w:val="-4"/>
                <w:lang w:val="en-GB"/>
              </w:rPr>
              <w:t>(by 2.9%)</w:t>
            </w:r>
            <w:r w:rsidRPr="00D160FB">
              <w:rPr>
                <w:color w:val="0D0D0D" w:themeColor="text1" w:themeTint="F2"/>
                <w:spacing w:val="-4"/>
                <w:lang w:val="en-GB"/>
              </w:rPr>
              <w:t xml:space="preserve">, primarily due to the development in Q4, when the </w:t>
            </w:r>
            <w:r w:rsidR="00F65460">
              <w:rPr>
                <w:color w:val="0D0D0D" w:themeColor="text1" w:themeTint="F2"/>
                <w:spacing w:val="-4"/>
                <w:lang w:val="en-GB"/>
              </w:rPr>
              <w:t>marked</w:t>
            </w:r>
            <w:r w:rsidRPr="00D160FB">
              <w:rPr>
                <w:color w:val="0D0D0D" w:themeColor="text1" w:themeTint="F2"/>
                <w:spacing w:val="-4"/>
                <w:lang w:val="en-GB"/>
              </w:rPr>
              <w:t xml:space="preserve"> cut down of consumption as a result of warmer weather as well as expected operating savings in business and households was felt. Consumption of the natural gas dived by record 20% in the CR last year and it</w:t>
            </w:r>
            <w:r w:rsidR="00F65460">
              <w:rPr>
                <w:color w:val="0D0D0D" w:themeColor="text1" w:themeTint="F2"/>
                <w:spacing w:val="-4"/>
                <w:lang w:val="en-GB"/>
              </w:rPr>
              <w:t>s volume</w:t>
            </w:r>
            <w:r w:rsidRPr="00D160FB">
              <w:rPr>
                <w:color w:val="0D0D0D" w:themeColor="text1" w:themeTint="F2"/>
                <w:spacing w:val="-4"/>
                <w:lang w:val="en-GB"/>
              </w:rPr>
              <w:t xml:space="preserve"> was the lowest in the last eight years</w:t>
            </w:r>
            <w:r w:rsidRPr="00D160FB">
              <w:rPr>
                <w:rStyle w:val="Znakapoznpodarou"/>
                <w:color w:val="0D0D0D" w:themeColor="text1" w:themeTint="F2"/>
                <w:spacing w:val="-4"/>
                <w:lang w:val="en-GB"/>
              </w:rPr>
              <w:footnoteReference w:id="25"/>
            </w:r>
            <w:r w:rsidRPr="00D160FB">
              <w:rPr>
                <w:color w:val="0D0D0D" w:themeColor="text1" w:themeTint="F2"/>
                <w:spacing w:val="-4"/>
                <w:lang w:val="en-GB"/>
              </w:rPr>
              <w:t>. Decline also occurred for the manufactured heat</w:t>
            </w:r>
            <w:r w:rsidRPr="00D160FB">
              <w:rPr>
                <w:rStyle w:val="Znakapoznpodarou"/>
                <w:color w:val="0D0D0D" w:themeColor="text1" w:themeTint="F2"/>
                <w:spacing w:val="-6"/>
                <w:lang w:val="en-GB"/>
              </w:rPr>
              <w:footnoteReference w:id="26"/>
            </w:r>
            <w:r w:rsidRPr="00D160FB">
              <w:rPr>
                <w:color w:val="0D0D0D" w:themeColor="text1" w:themeTint="F2"/>
                <w:spacing w:val="-6"/>
                <w:lang w:val="en-GB"/>
              </w:rPr>
              <w:t>. The amount of manufactured electricity lowered by negligible 0.4%</w:t>
            </w:r>
            <w:r w:rsidRPr="00D160FB">
              <w:rPr>
                <w:rStyle w:val="Znakapoznpodarou"/>
                <w:color w:val="0D0D0D" w:themeColor="text1" w:themeTint="F2"/>
                <w:spacing w:val="-6"/>
                <w:lang w:val="en-GB"/>
              </w:rPr>
              <w:footnoteReference w:id="27"/>
            </w:r>
            <w:r w:rsidRPr="00D160FB">
              <w:rPr>
                <w:color w:val="0D0D0D" w:themeColor="text1" w:themeTint="F2"/>
                <w:spacing w:val="-6"/>
                <w:lang w:val="en-GB"/>
              </w:rPr>
              <w:t xml:space="preserve"> year-on-year (it was however by 2.9% lower compared to year 2019). Since the domestic consumption of electricity dropped faster last year (by 3.9%), the long-time surplus of the CR foreign trade with this commodity further widened</w:t>
            </w:r>
            <w:r w:rsidRPr="00D160FB">
              <w:rPr>
                <w:rStyle w:val="Znakapoznpodarou"/>
                <w:color w:val="0D0D0D" w:themeColor="text1" w:themeTint="F2"/>
                <w:spacing w:val="-6"/>
                <w:lang w:val="en-GB"/>
              </w:rPr>
              <w:footnoteReference w:id="28"/>
            </w:r>
            <w:r w:rsidRPr="00D160FB">
              <w:rPr>
                <w:color w:val="0D0D0D" w:themeColor="text1" w:themeTint="F2"/>
                <w:spacing w:val="-6"/>
                <w:lang w:val="en-GB"/>
              </w:rPr>
              <w:t>.</w:t>
            </w:r>
          </w:p>
        </w:tc>
      </w:tr>
      <w:tr w:rsidR="00D152B6" w:rsidRPr="00D160FB" w14:paraId="78BBC85C" w14:textId="77777777" w:rsidTr="00976631">
        <w:trPr>
          <w:trHeight w:val="170"/>
        </w:trPr>
        <w:tc>
          <w:tcPr>
            <w:tcW w:w="1780" w:type="dxa"/>
            <w:tcBorders>
              <w:top w:val="nil"/>
              <w:left w:val="nil"/>
              <w:bottom w:val="nil"/>
              <w:right w:val="nil"/>
            </w:tcBorders>
            <w:shd w:val="clear" w:color="auto" w:fill="auto"/>
            <w:tcMar>
              <w:left w:w="0" w:type="dxa"/>
            </w:tcMar>
          </w:tcPr>
          <w:p w14:paraId="66F44819" w14:textId="4EF8F7D9" w:rsidR="00D152B6" w:rsidRPr="00D160FB" w:rsidRDefault="00D152B6" w:rsidP="00D152B6">
            <w:pPr>
              <w:pStyle w:val="Marginlie"/>
              <w:rPr>
                <w:color w:val="0D0D0D" w:themeColor="text1" w:themeTint="F2"/>
                <w:lang w:val="en-GB"/>
              </w:rPr>
            </w:pPr>
            <w:r w:rsidRPr="00D160FB">
              <w:rPr>
                <w:color w:val="0D0D0D" w:themeColor="text1" w:themeTint="F2"/>
                <w:lang w:val="en-GB"/>
              </w:rPr>
              <w:t xml:space="preserve">Domestic sales grew more swiftly than sales from direct export to the industrial businesses year-on-year. </w:t>
            </w:r>
          </w:p>
          <w:p w14:paraId="447ED2AE" w14:textId="77777777" w:rsidR="00D152B6" w:rsidRPr="00D160FB" w:rsidRDefault="00D152B6" w:rsidP="00D152B6">
            <w:pPr>
              <w:pStyle w:val="Marginlie"/>
              <w:rPr>
                <w:color w:val="0D0D0D" w:themeColor="text1" w:themeTint="F2"/>
                <w:lang w:val="en-GB"/>
              </w:rPr>
            </w:pPr>
          </w:p>
          <w:p w14:paraId="506530C1" w14:textId="77777777" w:rsidR="00D152B6" w:rsidRPr="00D160FB" w:rsidRDefault="00D152B6" w:rsidP="00D152B6">
            <w:pPr>
              <w:pStyle w:val="Marginlie"/>
              <w:rPr>
                <w:color w:val="0D0D0D" w:themeColor="text1" w:themeTint="F2"/>
                <w:lang w:val="en-GB"/>
              </w:rPr>
            </w:pPr>
          </w:p>
          <w:p w14:paraId="550C4A42" w14:textId="77777777" w:rsidR="00D152B6" w:rsidRPr="00D160FB" w:rsidRDefault="00D152B6" w:rsidP="00D152B6">
            <w:pPr>
              <w:pStyle w:val="Marginlie"/>
              <w:rPr>
                <w:color w:val="0D0D0D" w:themeColor="text1" w:themeTint="F2"/>
                <w:lang w:val="en-GB"/>
              </w:rPr>
            </w:pPr>
          </w:p>
          <w:p w14:paraId="5389A044" w14:textId="2E67E7B8" w:rsidR="00D152B6" w:rsidRDefault="00D152B6" w:rsidP="00D152B6">
            <w:pPr>
              <w:pStyle w:val="Marginlie"/>
              <w:rPr>
                <w:color w:val="0D0D0D" w:themeColor="text1" w:themeTint="F2"/>
                <w:lang w:val="en-GB"/>
              </w:rPr>
            </w:pPr>
          </w:p>
          <w:p w14:paraId="633139EF" w14:textId="5CA1B439" w:rsidR="003837B1" w:rsidRDefault="003837B1" w:rsidP="00D152B6">
            <w:pPr>
              <w:pStyle w:val="Marginlie"/>
              <w:rPr>
                <w:color w:val="0D0D0D" w:themeColor="text1" w:themeTint="F2"/>
                <w:lang w:val="en-GB"/>
              </w:rPr>
            </w:pPr>
          </w:p>
          <w:p w14:paraId="428BD07E" w14:textId="77777777" w:rsidR="003837B1" w:rsidRPr="00D160FB" w:rsidRDefault="003837B1" w:rsidP="00D152B6">
            <w:pPr>
              <w:pStyle w:val="Marginlie"/>
              <w:rPr>
                <w:color w:val="0D0D0D" w:themeColor="text1" w:themeTint="F2"/>
                <w:lang w:val="en-GB"/>
              </w:rPr>
            </w:pPr>
          </w:p>
          <w:p w14:paraId="61D625D2" w14:textId="77777777" w:rsidR="00D152B6" w:rsidRPr="00D160FB" w:rsidRDefault="00D152B6" w:rsidP="00D152B6">
            <w:pPr>
              <w:pStyle w:val="Marginlie"/>
              <w:rPr>
                <w:color w:val="0D0D0D" w:themeColor="text1" w:themeTint="F2"/>
                <w:lang w:val="en-GB"/>
              </w:rPr>
            </w:pPr>
          </w:p>
          <w:p w14:paraId="6F75D050" w14:textId="43FCF4E5" w:rsidR="00D152B6" w:rsidRPr="00D160FB" w:rsidRDefault="00D152B6" w:rsidP="00D152B6">
            <w:pPr>
              <w:pStyle w:val="Marginlie"/>
              <w:rPr>
                <w:color w:val="0D0D0D" w:themeColor="text1" w:themeTint="F2"/>
                <w:lang w:val="en-GB"/>
              </w:rPr>
            </w:pPr>
            <w:r w:rsidRPr="00D160FB">
              <w:rPr>
                <w:color w:val="0D0D0D" w:themeColor="text1" w:themeTint="F2"/>
                <w:lang w:val="en-GB"/>
              </w:rPr>
              <w:lastRenderedPageBreak/>
              <w:t xml:space="preserve">Quarter-on-quarter growth of sales ceased at the end of the year. </w:t>
            </w:r>
          </w:p>
          <w:p w14:paraId="15C583E7" w14:textId="77777777" w:rsidR="00D152B6" w:rsidRPr="00D160FB" w:rsidRDefault="00D152B6" w:rsidP="00D152B6">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5561EBB1"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89BB6AD" w14:textId="22765C96" w:rsidR="00D152B6" w:rsidRPr="00D160FB" w:rsidRDefault="00D152B6" w:rsidP="00D152B6">
            <w:pPr>
              <w:spacing w:after="200"/>
              <w:rPr>
                <w:rFonts w:cs="Arial"/>
                <w:bCs/>
                <w:color w:val="0D0D0D" w:themeColor="text1" w:themeTint="F2"/>
                <w:spacing w:val="-5"/>
                <w:szCs w:val="20"/>
                <w:lang w:val="en-GB"/>
              </w:rPr>
            </w:pPr>
            <w:r w:rsidRPr="00D160FB">
              <w:rPr>
                <w:rFonts w:cs="Arial"/>
                <w:bCs/>
                <w:color w:val="0D0D0D" w:themeColor="text1" w:themeTint="F2"/>
                <w:spacing w:val="-5"/>
                <w:szCs w:val="20"/>
                <w:lang w:val="en-GB"/>
              </w:rPr>
              <w:t>Nominal sales of industrial businesses</w:t>
            </w:r>
            <w:r w:rsidRPr="00D160FB">
              <w:rPr>
                <w:rStyle w:val="Znakapoznpodarou"/>
                <w:bCs/>
                <w:color w:val="0D0D0D" w:themeColor="text1" w:themeTint="F2"/>
                <w:spacing w:val="-5"/>
                <w:szCs w:val="20"/>
                <w:lang w:val="en-GB"/>
              </w:rPr>
              <w:footnoteReference w:id="29"/>
            </w:r>
            <w:r w:rsidRPr="00D160FB">
              <w:rPr>
                <w:rFonts w:cs="Arial"/>
                <w:bCs/>
                <w:color w:val="0D0D0D" w:themeColor="text1" w:themeTint="F2"/>
                <w:spacing w:val="-5"/>
                <w:szCs w:val="20"/>
                <w:lang w:val="en-GB"/>
              </w:rPr>
              <w:t xml:space="preserve"> increased by 16.1% in year 2022, when they grew in all its main branches. Domestic sales strengthened by more than one fifth year-on-year, by more than double the pace of sales from direct export. Number of branches traditionally oriented on the domestic market faced strong cost pressures, which were reflected in the realised sales – that is why these e.g. in coal mining or energy industry rose in total by nearly one third, in food industry by nearly one fifth. On the contrary the sales were only by 5.4% higher in the significantly pro-export manufacturing of computers, electronic and optical products and the price growth was out of the more moderate here. In Q4 2022 however, the quarter-on-quarter growth of sales halted in </w:t>
            </w:r>
            <w:r w:rsidR="00526C1E">
              <w:rPr>
                <w:rFonts w:cs="Arial"/>
                <w:bCs/>
                <w:color w:val="0D0D0D" w:themeColor="text1" w:themeTint="F2"/>
                <w:spacing w:val="-5"/>
                <w:szCs w:val="20"/>
                <w:lang w:val="en-GB"/>
              </w:rPr>
              <w:t xml:space="preserve">the whole </w:t>
            </w:r>
            <w:r w:rsidRPr="00D160FB">
              <w:rPr>
                <w:rFonts w:cs="Arial"/>
                <w:bCs/>
                <w:color w:val="0D0D0D" w:themeColor="text1" w:themeTint="F2"/>
                <w:spacing w:val="-5"/>
                <w:szCs w:val="20"/>
                <w:lang w:val="en-GB"/>
              </w:rPr>
              <w:t xml:space="preserve">industry (for the first time since summer 2021), which was connected to the weakening of the economy as well as the fact, that the </w:t>
            </w:r>
            <w:r w:rsidRPr="00D160FB">
              <w:rPr>
                <w:rFonts w:cs="Arial"/>
                <w:bCs/>
                <w:color w:val="0D0D0D" w:themeColor="text1" w:themeTint="F2"/>
                <w:spacing w:val="-5"/>
                <w:szCs w:val="20"/>
                <w:lang w:val="en-GB"/>
              </w:rPr>
              <w:lastRenderedPageBreak/>
              <w:t xml:space="preserve">price growth of the number of inputs had been weakening already since the last summer. The sales were thus shrinking especially in the energy industry (by 19%), </w:t>
            </w:r>
            <w:r w:rsidR="00526C1E">
              <w:rPr>
                <w:rFonts w:cs="Arial"/>
                <w:bCs/>
                <w:color w:val="0D0D0D" w:themeColor="text1" w:themeTint="F2"/>
                <w:spacing w:val="-5"/>
                <w:szCs w:val="20"/>
                <w:lang w:val="en-GB"/>
              </w:rPr>
              <w:t>a milder decrease was observed i</w:t>
            </w:r>
            <w:r w:rsidRPr="00D160FB">
              <w:rPr>
                <w:rFonts w:cs="Arial"/>
                <w:bCs/>
                <w:color w:val="0D0D0D" w:themeColor="text1" w:themeTint="F2"/>
                <w:spacing w:val="-5"/>
                <w:szCs w:val="20"/>
                <w:lang w:val="en-GB"/>
              </w:rPr>
              <w:t>n metallurgy o</w:t>
            </w:r>
            <w:r>
              <w:rPr>
                <w:rFonts w:cs="Arial"/>
                <w:bCs/>
                <w:color w:val="0D0D0D" w:themeColor="text1" w:themeTint="F2"/>
                <w:spacing w:val="-5"/>
                <w:szCs w:val="20"/>
                <w:lang w:val="en-GB"/>
              </w:rPr>
              <w:t>r manufacturing of chemical and</w:t>
            </w:r>
            <w:r w:rsidR="00526C1E">
              <w:rPr>
                <w:rFonts w:cs="Arial"/>
                <w:bCs/>
                <w:color w:val="0D0D0D" w:themeColor="text1" w:themeTint="F2"/>
                <w:spacing w:val="-5"/>
                <w:szCs w:val="20"/>
                <w:lang w:val="en-GB"/>
              </w:rPr>
              <w:t xml:space="preserve"> paper products</w:t>
            </w:r>
            <w:r w:rsidRPr="00D160FB">
              <w:rPr>
                <w:rFonts w:cs="Arial"/>
                <w:bCs/>
                <w:color w:val="0D0D0D" w:themeColor="text1" w:themeTint="F2"/>
                <w:spacing w:val="-5"/>
                <w:szCs w:val="20"/>
                <w:lang w:val="en-GB"/>
              </w:rPr>
              <w:t xml:space="preserve"> in comparison to Q3</w:t>
            </w:r>
            <w:r w:rsidR="00526C1E">
              <w:rPr>
                <w:rFonts w:cs="Arial"/>
                <w:bCs/>
                <w:color w:val="0D0D0D" w:themeColor="text1" w:themeTint="F2"/>
                <w:spacing w:val="-5"/>
                <w:szCs w:val="20"/>
                <w:lang w:val="en-GB"/>
              </w:rPr>
              <w:t xml:space="preserve"> 2022</w:t>
            </w:r>
            <w:r w:rsidRPr="00D160FB">
              <w:rPr>
                <w:rFonts w:cs="Arial"/>
                <w:bCs/>
                <w:color w:val="0D0D0D" w:themeColor="text1" w:themeTint="F2"/>
                <w:spacing w:val="-5"/>
                <w:szCs w:val="20"/>
                <w:lang w:val="en-GB"/>
              </w:rPr>
              <w:t>.</w:t>
            </w:r>
          </w:p>
        </w:tc>
      </w:tr>
      <w:tr w:rsidR="00D152B6" w:rsidRPr="00D160FB" w14:paraId="6FC6EAE8" w14:textId="77777777" w:rsidTr="00976631">
        <w:trPr>
          <w:trHeight w:val="170"/>
        </w:trPr>
        <w:tc>
          <w:tcPr>
            <w:tcW w:w="1780" w:type="dxa"/>
            <w:tcBorders>
              <w:top w:val="nil"/>
              <w:left w:val="nil"/>
              <w:bottom w:val="nil"/>
              <w:right w:val="nil"/>
            </w:tcBorders>
            <w:shd w:val="clear" w:color="auto" w:fill="auto"/>
            <w:tcMar>
              <w:left w:w="0" w:type="dxa"/>
            </w:tcMar>
          </w:tcPr>
          <w:p w14:paraId="5702767E" w14:textId="2522ED5F" w:rsidR="00D152B6" w:rsidRPr="00D160FB" w:rsidRDefault="00D152B6" w:rsidP="00D152B6">
            <w:pPr>
              <w:pStyle w:val="Marginlie"/>
              <w:rPr>
                <w:lang w:val="en-GB"/>
              </w:rPr>
            </w:pPr>
            <w:r w:rsidRPr="00D160FB">
              <w:rPr>
                <w:lang w:val="en-GB"/>
              </w:rPr>
              <w:lastRenderedPageBreak/>
              <w:t xml:space="preserve">Growth of the value of new industrial orders lagged behind the sales dynamics since the beginning of the year. </w:t>
            </w:r>
          </w:p>
          <w:p w14:paraId="104BAAC7" w14:textId="77777777" w:rsidR="00D152B6" w:rsidRPr="00D160FB" w:rsidRDefault="00D152B6" w:rsidP="00D152B6">
            <w:pPr>
              <w:pStyle w:val="Marginlie"/>
              <w:rPr>
                <w:lang w:val="en-GB"/>
              </w:rPr>
            </w:pPr>
          </w:p>
          <w:p w14:paraId="1488B065" w14:textId="77777777" w:rsidR="00D152B6" w:rsidRPr="00D160FB" w:rsidRDefault="00D152B6" w:rsidP="00D152B6">
            <w:pPr>
              <w:pStyle w:val="Marginlie"/>
              <w:rPr>
                <w:lang w:val="en-GB"/>
              </w:rPr>
            </w:pPr>
          </w:p>
          <w:p w14:paraId="5AE3C664" w14:textId="77777777" w:rsidR="00D152B6" w:rsidRPr="00D160FB" w:rsidRDefault="00D152B6" w:rsidP="00D152B6">
            <w:pPr>
              <w:pStyle w:val="Marginlie"/>
              <w:rPr>
                <w:lang w:val="en-GB"/>
              </w:rPr>
            </w:pPr>
          </w:p>
          <w:p w14:paraId="6F3ED0E7" w14:textId="197B7E8C" w:rsidR="00D152B6" w:rsidRPr="00D160FB" w:rsidRDefault="00A853BB" w:rsidP="00D152B6">
            <w:pPr>
              <w:pStyle w:val="Marginlie"/>
              <w:rPr>
                <w:color w:val="0D0D0D" w:themeColor="text1" w:themeTint="F2"/>
                <w:lang w:val="en-GB"/>
              </w:rPr>
            </w:pPr>
            <w:r>
              <w:rPr>
                <w:lang w:val="en-GB"/>
              </w:rPr>
              <w:t>Demand in the most energy-</w:t>
            </w:r>
            <w:r w:rsidR="00D152B6" w:rsidRPr="00D160FB">
              <w:rPr>
                <w:lang w:val="en-GB"/>
              </w:rPr>
              <w:t xml:space="preserve">intensive branches was decreasing. </w:t>
            </w:r>
          </w:p>
        </w:tc>
        <w:tc>
          <w:tcPr>
            <w:tcW w:w="200" w:type="dxa"/>
            <w:tcBorders>
              <w:top w:val="nil"/>
              <w:left w:val="nil"/>
              <w:bottom w:val="nil"/>
              <w:right w:val="nil"/>
            </w:tcBorders>
            <w:shd w:val="clear" w:color="auto" w:fill="auto"/>
            <w:tcMar>
              <w:left w:w="0" w:type="dxa"/>
            </w:tcMar>
          </w:tcPr>
          <w:p w14:paraId="57E1214E" w14:textId="77777777" w:rsidR="00D152B6" w:rsidRPr="00D160FB" w:rsidRDefault="00D152B6" w:rsidP="00D152B6">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72C7A30C" w14:textId="3847CEF7" w:rsidR="00D152B6" w:rsidRPr="00D160FB" w:rsidRDefault="00A853BB" w:rsidP="00A40CD6">
            <w:pPr>
              <w:spacing w:after="200"/>
              <w:rPr>
                <w:rFonts w:cs="Arial"/>
                <w:bCs/>
                <w:color w:val="0D0D0D" w:themeColor="text1" w:themeTint="F2"/>
                <w:spacing w:val="-5"/>
                <w:szCs w:val="20"/>
                <w:lang w:val="en-GB"/>
              </w:rPr>
            </w:pPr>
            <w:r>
              <w:rPr>
                <w:color w:val="0D0D0D" w:themeColor="text1" w:themeTint="F2"/>
                <w:spacing w:val="-5"/>
                <w:lang w:val="en-GB"/>
              </w:rPr>
              <w:t>The g</w:t>
            </w:r>
            <w:r w:rsidR="00D152B6" w:rsidRPr="00D160FB">
              <w:rPr>
                <w:color w:val="0D0D0D" w:themeColor="text1" w:themeTint="F2"/>
                <w:spacing w:val="-5"/>
                <w:lang w:val="en-GB"/>
              </w:rPr>
              <w:t xml:space="preserve">rowth of the nominal value of new orders </w:t>
            </w:r>
            <w:r>
              <w:rPr>
                <w:color w:val="0D0D0D" w:themeColor="text1" w:themeTint="F2"/>
                <w:spacing w:val="-5"/>
                <w:lang w:val="en-GB"/>
              </w:rPr>
              <w:t>(</w:t>
            </w:r>
            <w:r w:rsidR="00D152B6" w:rsidRPr="00D160FB">
              <w:rPr>
                <w:color w:val="0D0D0D" w:themeColor="text1" w:themeTint="F2"/>
                <w:spacing w:val="-5"/>
                <w:lang w:val="en-GB"/>
              </w:rPr>
              <w:t>in selected industrial branches</w:t>
            </w:r>
            <w:r w:rsidR="00D152B6" w:rsidRPr="00D160FB">
              <w:rPr>
                <w:rStyle w:val="Znakapoznpodarou"/>
                <w:color w:val="0D0D0D" w:themeColor="text1" w:themeTint="F2"/>
                <w:spacing w:val="-5"/>
                <w:lang w:val="en-GB"/>
              </w:rPr>
              <w:footnoteReference w:id="30"/>
            </w:r>
            <w:r>
              <w:rPr>
                <w:color w:val="0D0D0D" w:themeColor="text1" w:themeTint="F2"/>
                <w:spacing w:val="-5"/>
                <w:lang w:val="en-GB"/>
              </w:rPr>
              <w:t>)</w:t>
            </w:r>
            <w:r w:rsidR="00D152B6" w:rsidRPr="00D160FB">
              <w:rPr>
                <w:color w:val="0D0D0D" w:themeColor="text1" w:themeTint="F2"/>
                <w:spacing w:val="-5"/>
                <w:lang w:val="en-GB"/>
              </w:rPr>
              <w:t xml:space="preserve"> </w:t>
            </w:r>
            <w:r>
              <w:rPr>
                <w:color w:val="0D0D0D" w:themeColor="text1" w:themeTint="F2"/>
                <w:spacing w:val="-5"/>
                <w:lang w:val="en-GB"/>
              </w:rPr>
              <w:t xml:space="preserve">was also </w:t>
            </w:r>
            <w:r w:rsidR="00D152B6" w:rsidRPr="00D160FB">
              <w:rPr>
                <w:color w:val="0D0D0D" w:themeColor="text1" w:themeTint="F2"/>
                <w:spacing w:val="-5"/>
                <w:lang w:val="en-GB"/>
              </w:rPr>
              <w:t xml:space="preserve">markedly impacted by the price effects for the whole last year. In addition it still lagged behind the dynamics of both sales and growth of industrial producer prices. The orders grew by 12.5% year-on-year in Q4, from more than two thirds aided by the demand in the manufacturing of motor vehicles. It was partially affected by the lower comparative basis. It </w:t>
            </w:r>
            <w:r>
              <w:rPr>
                <w:color w:val="0D0D0D" w:themeColor="text1" w:themeTint="F2"/>
                <w:spacing w:val="-5"/>
                <w:lang w:val="en-GB"/>
              </w:rPr>
              <w:t>is encouraging, that the size of these orders expanded</w:t>
            </w:r>
            <w:r w:rsidR="00D152B6" w:rsidRPr="00D160FB">
              <w:rPr>
                <w:color w:val="0D0D0D" w:themeColor="text1" w:themeTint="F2"/>
                <w:spacing w:val="-5"/>
                <w:lang w:val="en-GB"/>
              </w:rPr>
              <w:t xml:space="preserve"> also compared to Q</w:t>
            </w:r>
            <w:r w:rsidR="00D152B6" w:rsidRPr="00D160FB">
              <w:rPr>
                <w:color w:val="0D0D0D" w:themeColor="text1" w:themeTint="F2"/>
                <w:spacing w:val="-7"/>
                <w:lang w:val="en-GB"/>
              </w:rPr>
              <w:t xml:space="preserve">3 </w:t>
            </w:r>
            <w:r w:rsidR="00D152B6" w:rsidRPr="00D160FB">
              <w:rPr>
                <w:color w:val="0D0D0D" w:themeColor="text1" w:themeTint="F2"/>
                <w:spacing w:val="-5"/>
                <w:lang w:val="en-GB"/>
              </w:rPr>
              <w:t>2022. It cannot be claimed r</w:t>
            </w:r>
            <w:r>
              <w:rPr>
                <w:color w:val="0D0D0D" w:themeColor="text1" w:themeTint="F2"/>
                <w:spacing w:val="-5"/>
                <w:lang w:val="en-GB"/>
              </w:rPr>
              <w:t>egarding the most energy-</w:t>
            </w:r>
            <w:r w:rsidR="00D152B6" w:rsidRPr="00D160FB">
              <w:rPr>
                <w:color w:val="0D0D0D" w:themeColor="text1" w:themeTint="F2"/>
                <w:spacing w:val="-5"/>
                <w:lang w:val="en-GB"/>
              </w:rPr>
              <w:t>intensive industrial branches (metallurgy, chemical industry), where the demand was falling quar</w:t>
            </w:r>
            <w:r>
              <w:rPr>
                <w:color w:val="0D0D0D" w:themeColor="text1" w:themeTint="F2"/>
                <w:spacing w:val="-5"/>
                <w:lang w:val="en-GB"/>
              </w:rPr>
              <w:t>ter-on-quarter already</w:t>
            </w:r>
            <w:r w:rsidR="00D152B6" w:rsidRPr="00D160FB">
              <w:rPr>
                <w:color w:val="0D0D0D" w:themeColor="text1" w:themeTint="F2"/>
                <w:spacing w:val="-5"/>
                <w:lang w:val="en-GB"/>
              </w:rPr>
              <w:t xml:space="preserve"> in Summer</w:t>
            </w:r>
            <w:r>
              <w:rPr>
                <w:color w:val="0D0D0D" w:themeColor="text1" w:themeTint="F2"/>
                <w:spacing w:val="-5"/>
                <w:lang w:val="en-GB"/>
              </w:rPr>
              <w:t xml:space="preserve"> 2022</w:t>
            </w:r>
            <w:r w:rsidR="00D152B6" w:rsidRPr="00D160FB">
              <w:rPr>
                <w:color w:val="0D0D0D" w:themeColor="text1" w:themeTint="F2"/>
                <w:spacing w:val="-5"/>
                <w:lang w:val="en-GB"/>
              </w:rPr>
              <w:t xml:space="preserve">. </w:t>
            </w:r>
            <w:r>
              <w:rPr>
                <w:color w:val="0D0D0D" w:themeColor="text1" w:themeTint="F2"/>
                <w:spacing w:val="-5"/>
                <w:lang w:val="en-GB"/>
              </w:rPr>
              <w:t>With regard</w:t>
            </w:r>
            <w:r w:rsidR="00D152B6" w:rsidRPr="00D160FB">
              <w:rPr>
                <w:color w:val="0D0D0D" w:themeColor="text1" w:themeTint="F2"/>
                <w:spacing w:val="-5"/>
                <w:lang w:val="en-GB"/>
              </w:rPr>
              <w:t xml:space="preserve"> to the growth of prices of intermediate inputs</w:t>
            </w:r>
            <w:r>
              <w:rPr>
                <w:color w:val="0D0D0D" w:themeColor="text1" w:themeTint="F2"/>
                <w:spacing w:val="-5"/>
                <w:lang w:val="en-GB"/>
              </w:rPr>
              <w:t>,</w:t>
            </w:r>
            <w:r w:rsidR="00D152B6" w:rsidRPr="00D160FB">
              <w:rPr>
                <w:color w:val="0D0D0D" w:themeColor="text1" w:themeTint="F2"/>
                <w:spacing w:val="-5"/>
                <w:lang w:val="en-GB"/>
              </w:rPr>
              <w:t xml:space="preserve"> the dynamics </w:t>
            </w:r>
            <w:r>
              <w:rPr>
                <w:color w:val="0D0D0D" w:themeColor="text1" w:themeTint="F2"/>
                <w:spacing w:val="-5"/>
                <w:lang w:val="en-GB"/>
              </w:rPr>
              <w:t xml:space="preserve">of orders </w:t>
            </w:r>
            <w:r w:rsidR="005279E0">
              <w:rPr>
                <w:color w:val="0D0D0D" w:themeColor="text1" w:themeTint="F2"/>
                <w:spacing w:val="-5"/>
                <w:lang w:val="en-GB"/>
              </w:rPr>
              <w:t>can</w:t>
            </w:r>
            <w:r w:rsidR="00D152B6" w:rsidRPr="00D160FB">
              <w:rPr>
                <w:color w:val="0D0D0D" w:themeColor="text1" w:themeTint="F2"/>
                <w:spacing w:val="-5"/>
                <w:lang w:val="en-GB"/>
              </w:rPr>
              <w:t xml:space="preserve"> be </w:t>
            </w:r>
            <w:r w:rsidR="00A40CD6" w:rsidRPr="00D160FB">
              <w:rPr>
                <w:color w:val="0D0D0D" w:themeColor="text1" w:themeTint="F2"/>
                <w:spacing w:val="-5"/>
                <w:lang w:val="en-GB"/>
              </w:rPr>
              <w:t xml:space="preserve">assessed </w:t>
            </w:r>
            <w:r w:rsidR="00D152B6" w:rsidRPr="00D160FB">
              <w:rPr>
                <w:color w:val="0D0D0D" w:themeColor="text1" w:themeTint="F2"/>
                <w:spacing w:val="-5"/>
                <w:lang w:val="en-GB"/>
              </w:rPr>
              <w:t xml:space="preserve">favourably in manufacturing of wearing apparel, pharmaceutical industry and </w:t>
            </w:r>
            <w:r>
              <w:rPr>
                <w:color w:val="0D0D0D" w:themeColor="text1" w:themeTint="F2"/>
                <w:spacing w:val="-5"/>
                <w:lang w:val="en-GB"/>
              </w:rPr>
              <w:t>(</w:t>
            </w:r>
            <w:r w:rsidR="00D152B6" w:rsidRPr="00D160FB">
              <w:rPr>
                <w:color w:val="0D0D0D" w:themeColor="text1" w:themeTint="F2"/>
                <w:spacing w:val="-5"/>
                <w:lang w:val="en-GB"/>
              </w:rPr>
              <w:t>thanks to strengthening domestic demand</w:t>
            </w:r>
            <w:r>
              <w:rPr>
                <w:color w:val="0D0D0D" w:themeColor="text1" w:themeTint="F2"/>
                <w:spacing w:val="-5"/>
                <w:lang w:val="en-GB"/>
              </w:rPr>
              <w:t>)</w:t>
            </w:r>
            <w:r w:rsidR="00D152B6" w:rsidRPr="00D160FB">
              <w:rPr>
                <w:color w:val="0D0D0D" w:themeColor="text1" w:themeTint="F2"/>
                <w:spacing w:val="-5"/>
                <w:lang w:val="en-GB"/>
              </w:rPr>
              <w:t xml:space="preserve"> also in the manufacturing of computers, electronic and optical appliances.   </w:t>
            </w:r>
          </w:p>
        </w:tc>
      </w:tr>
      <w:tr w:rsidR="00D152B6" w:rsidRPr="00D160FB" w14:paraId="3B76EC34" w14:textId="77777777" w:rsidTr="00976631">
        <w:trPr>
          <w:trHeight w:val="134"/>
        </w:trPr>
        <w:tc>
          <w:tcPr>
            <w:tcW w:w="1780" w:type="dxa"/>
            <w:vMerge w:val="restart"/>
            <w:tcBorders>
              <w:top w:val="nil"/>
              <w:left w:val="nil"/>
              <w:bottom w:val="nil"/>
              <w:right w:val="nil"/>
            </w:tcBorders>
            <w:shd w:val="clear" w:color="auto" w:fill="auto"/>
            <w:tcMar>
              <w:left w:w="0" w:type="dxa"/>
            </w:tcMar>
          </w:tcPr>
          <w:p w14:paraId="38102944" w14:textId="77777777" w:rsidR="00D152B6" w:rsidRPr="00D160FB" w:rsidRDefault="00D152B6" w:rsidP="00D152B6">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5F0BF7A2"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6927EB33" w14:textId="302C188F" w:rsidR="00D152B6" w:rsidRPr="00D160FB" w:rsidRDefault="00D152B6" w:rsidP="00D152B6">
            <w:pPr>
              <w:spacing w:after="0"/>
              <w:rPr>
                <w:color w:val="0D0D0D" w:themeColor="text1" w:themeTint="F2"/>
                <w:spacing w:val="-5"/>
                <w:lang w:val="en-GB"/>
              </w:rPr>
            </w:pPr>
            <w:r w:rsidRPr="00D160FB">
              <w:rPr>
                <w:b/>
                <w:spacing w:val="-2"/>
                <w:lang w:val="en-GB"/>
              </w:rPr>
              <w:t xml:space="preserve">Chart 5 </w:t>
            </w:r>
            <w:r w:rsidRPr="00D160FB">
              <w:rPr>
                <w:b/>
                <w:lang w:val="en-GB"/>
              </w:rPr>
              <w:t xml:space="preserve">New orders in industry </w:t>
            </w:r>
            <w:r w:rsidRPr="00D160FB">
              <w:rPr>
                <w:bCs/>
                <w:lang w:val="en-GB"/>
              </w:rPr>
              <w:t xml:space="preserve">(nominal, year-on-year change in %), </w:t>
            </w:r>
            <w:r w:rsidRPr="00D160FB">
              <w:rPr>
                <w:b/>
                <w:lang w:val="en-GB"/>
              </w:rPr>
              <w:t>utilisation of production capacities in industry, selected growth barriers*</w:t>
            </w:r>
            <w:r w:rsidRPr="00D160FB">
              <w:rPr>
                <w:lang w:val="en-GB"/>
              </w:rPr>
              <w:t xml:space="preserve"> (in %, right axis) </w:t>
            </w:r>
            <w:r w:rsidRPr="00D160FB">
              <w:rPr>
                <w:b/>
                <w:bCs/>
                <w:lang w:val="en-GB"/>
              </w:rPr>
              <w:t>and balance of business confidence indicator in industry*</w:t>
            </w:r>
            <w:r w:rsidRPr="00D160FB">
              <w:rPr>
                <w:lang w:val="en-GB"/>
              </w:rPr>
              <w:t xml:space="preserve"> (in p.p., right axis)</w:t>
            </w:r>
          </w:p>
        </w:tc>
      </w:tr>
      <w:tr w:rsidR="00D152B6" w:rsidRPr="00D160FB" w14:paraId="4A966D80" w14:textId="77777777" w:rsidTr="00976631">
        <w:tblPrEx>
          <w:tblCellMar>
            <w:left w:w="70" w:type="dxa"/>
            <w:right w:w="70" w:type="dxa"/>
          </w:tblCellMar>
        </w:tblPrEx>
        <w:trPr>
          <w:trHeight w:val="133"/>
        </w:trPr>
        <w:tc>
          <w:tcPr>
            <w:tcW w:w="1780" w:type="dxa"/>
            <w:vMerge/>
            <w:tcBorders>
              <w:top w:val="nil"/>
              <w:left w:val="nil"/>
              <w:bottom w:val="nil"/>
              <w:right w:val="nil"/>
            </w:tcBorders>
            <w:shd w:val="clear" w:color="auto" w:fill="auto"/>
          </w:tcPr>
          <w:p w14:paraId="5C505736" w14:textId="77777777" w:rsidR="00D152B6" w:rsidRPr="00D160FB" w:rsidRDefault="00D152B6" w:rsidP="00D152B6">
            <w:pPr>
              <w:pStyle w:val="Marginlie"/>
              <w:rPr>
                <w:lang w:val="en-GB"/>
              </w:rPr>
            </w:pPr>
          </w:p>
        </w:tc>
        <w:tc>
          <w:tcPr>
            <w:tcW w:w="200" w:type="dxa"/>
            <w:vMerge/>
            <w:tcBorders>
              <w:top w:val="nil"/>
              <w:left w:val="nil"/>
              <w:bottom w:val="nil"/>
              <w:right w:val="nil"/>
            </w:tcBorders>
            <w:shd w:val="clear" w:color="auto" w:fill="auto"/>
          </w:tcPr>
          <w:p w14:paraId="112EA808"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Pr>
          <w:p w14:paraId="45F10695" w14:textId="336B4882" w:rsidR="00D152B6" w:rsidRPr="00D160FB" w:rsidRDefault="00D152B6" w:rsidP="00D152B6">
            <w:pPr>
              <w:spacing w:after="0"/>
              <w:rPr>
                <w:color w:val="0D0D0D" w:themeColor="text1" w:themeTint="F2"/>
                <w:spacing w:val="-5"/>
                <w:lang w:val="en-GB"/>
              </w:rPr>
            </w:pPr>
            <w:r>
              <w:rPr>
                <w:noProof/>
              </w:rPr>
              <w:drawing>
                <wp:inline distT="0" distB="0" distL="0" distR="0" wp14:anchorId="35C983CF" wp14:editId="0B24D596">
                  <wp:extent cx="4666080" cy="3636780"/>
                  <wp:effectExtent l="0" t="0" r="1270" b="1905"/>
                  <wp:docPr id="26" name="Graf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D152B6" w:rsidRPr="00D160FB" w14:paraId="4E1B0883" w14:textId="77777777" w:rsidTr="00976631">
        <w:trPr>
          <w:trHeight w:val="133"/>
        </w:trPr>
        <w:tc>
          <w:tcPr>
            <w:tcW w:w="1780" w:type="dxa"/>
            <w:vMerge/>
            <w:tcBorders>
              <w:top w:val="nil"/>
              <w:left w:val="nil"/>
              <w:bottom w:val="nil"/>
              <w:right w:val="nil"/>
            </w:tcBorders>
            <w:shd w:val="clear" w:color="auto" w:fill="auto"/>
            <w:tcMar>
              <w:left w:w="0" w:type="dxa"/>
            </w:tcMar>
          </w:tcPr>
          <w:p w14:paraId="07F3AC82" w14:textId="77777777" w:rsidR="00D152B6" w:rsidRPr="00D160FB" w:rsidRDefault="00D152B6" w:rsidP="00D152B6">
            <w:pPr>
              <w:pStyle w:val="Marginlie"/>
              <w:rPr>
                <w:lang w:val="en-GB"/>
              </w:rPr>
            </w:pPr>
          </w:p>
        </w:tc>
        <w:tc>
          <w:tcPr>
            <w:tcW w:w="200" w:type="dxa"/>
            <w:vMerge/>
            <w:tcBorders>
              <w:top w:val="nil"/>
              <w:left w:val="nil"/>
              <w:bottom w:val="nil"/>
              <w:right w:val="nil"/>
            </w:tcBorders>
            <w:shd w:val="clear" w:color="auto" w:fill="auto"/>
            <w:tcMar>
              <w:left w:w="0" w:type="dxa"/>
            </w:tcMar>
          </w:tcPr>
          <w:p w14:paraId="2A2DA502" w14:textId="77777777" w:rsidR="00D152B6" w:rsidRPr="00D160FB" w:rsidRDefault="00D152B6" w:rsidP="00D152B6">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F487161" w14:textId="77777777" w:rsidR="00D152B6" w:rsidRDefault="00D152B6" w:rsidP="00D152B6">
            <w:pPr>
              <w:spacing w:after="0"/>
              <w:rPr>
                <w:rFonts w:cs="Arial"/>
                <w:sz w:val="14"/>
                <w:szCs w:val="14"/>
                <w:lang w:val="en-GB"/>
              </w:rPr>
            </w:pPr>
            <w:r w:rsidRPr="00D160FB">
              <w:rPr>
                <w:color w:val="0D0D0D" w:themeColor="text1" w:themeTint="F2"/>
                <w:spacing w:val="-5"/>
                <w:lang w:val="en-GB"/>
              </w:rPr>
              <w:t>*</w:t>
            </w:r>
            <w:r w:rsidRPr="00D160FB">
              <w:rPr>
                <w:rFonts w:cs="Arial"/>
                <w:sz w:val="14"/>
                <w:szCs w:val="14"/>
                <w:lang w:val="en-GB"/>
              </w:rPr>
              <w:t>Both utilisation of production capacities and growth barriers express the level in the fi</w:t>
            </w:r>
            <w:r>
              <w:rPr>
                <w:rFonts w:cs="Arial"/>
                <w:sz w:val="14"/>
                <w:szCs w:val="14"/>
                <w:lang w:val="en-GB"/>
              </w:rPr>
              <w:t>rst month of the given quarter,</w:t>
            </w:r>
            <w:r w:rsidRPr="00D160FB">
              <w:rPr>
                <w:rFonts w:cs="Arial"/>
                <w:sz w:val="14"/>
                <w:szCs w:val="14"/>
                <w:lang w:val="en-GB"/>
              </w:rPr>
              <w:t xml:space="preserve"> business confidence balance relates to the second month in the quarter. Orders are adjusted for calendar effects; other indicators are seasonally adjusted. Businesses could have indicated more key growth barriers simultaneously.</w:t>
            </w:r>
          </w:p>
          <w:p w14:paraId="342016E4" w14:textId="691DFBF8" w:rsidR="00D152B6" w:rsidRPr="00181788" w:rsidRDefault="00D152B6" w:rsidP="00D152B6">
            <w:pPr>
              <w:spacing w:after="200"/>
              <w:rPr>
                <w:rFonts w:cs="Arial"/>
                <w:sz w:val="14"/>
                <w:szCs w:val="14"/>
                <w:lang w:val="en-GB"/>
              </w:rPr>
            </w:pPr>
            <w:r w:rsidRPr="00D160FB">
              <w:rPr>
                <w:rFonts w:cs="Arial"/>
                <w:sz w:val="14"/>
                <w:szCs w:val="14"/>
                <w:lang w:val="en-GB"/>
              </w:rPr>
              <w:t>Source: CZSO, Eurostat</w:t>
            </w:r>
          </w:p>
        </w:tc>
      </w:tr>
      <w:tr w:rsidR="005279E0" w:rsidRPr="00D160FB" w14:paraId="03D57F09" w14:textId="77777777" w:rsidTr="00976631">
        <w:trPr>
          <w:trHeight w:val="170"/>
        </w:trPr>
        <w:tc>
          <w:tcPr>
            <w:tcW w:w="1780" w:type="dxa"/>
            <w:tcBorders>
              <w:top w:val="nil"/>
              <w:left w:val="nil"/>
              <w:bottom w:val="nil"/>
              <w:right w:val="nil"/>
            </w:tcBorders>
            <w:shd w:val="clear" w:color="auto" w:fill="auto"/>
            <w:tcMar>
              <w:left w:w="0" w:type="dxa"/>
            </w:tcMar>
          </w:tcPr>
          <w:p w14:paraId="1D793B13" w14:textId="77777777" w:rsidR="005279E0" w:rsidRPr="00D160FB" w:rsidRDefault="005279E0" w:rsidP="005279E0">
            <w:pPr>
              <w:pStyle w:val="Marginlie"/>
              <w:rPr>
                <w:spacing w:val="-4"/>
                <w:lang w:val="en-GB"/>
              </w:rPr>
            </w:pPr>
            <w:r w:rsidRPr="00D160FB">
              <w:rPr>
                <w:spacing w:val="-4"/>
                <w:lang w:val="en-GB"/>
              </w:rPr>
              <w:t xml:space="preserve">Business confidence in industry perceptibly dropped since the last Spring. </w:t>
            </w:r>
          </w:p>
          <w:p w14:paraId="4EDC130E" w14:textId="77777777" w:rsidR="005279E0" w:rsidRPr="00D160FB" w:rsidRDefault="005279E0" w:rsidP="005279E0">
            <w:pPr>
              <w:pStyle w:val="Marginlie"/>
              <w:rPr>
                <w:spacing w:val="-4"/>
                <w:lang w:val="en-GB"/>
              </w:rPr>
            </w:pPr>
          </w:p>
          <w:p w14:paraId="6BD3E10A" w14:textId="77777777" w:rsidR="005279E0" w:rsidRPr="00D160FB" w:rsidRDefault="005279E0" w:rsidP="005279E0">
            <w:pPr>
              <w:pStyle w:val="Marginlie"/>
              <w:rPr>
                <w:spacing w:val="-4"/>
                <w:lang w:val="en-GB"/>
              </w:rPr>
            </w:pPr>
          </w:p>
          <w:p w14:paraId="3A6D3E7C" w14:textId="77777777" w:rsidR="005279E0" w:rsidRPr="00D160FB" w:rsidRDefault="005279E0" w:rsidP="005279E0">
            <w:pPr>
              <w:pStyle w:val="Marginlie"/>
              <w:rPr>
                <w:spacing w:val="-4"/>
                <w:lang w:val="en-GB"/>
              </w:rPr>
            </w:pPr>
          </w:p>
          <w:p w14:paraId="75162C61" w14:textId="0C02ECA6" w:rsidR="005279E0" w:rsidRPr="00D160FB" w:rsidRDefault="005279E0" w:rsidP="005279E0">
            <w:pPr>
              <w:pStyle w:val="Marginlie"/>
              <w:rPr>
                <w:color w:val="0D0D0D" w:themeColor="text1" w:themeTint="F2"/>
                <w:spacing w:val="-4"/>
                <w:lang w:val="en-GB"/>
              </w:rPr>
            </w:pPr>
            <w:r w:rsidRPr="00D160FB">
              <w:rPr>
                <w:spacing w:val="-4"/>
                <w:lang w:val="en-GB"/>
              </w:rPr>
              <w:t xml:space="preserve">Inadequate demand again became the key barrier to growth following a two-year pause. </w:t>
            </w:r>
          </w:p>
        </w:tc>
        <w:tc>
          <w:tcPr>
            <w:tcW w:w="200" w:type="dxa"/>
            <w:tcBorders>
              <w:top w:val="nil"/>
              <w:left w:val="nil"/>
              <w:bottom w:val="nil"/>
              <w:right w:val="nil"/>
            </w:tcBorders>
            <w:shd w:val="clear" w:color="auto" w:fill="auto"/>
            <w:tcMar>
              <w:left w:w="0" w:type="dxa"/>
            </w:tcMar>
          </w:tcPr>
          <w:p w14:paraId="6EB16FDC"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81D370C" w14:textId="6ADAD4B7" w:rsidR="005279E0" w:rsidRPr="00D160FB" w:rsidRDefault="005279E0" w:rsidP="005279E0">
            <w:pPr>
              <w:spacing w:after="200"/>
              <w:rPr>
                <w:color w:val="0D0D0D" w:themeColor="text1" w:themeTint="F2"/>
                <w:spacing w:val="-6"/>
                <w:lang w:val="en-GB"/>
              </w:rPr>
            </w:pPr>
            <w:r w:rsidRPr="00D160FB">
              <w:rPr>
                <w:color w:val="0D0D0D" w:themeColor="text1" w:themeTint="F2"/>
                <w:spacing w:val="-8"/>
                <w:lang w:val="en-GB"/>
              </w:rPr>
              <w:t xml:space="preserve">Business confidence in industry was after a short growth in Q2 2022 (associated with the moderation of pressures in the supplier chains at the motor vehicle manufacturers) gradually decreasing in the subsequent months. The largest pessimism </w:t>
            </w:r>
            <w:r>
              <w:rPr>
                <w:color w:val="0D0D0D" w:themeColor="text1" w:themeTint="F2"/>
                <w:spacing w:val="-8"/>
                <w:lang w:val="en-GB"/>
              </w:rPr>
              <w:t>since June 2020 thus set in</w:t>
            </w:r>
            <w:r w:rsidRPr="00D160FB">
              <w:rPr>
                <w:color w:val="0D0D0D" w:themeColor="text1" w:themeTint="F2"/>
                <w:spacing w:val="-8"/>
                <w:lang w:val="en-GB"/>
              </w:rPr>
              <w:t xml:space="preserve"> February</w:t>
            </w:r>
            <w:r>
              <w:rPr>
                <w:color w:val="0D0D0D" w:themeColor="text1" w:themeTint="F2"/>
                <w:spacing w:val="-8"/>
                <w:lang w:val="en-GB"/>
              </w:rPr>
              <w:t xml:space="preserve"> 2023</w:t>
            </w:r>
            <w:r w:rsidRPr="00D160FB">
              <w:rPr>
                <w:color w:val="0D0D0D" w:themeColor="text1" w:themeTint="F2"/>
                <w:spacing w:val="-8"/>
                <w:lang w:val="en-GB"/>
              </w:rPr>
              <w:t xml:space="preserve">. Unfavourable assessment of the current demand prevailed; the inventory stock </w:t>
            </w:r>
            <w:r w:rsidRPr="00D160FB">
              <w:rPr>
                <w:color w:val="0D0D0D" w:themeColor="text1" w:themeTint="F2"/>
                <w:spacing w:val="-8"/>
                <w:lang w:val="en-GB"/>
              </w:rPr>
              <w:lastRenderedPageBreak/>
              <w:t xml:space="preserve">of finished products remained above the long-term average. With the rising number of businesses anticipating a decline in production in the short-term horizon (as far as </w:t>
            </w:r>
            <w:r>
              <w:rPr>
                <w:color w:val="0D0D0D" w:themeColor="text1" w:themeTint="F2"/>
                <w:spacing w:val="-8"/>
                <w:lang w:val="en-GB"/>
              </w:rPr>
              <w:t>15%)</w:t>
            </w:r>
            <w:r w:rsidRPr="00D160FB">
              <w:rPr>
                <w:color w:val="0D0D0D" w:themeColor="text1" w:themeTint="F2"/>
                <w:spacing w:val="-8"/>
                <w:lang w:val="en-GB"/>
              </w:rPr>
              <w:t xml:space="preserve"> the negative outlooks </w:t>
            </w:r>
            <w:r w:rsidRPr="003D13A6">
              <w:rPr>
                <w:color w:val="0D0D0D" w:themeColor="text1" w:themeTint="F2"/>
                <w:spacing w:val="-10"/>
                <w:lang w:val="en-GB"/>
              </w:rPr>
              <w:t>for the employment were deepening</w:t>
            </w:r>
            <w:r w:rsidRPr="003D13A6">
              <w:rPr>
                <w:rStyle w:val="Znakapoznpodarou"/>
                <w:color w:val="0D0D0D" w:themeColor="text1" w:themeTint="F2"/>
                <w:spacing w:val="-10"/>
                <w:lang w:val="en-GB"/>
              </w:rPr>
              <w:footnoteReference w:id="31"/>
            </w:r>
            <w:r w:rsidRPr="003D13A6">
              <w:rPr>
                <w:color w:val="0D0D0D" w:themeColor="text1" w:themeTint="F2"/>
                <w:spacing w:val="-10"/>
                <w:lang w:val="en-GB"/>
              </w:rPr>
              <w:t>. With the length of the outlook nevertheless, the expectations</w:t>
            </w:r>
            <w:r w:rsidRPr="00D160FB">
              <w:rPr>
                <w:color w:val="0D0D0D" w:themeColor="text1" w:themeTint="F2"/>
                <w:spacing w:val="-8"/>
                <w:lang w:val="en-GB"/>
              </w:rPr>
              <w:t xml:space="preserve"> of the total economic situation were improving</w:t>
            </w:r>
            <w:r w:rsidRPr="00D160FB">
              <w:rPr>
                <w:rStyle w:val="Znakapoznpodarou"/>
                <w:color w:val="0D0D0D" w:themeColor="text1" w:themeTint="F2"/>
                <w:spacing w:val="-8"/>
                <w:lang w:val="en-GB"/>
              </w:rPr>
              <w:footnoteReference w:id="32"/>
            </w:r>
            <w:r w:rsidRPr="00D160FB">
              <w:rPr>
                <w:color w:val="0D0D0D" w:themeColor="text1" w:themeTint="F2"/>
                <w:spacing w:val="-8"/>
                <w:lang w:val="en-GB"/>
              </w:rPr>
              <w:t>. Inadequate demand represented the key barrier to growth</w:t>
            </w:r>
            <w:r w:rsidRPr="00D160FB">
              <w:rPr>
                <w:rStyle w:val="Znakapoznpodarou"/>
                <w:color w:val="0D0D0D" w:themeColor="text1" w:themeTint="F2"/>
                <w:spacing w:val="-8"/>
                <w:lang w:val="en-GB"/>
              </w:rPr>
              <w:footnoteReference w:id="33"/>
            </w:r>
            <w:r w:rsidRPr="00D160FB">
              <w:rPr>
                <w:color w:val="0D0D0D" w:themeColor="text1" w:themeTint="F2"/>
                <w:spacing w:val="-8"/>
                <w:lang w:val="en-GB"/>
              </w:rPr>
              <w:t xml:space="preserve"> (for 42% of businesses), shortage of material or labour force played a smaller role since the last year’s Autumn (it still stayed essential for businesses in some branches). </w:t>
            </w:r>
          </w:p>
        </w:tc>
      </w:tr>
      <w:tr w:rsidR="005279E0" w:rsidRPr="00D160FB" w14:paraId="7A58C7F4" w14:textId="77777777" w:rsidTr="00976631">
        <w:trPr>
          <w:trHeight w:val="170"/>
        </w:trPr>
        <w:tc>
          <w:tcPr>
            <w:tcW w:w="1780" w:type="dxa"/>
            <w:tcBorders>
              <w:top w:val="nil"/>
              <w:left w:val="nil"/>
              <w:bottom w:val="nil"/>
              <w:right w:val="nil"/>
            </w:tcBorders>
            <w:shd w:val="clear" w:color="auto" w:fill="auto"/>
            <w:tcMar>
              <w:left w:w="0" w:type="dxa"/>
            </w:tcMar>
          </w:tcPr>
          <w:p w14:paraId="7E2261B4" w14:textId="583565CB" w:rsidR="005279E0" w:rsidRPr="00D160FB" w:rsidRDefault="005279E0" w:rsidP="005279E0">
            <w:pPr>
              <w:pStyle w:val="Marginlie"/>
              <w:rPr>
                <w:color w:val="0D0D0D" w:themeColor="text1" w:themeTint="F2"/>
                <w:spacing w:val="-4"/>
                <w:lang w:val="en-GB"/>
              </w:rPr>
            </w:pPr>
            <w:r w:rsidRPr="00D160FB">
              <w:rPr>
                <w:color w:val="0D0D0D" w:themeColor="text1" w:themeTint="F2"/>
                <w:spacing w:val="-4"/>
                <w:lang w:val="en-GB"/>
              </w:rPr>
              <w:lastRenderedPageBreak/>
              <w:t xml:space="preserve">Output mildly increased in construction for the last year, specifically thanks to its both main branches. </w:t>
            </w:r>
          </w:p>
        </w:tc>
        <w:tc>
          <w:tcPr>
            <w:tcW w:w="200" w:type="dxa"/>
            <w:tcBorders>
              <w:top w:val="nil"/>
              <w:left w:val="nil"/>
              <w:bottom w:val="nil"/>
              <w:right w:val="nil"/>
            </w:tcBorders>
            <w:shd w:val="clear" w:color="auto" w:fill="auto"/>
            <w:tcMar>
              <w:left w:w="0" w:type="dxa"/>
            </w:tcMar>
          </w:tcPr>
          <w:p w14:paraId="080B279C"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2EFB50D5" w14:textId="181564FC" w:rsidR="005279E0" w:rsidRPr="00D160FB" w:rsidRDefault="005279E0" w:rsidP="005279E0">
            <w:pPr>
              <w:spacing w:after="200"/>
              <w:rPr>
                <w:color w:val="0D0D0D" w:themeColor="text1" w:themeTint="F2"/>
                <w:spacing w:val="-6"/>
                <w:lang w:val="en-GB"/>
              </w:rPr>
            </w:pPr>
            <w:r w:rsidRPr="00D160FB">
              <w:rPr>
                <w:color w:val="0D0D0D" w:themeColor="text1" w:themeTint="F2"/>
                <w:spacing w:val="-6"/>
                <w:lang w:val="en-GB"/>
              </w:rPr>
              <w:t xml:space="preserve">Construction performance displayed a fluctuating nature in the CR during the last year. In Q1, </w:t>
            </w:r>
            <w:r w:rsidR="00BB1CDD">
              <w:rPr>
                <w:color w:val="0D0D0D" w:themeColor="text1" w:themeTint="F2"/>
                <w:spacing w:val="-6"/>
                <w:lang w:val="en-GB"/>
              </w:rPr>
              <w:t xml:space="preserve">2022 </w:t>
            </w:r>
            <w:r w:rsidRPr="00D160FB">
              <w:rPr>
                <w:color w:val="0D0D0D" w:themeColor="text1" w:themeTint="F2"/>
                <w:spacing w:val="-6"/>
                <w:lang w:val="en-GB"/>
              </w:rPr>
              <w:t>the growth of its output</w:t>
            </w:r>
            <w:r w:rsidRPr="00D160FB">
              <w:rPr>
                <w:rStyle w:val="Znakapoznpodarou"/>
                <w:color w:val="0D0D0D" w:themeColor="text1" w:themeTint="F2"/>
                <w:spacing w:val="-6"/>
                <w:lang w:val="en-GB"/>
              </w:rPr>
              <w:footnoteReference w:id="34"/>
            </w:r>
            <w:r w:rsidRPr="00D160FB">
              <w:rPr>
                <w:color w:val="0D0D0D" w:themeColor="text1" w:themeTint="F2"/>
                <w:spacing w:val="-6"/>
                <w:lang w:val="en-GB"/>
              </w:rPr>
              <w:t xml:space="preserve"> accelerated </w:t>
            </w:r>
            <w:r w:rsidR="00BB1CDD">
              <w:rPr>
                <w:color w:val="0D0D0D" w:themeColor="text1" w:themeTint="F2"/>
                <w:spacing w:val="-6"/>
                <w:lang w:val="en-GB"/>
              </w:rPr>
              <w:t>(</w:t>
            </w:r>
            <w:r w:rsidRPr="00D160FB">
              <w:rPr>
                <w:color w:val="0D0D0D" w:themeColor="text1" w:themeTint="F2"/>
                <w:spacing w:val="-6"/>
                <w:lang w:val="en-GB"/>
              </w:rPr>
              <w:t>due to the effect of warm winter as well as large stock of</w:t>
            </w:r>
            <w:r w:rsidR="00BB1CDD">
              <w:rPr>
                <w:color w:val="0D0D0D" w:themeColor="text1" w:themeTint="F2"/>
                <w:spacing w:val="-6"/>
                <w:lang w:val="en-GB"/>
              </w:rPr>
              <w:t xml:space="preserve"> both public and private orders) </w:t>
            </w:r>
            <w:r w:rsidRPr="00D160FB">
              <w:rPr>
                <w:color w:val="0D0D0D" w:themeColor="text1" w:themeTint="F2"/>
                <w:spacing w:val="-6"/>
                <w:lang w:val="en-GB"/>
              </w:rPr>
              <w:t>to quarter-on-quarter 4.</w:t>
            </w:r>
            <w:r w:rsidR="00BB1CDD">
              <w:rPr>
                <w:color w:val="0D0D0D" w:themeColor="text1" w:themeTint="F2"/>
                <w:spacing w:val="-6"/>
                <w:lang w:val="en-GB"/>
              </w:rPr>
              <w:t>3%</w:t>
            </w:r>
            <w:r w:rsidRPr="00D160FB">
              <w:rPr>
                <w:color w:val="0D0D0D" w:themeColor="text1" w:themeTint="F2"/>
                <w:spacing w:val="-6"/>
                <w:lang w:val="en-GB"/>
              </w:rPr>
              <w:t xml:space="preserve"> </w:t>
            </w:r>
            <w:r w:rsidR="00BB1CDD">
              <w:rPr>
                <w:color w:val="0D0D0D" w:themeColor="text1" w:themeTint="F2"/>
                <w:spacing w:val="-6"/>
                <w:lang w:val="en-GB"/>
              </w:rPr>
              <w:t>(</w:t>
            </w:r>
            <w:r w:rsidRPr="00D160FB">
              <w:rPr>
                <w:color w:val="0D0D0D" w:themeColor="text1" w:themeTint="F2"/>
                <w:spacing w:val="-6"/>
                <w:lang w:val="en-GB"/>
              </w:rPr>
              <w:t xml:space="preserve">mainly thanks to the civil engineering construction) and with its size overtook the pre-crisis year 2019 for the first time. The output lowered quarter-on-quarter (in total by 6.1%) during both Q2 and </w:t>
            </w:r>
            <w:r w:rsidR="00BB1CDD">
              <w:rPr>
                <w:color w:val="0D0D0D" w:themeColor="text1" w:themeTint="F2"/>
                <w:spacing w:val="-6"/>
                <w:lang w:val="en-GB"/>
              </w:rPr>
              <w:t>Q</w:t>
            </w:r>
            <w:r w:rsidRPr="00D160FB">
              <w:rPr>
                <w:color w:val="0D0D0D" w:themeColor="text1" w:themeTint="F2"/>
                <w:spacing w:val="-6"/>
                <w:lang w:val="en-GB"/>
              </w:rPr>
              <w:t>3. The adverse impact of the strong price growth (energies, fuels as well as material inputs), worse accessibility of materials, equipment but also the labour force (partially as a result of the war in Ukraine)</w:t>
            </w:r>
            <w:r w:rsidR="00BB1CDD">
              <w:rPr>
                <w:color w:val="0D0D0D" w:themeColor="text1" w:themeTint="F2"/>
                <w:spacing w:val="-6"/>
                <w:lang w:val="en-GB"/>
              </w:rPr>
              <w:t xml:space="preserve"> became more</w:t>
            </w:r>
            <w:r w:rsidRPr="00D160FB">
              <w:rPr>
                <w:color w:val="0D0D0D" w:themeColor="text1" w:themeTint="F2"/>
                <w:spacing w:val="-6"/>
                <w:lang w:val="en-GB"/>
              </w:rPr>
              <w:t xml:space="preserve"> evident. This often led to the extension of completion of existing projects or to the postponement of commencement, or alternatively the revision of planned investment actions. A mild recovery occurred during the last quarter (both building construction and civil engineering construction equally participated on </w:t>
            </w:r>
            <w:r w:rsidR="00BB1CDD">
              <w:rPr>
                <w:color w:val="0D0D0D" w:themeColor="text1" w:themeTint="F2"/>
                <w:spacing w:val="-6"/>
                <w:lang w:val="en-GB"/>
              </w:rPr>
              <w:t>the total</w:t>
            </w:r>
            <w:r w:rsidRPr="00D160FB">
              <w:rPr>
                <w:color w:val="0D0D0D" w:themeColor="text1" w:themeTint="F2"/>
                <w:spacing w:val="-6"/>
                <w:lang w:val="en-GB"/>
              </w:rPr>
              <w:t xml:space="preserve"> 2.2% output growth). The output increased by 2.6% for the whole year 2022 and continued in the similar growth from the preceding year. </w:t>
            </w:r>
            <w:r w:rsidR="00BB1CDD">
              <w:rPr>
                <w:color w:val="0D0D0D" w:themeColor="text1" w:themeTint="F2"/>
                <w:spacing w:val="-6"/>
                <w:lang w:val="en-GB"/>
              </w:rPr>
              <w:t xml:space="preserve">Unlike the </w:t>
            </w:r>
            <w:r w:rsidRPr="00D160FB">
              <w:rPr>
                <w:color w:val="0D0D0D" w:themeColor="text1" w:themeTint="F2"/>
                <w:spacing w:val="-6"/>
                <w:lang w:val="en-GB"/>
              </w:rPr>
              <w:t>year</w:t>
            </w:r>
            <w:r w:rsidR="00BB1CDD">
              <w:rPr>
                <w:color w:val="0D0D0D" w:themeColor="text1" w:themeTint="F2"/>
                <w:spacing w:val="-6"/>
                <w:lang w:val="en-GB"/>
              </w:rPr>
              <w:t xml:space="preserve"> 2021</w:t>
            </w:r>
            <w:r w:rsidRPr="00D160FB">
              <w:rPr>
                <w:color w:val="0D0D0D" w:themeColor="text1" w:themeTint="F2"/>
                <w:spacing w:val="-6"/>
                <w:lang w:val="en-GB"/>
              </w:rPr>
              <w:t xml:space="preserve"> however</w:t>
            </w:r>
            <w:r w:rsidR="003369B0">
              <w:rPr>
                <w:color w:val="0D0D0D" w:themeColor="text1" w:themeTint="F2"/>
                <w:spacing w:val="-6"/>
                <w:lang w:val="en-GB"/>
              </w:rPr>
              <w:t>,</w:t>
            </w:r>
            <w:r w:rsidR="00836B5C">
              <w:rPr>
                <w:color w:val="0D0D0D" w:themeColor="text1" w:themeTint="F2"/>
                <w:spacing w:val="-6"/>
                <w:lang w:val="en-GB"/>
              </w:rPr>
              <w:t xml:space="preserve"> both main disciplines</w:t>
            </w:r>
            <w:r w:rsidRPr="00D160FB">
              <w:rPr>
                <w:color w:val="0D0D0D" w:themeColor="text1" w:themeTint="F2"/>
                <w:spacing w:val="-6"/>
                <w:lang w:val="en-GB"/>
              </w:rPr>
              <w:t xml:space="preserve"> contributed to its growth last year – weight more significant building construction </w:t>
            </w:r>
            <w:r w:rsidR="003369B0">
              <w:rPr>
                <w:color w:val="0D0D0D" w:themeColor="text1" w:themeTint="F2"/>
                <w:spacing w:val="-6"/>
                <w:lang w:val="en-GB"/>
              </w:rPr>
              <w:t xml:space="preserve">by </w:t>
            </w:r>
            <w:r w:rsidRPr="00D160FB">
              <w:rPr>
                <w:color w:val="0D0D0D" w:themeColor="text1" w:themeTint="F2"/>
                <w:spacing w:val="-6"/>
                <w:lang w:val="en-GB"/>
              </w:rPr>
              <w:t xml:space="preserve">1.7 p.p., civil engineering construction </w:t>
            </w:r>
            <w:r w:rsidR="003369B0">
              <w:rPr>
                <w:color w:val="0D0D0D" w:themeColor="text1" w:themeTint="F2"/>
                <w:spacing w:val="-6"/>
                <w:lang w:val="en-GB"/>
              </w:rPr>
              <w:t xml:space="preserve">by </w:t>
            </w:r>
            <w:r w:rsidRPr="00D160FB">
              <w:rPr>
                <w:color w:val="0D0D0D" w:themeColor="text1" w:themeTint="F2"/>
                <w:spacing w:val="-6"/>
                <w:lang w:val="en-GB"/>
              </w:rPr>
              <w:t>0.9 p.p.</w:t>
            </w:r>
          </w:p>
        </w:tc>
      </w:tr>
      <w:tr w:rsidR="005279E0" w:rsidRPr="00D160FB" w14:paraId="1F1D56BF" w14:textId="77777777" w:rsidTr="00976631">
        <w:trPr>
          <w:trHeight w:val="3119"/>
        </w:trPr>
        <w:tc>
          <w:tcPr>
            <w:tcW w:w="1780" w:type="dxa"/>
            <w:tcBorders>
              <w:top w:val="nil"/>
              <w:left w:val="nil"/>
              <w:bottom w:val="nil"/>
              <w:right w:val="nil"/>
            </w:tcBorders>
            <w:shd w:val="clear" w:color="auto" w:fill="auto"/>
            <w:tcMar>
              <w:left w:w="0" w:type="dxa"/>
            </w:tcMar>
          </w:tcPr>
          <w:p w14:paraId="3AFBCDE8" w14:textId="09BDAFF3" w:rsidR="005279E0" w:rsidRPr="00D160FB" w:rsidRDefault="005279E0" w:rsidP="005279E0">
            <w:pPr>
              <w:pStyle w:val="Marginlie"/>
              <w:rPr>
                <w:spacing w:val="-4"/>
                <w:lang w:val="en-GB"/>
              </w:rPr>
            </w:pPr>
            <w:r w:rsidRPr="00D160FB">
              <w:rPr>
                <w:spacing w:val="-4"/>
                <w:lang w:val="en-GB"/>
              </w:rPr>
              <w:t xml:space="preserve">Number of finished dwellings significantly expanded last year. Large number of unfinished works from the past manifested here. </w:t>
            </w:r>
          </w:p>
          <w:p w14:paraId="69171745" w14:textId="0E1A916C" w:rsidR="005279E0" w:rsidRDefault="005279E0" w:rsidP="005279E0">
            <w:pPr>
              <w:pStyle w:val="Marginlie"/>
              <w:rPr>
                <w:spacing w:val="-4"/>
                <w:lang w:val="en-GB"/>
              </w:rPr>
            </w:pPr>
          </w:p>
          <w:p w14:paraId="2C49896B" w14:textId="54867B6C" w:rsidR="003369B0" w:rsidRDefault="003369B0" w:rsidP="005279E0">
            <w:pPr>
              <w:pStyle w:val="Marginlie"/>
              <w:rPr>
                <w:spacing w:val="-4"/>
                <w:lang w:val="en-GB"/>
              </w:rPr>
            </w:pPr>
          </w:p>
          <w:p w14:paraId="4639C496" w14:textId="77777777" w:rsidR="003369B0" w:rsidRPr="00D160FB" w:rsidRDefault="003369B0" w:rsidP="005279E0">
            <w:pPr>
              <w:pStyle w:val="Marginlie"/>
              <w:rPr>
                <w:spacing w:val="-4"/>
                <w:lang w:val="en-GB"/>
              </w:rPr>
            </w:pPr>
          </w:p>
          <w:p w14:paraId="35E491AD" w14:textId="3F43A121" w:rsidR="005279E0" w:rsidRPr="00D160FB" w:rsidRDefault="005279E0" w:rsidP="005279E0">
            <w:pPr>
              <w:pStyle w:val="Marginlie"/>
              <w:rPr>
                <w:spacing w:val="-4"/>
                <w:lang w:val="en-GB"/>
              </w:rPr>
            </w:pPr>
            <w:r w:rsidRPr="00D160FB">
              <w:rPr>
                <w:spacing w:val="-4"/>
                <w:lang w:val="en-GB"/>
              </w:rPr>
              <w:t xml:space="preserve">Pace of the commenced construction subsided in H2. </w:t>
            </w:r>
          </w:p>
        </w:tc>
        <w:tc>
          <w:tcPr>
            <w:tcW w:w="200" w:type="dxa"/>
            <w:tcBorders>
              <w:top w:val="nil"/>
              <w:left w:val="nil"/>
              <w:bottom w:val="nil"/>
              <w:right w:val="nil"/>
            </w:tcBorders>
            <w:shd w:val="clear" w:color="auto" w:fill="auto"/>
            <w:tcMar>
              <w:left w:w="0" w:type="dxa"/>
            </w:tcMar>
          </w:tcPr>
          <w:p w14:paraId="1CB56AFF"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76D6879C" w14:textId="26117F1B" w:rsidR="005279E0" w:rsidRPr="00D160FB" w:rsidRDefault="005279E0" w:rsidP="00185FA4">
            <w:pPr>
              <w:spacing w:after="200"/>
              <w:rPr>
                <w:spacing w:val="-6"/>
                <w:lang w:val="en-GB"/>
              </w:rPr>
            </w:pPr>
            <w:r w:rsidRPr="00D160FB">
              <w:rPr>
                <w:color w:val="0D0D0D" w:themeColor="text1" w:themeTint="F2"/>
                <w:spacing w:val="-6"/>
                <w:lang w:val="en-GB"/>
              </w:rPr>
              <w:t>T</w:t>
            </w:r>
            <w:r w:rsidR="003369B0">
              <w:rPr>
                <w:color w:val="0D0D0D" w:themeColor="text1" w:themeTint="F2"/>
                <w:spacing w:val="-6"/>
                <w:lang w:val="en-GB"/>
              </w:rPr>
              <w:t xml:space="preserve">he building construction </w:t>
            </w:r>
            <w:r w:rsidR="00185FA4">
              <w:rPr>
                <w:color w:val="0D0D0D" w:themeColor="text1" w:themeTint="F2"/>
                <w:spacing w:val="-6"/>
                <w:lang w:val="en-GB"/>
              </w:rPr>
              <w:t>profited from</w:t>
            </w:r>
            <w:r w:rsidR="003369B0">
              <w:rPr>
                <w:color w:val="0D0D0D" w:themeColor="text1" w:themeTint="F2"/>
                <w:spacing w:val="-6"/>
                <w:lang w:val="en-GB"/>
              </w:rPr>
              <w:t xml:space="preserve"> the development of housing</w:t>
            </w:r>
            <w:r w:rsidRPr="00D160FB">
              <w:rPr>
                <w:color w:val="0D0D0D" w:themeColor="text1" w:themeTint="F2"/>
                <w:spacing w:val="-6"/>
                <w:lang w:val="en-GB"/>
              </w:rPr>
              <w:t xml:space="preserve"> construction. There were 13.9% more dwellings completed year-on-year last year. Their number (39.4 thousand) represented the second largest volume of construction in the history of the independent CR</w:t>
            </w:r>
            <w:r w:rsidRPr="00D160FB">
              <w:rPr>
                <w:rStyle w:val="Znakapoznpodarou"/>
                <w:color w:val="0D0D0D" w:themeColor="text1" w:themeTint="F2"/>
                <w:spacing w:val="-6"/>
                <w:lang w:val="en-GB"/>
              </w:rPr>
              <w:footnoteReference w:id="35"/>
            </w:r>
            <w:r w:rsidRPr="00D160FB">
              <w:rPr>
                <w:color w:val="0D0D0D" w:themeColor="text1" w:themeTint="F2"/>
                <w:spacing w:val="-6"/>
                <w:lang w:val="en-GB"/>
              </w:rPr>
              <w:t xml:space="preserve">. Units in the residential buildings formed two thirds of the last year increase, more flats were however created in all other construction categories. </w:t>
            </w:r>
            <w:r w:rsidR="003369B0">
              <w:rPr>
                <w:color w:val="0D0D0D" w:themeColor="text1" w:themeTint="F2"/>
                <w:spacing w:val="-6"/>
                <w:lang w:val="en-GB"/>
              </w:rPr>
              <w:t xml:space="preserve">Different situation was </w:t>
            </w:r>
            <w:r w:rsidR="003369B0" w:rsidRPr="003369B0">
              <w:rPr>
                <w:color w:val="0D0D0D" w:themeColor="text1" w:themeTint="F2"/>
                <w:spacing w:val="-6"/>
                <w:lang w:val="en-GB"/>
              </w:rPr>
              <w:t>in the area</w:t>
            </w:r>
            <w:r w:rsidR="003369B0">
              <w:rPr>
                <w:color w:val="0D0D0D" w:themeColor="text1" w:themeTint="F2"/>
                <w:spacing w:val="-6"/>
                <w:lang w:val="en-GB"/>
              </w:rPr>
              <w:t xml:space="preserve"> of </w:t>
            </w:r>
            <w:r w:rsidRPr="00D160FB">
              <w:rPr>
                <w:color w:val="0D0D0D" w:themeColor="text1" w:themeTint="F2"/>
                <w:spacing w:val="-6"/>
                <w:lang w:val="en-GB"/>
              </w:rPr>
              <w:t>commenced flats, whose number compared to the record construction form year 2021 (45 thousand) shrank by 6.1% last year, mainly due to the development in H2</w:t>
            </w:r>
            <w:r w:rsidR="003369B0">
              <w:rPr>
                <w:color w:val="0D0D0D" w:themeColor="text1" w:themeTint="F2"/>
                <w:spacing w:val="-6"/>
                <w:lang w:val="en-GB"/>
              </w:rPr>
              <w:t xml:space="preserve"> 2022</w:t>
            </w:r>
            <w:r w:rsidR="003369B0" w:rsidRPr="00D160FB">
              <w:rPr>
                <w:rStyle w:val="Znakapoznpodarou"/>
                <w:spacing w:val="-6"/>
                <w:lang w:val="en-GB"/>
              </w:rPr>
              <w:footnoteReference w:id="36"/>
            </w:r>
            <w:r w:rsidRPr="00D160FB">
              <w:rPr>
                <w:color w:val="0D0D0D" w:themeColor="text1" w:themeTint="F2"/>
                <w:spacing w:val="-6"/>
                <w:lang w:val="en-GB"/>
              </w:rPr>
              <w:t>. Weakening of the demand due to the perceptible cooling of the mortgage market, but also high and still growing costs of construction firms</w:t>
            </w:r>
            <w:r w:rsidRPr="00D160FB">
              <w:rPr>
                <w:spacing w:val="-6"/>
                <w:lang w:val="en-GB"/>
              </w:rPr>
              <w:t xml:space="preserve"> stood in the background. The civil engineering discipline, which consists of higher number of larger businesses </w:t>
            </w:r>
            <w:r w:rsidR="00836B5C">
              <w:rPr>
                <w:spacing w:val="-6"/>
                <w:lang w:val="en-GB"/>
              </w:rPr>
              <w:t>(</w:t>
            </w:r>
            <w:r w:rsidRPr="00D160FB">
              <w:rPr>
                <w:spacing w:val="-6"/>
                <w:lang w:val="en-GB"/>
              </w:rPr>
              <w:t>compared to the building construction area</w:t>
            </w:r>
            <w:r w:rsidR="00836B5C">
              <w:rPr>
                <w:spacing w:val="-6"/>
                <w:lang w:val="en-GB"/>
              </w:rPr>
              <w:t>)</w:t>
            </w:r>
            <w:r w:rsidRPr="00D160FB">
              <w:rPr>
                <w:spacing w:val="-6"/>
                <w:lang w:val="en-GB"/>
              </w:rPr>
              <w:t xml:space="preserve">, </w:t>
            </w:r>
            <w:r w:rsidR="00836B5C">
              <w:rPr>
                <w:spacing w:val="-6"/>
                <w:lang w:val="en-GB"/>
              </w:rPr>
              <w:t>could have profited from</w:t>
            </w:r>
            <w:r w:rsidRPr="00D160FB">
              <w:rPr>
                <w:spacing w:val="-6"/>
                <w:lang w:val="en-GB"/>
              </w:rPr>
              <w:t xml:space="preserve"> the solid pac</w:t>
            </w:r>
            <w:r w:rsidR="00836B5C">
              <w:rPr>
                <w:spacing w:val="-6"/>
                <w:lang w:val="en-GB"/>
              </w:rPr>
              <w:t>e of public expenditure</w:t>
            </w:r>
            <w:r w:rsidRPr="00D160FB">
              <w:rPr>
                <w:spacing w:val="-6"/>
                <w:lang w:val="en-GB"/>
              </w:rPr>
              <w:t xml:space="preserve"> in the area of transport infrastructure</w:t>
            </w:r>
            <w:r w:rsidR="00836B5C">
              <w:rPr>
                <w:spacing w:val="-6"/>
                <w:lang w:val="en-GB"/>
              </w:rPr>
              <w:t>,</w:t>
            </w:r>
            <w:r w:rsidRPr="00D160FB">
              <w:rPr>
                <w:spacing w:val="-6"/>
                <w:lang w:val="en-GB"/>
              </w:rPr>
              <w:t xml:space="preserve"> especially in the second half of the last year</w:t>
            </w:r>
            <w:r w:rsidRPr="00D160FB">
              <w:rPr>
                <w:rStyle w:val="Znakapoznpodarou"/>
                <w:spacing w:val="-6"/>
                <w:lang w:val="en-GB"/>
              </w:rPr>
              <w:footnoteReference w:id="37"/>
            </w:r>
            <w:r w:rsidRPr="00D160FB">
              <w:rPr>
                <w:spacing w:val="-6"/>
                <w:lang w:val="en-GB"/>
              </w:rPr>
              <w:t xml:space="preserve"> primarily linked to the drawing on European subsidies. </w:t>
            </w:r>
          </w:p>
        </w:tc>
      </w:tr>
      <w:tr w:rsidR="005279E0" w:rsidRPr="00D160FB" w14:paraId="3C46932B" w14:textId="77777777" w:rsidTr="00976631">
        <w:trPr>
          <w:trHeight w:val="170"/>
        </w:trPr>
        <w:tc>
          <w:tcPr>
            <w:tcW w:w="1780" w:type="dxa"/>
            <w:tcBorders>
              <w:top w:val="nil"/>
              <w:left w:val="nil"/>
              <w:bottom w:val="nil"/>
              <w:right w:val="nil"/>
            </w:tcBorders>
            <w:shd w:val="clear" w:color="auto" w:fill="auto"/>
            <w:tcMar>
              <w:left w:w="0" w:type="dxa"/>
            </w:tcMar>
          </w:tcPr>
          <w:p w14:paraId="4395A697" w14:textId="00D994C1" w:rsidR="005279E0" w:rsidRPr="00D160FB" w:rsidRDefault="005279E0" w:rsidP="005279E0">
            <w:pPr>
              <w:pStyle w:val="Marginlie"/>
              <w:rPr>
                <w:lang w:val="en-GB"/>
              </w:rPr>
            </w:pPr>
            <w:r w:rsidRPr="00D160FB">
              <w:rPr>
                <w:lang w:val="en-GB"/>
              </w:rPr>
              <w:t xml:space="preserve">Growth of the value of new construction orders as well as their total stock did not exceed the dynamics of the </w:t>
            </w:r>
            <w:r w:rsidRPr="00D160FB">
              <w:rPr>
                <w:lang w:val="en-GB"/>
              </w:rPr>
              <w:lastRenderedPageBreak/>
              <w:t xml:space="preserve">construction works last year. </w:t>
            </w:r>
          </w:p>
          <w:p w14:paraId="6C472654" w14:textId="77777777" w:rsidR="003D13A6" w:rsidRDefault="003D13A6" w:rsidP="005279E0">
            <w:pPr>
              <w:pStyle w:val="Marginlie"/>
              <w:rPr>
                <w:lang w:val="en-GB"/>
              </w:rPr>
            </w:pPr>
          </w:p>
          <w:p w14:paraId="45A70485" w14:textId="77777777" w:rsidR="003D13A6" w:rsidRDefault="003D13A6" w:rsidP="005279E0">
            <w:pPr>
              <w:pStyle w:val="Marginlie"/>
              <w:rPr>
                <w:lang w:val="en-GB"/>
              </w:rPr>
            </w:pPr>
          </w:p>
          <w:p w14:paraId="246690DA" w14:textId="77777777" w:rsidR="003D13A6" w:rsidRDefault="003D13A6" w:rsidP="005279E0">
            <w:pPr>
              <w:pStyle w:val="Marginlie"/>
              <w:rPr>
                <w:lang w:val="en-GB"/>
              </w:rPr>
            </w:pPr>
          </w:p>
          <w:p w14:paraId="04360ECD" w14:textId="77777777" w:rsidR="003D13A6" w:rsidRDefault="003D13A6" w:rsidP="005279E0">
            <w:pPr>
              <w:pStyle w:val="Marginlie"/>
              <w:rPr>
                <w:lang w:val="en-GB"/>
              </w:rPr>
            </w:pPr>
          </w:p>
          <w:p w14:paraId="096DCCF8" w14:textId="77777777" w:rsidR="003D13A6" w:rsidRDefault="003D13A6" w:rsidP="005279E0">
            <w:pPr>
              <w:pStyle w:val="Marginlie"/>
              <w:rPr>
                <w:lang w:val="en-GB"/>
              </w:rPr>
            </w:pPr>
          </w:p>
          <w:p w14:paraId="3E2A6BCE" w14:textId="77777777" w:rsidR="003D13A6" w:rsidRDefault="003D13A6" w:rsidP="005279E0">
            <w:pPr>
              <w:pStyle w:val="Marginlie"/>
              <w:rPr>
                <w:lang w:val="en-GB"/>
              </w:rPr>
            </w:pPr>
          </w:p>
          <w:p w14:paraId="0754A60F" w14:textId="77777777" w:rsidR="003D13A6" w:rsidRDefault="003D13A6" w:rsidP="005279E0">
            <w:pPr>
              <w:pStyle w:val="Marginlie"/>
              <w:rPr>
                <w:lang w:val="en-GB"/>
              </w:rPr>
            </w:pPr>
          </w:p>
          <w:p w14:paraId="0FA5CD23" w14:textId="77777777" w:rsidR="003D13A6" w:rsidRDefault="003D13A6" w:rsidP="005279E0">
            <w:pPr>
              <w:pStyle w:val="Marginlie"/>
              <w:rPr>
                <w:lang w:val="en-GB"/>
              </w:rPr>
            </w:pPr>
          </w:p>
          <w:p w14:paraId="17774A7E" w14:textId="59AAFC81" w:rsidR="005279E0" w:rsidRPr="00D160FB" w:rsidRDefault="005279E0" w:rsidP="005279E0">
            <w:pPr>
              <w:pStyle w:val="Marginlie"/>
              <w:rPr>
                <w:lang w:val="en-GB"/>
              </w:rPr>
            </w:pPr>
            <w:r w:rsidRPr="00D160FB">
              <w:rPr>
                <w:lang w:val="en-GB"/>
              </w:rPr>
              <w:t>Value of construction permits fell year-on-year in Q</w:t>
            </w:r>
            <w:r w:rsidR="00836B5C">
              <w:rPr>
                <w:lang w:val="en-GB"/>
              </w:rPr>
              <w:t>4 2022.</w:t>
            </w:r>
          </w:p>
          <w:p w14:paraId="56719020" w14:textId="77777777" w:rsidR="005279E0" w:rsidRPr="00D160FB" w:rsidRDefault="005279E0" w:rsidP="005279E0">
            <w:pPr>
              <w:pStyle w:val="Marginlie"/>
              <w:rPr>
                <w:spacing w:val="-4"/>
                <w:lang w:val="en-GB"/>
              </w:rPr>
            </w:pPr>
          </w:p>
        </w:tc>
        <w:tc>
          <w:tcPr>
            <w:tcW w:w="200" w:type="dxa"/>
            <w:tcBorders>
              <w:top w:val="nil"/>
              <w:left w:val="nil"/>
              <w:bottom w:val="nil"/>
              <w:right w:val="nil"/>
            </w:tcBorders>
            <w:shd w:val="clear" w:color="auto" w:fill="auto"/>
            <w:tcMar>
              <w:left w:w="0" w:type="dxa"/>
            </w:tcMar>
          </w:tcPr>
          <w:p w14:paraId="5DB2F8F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606C1D3" w14:textId="5ACA3061" w:rsidR="005279E0" w:rsidRPr="00D160FB" w:rsidRDefault="00185FA4" w:rsidP="005279E0">
            <w:pPr>
              <w:spacing w:after="200"/>
              <w:rPr>
                <w:rFonts w:cs="Arial"/>
                <w:color w:val="0D0D0D" w:themeColor="text1" w:themeTint="F2"/>
                <w:spacing w:val="-6"/>
                <w:lang w:val="en-GB"/>
              </w:rPr>
            </w:pPr>
            <w:r>
              <w:rPr>
                <w:rFonts w:cs="Arial"/>
                <w:color w:val="0D0D0D" w:themeColor="text1" w:themeTint="F2"/>
                <w:spacing w:val="-6"/>
                <w:lang w:val="en-GB"/>
              </w:rPr>
              <w:t>T</w:t>
            </w:r>
            <w:r w:rsidR="005279E0" w:rsidRPr="00D160FB">
              <w:rPr>
                <w:rFonts w:cs="Arial"/>
                <w:color w:val="0D0D0D" w:themeColor="text1" w:themeTint="F2"/>
                <w:spacing w:val="-6"/>
                <w:lang w:val="en-GB"/>
              </w:rPr>
              <w:t xml:space="preserve">he year-on-year rate of growth </w:t>
            </w:r>
            <w:r>
              <w:rPr>
                <w:rFonts w:cs="Arial"/>
                <w:color w:val="0D0D0D" w:themeColor="text1" w:themeTint="F2"/>
                <w:spacing w:val="-6"/>
                <w:lang w:val="en-GB"/>
              </w:rPr>
              <w:t xml:space="preserve">of the nominal value of new </w:t>
            </w:r>
            <w:r w:rsidR="005279E0" w:rsidRPr="00D160FB">
              <w:rPr>
                <w:rFonts w:cs="Arial"/>
                <w:color w:val="0D0D0D" w:themeColor="text1" w:themeTint="F2"/>
                <w:spacing w:val="-6"/>
                <w:lang w:val="en-GB"/>
              </w:rPr>
              <w:t>l</w:t>
            </w:r>
            <w:r>
              <w:rPr>
                <w:rFonts w:cs="Arial"/>
                <w:color w:val="0D0D0D" w:themeColor="text1" w:themeTint="F2"/>
                <w:spacing w:val="-6"/>
                <w:lang w:val="en-GB"/>
              </w:rPr>
              <w:t>ocal</w:t>
            </w:r>
            <w:r w:rsidR="005279E0" w:rsidRPr="00D160FB">
              <w:rPr>
                <w:rFonts w:cs="Arial"/>
                <w:color w:val="0D0D0D" w:themeColor="text1" w:themeTint="F2"/>
                <w:spacing w:val="-6"/>
                <w:lang w:val="en-GB"/>
              </w:rPr>
              <w:t xml:space="preserve"> construction orders (in businesses with more than 50 employees) grew by double digit pace throughout the whole last year (by 13.0% in Q4</w:t>
            </w:r>
            <w:r>
              <w:rPr>
                <w:rFonts w:cs="Arial"/>
                <w:color w:val="0D0D0D" w:themeColor="text1" w:themeTint="F2"/>
                <w:spacing w:val="-6"/>
                <w:lang w:val="en-GB"/>
              </w:rPr>
              <w:t>). However,</w:t>
            </w:r>
            <w:r w:rsidR="005279E0" w:rsidRPr="00D160FB">
              <w:rPr>
                <w:rFonts w:cs="Arial"/>
                <w:color w:val="0D0D0D" w:themeColor="text1" w:themeTint="F2"/>
                <w:spacing w:val="-6"/>
                <w:lang w:val="en-GB"/>
              </w:rPr>
              <w:t xml:space="preserve"> when considering the growth of the price of construction works</w:t>
            </w:r>
            <w:r w:rsidR="005279E0" w:rsidRPr="00D160FB">
              <w:rPr>
                <w:rStyle w:val="Znakapoznpodarou"/>
                <w:color w:val="0D0D0D" w:themeColor="text1" w:themeTint="F2"/>
                <w:spacing w:val="-6"/>
                <w:lang w:val="en-GB"/>
              </w:rPr>
              <w:footnoteReference w:id="38"/>
            </w:r>
            <w:r>
              <w:rPr>
                <w:rFonts w:cs="Arial"/>
                <w:color w:val="0D0D0D" w:themeColor="text1" w:themeTint="F2"/>
                <w:spacing w:val="-6"/>
                <w:lang w:val="en-GB"/>
              </w:rPr>
              <w:t>,</w:t>
            </w:r>
            <w:r w:rsidR="005279E0" w:rsidRPr="00D160FB">
              <w:rPr>
                <w:rFonts w:cs="Arial"/>
                <w:color w:val="0D0D0D" w:themeColor="text1" w:themeTint="F2"/>
                <w:spacing w:val="-6"/>
                <w:lang w:val="en-GB"/>
              </w:rPr>
              <w:t xml:space="preserve"> it can be more assessed as stagnation of the real construction demand </w:t>
            </w:r>
            <w:r>
              <w:rPr>
                <w:rFonts w:cs="Arial"/>
                <w:color w:val="0D0D0D" w:themeColor="text1" w:themeTint="F2"/>
                <w:spacing w:val="-6"/>
                <w:lang w:val="en-GB"/>
              </w:rPr>
              <w:t xml:space="preserve">in the CR </w:t>
            </w:r>
            <w:r w:rsidR="005279E0" w:rsidRPr="00D160FB">
              <w:rPr>
                <w:rFonts w:cs="Arial"/>
                <w:color w:val="0D0D0D" w:themeColor="text1" w:themeTint="F2"/>
                <w:spacing w:val="-6"/>
                <w:lang w:val="en-GB"/>
              </w:rPr>
              <w:t xml:space="preserve">(this </w:t>
            </w:r>
            <w:r w:rsidR="005279E0" w:rsidRPr="00D160FB">
              <w:rPr>
                <w:rFonts w:cs="Arial"/>
                <w:color w:val="0D0D0D" w:themeColor="text1" w:themeTint="F2"/>
                <w:spacing w:val="-6"/>
                <w:lang w:val="en-GB"/>
              </w:rPr>
              <w:lastRenderedPageBreak/>
              <w:t>is also supported by the fact, that the number of new orders did not change compared to year 2021). Demand in the segment of the civil engineering construction gives a more positive impression (the value of new orders went up by nearly one fifth here year-on-year in Q4 2022). Total stock of work (in the form of value of the orders to be realised</w:t>
            </w:r>
            <w:r w:rsidR="005279E0" w:rsidRPr="00D160FB">
              <w:rPr>
                <w:rFonts w:cs="Arial"/>
                <w:color w:val="0D0D0D" w:themeColor="text1" w:themeTint="F2"/>
                <w:spacing w:val="-4"/>
                <w:lang w:val="en-GB"/>
              </w:rPr>
              <w:t>) was by 8.6% higher year-on-year last year at the end of December</w:t>
            </w:r>
            <w:r>
              <w:rPr>
                <w:rFonts w:cs="Arial"/>
                <w:color w:val="0D0D0D" w:themeColor="text1" w:themeTint="F2"/>
                <w:spacing w:val="-4"/>
                <w:lang w:val="en-GB"/>
              </w:rPr>
              <w:t xml:space="preserve"> 2022</w:t>
            </w:r>
            <w:r w:rsidR="005279E0" w:rsidRPr="00D160FB">
              <w:rPr>
                <w:rFonts w:cs="Arial"/>
                <w:color w:val="0D0D0D" w:themeColor="text1" w:themeTint="F2"/>
                <w:spacing w:val="-4"/>
                <w:lang w:val="en-GB"/>
              </w:rPr>
              <w:t>, for the most part however thanks to the public investors locally (they covered over 60% of all stock of orders in the portfolio of the construction firms). The stock of private orders was only by 2.4% higher in the CR year-on-year (after taking into account the prices, it can thus be talked about the decrease of the demand from this segment of the economy). Indications regarding the cooling of demand were apparent also for the granted building permits, which signal investment activity in the medium-term horizon. Their approximate value slightly decreased last year in Q4 (by 1.3% year-on-year). Except for the transportation structures (for both construction and reconstruction) all more important categories of structures experienced a decline</w:t>
            </w:r>
            <w:r w:rsidR="005279E0" w:rsidRPr="00D160FB">
              <w:rPr>
                <w:rStyle w:val="Znakapoznpodarou"/>
                <w:color w:val="0D0D0D" w:themeColor="text1" w:themeTint="F2"/>
                <w:spacing w:val="-4"/>
                <w:lang w:val="en-GB"/>
              </w:rPr>
              <w:footnoteReference w:id="39"/>
            </w:r>
            <w:r w:rsidR="005279E0" w:rsidRPr="00D160FB">
              <w:rPr>
                <w:rFonts w:cs="Arial"/>
                <w:color w:val="0D0D0D" w:themeColor="text1" w:themeTint="F2"/>
                <w:spacing w:val="-4"/>
                <w:lang w:val="en-GB"/>
              </w:rPr>
              <w:t>.</w:t>
            </w:r>
          </w:p>
        </w:tc>
      </w:tr>
      <w:tr w:rsidR="005279E0" w:rsidRPr="00D160FB" w14:paraId="324B9C56" w14:textId="77777777" w:rsidTr="00976631">
        <w:trPr>
          <w:trHeight w:val="170"/>
        </w:trPr>
        <w:tc>
          <w:tcPr>
            <w:tcW w:w="1780" w:type="dxa"/>
            <w:vMerge w:val="restart"/>
            <w:tcBorders>
              <w:top w:val="nil"/>
              <w:left w:val="nil"/>
              <w:bottom w:val="nil"/>
              <w:right w:val="nil"/>
            </w:tcBorders>
            <w:shd w:val="clear" w:color="auto" w:fill="auto"/>
            <w:tcMar>
              <w:left w:w="0" w:type="dxa"/>
            </w:tcMar>
          </w:tcPr>
          <w:p w14:paraId="6A192031" w14:textId="77777777" w:rsidR="005279E0" w:rsidRPr="00D160FB" w:rsidRDefault="005279E0" w:rsidP="005279E0">
            <w:pPr>
              <w:pStyle w:val="Marginlie"/>
              <w:rPr>
                <w:lang w:val="en-GB"/>
              </w:rPr>
            </w:pPr>
          </w:p>
        </w:tc>
        <w:tc>
          <w:tcPr>
            <w:tcW w:w="200" w:type="dxa"/>
            <w:vMerge w:val="restart"/>
            <w:tcBorders>
              <w:top w:val="nil"/>
              <w:left w:val="nil"/>
              <w:bottom w:val="nil"/>
              <w:right w:val="nil"/>
            </w:tcBorders>
            <w:shd w:val="clear" w:color="auto" w:fill="auto"/>
            <w:tcMar>
              <w:left w:w="0" w:type="dxa"/>
            </w:tcMar>
          </w:tcPr>
          <w:p w14:paraId="60F4E0E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2D65B7DE" w14:textId="6D735A71" w:rsidR="005279E0" w:rsidRPr="00D160FB" w:rsidRDefault="005279E0" w:rsidP="005279E0">
            <w:pPr>
              <w:spacing w:after="20"/>
              <w:rPr>
                <w:rFonts w:cs="Arial"/>
                <w:bCs/>
                <w:lang w:val="en-GB"/>
              </w:rPr>
            </w:pPr>
            <w:r w:rsidRPr="00D160FB">
              <w:rPr>
                <w:b/>
                <w:spacing w:val="-5"/>
                <w:lang w:val="en-GB"/>
              </w:rPr>
              <w:t xml:space="preserve">Chart 6 </w:t>
            </w:r>
            <w:r w:rsidRPr="00D160FB">
              <w:rPr>
                <w:b/>
                <w:spacing w:val="-4"/>
                <w:lang w:val="en-GB"/>
              </w:rPr>
              <w:t xml:space="preserve">Contributions of sub-branches to year-on-year change of the total construction output </w:t>
            </w:r>
            <w:r w:rsidRPr="00D160FB">
              <w:rPr>
                <w:spacing w:val="-4"/>
                <w:lang w:val="en-GB"/>
              </w:rPr>
              <w:t>(real, in p.p.)</w:t>
            </w:r>
            <w:r w:rsidRPr="00D160FB">
              <w:rPr>
                <w:b/>
                <w:bCs/>
                <w:spacing w:val="-4"/>
                <w:lang w:val="en-GB"/>
              </w:rPr>
              <w:t>, new construction orders</w:t>
            </w:r>
            <w:r w:rsidRPr="00D160FB">
              <w:rPr>
                <w:b/>
                <w:spacing w:val="-4"/>
                <w:lang w:val="en-GB"/>
              </w:rPr>
              <w:t xml:space="preserve"> </w:t>
            </w:r>
            <w:r w:rsidRPr="00D160FB">
              <w:rPr>
                <w:bCs/>
                <w:spacing w:val="-4"/>
                <w:lang w:val="en-GB"/>
              </w:rPr>
              <w:t>(nominal, year-on-year in %)</w:t>
            </w:r>
            <w:r w:rsidRPr="00D160FB">
              <w:rPr>
                <w:b/>
                <w:spacing w:val="-4"/>
                <w:lang w:val="en-GB"/>
              </w:rPr>
              <w:t>, balance of business confidence indicator in construction*</w:t>
            </w:r>
            <w:r w:rsidRPr="00D160FB">
              <w:rPr>
                <w:spacing w:val="-4"/>
                <w:lang w:val="en-GB"/>
              </w:rPr>
              <w:t xml:space="preserve"> (in p.p., right axis) </w:t>
            </w:r>
            <w:r w:rsidRPr="00D160FB">
              <w:rPr>
                <w:b/>
                <w:spacing w:val="-4"/>
                <w:lang w:val="en-GB"/>
              </w:rPr>
              <w:t>and selected barriers to growth</w:t>
            </w:r>
            <w:r w:rsidRPr="00D160FB">
              <w:rPr>
                <w:spacing w:val="-4"/>
                <w:lang w:val="en-GB"/>
              </w:rPr>
              <w:t>* (in %, right axis)</w:t>
            </w:r>
          </w:p>
        </w:tc>
      </w:tr>
      <w:tr w:rsidR="005279E0" w:rsidRPr="00D160FB" w14:paraId="3CCDE0EC" w14:textId="77777777" w:rsidTr="00976631">
        <w:tblPrEx>
          <w:tblCellMar>
            <w:left w:w="70" w:type="dxa"/>
            <w:right w:w="70" w:type="dxa"/>
          </w:tblCellMar>
        </w:tblPrEx>
        <w:trPr>
          <w:trHeight w:val="170"/>
        </w:trPr>
        <w:tc>
          <w:tcPr>
            <w:tcW w:w="1780" w:type="dxa"/>
            <w:vMerge/>
            <w:tcBorders>
              <w:top w:val="nil"/>
              <w:left w:val="nil"/>
              <w:bottom w:val="nil"/>
              <w:right w:val="nil"/>
            </w:tcBorders>
            <w:shd w:val="clear" w:color="auto" w:fill="auto"/>
          </w:tcPr>
          <w:p w14:paraId="19B95D2C" w14:textId="77777777" w:rsidR="005279E0" w:rsidRPr="00D160FB" w:rsidRDefault="005279E0" w:rsidP="005279E0">
            <w:pPr>
              <w:pStyle w:val="Marginlie"/>
              <w:rPr>
                <w:lang w:val="en-GB"/>
              </w:rPr>
            </w:pPr>
          </w:p>
        </w:tc>
        <w:tc>
          <w:tcPr>
            <w:tcW w:w="200" w:type="dxa"/>
            <w:vMerge/>
            <w:tcBorders>
              <w:top w:val="nil"/>
              <w:left w:val="nil"/>
              <w:bottom w:val="nil"/>
              <w:right w:val="nil"/>
            </w:tcBorders>
            <w:shd w:val="clear" w:color="auto" w:fill="auto"/>
          </w:tcPr>
          <w:p w14:paraId="773810D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3CEBCABF" w14:textId="1907FC7F" w:rsidR="005279E0" w:rsidRPr="00D160FB" w:rsidRDefault="005279E0" w:rsidP="005279E0">
            <w:pPr>
              <w:spacing w:after="40"/>
              <w:rPr>
                <w:spacing w:val="-6"/>
                <w:lang w:val="en-GB"/>
              </w:rPr>
            </w:pPr>
            <w:r>
              <w:rPr>
                <w:noProof/>
              </w:rPr>
              <w:drawing>
                <wp:inline distT="0" distB="0" distL="0" distR="0" wp14:anchorId="626E4D88" wp14:editId="6C10AF98">
                  <wp:extent cx="4681982" cy="3598018"/>
                  <wp:effectExtent l="0" t="0" r="4445" b="2540"/>
                  <wp:docPr id="27" name="Graf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5279E0" w:rsidRPr="00D160FB" w14:paraId="0EB65E98" w14:textId="77777777" w:rsidTr="00976631">
        <w:trPr>
          <w:trHeight w:val="170"/>
        </w:trPr>
        <w:tc>
          <w:tcPr>
            <w:tcW w:w="1780" w:type="dxa"/>
            <w:vMerge/>
            <w:tcBorders>
              <w:top w:val="nil"/>
              <w:left w:val="nil"/>
              <w:bottom w:val="nil"/>
              <w:right w:val="nil"/>
            </w:tcBorders>
            <w:shd w:val="clear" w:color="auto" w:fill="auto"/>
            <w:tcMar>
              <w:left w:w="0" w:type="dxa"/>
            </w:tcMar>
          </w:tcPr>
          <w:p w14:paraId="413A87EA" w14:textId="77777777" w:rsidR="005279E0" w:rsidRPr="00D160FB" w:rsidRDefault="005279E0" w:rsidP="005279E0">
            <w:pPr>
              <w:pStyle w:val="Marginlie"/>
              <w:rPr>
                <w:lang w:val="en-GB"/>
              </w:rPr>
            </w:pPr>
          </w:p>
        </w:tc>
        <w:tc>
          <w:tcPr>
            <w:tcW w:w="200" w:type="dxa"/>
            <w:vMerge/>
            <w:tcBorders>
              <w:top w:val="nil"/>
              <w:left w:val="nil"/>
              <w:bottom w:val="nil"/>
              <w:right w:val="nil"/>
            </w:tcBorders>
            <w:shd w:val="clear" w:color="auto" w:fill="auto"/>
            <w:tcMar>
              <w:left w:w="0" w:type="dxa"/>
            </w:tcMar>
          </w:tcPr>
          <w:p w14:paraId="7D7CEF1A"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096596A" w14:textId="77777777" w:rsidR="005279E0" w:rsidRPr="00612A85" w:rsidRDefault="005279E0" w:rsidP="005279E0">
            <w:pPr>
              <w:spacing w:after="0"/>
              <w:rPr>
                <w:rFonts w:cs="Arial"/>
                <w:sz w:val="14"/>
                <w:szCs w:val="14"/>
                <w:lang w:val="en-GB"/>
              </w:rPr>
            </w:pPr>
            <w:r w:rsidRPr="00612A85">
              <w:rPr>
                <w:rFonts w:cs="Arial"/>
                <w:sz w:val="14"/>
                <w:szCs w:val="14"/>
                <w:lang w:val="en-GB"/>
              </w:rPr>
              <w:t>Note: Data related to construction output are adjusted for calendar effects.</w:t>
            </w:r>
          </w:p>
          <w:p w14:paraId="5FE588D2" w14:textId="295135C2" w:rsidR="005279E0" w:rsidRPr="00612A85" w:rsidRDefault="005279E0" w:rsidP="005279E0">
            <w:pPr>
              <w:spacing w:after="0"/>
              <w:jc w:val="left"/>
              <w:rPr>
                <w:rFonts w:cs="Arial"/>
                <w:sz w:val="14"/>
                <w:szCs w:val="14"/>
                <w:lang w:val="en-GB"/>
              </w:rPr>
            </w:pPr>
            <w:r w:rsidRPr="00612A85">
              <w:rPr>
                <w:rFonts w:cs="Arial"/>
                <w:sz w:val="14"/>
                <w:szCs w:val="14"/>
                <w:lang w:val="en-GB"/>
              </w:rPr>
              <w:t>* Balance of business confidence as well as barriers to growth are seasonally adjusted and express the level in the second month of the given quarter. Businesses could have indicated more main barriers simultaneously.                                                                                  Source: CZSO, Eurostat</w:t>
            </w:r>
          </w:p>
          <w:p w14:paraId="03988F19" w14:textId="24E77E50" w:rsidR="005279E0" w:rsidRPr="00612A85" w:rsidRDefault="005279E0" w:rsidP="005279E0">
            <w:pPr>
              <w:pStyle w:val="Textpoznpodarou"/>
              <w:rPr>
                <w:sz w:val="14"/>
                <w:szCs w:val="14"/>
                <w:lang w:val="en-GB"/>
              </w:rPr>
            </w:pPr>
          </w:p>
        </w:tc>
      </w:tr>
      <w:tr w:rsidR="005279E0" w:rsidRPr="00D160FB" w14:paraId="420EB13C" w14:textId="77777777" w:rsidTr="00976631">
        <w:trPr>
          <w:trHeight w:val="170"/>
        </w:trPr>
        <w:tc>
          <w:tcPr>
            <w:tcW w:w="1780" w:type="dxa"/>
            <w:tcBorders>
              <w:top w:val="nil"/>
              <w:left w:val="nil"/>
              <w:bottom w:val="nil"/>
              <w:right w:val="nil"/>
            </w:tcBorders>
            <w:shd w:val="clear" w:color="auto" w:fill="auto"/>
            <w:tcMar>
              <w:left w:w="0" w:type="dxa"/>
            </w:tcMar>
          </w:tcPr>
          <w:p w14:paraId="05579CA7" w14:textId="789E9123" w:rsidR="005279E0" w:rsidRPr="00D160FB" w:rsidRDefault="005279E0" w:rsidP="005279E0">
            <w:pPr>
              <w:pStyle w:val="Marginlie"/>
              <w:rPr>
                <w:spacing w:val="-4"/>
                <w:lang w:val="en-GB"/>
              </w:rPr>
            </w:pPr>
            <w:r w:rsidRPr="00D160FB">
              <w:rPr>
                <w:spacing w:val="-4"/>
                <w:lang w:val="en-GB"/>
              </w:rPr>
              <w:t xml:space="preserve">Business confidence in construction was deteriorating since the last year\s Spring. Negative expectations were also apparent in the </w:t>
            </w:r>
            <w:r w:rsidRPr="00D160FB">
              <w:rPr>
                <w:spacing w:val="-4"/>
                <w:lang w:val="en-GB"/>
              </w:rPr>
              <w:lastRenderedPageBreak/>
              <w:t>outlook to the whole H1 2023.</w:t>
            </w:r>
          </w:p>
          <w:p w14:paraId="0D216553" w14:textId="77777777" w:rsidR="005279E0" w:rsidRPr="00D160FB" w:rsidRDefault="005279E0" w:rsidP="005279E0">
            <w:pPr>
              <w:pStyle w:val="Marginlie"/>
              <w:rPr>
                <w:lang w:val="en-GB"/>
              </w:rPr>
            </w:pPr>
          </w:p>
          <w:p w14:paraId="5538CC89" w14:textId="77777777" w:rsidR="005279E0" w:rsidRPr="00D160FB" w:rsidRDefault="005279E0" w:rsidP="005279E0">
            <w:pPr>
              <w:pStyle w:val="Marginlie"/>
              <w:rPr>
                <w:lang w:val="en-GB"/>
              </w:rPr>
            </w:pPr>
          </w:p>
          <w:p w14:paraId="7F0B8420" w14:textId="77777777" w:rsidR="005279E0" w:rsidRPr="00D160FB" w:rsidRDefault="005279E0" w:rsidP="005279E0">
            <w:pPr>
              <w:pStyle w:val="Marginlie"/>
              <w:rPr>
                <w:lang w:val="en-GB"/>
              </w:rPr>
            </w:pPr>
            <w:r w:rsidRPr="00D160FB">
              <w:rPr>
                <w:lang w:val="en-GB"/>
              </w:rPr>
              <w:t xml:space="preserve"> </w:t>
            </w:r>
          </w:p>
        </w:tc>
        <w:tc>
          <w:tcPr>
            <w:tcW w:w="200" w:type="dxa"/>
            <w:tcBorders>
              <w:top w:val="nil"/>
              <w:left w:val="nil"/>
              <w:bottom w:val="nil"/>
              <w:right w:val="nil"/>
            </w:tcBorders>
            <w:shd w:val="clear" w:color="auto" w:fill="auto"/>
            <w:tcMar>
              <w:left w:w="0" w:type="dxa"/>
            </w:tcMar>
          </w:tcPr>
          <w:p w14:paraId="77D8B017"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4EE854EC" w14:textId="1DEF5539" w:rsidR="005279E0" w:rsidRPr="00D160FB" w:rsidRDefault="005279E0" w:rsidP="005279E0">
            <w:pPr>
              <w:spacing w:after="200"/>
              <w:rPr>
                <w:rFonts w:cs="Arial"/>
                <w:color w:val="0D0D0D" w:themeColor="text1" w:themeTint="F2"/>
                <w:spacing w:val="-6"/>
                <w:lang w:val="en-GB"/>
              </w:rPr>
            </w:pPr>
            <w:r w:rsidRPr="00D160FB">
              <w:rPr>
                <w:rFonts w:cs="Arial"/>
                <w:color w:val="0D0D0D" w:themeColor="text1" w:themeTint="F2"/>
                <w:spacing w:val="-6"/>
                <w:lang w:val="en-GB"/>
              </w:rPr>
              <w:t xml:space="preserve">Positive results of construction supported the optimism of businesses in this branch at the beginning of the last year and the February balance of confidence indicator thus balanced out with the absolute maximum (from January 2019). The economic </w:t>
            </w:r>
            <w:r w:rsidR="00612A85">
              <w:rPr>
                <w:rFonts w:cs="Arial"/>
                <w:color w:val="0D0D0D" w:themeColor="text1" w:themeTint="F2"/>
                <w:spacing w:val="-6"/>
                <w:lang w:val="en-GB"/>
              </w:rPr>
              <w:t>sentiment in construction</w:t>
            </w:r>
            <w:r w:rsidRPr="00D160FB">
              <w:rPr>
                <w:rFonts w:cs="Arial"/>
                <w:color w:val="0D0D0D" w:themeColor="text1" w:themeTint="F2"/>
                <w:spacing w:val="-6"/>
                <w:lang w:val="en-GB"/>
              </w:rPr>
              <w:t xml:space="preserve"> however wor</w:t>
            </w:r>
            <w:r w:rsidR="00612A85">
              <w:rPr>
                <w:rFonts w:cs="Arial"/>
                <w:color w:val="0D0D0D" w:themeColor="text1" w:themeTint="F2"/>
                <w:spacing w:val="-6"/>
                <w:lang w:val="en-GB"/>
              </w:rPr>
              <w:t>sened later on, especially</w:t>
            </w:r>
            <w:r w:rsidRPr="00D160FB">
              <w:rPr>
                <w:rFonts w:cs="Arial"/>
                <w:color w:val="0D0D0D" w:themeColor="text1" w:themeTint="F2"/>
                <w:spacing w:val="-6"/>
                <w:lang w:val="en-GB"/>
              </w:rPr>
              <w:t xml:space="preserve"> at the turn of years 2022 and 2023, when it slid the lowest in the last two and a half years (it was</w:t>
            </w:r>
            <w:r w:rsidR="00612A85">
              <w:rPr>
                <w:rFonts w:cs="Arial"/>
                <w:color w:val="0D0D0D" w:themeColor="text1" w:themeTint="F2"/>
                <w:spacing w:val="-6"/>
                <w:lang w:val="en-GB"/>
              </w:rPr>
              <w:t>,</w:t>
            </w:r>
            <w:r w:rsidRPr="00D160FB">
              <w:rPr>
                <w:rFonts w:cs="Arial"/>
                <w:color w:val="0D0D0D" w:themeColor="text1" w:themeTint="F2"/>
                <w:spacing w:val="-6"/>
                <w:lang w:val="en-GB"/>
              </w:rPr>
              <w:t xml:space="preserve"> however still placed above the long-time average). </w:t>
            </w:r>
            <w:r w:rsidRPr="00E64D6C">
              <w:rPr>
                <w:rFonts w:cs="Arial"/>
                <w:color w:val="0D0D0D" w:themeColor="text1" w:themeTint="F2"/>
                <w:spacing w:val="-4"/>
                <w:lang w:val="en-GB"/>
              </w:rPr>
              <w:lastRenderedPageBreak/>
              <w:t xml:space="preserve">The fast growing cost pressures showed in the negative assessment of the current as well as expected demand, employment outlooks or future economic situation of businesses (pessimism persists here </w:t>
            </w:r>
            <w:r w:rsidR="00E53B5C" w:rsidRPr="00E64D6C">
              <w:rPr>
                <w:rFonts w:cs="Arial"/>
                <w:color w:val="0D0D0D" w:themeColor="text1" w:themeTint="F2"/>
                <w:spacing w:val="-4"/>
                <w:lang w:val="en-GB"/>
              </w:rPr>
              <w:t xml:space="preserve">- </w:t>
            </w:r>
            <w:r w:rsidRPr="00E64D6C">
              <w:rPr>
                <w:rFonts w:cs="Arial"/>
                <w:color w:val="0D0D0D" w:themeColor="text1" w:themeTint="F2"/>
                <w:spacing w:val="-4"/>
                <w:lang w:val="en-GB"/>
              </w:rPr>
              <w:t xml:space="preserve">in contrast to the industrial businesses </w:t>
            </w:r>
            <w:r w:rsidR="00E53B5C" w:rsidRPr="00E64D6C">
              <w:rPr>
                <w:rFonts w:cs="Arial"/>
                <w:color w:val="0D0D0D" w:themeColor="text1" w:themeTint="F2"/>
                <w:spacing w:val="-4"/>
                <w:lang w:val="en-GB"/>
              </w:rPr>
              <w:t xml:space="preserve">- </w:t>
            </w:r>
            <w:r w:rsidRPr="00E64D6C">
              <w:rPr>
                <w:rFonts w:cs="Arial"/>
                <w:color w:val="0D0D0D" w:themeColor="text1" w:themeTint="F2"/>
                <w:spacing w:val="-4"/>
                <w:lang w:val="en-GB"/>
              </w:rPr>
              <w:t>also in the</w:t>
            </w:r>
            <w:r w:rsidR="00E53B5C" w:rsidRPr="00E64D6C">
              <w:rPr>
                <w:rFonts w:cs="Arial"/>
                <w:color w:val="0D0D0D" w:themeColor="text1" w:themeTint="F2"/>
                <w:spacing w:val="-4"/>
                <w:lang w:val="en-GB"/>
              </w:rPr>
              <w:t xml:space="preserve"> outlook to the whole H1 2023</w:t>
            </w:r>
            <w:r w:rsidRPr="00E64D6C">
              <w:rPr>
                <w:rFonts w:cs="Arial"/>
                <w:color w:val="0D0D0D" w:themeColor="text1" w:themeTint="F2"/>
                <w:spacing w:val="-4"/>
                <w:lang w:val="en-GB"/>
              </w:rPr>
              <w:t>). In spite of the role of inadequate demand as a barrier to growth for the construction firms notably expanded at the beginning of this year (</w:t>
            </w:r>
            <w:r w:rsidR="00E53B5C" w:rsidRPr="00E64D6C">
              <w:rPr>
                <w:rFonts w:cs="Arial"/>
                <w:color w:val="0D0D0D" w:themeColor="text1" w:themeTint="F2"/>
                <w:spacing w:val="-4"/>
                <w:lang w:val="en-GB"/>
              </w:rPr>
              <w:t>in</w:t>
            </w:r>
            <w:r w:rsidRPr="00E64D6C">
              <w:rPr>
                <w:rFonts w:cs="Arial"/>
                <w:color w:val="0D0D0D" w:themeColor="text1" w:themeTint="F2"/>
                <w:spacing w:val="-4"/>
                <w:lang w:val="en-GB"/>
              </w:rPr>
              <w:t xml:space="preserve"> February </w:t>
            </w:r>
            <w:r w:rsidR="00E53B5C" w:rsidRPr="00E64D6C">
              <w:rPr>
                <w:rFonts w:cs="Arial"/>
                <w:color w:val="0D0D0D" w:themeColor="text1" w:themeTint="F2"/>
                <w:spacing w:val="-4"/>
                <w:lang w:val="en-GB"/>
              </w:rPr>
              <w:t xml:space="preserve">2022 to </w:t>
            </w:r>
            <w:r w:rsidRPr="00E64D6C">
              <w:rPr>
                <w:rFonts w:cs="Arial"/>
                <w:color w:val="0D0D0D" w:themeColor="text1" w:themeTint="F2"/>
                <w:spacing w:val="-4"/>
                <w:lang w:val="en-GB"/>
              </w:rPr>
              <w:t>32%, the most since May 2021), key restriction still lies in the shortage of the labour force (for 40% of businesses)</w:t>
            </w:r>
            <w:r w:rsidRPr="00E64D6C">
              <w:rPr>
                <w:rStyle w:val="Znakapoznpodarou"/>
                <w:color w:val="0D0D0D" w:themeColor="text1" w:themeTint="F2"/>
                <w:spacing w:val="-4"/>
                <w:lang w:val="en-GB"/>
              </w:rPr>
              <w:footnoteReference w:id="40"/>
            </w:r>
            <w:r w:rsidRPr="00E64D6C">
              <w:rPr>
                <w:rFonts w:cs="Arial"/>
                <w:color w:val="0D0D0D" w:themeColor="text1" w:themeTint="F2"/>
                <w:spacing w:val="-4"/>
                <w:lang w:val="en-GB"/>
              </w:rPr>
              <w:t>.</w:t>
            </w:r>
          </w:p>
        </w:tc>
      </w:tr>
      <w:tr w:rsidR="005279E0" w:rsidRPr="00D160FB" w14:paraId="6CFF7DF0" w14:textId="77777777" w:rsidTr="00976631">
        <w:trPr>
          <w:trHeight w:val="170"/>
        </w:trPr>
        <w:tc>
          <w:tcPr>
            <w:tcW w:w="1780" w:type="dxa"/>
            <w:tcBorders>
              <w:top w:val="nil"/>
              <w:left w:val="nil"/>
              <w:bottom w:val="nil"/>
              <w:right w:val="nil"/>
            </w:tcBorders>
            <w:shd w:val="clear" w:color="auto" w:fill="auto"/>
            <w:tcMar>
              <w:left w:w="0" w:type="dxa"/>
            </w:tcMar>
          </w:tcPr>
          <w:p w14:paraId="48B219EC" w14:textId="56F7A9D4" w:rsidR="005279E0" w:rsidRPr="00D160FB" w:rsidRDefault="005279E0" w:rsidP="005279E0">
            <w:pPr>
              <w:pStyle w:val="Marginlie"/>
              <w:rPr>
                <w:color w:val="0D0D0D" w:themeColor="text1" w:themeTint="F2"/>
                <w:lang w:val="en-GB"/>
              </w:rPr>
            </w:pPr>
            <w:r w:rsidRPr="00D160FB">
              <w:rPr>
                <w:color w:val="0D0D0D" w:themeColor="text1" w:themeTint="F2"/>
                <w:lang w:val="en-GB"/>
              </w:rPr>
              <w:lastRenderedPageBreak/>
              <w:t xml:space="preserve">Sales in services grew quarter-on-quarter only in the first half of the last year. Later they were influenced by the falling demand on the part of both households and businesses.  </w:t>
            </w:r>
          </w:p>
        </w:tc>
        <w:tc>
          <w:tcPr>
            <w:tcW w:w="200" w:type="dxa"/>
            <w:tcBorders>
              <w:top w:val="nil"/>
              <w:left w:val="nil"/>
              <w:bottom w:val="nil"/>
              <w:right w:val="nil"/>
            </w:tcBorders>
            <w:shd w:val="clear" w:color="auto" w:fill="auto"/>
            <w:tcMar>
              <w:left w:w="0" w:type="dxa"/>
            </w:tcMar>
          </w:tcPr>
          <w:p w14:paraId="73994561" w14:textId="77777777" w:rsidR="005279E0" w:rsidRPr="00D160FB" w:rsidRDefault="005279E0" w:rsidP="005279E0">
            <w:pPr>
              <w:pStyle w:val="Textpoznpodarou"/>
              <w:jc w:val="both"/>
              <w:rPr>
                <w:color w:val="0D0D0D" w:themeColor="text1" w:themeTint="F2"/>
                <w:spacing w:val="-5"/>
                <w:lang w:val="en-GB"/>
              </w:rPr>
            </w:pPr>
          </w:p>
        </w:tc>
        <w:tc>
          <w:tcPr>
            <w:tcW w:w="7730" w:type="dxa"/>
            <w:tcBorders>
              <w:top w:val="nil"/>
              <w:left w:val="nil"/>
              <w:bottom w:val="nil"/>
              <w:right w:val="nil"/>
            </w:tcBorders>
            <w:shd w:val="clear" w:color="auto" w:fill="auto"/>
            <w:tcMar>
              <w:left w:w="0" w:type="dxa"/>
            </w:tcMar>
          </w:tcPr>
          <w:p w14:paraId="5A07817D" w14:textId="0FB33EE6" w:rsidR="005279E0" w:rsidRPr="00D160FB" w:rsidRDefault="005279E0" w:rsidP="005279E0">
            <w:pPr>
              <w:spacing w:after="200"/>
              <w:rPr>
                <w:rFonts w:cs="Arial"/>
                <w:color w:val="0D0D0D" w:themeColor="text1" w:themeTint="F2"/>
                <w:spacing w:val="-5"/>
                <w:lang w:val="en-GB"/>
              </w:rPr>
            </w:pPr>
            <w:r w:rsidRPr="00D160FB">
              <w:rPr>
                <w:rFonts w:cs="Arial"/>
                <w:color w:val="0D0D0D" w:themeColor="text1" w:themeTint="F2"/>
                <w:spacing w:val="-5"/>
                <w:lang w:val="en-GB"/>
              </w:rPr>
              <w:t>Demand for services developed unevenly during the last year. Sales in selected services</w:t>
            </w:r>
            <w:r w:rsidRPr="00D160FB">
              <w:rPr>
                <w:color w:val="0D0D0D" w:themeColor="text1" w:themeTint="F2"/>
                <w:spacing w:val="-5"/>
                <w:vertAlign w:val="superscript"/>
                <w:lang w:val="en-GB"/>
              </w:rPr>
              <w:footnoteReference w:id="41"/>
            </w:r>
            <w:r w:rsidRPr="00D160FB">
              <w:rPr>
                <w:color w:val="0D0D0D" w:themeColor="text1" w:themeTint="F2"/>
                <w:spacing w:val="-5"/>
                <w:lang w:val="en-GB"/>
              </w:rPr>
              <w:t xml:space="preserve"> increased quarter-on-quarter by 2.1% at the beginning of the year and climbed above the level of the boom year 2019 for the first time. Services thrived also in Q2, when mainly the branches with tight link to tourism markedly revived. The growth of sales </w:t>
            </w:r>
            <w:r w:rsidR="00E64D6C">
              <w:rPr>
                <w:color w:val="0D0D0D" w:themeColor="text1" w:themeTint="F2"/>
                <w:spacing w:val="-5"/>
                <w:lang w:val="en-GB"/>
              </w:rPr>
              <w:t xml:space="preserve">however </w:t>
            </w:r>
            <w:r w:rsidRPr="00D160FB">
              <w:rPr>
                <w:color w:val="0D0D0D" w:themeColor="text1" w:themeTint="F2"/>
                <w:spacing w:val="-5"/>
                <w:lang w:val="en-GB"/>
              </w:rPr>
              <w:t xml:space="preserve">ceased in the remaining part of the year. The key branch of transportation and warehousing registered signs of the demand weakening (for the first time since half of year 2020). In addition the deteriorating economic situation of the domestic households was reflected in the area of food service and restaurants. Further, the businesses started to restrict their demand for some activities (of administrative and support service character, but also more sophisticated services). The decrease of sales deepened in warehousing (to 8.2% quarter-on-quarter) in Q3 2022, which was connected to the deteriorated performance of industry as well as the decrease of the turnover of the foreign trade </w:t>
            </w:r>
            <w:r w:rsidR="00E64D6C">
              <w:rPr>
                <w:color w:val="0D0D0D" w:themeColor="text1" w:themeTint="F2"/>
                <w:spacing w:val="-5"/>
                <w:lang w:val="en-GB"/>
              </w:rPr>
              <w:t xml:space="preserve">of the CR </w:t>
            </w:r>
            <w:r w:rsidRPr="00D160FB">
              <w:rPr>
                <w:color w:val="0D0D0D" w:themeColor="text1" w:themeTint="F2"/>
                <w:spacing w:val="-5"/>
                <w:lang w:val="en-GB"/>
              </w:rPr>
              <w:t>with goods</w:t>
            </w:r>
            <w:r w:rsidRPr="00D160FB">
              <w:rPr>
                <w:rStyle w:val="Znakapoznpodarou"/>
                <w:color w:val="0D0D0D" w:themeColor="text1" w:themeTint="F2"/>
                <w:spacing w:val="-5"/>
                <w:lang w:val="en-GB"/>
              </w:rPr>
              <w:footnoteReference w:id="42"/>
            </w:r>
            <w:r w:rsidRPr="00D160FB">
              <w:rPr>
                <w:color w:val="0D0D0D" w:themeColor="text1" w:themeTint="F2"/>
                <w:spacing w:val="-5"/>
                <w:lang w:val="en-GB"/>
              </w:rPr>
              <w:t>.</w:t>
            </w:r>
          </w:p>
        </w:tc>
      </w:tr>
      <w:tr w:rsidR="005279E0" w:rsidRPr="00D160FB" w14:paraId="6A292010" w14:textId="77777777" w:rsidTr="00976631">
        <w:trPr>
          <w:trHeight w:val="170"/>
        </w:trPr>
        <w:tc>
          <w:tcPr>
            <w:tcW w:w="1780" w:type="dxa"/>
            <w:tcBorders>
              <w:top w:val="nil"/>
              <w:left w:val="nil"/>
              <w:bottom w:val="nil"/>
              <w:right w:val="nil"/>
            </w:tcBorders>
            <w:shd w:val="clear" w:color="auto" w:fill="auto"/>
            <w:tcMar>
              <w:left w:w="0" w:type="dxa"/>
            </w:tcMar>
          </w:tcPr>
          <w:p w14:paraId="32670838"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35B31639"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268664B" w14:textId="6C4AC476" w:rsidR="005279E0" w:rsidRPr="00D160FB" w:rsidRDefault="005279E0" w:rsidP="005279E0">
            <w:pPr>
              <w:spacing w:after="40"/>
              <w:rPr>
                <w:b/>
                <w:spacing w:val="-4"/>
                <w:lang w:val="en-GB"/>
              </w:rPr>
            </w:pPr>
            <w:r w:rsidRPr="00D160FB">
              <w:rPr>
                <w:b/>
                <w:spacing w:val="-4"/>
                <w:lang w:val="en-GB"/>
              </w:rPr>
              <w:t xml:space="preserve">Chart 7 Contributions of sub-branches to year-on-year change of sales in services* </w:t>
            </w:r>
            <w:r w:rsidRPr="00D160FB">
              <w:rPr>
                <w:spacing w:val="-4"/>
                <w:lang w:val="en-GB"/>
              </w:rPr>
              <w:t xml:space="preserve">(real, in p.p.), </w:t>
            </w:r>
            <w:r w:rsidRPr="00D160FB">
              <w:rPr>
                <w:b/>
                <w:bCs/>
                <w:spacing w:val="-4"/>
                <w:lang w:val="en-GB"/>
              </w:rPr>
              <w:t>total sales in services</w:t>
            </w:r>
            <w:r w:rsidRPr="00D160FB">
              <w:rPr>
                <w:spacing w:val="-4"/>
                <w:lang w:val="en-GB"/>
              </w:rPr>
              <w:t xml:space="preserve">* (basis 2015=100, right axis), </w:t>
            </w:r>
            <w:r w:rsidRPr="00D160FB">
              <w:rPr>
                <w:b/>
                <w:spacing w:val="-4"/>
                <w:lang w:val="en-GB"/>
              </w:rPr>
              <w:t xml:space="preserve">balance of business confidence indicator in services** </w:t>
            </w:r>
            <w:r w:rsidRPr="00D160FB">
              <w:rPr>
                <w:spacing w:val="-4"/>
                <w:lang w:val="en-GB"/>
              </w:rPr>
              <w:t>(in p.p., right axis)</w:t>
            </w:r>
            <w:r>
              <w:rPr>
                <w:b/>
                <w:spacing w:val="-4"/>
                <w:lang w:val="en-GB"/>
              </w:rPr>
              <w:t>,</w:t>
            </w:r>
            <w:r w:rsidRPr="00D160FB">
              <w:rPr>
                <w:b/>
                <w:spacing w:val="-4"/>
                <w:lang w:val="en-GB"/>
              </w:rPr>
              <w:t xml:space="preserve"> selected growth barriers*</w:t>
            </w:r>
            <w:r w:rsidRPr="00D160FB">
              <w:rPr>
                <w:spacing w:val="-4"/>
                <w:lang w:val="en-GB"/>
              </w:rPr>
              <w:t>* (in %, right axis)</w:t>
            </w:r>
          </w:p>
        </w:tc>
      </w:tr>
      <w:tr w:rsidR="005279E0" w:rsidRPr="00D160FB" w14:paraId="5B7F11EF" w14:textId="77777777" w:rsidTr="00976631">
        <w:tblPrEx>
          <w:tblCellMar>
            <w:left w:w="70" w:type="dxa"/>
            <w:right w:w="70" w:type="dxa"/>
          </w:tblCellMar>
        </w:tblPrEx>
        <w:trPr>
          <w:trHeight w:val="170"/>
        </w:trPr>
        <w:tc>
          <w:tcPr>
            <w:tcW w:w="1780" w:type="dxa"/>
            <w:tcBorders>
              <w:top w:val="nil"/>
              <w:left w:val="nil"/>
              <w:bottom w:val="nil"/>
              <w:right w:val="nil"/>
            </w:tcBorders>
            <w:shd w:val="clear" w:color="auto" w:fill="auto"/>
          </w:tcPr>
          <w:p w14:paraId="46BFF75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Pr>
          <w:p w14:paraId="4D803279"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4A1D2772" w14:textId="5581ED6C" w:rsidR="005279E0" w:rsidRPr="00D160FB" w:rsidRDefault="005279E0" w:rsidP="005279E0">
            <w:pPr>
              <w:spacing w:after="40"/>
              <w:rPr>
                <w:rFonts w:cs="Arial"/>
                <w:sz w:val="14"/>
                <w:szCs w:val="14"/>
                <w:lang w:val="en-GB"/>
              </w:rPr>
            </w:pPr>
            <w:r>
              <w:rPr>
                <w:noProof/>
              </w:rPr>
              <w:drawing>
                <wp:inline distT="0" distB="0" distL="0" distR="0" wp14:anchorId="747E3AF2" wp14:editId="1A5C346B">
                  <wp:extent cx="4659630" cy="3512820"/>
                  <wp:effectExtent l="0" t="0" r="762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5279E0" w:rsidRPr="00D160FB" w14:paraId="72571772" w14:textId="77777777" w:rsidTr="00976631">
        <w:trPr>
          <w:trHeight w:val="170"/>
        </w:trPr>
        <w:tc>
          <w:tcPr>
            <w:tcW w:w="1780" w:type="dxa"/>
            <w:tcBorders>
              <w:top w:val="nil"/>
              <w:left w:val="nil"/>
              <w:bottom w:val="nil"/>
              <w:right w:val="nil"/>
            </w:tcBorders>
            <w:shd w:val="clear" w:color="auto" w:fill="auto"/>
            <w:tcMar>
              <w:left w:w="0" w:type="dxa"/>
            </w:tcMar>
          </w:tcPr>
          <w:p w14:paraId="34DFEFA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0DF93D0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727905B" w14:textId="77777777" w:rsidR="005279E0" w:rsidRPr="00181788" w:rsidRDefault="005279E0" w:rsidP="005279E0">
            <w:pPr>
              <w:spacing w:after="0"/>
              <w:rPr>
                <w:color w:val="0D0D0D" w:themeColor="text1" w:themeTint="F2"/>
                <w:spacing w:val="-3"/>
                <w:sz w:val="14"/>
                <w:szCs w:val="14"/>
                <w:lang w:val="en-GB"/>
              </w:rPr>
            </w:pPr>
            <w:r w:rsidRPr="00181788">
              <w:rPr>
                <w:color w:val="0D0D0D" w:themeColor="text1" w:themeTint="F2"/>
                <w:spacing w:val="-3"/>
                <w:sz w:val="14"/>
                <w:szCs w:val="14"/>
                <w:lang w:val="en-GB"/>
              </w:rPr>
              <w:t xml:space="preserve">Note: all data are seasonally adjusted, only contributions of sub-branches to the growth of sales are adjusted only for calendar effect. </w:t>
            </w:r>
          </w:p>
          <w:p w14:paraId="20CE021A" w14:textId="718A512F" w:rsidR="005279E0" w:rsidRPr="00D160FB" w:rsidRDefault="005279E0" w:rsidP="005279E0">
            <w:pPr>
              <w:spacing w:after="0"/>
              <w:rPr>
                <w:rFonts w:cs="Arial"/>
                <w:sz w:val="14"/>
                <w:szCs w:val="14"/>
                <w:lang w:val="en-GB"/>
              </w:rPr>
            </w:pPr>
            <w:r w:rsidRPr="00D160FB">
              <w:rPr>
                <w:rFonts w:cs="Arial"/>
                <w:sz w:val="14"/>
                <w:szCs w:val="14"/>
                <w:lang w:val="en-GB"/>
              </w:rPr>
              <w:t>*</w:t>
            </w:r>
            <w:r w:rsidRPr="00D160FB">
              <w:rPr>
                <w:color w:val="0D0D0D" w:themeColor="text1" w:themeTint="F2"/>
                <w:sz w:val="14"/>
                <w:szCs w:val="14"/>
                <w:lang w:val="en-GB"/>
              </w:rPr>
              <w:t xml:space="preserve">Without branches trade, financial activities, insurance activities, science, research and public services.  </w:t>
            </w:r>
          </w:p>
          <w:p w14:paraId="68437388" w14:textId="3DD28BA0" w:rsidR="005279E0" w:rsidRDefault="005279E0" w:rsidP="005279E0">
            <w:pPr>
              <w:spacing w:after="0"/>
              <w:rPr>
                <w:rFonts w:cs="Arial"/>
                <w:sz w:val="14"/>
                <w:szCs w:val="14"/>
                <w:lang w:val="en-GB"/>
              </w:rPr>
            </w:pPr>
            <w:r w:rsidRPr="00D160FB">
              <w:rPr>
                <w:rFonts w:cs="Arial"/>
                <w:sz w:val="14"/>
                <w:szCs w:val="14"/>
                <w:lang w:val="en-GB"/>
              </w:rPr>
              <w:t>**Also includes the financial sector. Balance of business confidence indicator as well as the barriers to growth express the level in the first</w:t>
            </w:r>
            <w:r w:rsidR="00E64D6C">
              <w:rPr>
                <w:rFonts w:cs="Arial"/>
                <w:sz w:val="14"/>
                <w:szCs w:val="14"/>
                <w:lang w:val="en-GB"/>
              </w:rPr>
              <w:t>, resp.</w:t>
            </w:r>
            <w:r w:rsidRPr="00D160FB">
              <w:rPr>
                <w:rFonts w:cs="Arial"/>
                <w:sz w:val="14"/>
                <w:szCs w:val="14"/>
                <w:lang w:val="en-GB"/>
              </w:rPr>
              <w:t xml:space="preserve"> in the second month of the given quarter </w:t>
            </w:r>
            <w:r w:rsidRPr="00D160FB">
              <w:rPr>
                <w:rFonts w:cs="Arial"/>
                <w:spacing w:val="-2"/>
                <w:sz w:val="14"/>
                <w:szCs w:val="14"/>
                <w:lang w:val="en-GB"/>
              </w:rPr>
              <w:t>(growth barriers and confidence balance respectively). Businesses could have indicated more key barriers simultaneously.</w:t>
            </w:r>
          </w:p>
          <w:p w14:paraId="5E25FC90" w14:textId="72A887A6" w:rsidR="005279E0" w:rsidRPr="00D160FB" w:rsidRDefault="005279E0" w:rsidP="005279E0">
            <w:pPr>
              <w:spacing w:after="0"/>
              <w:rPr>
                <w:rFonts w:cs="Arial"/>
                <w:sz w:val="14"/>
                <w:szCs w:val="14"/>
                <w:lang w:val="en-GB"/>
              </w:rPr>
            </w:pPr>
            <w:r w:rsidRPr="00D160FB">
              <w:rPr>
                <w:rFonts w:cs="Arial"/>
                <w:sz w:val="14"/>
                <w:szCs w:val="14"/>
                <w:lang w:val="en-GB"/>
              </w:rPr>
              <w:t>Source: CZSO, Eurostat</w:t>
            </w:r>
          </w:p>
        </w:tc>
      </w:tr>
      <w:tr w:rsidR="005279E0" w:rsidRPr="00D160FB" w14:paraId="064B94B6" w14:textId="77777777" w:rsidTr="00976631">
        <w:trPr>
          <w:trHeight w:val="170"/>
        </w:trPr>
        <w:tc>
          <w:tcPr>
            <w:tcW w:w="1780" w:type="dxa"/>
            <w:tcBorders>
              <w:top w:val="nil"/>
              <w:left w:val="nil"/>
              <w:bottom w:val="nil"/>
              <w:right w:val="nil"/>
            </w:tcBorders>
            <w:shd w:val="clear" w:color="auto" w:fill="auto"/>
            <w:tcMar>
              <w:left w:w="0" w:type="dxa"/>
            </w:tcMar>
          </w:tcPr>
          <w:p w14:paraId="122B6947" w14:textId="269BF767" w:rsidR="005279E0" w:rsidRPr="00D160FB" w:rsidRDefault="005279E0" w:rsidP="005279E0">
            <w:pPr>
              <w:pStyle w:val="Marginlie"/>
              <w:rPr>
                <w:lang w:val="en-GB"/>
              </w:rPr>
            </w:pPr>
            <w:r w:rsidRPr="00D160FB">
              <w:rPr>
                <w:lang w:val="en-GB"/>
              </w:rPr>
              <w:lastRenderedPageBreak/>
              <w:t>Reverberations of the post-pandemic recovery of demand were still reflected in the high last year’s annual growth of sales in services.</w:t>
            </w:r>
          </w:p>
        </w:tc>
        <w:tc>
          <w:tcPr>
            <w:tcW w:w="200" w:type="dxa"/>
            <w:tcBorders>
              <w:top w:val="nil"/>
              <w:left w:val="nil"/>
              <w:bottom w:val="nil"/>
              <w:right w:val="nil"/>
            </w:tcBorders>
            <w:shd w:val="clear" w:color="auto" w:fill="auto"/>
            <w:tcMar>
              <w:left w:w="0" w:type="dxa"/>
            </w:tcMar>
          </w:tcPr>
          <w:p w14:paraId="26727BD2" w14:textId="77777777" w:rsidR="005279E0" w:rsidRPr="00D160FB" w:rsidRDefault="005279E0" w:rsidP="005279E0">
            <w:pPr>
              <w:pStyle w:val="Textpoznpodarou"/>
              <w:jc w:val="both"/>
              <w:rPr>
                <w:spacing w:val="-6"/>
                <w:lang w:val="en-GB"/>
              </w:rPr>
            </w:pPr>
          </w:p>
        </w:tc>
        <w:tc>
          <w:tcPr>
            <w:tcW w:w="7730" w:type="dxa"/>
            <w:tcBorders>
              <w:top w:val="nil"/>
              <w:left w:val="nil"/>
              <w:bottom w:val="nil"/>
              <w:right w:val="nil"/>
            </w:tcBorders>
            <w:shd w:val="clear" w:color="auto" w:fill="auto"/>
            <w:tcMar>
              <w:left w:w="0" w:type="dxa"/>
            </w:tcMar>
          </w:tcPr>
          <w:p w14:paraId="1104F584" w14:textId="5B84104D" w:rsidR="005279E0" w:rsidRPr="00D160FB" w:rsidRDefault="005279E0" w:rsidP="005279E0">
            <w:pPr>
              <w:spacing w:after="200"/>
              <w:rPr>
                <w:color w:val="0D0D0D" w:themeColor="text1" w:themeTint="F2"/>
                <w:spacing w:val="-4"/>
                <w:lang w:val="en-GB"/>
              </w:rPr>
            </w:pPr>
            <w:r w:rsidRPr="00D160FB">
              <w:rPr>
                <w:color w:val="0D0D0D" w:themeColor="text1" w:themeTint="F2"/>
                <w:spacing w:val="-4"/>
                <w:lang w:val="en-GB"/>
              </w:rPr>
              <w:t>Sales in services strengthened by 8.5% year-on-year for the whole last year. This pace, the fastest since year 2007, for the large part reflected the effect of the low comparative basis from the beginning of year 2021, when the strict counter-pandemic measures fundamentally restricted especially the development of tourism and number of other leisure activities of the population. As expected the sales in accommodation, food service and restaurants recovered the most last year (+27.0%), all main branches of services however felt the higher demand. At the level of sub-branches, the sales fell for the radio broadcasting and television programming (by 15.3%), job agencies (10.0%), advertising and market research (-6.7%) and postal and courier services (-3.5%). While the lower sales of couriers were more the consequences of the “post-pandemic“ return to the traditional forms of trade in the brick and mortar stores, declines in the other mentioned branches reflect mainly the cyclical slump of the demand resulting from th</w:t>
            </w:r>
            <w:r w:rsidR="00D03B6B">
              <w:rPr>
                <w:color w:val="0D0D0D" w:themeColor="text1" w:themeTint="F2"/>
                <w:spacing w:val="-4"/>
                <w:lang w:val="en-GB"/>
              </w:rPr>
              <w:t>e impacts of the energy crisis.</w:t>
            </w:r>
          </w:p>
        </w:tc>
      </w:tr>
      <w:tr w:rsidR="005279E0" w:rsidRPr="00D160FB" w14:paraId="42CF9C87" w14:textId="77777777" w:rsidTr="00976631">
        <w:trPr>
          <w:trHeight w:val="170"/>
        </w:trPr>
        <w:tc>
          <w:tcPr>
            <w:tcW w:w="1780" w:type="dxa"/>
            <w:tcBorders>
              <w:top w:val="nil"/>
              <w:left w:val="nil"/>
              <w:bottom w:val="nil"/>
              <w:right w:val="nil"/>
            </w:tcBorders>
            <w:shd w:val="clear" w:color="auto" w:fill="auto"/>
            <w:tcMar>
              <w:left w:w="0" w:type="dxa"/>
            </w:tcMar>
          </w:tcPr>
          <w:p w14:paraId="1C94AFBC" w14:textId="1C2088AA" w:rsidR="005279E0" w:rsidRPr="00D160FB" w:rsidRDefault="005279E0" w:rsidP="005279E0">
            <w:pPr>
              <w:pStyle w:val="Marginlie"/>
              <w:rPr>
                <w:lang w:val="en-GB"/>
              </w:rPr>
            </w:pPr>
            <w:r w:rsidRPr="00D160FB">
              <w:rPr>
                <w:lang w:val="en-GB"/>
              </w:rPr>
              <w:t>Year-on-year growth of sales in services was only modest in Q4 since the key branch of transportation was driven down by weaker demand in warehousing and support activities for transportation.</w:t>
            </w:r>
          </w:p>
          <w:p w14:paraId="0F2679D2"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521C1B72"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B55BA0F" w14:textId="74CD2299" w:rsidR="005279E0" w:rsidRPr="00D160FB" w:rsidRDefault="005279E0" w:rsidP="005279E0">
            <w:pPr>
              <w:spacing w:after="200"/>
              <w:rPr>
                <w:color w:val="0D0D0D" w:themeColor="text1" w:themeTint="F2"/>
                <w:spacing w:val="-6"/>
                <w:lang w:val="en-GB"/>
              </w:rPr>
            </w:pPr>
            <w:r w:rsidRPr="00D160FB">
              <w:rPr>
                <w:color w:val="0D0D0D" w:themeColor="text1" w:themeTint="F2"/>
                <w:spacing w:val="-6"/>
                <w:lang w:val="en-GB"/>
              </w:rPr>
              <w:t>This slump of demand is more plastically expressed in sales for services in Q4 2022. T</w:t>
            </w:r>
            <w:r w:rsidR="00D03B6B">
              <w:rPr>
                <w:color w:val="0D0D0D" w:themeColor="text1" w:themeTint="F2"/>
                <w:spacing w:val="-6"/>
                <w:lang w:val="en-GB"/>
              </w:rPr>
              <w:t>hese exceeded the preceding</w:t>
            </w:r>
            <w:r w:rsidRPr="00D160FB">
              <w:rPr>
                <w:color w:val="0D0D0D" w:themeColor="text1" w:themeTint="F2"/>
                <w:spacing w:val="-6"/>
                <w:lang w:val="en-GB"/>
              </w:rPr>
              <w:t xml:space="preserve"> year’s level only by 1.6%. Despite modest pace, all main branches added to the growth apart from the weight dominant transportation and warehousing, where the sales mildly decreased (-0.3%). The drop of demand in the long-time developing postal and courier services, similarly, to warehousing and support activities for transportation, was not fully offset by the growth of sales in the land and pipe transportation (3.2%), which was aided by higher sales in rail as well as road transportation. The recovery continued in both air and water transportation; these branches however still have not attained the pre-crisis level of demand.</w:t>
            </w:r>
          </w:p>
        </w:tc>
      </w:tr>
      <w:tr w:rsidR="005279E0" w:rsidRPr="00D160FB" w14:paraId="164F4F1E" w14:textId="77777777" w:rsidTr="00976631">
        <w:trPr>
          <w:trHeight w:val="170"/>
        </w:trPr>
        <w:tc>
          <w:tcPr>
            <w:tcW w:w="1780" w:type="dxa"/>
            <w:tcBorders>
              <w:top w:val="nil"/>
              <w:left w:val="nil"/>
              <w:bottom w:val="nil"/>
              <w:right w:val="nil"/>
            </w:tcBorders>
            <w:shd w:val="clear" w:color="auto" w:fill="auto"/>
            <w:tcMar>
              <w:left w:w="0" w:type="dxa"/>
            </w:tcMar>
          </w:tcPr>
          <w:p w14:paraId="31B4C108" w14:textId="479B8C26" w:rsidR="005279E0" w:rsidRPr="00D160FB" w:rsidRDefault="005279E0" w:rsidP="005279E0">
            <w:pPr>
              <w:pStyle w:val="Marginlie"/>
              <w:rPr>
                <w:lang w:val="en-GB"/>
              </w:rPr>
            </w:pPr>
            <w:r w:rsidRPr="00D160FB">
              <w:rPr>
                <w:lang w:val="en-GB"/>
              </w:rPr>
              <w:t xml:space="preserve">Sales in activities tied to tourism kept further recovering, they nevertheless have not reached the level from year 2019 so far.  </w:t>
            </w:r>
          </w:p>
          <w:p w14:paraId="7E5E2F83" w14:textId="77777777" w:rsidR="005279E0" w:rsidRPr="00D160FB" w:rsidRDefault="005279E0" w:rsidP="005279E0">
            <w:pPr>
              <w:pStyle w:val="Marginlie"/>
              <w:rPr>
                <w:lang w:val="en-GB"/>
              </w:rPr>
            </w:pPr>
          </w:p>
          <w:p w14:paraId="7E51AC19" w14:textId="77777777" w:rsidR="005279E0" w:rsidRPr="00D160FB" w:rsidRDefault="005279E0" w:rsidP="005279E0">
            <w:pPr>
              <w:pStyle w:val="Marginlie"/>
              <w:rPr>
                <w:lang w:val="en-GB"/>
              </w:rPr>
            </w:pPr>
          </w:p>
          <w:p w14:paraId="1E44307F" w14:textId="77777777" w:rsidR="005279E0" w:rsidRPr="00D160FB" w:rsidRDefault="005279E0" w:rsidP="005279E0">
            <w:pPr>
              <w:pStyle w:val="Marginlie"/>
              <w:rPr>
                <w:lang w:val="en-GB"/>
              </w:rPr>
            </w:pPr>
          </w:p>
          <w:p w14:paraId="390543E4" w14:textId="77777777" w:rsidR="005279E0" w:rsidRPr="00D160FB" w:rsidRDefault="005279E0" w:rsidP="005279E0">
            <w:pPr>
              <w:pStyle w:val="Marginlie"/>
              <w:rPr>
                <w:lang w:val="en-GB"/>
              </w:rPr>
            </w:pPr>
          </w:p>
          <w:p w14:paraId="1A0A4DCF" w14:textId="51D2140B" w:rsidR="005279E0" w:rsidRPr="00D160FB" w:rsidRDefault="005279E0" w:rsidP="005279E0">
            <w:pPr>
              <w:pStyle w:val="Marginlie"/>
              <w:rPr>
                <w:lang w:val="en-GB"/>
              </w:rPr>
            </w:pPr>
            <w:r w:rsidRPr="00D160FB">
              <w:rPr>
                <w:lang w:val="en-GB"/>
              </w:rPr>
              <w:t>Traditionally dynamic growth in the ICT area waned since the demand growth prevailed only in the area of programming.</w:t>
            </w:r>
          </w:p>
          <w:p w14:paraId="1857B8B9"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78563F5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FC9A86E" w14:textId="6E9FA230" w:rsidR="005279E0" w:rsidRPr="00D160FB" w:rsidRDefault="005279E0" w:rsidP="00955CDA">
            <w:pPr>
              <w:spacing w:after="190"/>
              <w:rPr>
                <w:color w:val="0D0D0D" w:themeColor="text1" w:themeTint="F2"/>
                <w:spacing w:val="-6"/>
                <w:lang w:val="en-GB"/>
              </w:rPr>
            </w:pPr>
            <w:r w:rsidRPr="00D160FB">
              <w:rPr>
                <w:rFonts w:cs="Arial"/>
                <w:color w:val="0D0D0D" w:themeColor="text1" w:themeTint="F2"/>
                <w:spacing w:val="-6"/>
                <w:lang w:val="en-GB"/>
              </w:rPr>
              <w:t xml:space="preserve">Sales were by one tenth higher year-on-year </w:t>
            </w:r>
            <w:r w:rsidRPr="00D160FB">
              <w:rPr>
                <w:color w:val="0D0D0D" w:themeColor="text1" w:themeTint="F2"/>
                <w:spacing w:val="-6"/>
                <w:lang w:val="en-GB"/>
              </w:rPr>
              <w:t xml:space="preserve">in the branch accommodation, food service and restaurants in Q4 2022 and contributed the most to the growth of all services (+0.5 p.p.). Gradual recovery of the arrival tourism substantially assisted this result. The demand however still considerably lagged behind the level from the end of year </w:t>
            </w:r>
            <w:r>
              <w:rPr>
                <w:color w:val="0D0D0D" w:themeColor="text1" w:themeTint="F2"/>
                <w:spacing w:val="-6"/>
                <w:lang w:val="en-GB"/>
              </w:rPr>
              <w:t>2019</w:t>
            </w:r>
            <w:r w:rsidRPr="00D160FB">
              <w:rPr>
                <w:color w:val="0D0D0D" w:themeColor="text1" w:themeTint="F2"/>
                <w:spacing w:val="-6"/>
                <w:lang w:val="en-GB"/>
              </w:rPr>
              <w:t xml:space="preserve"> – it was more pronounced in accommodation (by 25.4%) than in food service and restaurants (15.4%). In contrast the branch information and communication already overtook the pre-crisis level (by 6.0%), similarly to the real estate activities (+3.8%). The year-on-year growth of sales however weakened in the long-time developing ICT area last year and it arrived only at even 1% in the last quarter. The demand grew only in the information technology activities here (e.g. programming, computer facilities management activities), considerable slump manifested for radio and television broadcasting activities. Sales also fell in the so called music and motion picture industry (even though the segment of motion picture distribution activities flourished</w:t>
            </w:r>
            <w:r w:rsidRPr="00D160FB">
              <w:rPr>
                <w:rStyle w:val="Znakapoznpodarou"/>
                <w:color w:val="0D0D0D" w:themeColor="text1" w:themeTint="F2"/>
                <w:spacing w:val="-6"/>
                <w:lang w:val="en-GB"/>
              </w:rPr>
              <w:footnoteReference w:id="43"/>
            </w:r>
            <w:r w:rsidRPr="00D160FB">
              <w:rPr>
                <w:color w:val="0D0D0D" w:themeColor="text1" w:themeTint="F2"/>
                <w:spacing w:val="-6"/>
                <w:lang w:val="en-GB"/>
              </w:rPr>
              <w:t xml:space="preserve">) and a mild decrease of demand non-traditionally also hit the information activities (including hosting, web portals as well as </w:t>
            </w:r>
            <w:r w:rsidR="00D03B6B">
              <w:rPr>
                <w:color w:val="0D0D0D" w:themeColor="text1" w:themeTint="F2"/>
                <w:spacing w:val="-6"/>
                <w:lang w:val="en-GB"/>
              </w:rPr>
              <w:t>news agency activities).</w:t>
            </w:r>
          </w:p>
        </w:tc>
      </w:tr>
      <w:tr w:rsidR="005279E0" w:rsidRPr="00D160FB" w14:paraId="1C099386" w14:textId="77777777" w:rsidTr="00976631">
        <w:trPr>
          <w:trHeight w:val="170"/>
        </w:trPr>
        <w:tc>
          <w:tcPr>
            <w:tcW w:w="1780" w:type="dxa"/>
            <w:tcBorders>
              <w:top w:val="nil"/>
              <w:left w:val="nil"/>
              <w:bottom w:val="nil"/>
              <w:right w:val="nil"/>
            </w:tcBorders>
            <w:shd w:val="clear" w:color="auto" w:fill="auto"/>
            <w:tcMar>
              <w:left w:w="0" w:type="dxa"/>
            </w:tcMar>
          </w:tcPr>
          <w:p w14:paraId="7B9AEC7D" w14:textId="2F344987" w:rsidR="005279E0" w:rsidRPr="00D160FB" w:rsidRDefault="005279E0" w:rsidP="005279E0">
            <w:pPr>
              <w:pStyle w:val="Marginlie"/>
              <w:rPr>
                <w:lang w:val="en-GB"/>
              </w:rPr>
            </w:pPr>
            <w:r w:rsidRPr="00D160FB">
              <w:rPr>
                <w:lang w:val="en-GB"/>
              </w:rPr>
              <w:t xml:space="preserve">Sales for advertising and market research </w:t>
            </w:r>
            <w:r w:rsidR="00955CDA">
              <w:rPr>
                <w:lang w:val="en-GB"/>
              </w:rPr>
              <w:t>went down markedly.</w:t>
            </w:r>
            <w:r w:rsidRPr="00D160FB">
              <w:rPr>
                <w:lang w:val="en-GB"/>
              </w:rPr>
              <w:t xml:space="preserve"> </w:t>
            </w:r>
            <w:r w:rsidR="00955CDA">
              <w:rPr>
                <w:lang w:val="en-GB"/>
              </w:rPr>
              <w:t xml:space="preserve">The </w:t>
            </w:r>
            <w:r w:rsidRPr="00D160FB">
              <w:rPr>
                <w:lang w:val="en-GB"/>
              </w:rPr>
              <w:t>majority of b</w:t>
            </w:r>
            <w:r w:rsidR="00955CDA">
              <w:rPr>
                <w:lang w:val="en-GB"/>
              </w:rPr>
              <w:t>usiness support services</w:t>
            </w:r>
            <w:r w:rsidRPr="00D160FB">
              <w:rPr>
                <w:lang w:val="en-GB"/>
              </w:rPr>
              <w:t xml:space="preserve"> signalled lower demand. </w:t>
            </w:r>
          </w:p>
          <w:p w14:paraId="016F7944"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2C8BD0F0"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0ADB599D" w14:textId="594245AE" w:rsidR="005279E0" w:rsidRPr="00D160FB" w:rsidRDefault="005279E0" w:rsidP="00955CDA">
            <w:pPr>
              <w:spacing w:after="0"/>
              <w:rPr>
                <w:color w:val="0D0D0D" w:themeColor="text1" w:themeTint="F2"/>
                <w:spacing w:val="-6"/>
                <w:lang w:val="en-GB"/>
              </w:rPr>
            </w:pPr>
            <w:r w:rsidRPr="00D160FB">
              <w:rPr>
                <w:rFonts w:cs="Arial"/>
                <w:color w:val="0D0D0D" w:themeColor="text1" w:themeTint="F2"/>
                <w:spacing w:val="-6"/>
                <w:lang w:val="en-GB"/>
              </w:rPr>
              <w:t>Weakening of the demand for business support services was the most evident in the branch professional, scientific and technical activities, where the sales only stagnated year-on-year last year in Q4</w:t>
            </w:r>
            <w:r w:rsidR="00955CDA">
              <w:rPr>
                <w:rFonts w:cs="Arial"/>
                <w:color w:val="0D0D0D" w:themeColor="text1" w:themeTint="F2"/>
                <w:spacing w:val="-6"/>
                <w:lang w:val="en-GB"/>
              </w:rPr>
              <w:t xml:space="preserve"> 2022</w:t>
            </w:r>
            <w:r w:rsidRPr="00D160FB">
              <w:rPr>
                <w:rFonts w:cs="Arial"/>
                <w:color w:val="0D0D0D" w:themeColor="text1" w:themeTint="F2"/>
                <w:spacing w:val="-6"/>
                <w:lang w:val="en-GB"/>
              </w:rPr>
              <w:t xml:space="preserve">. These were compressed mainly by the plunge of sales for advertising and market research (-9.7%), demand was also falling for other services. </w:t>
            </w:r>
            <w:r w:rsidR="00955CDA">
              <w:rPr>
                <w:rFonts w:cs="Arial"/>
                <w:color w:val="0D0D0D" w:themeColor="text1" w:themeTint="F2"/>
                <w:spacing w:val="-6"/>
                <w:lang w:val="en-GB"/>
              </w:rPr>
              <w:t>T</w:t>
            </w:r>
            <w:r w:rsidRPr="00D160FB">
              <w:rPr>
                <w:rFonts w:cs="Arial"/>
                <w:color w:val="0D0D0D" w:themeColor="text1" w:themeTint="F2"/>
                <w:spacing w:val="-6"/>
                <w:lang w:val="en-GB"/>
              </w:rPr>
              <w:t>he legal and accounting services (sales did not decrease meaningfully here even during the peak of the pandemics) and architectural and engineering activities (+3%) comprised the exception. Higher growth of sales (5.6%) still prevailed in the branch administrative and suppo</w:t>
            </w:r>
            <w:r w:rsidR="00955CDA">
              <w:rPr>
                <w:rFonts w:cs="Arial"/>
                <w:color w:val="0D0D0D" w:themeColor="text1" w:themeTint="F2"/>
                <w:spacing w:val="-6"/>
                <w:lang w:val="en-GB"/>
              </w:rPr>
              <w:t>rt service activities in Q4</w:t>
            </w:r>
            <w:r w:rsidRPr="00D160FB">
              <w:rPr>
                <w:rFonts w:cs="Arial"/>
                <w:color w:val="0D0D0D" w:themeColor="text1" w:themeTint="F2"/>
                <w:spacing w:val="-6"/>
                <w:lang w:val="en-GB"/>
              </w:rPr>
              <w:t>, it was however mainly thanks to travel agency agencies, which were catching up on the deep losses from year 2020. Demand on the contrary lowered in the areas responding sensitively to the business cycle, e.g. the rental and leasing activities (especially motor vehicles and machinery) by 3.4% and further also at the job agencies (-4.6%). Demand for the vast majority of sub-branches within the administrative and support services activities remained below the pre-pandemic level even at the end of the last year (the most at the job agencies, where the sales were by more than one quarter lower compared to Q4 2019).</w:t>
            </w:r>
          </w:p>
        </w:tc>
      </w:tr>
      <w:tr w:rsidR="005279E0" w:rsidRPr="00D160FB" w14:paraId="7E2635B8" w14:textId="77777777" w:rsidTr="00976631">
        <w:trPr>
          <w:trHeight w:val="170"/>
        </w:trPr>
        <w:tc>
          <w:tcPr>
            <w:tcW w:w="1780" w:type="dxa"/>
            <w:tcBorders>
              <w:top w:val="nil"/>
              <w:left w:val="nil"/>
              <w:bottom w:val="nil"/>
              <w:right w:val="nil"/>
            </w:tcBorders>
            <w:shd w:val="clear" w:color="auto" w:fill="auto"/>
            <w:tcMar>
              <w:left w:w="0" w:type="dxa"/>
            </w:tcMar>
          </w:tcPr>
          <w:p w14:paraId="366D2F58" w14:textId="69ED5BF5" w:rsidR="005279E0" w:rsidRPr="00D160FB" w:rsidRDefault="005279E0" w:rsidP="005279E0">
            <w:pPr>
              <w:pStyle w:val="Marginlie"/>
              <w:rPr>
                <w:color w:val="0D0D0D" w:themeColor="text1" w:themeTint="F2"/>
                <w:lang w:val="en-GB"/>
              </w:rPr>
            </w:pPr>
            <w:r w:rsidRPr="00D160FB">
              <w:rPr>
                <w:color w:val="0D0D0D" w:themeColor="text1" w:themeTint="F2"/>
                <w:lang w:val="en-GB"/>
              </w:rPr>
              <w:lastRenderedPageBreak/>
              <w:t>Quarter-on-quarter decrease of retail sales persisted for the fifth quarter in a row.</w:t>
            </w:r>
          </w:p>
          <w:p w14:paraId="32515FD3" w14:textId="53517143" w:rsidR="005279E0" w:rsidRDefault="005279E0" w:rsidP="005279E0">
            <w:pPr>
              <w:pStyle w:val="Marginlie"/>
              <w:rPr>
                <w:lang w:val="en-GB"/>
              </w:rPr>
            </w:pPr>
          </w:p>
          <w:p w14:paraId="7672FB11" w14:textId="55D51DBA" w:rsidR="0066345F" w:rsidRDefault="0066345F" w:rsidP="005279E0">
            <w:pPr>
              <w:pStyle w:val="Marginlie"/>
              <w:rPr>
                <w:lang w:val="en-GB"/>
              </w:rPr>
            </w:pPr>
          </w:p>
          <w:p w14:paraId="6BE23944" w14:textId="55756DD2" w:rsidR="0066345F" w:rsidRDefault="0066345F" w:rsidP="005279E0">
            <w:pPr>
              <w:pStyle w:val="Marginlie"/>
              <w:rPr>
                <w:lang w:val="en-GB"/>
              </w:rPr>
            </w:pPr>
          </w:p>
          <w:p w14:paraId="15030030" w14:textId="6C7A6572" w:rsidR="0066345F" w:rsidRDefault="0066345F" w:rsidP="005279E0">
            <w:pPr>
              <w:pStyle w:val="Marginlie"/>
              <w:rPr>
                <w:lang w:val="en-GB"/>
              </w:rPr>
            </w:pPr>
          </w:p>
          <w:p w14:paraId="2E92AEA4" w14:textId="77777777" w:rsidR="0066345F" w:rsidRPr="00D160FB" w:rsidRDefault="0066345F" w:rsidP="005279E0">
            <w:pPr>
              <w:pStyle w:val="Marginlie"/>
              <w:rPr>
                <w:lang w:val="en-GB"/>
              </w:rPr>
            </w:pPr>
          </w:p>
          <w:p w14:paraId="15BE12E2" w14:textId="40863BA7" w:rsidR="005279E0" w:rsidRPr="00D160FB" w:rsidRDefault="005279E0" w:rsidP="005279E0">
            <w:pPr>
              <w:pStyle w:val="Marginlie"/>
              <w:rPr>
                <w:lang w:val="en-GB"/>
              </w:rPr>
            </w:pPr>
            <w:r w:rsidRPr="00D160FB">
              <w:rPr>
                <w:lang w:val="en-GB"/>
              </w:rPr>
              <w:t>Very negative consumer confidence moderated at the turn of years 2022 and</w:t>
            </w:r>
            <w:r w:rsidRPr="00D160FB">
              <w:rPr>
                <w:color w:val="0D0D0D" w:themeColor="text1" w:themeTint="F2"/>
                <w:lang w:val="en-GB"/>
              </w:rPr>
              <w:t> </w:t>
            </w:r>
            <w:r w:rsidRPr="00D160FB">
              <w:rPr>
                <w:lang w:val="en-GB"/>
              </w:rPr>
              <w:t>2023.</w:t>
            </w:r>
          </w:p>
        </w:tc>
        <w:tc>
          <w:tcPr>
            <w:tcW w:w="200" w:type="dxa"/>
            <w:tcBorders>
              <w:top w:val="nil"/>
              <w:left w:val="nil"/>
              <w:bottom w:val="nil"/>
              <w:right w:val="nil"/>
            </w:tcBorders>
            <w:shd w:val="clear" w:color="auto" w:fill="auto"/>
            <w:tcMar>
              <w:left w:w="0" w:type="dxa"/>
            </w:tcMar>
          </w:tcPr>
          <w:p w14:paraId="37E7240C"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395E9FD3" w14:textId="0F4915D7" w:rsidR="005279E0" w:rsidRPr="00D160FB" w:rsidRDefault="005279E0" w:rsidP="0066345F">
            <w:pPr>
              <w:spacing w:after="200"/>
              <w:rPr>
                <w:rFonts w:cs="Arial"/>
                <w:color w:val="0D0D0D" w:themeColor="text1" w:themeTint="F2"/>
                <w:spacing w:val="-5"/>
                <w:szCs w:val="20"/>
                <w:lang w:val="en-GB"/>
              </w:rPr>
            </w:pPr>
            <w:r w:rsidRPr="00D160FB">
              <w:rPr>
                <w:rFonts w:cs="Arial"/>
                <w:color w:val="0D0D0D" w:themeColor="text1" w:themeTint="F2"/>
                <w:spacing w:val="-5"/>
                <w:szCs w:val="20"/>
                <w:lang w:val="en-GB"/>
              </w:rPr>
              <w:t>Retail sales</w:t>
            </w:r>
            <w:r w:rsidRPr="00D160FB">
              <w:rPr>
                <w:rStyle w:val="Znakapoznpodarou"/>
                <w:color w:val="0D0D0D" w:themeColor="text1" w:themeTint="F2"/>
                <w:spacing w:val="-5"/>
                <w:lang w:val="en-GB"/>
              </w:rPr>
              <w:footnoteReference w:id="44"/>
            </w:r>
            <w:r w:rsidRPr="00D160FB">
              <w:rPr>
                <w:rFonts w:cs="Arial"/>
                <w:color w:val="0D0D0D" w:themeColor="text1" w:themeTint="F2"/>
                <w:spacing w:val="-5"/>
                <w:szCs w:val="20"/>
                <w:lang w:val="en-GB"/>
              </w:rPr>
              <w:t xml:space="preserve"> were by even 2% lower quarter-on-quarter in Q4 2022, when they dropped in all its significant segments except of the sale of motor fuels. The slump of demand in retail continued for the fifth quarter in a row (similarly as in the case of total expenditures of domestic household on final consumption). </w:t>
            </w:r>
            <w:r w:rsidR="000E006A">
              <w:rPr>
                <w:rFonts w:cs="Arial"/>
                <w:color w:val="0D0D0D" w:themeColor="text1" w:themeTint="F2"/>
                <w:spacing w:val="-5"/>
                <w:szCs w:val="20"/>
                <w:lang w:val="en-GB"/>
              </w:rPr>
              <w:t>On contrary, h</w:t>
            </w:r>
            <w:r w:rsidRPr="00D160FB">
              <w:rPr>
                <w:rFonts w:cs="Arial"/>
                <w:color w:val="0D0D0D" w:themeColor="text1" w:themeTint="F2"/>
                <w:spacing w:val="-5"/>
                <w:szCs w:val="20"/>
                <w:lang w:val="en-GB"/>
              </w:rPr>
              <w:t xml:space="preserve">igher consumption expenditures of non-residents associated </w:t>
            </w:r>
            <w:r w:rsidR="000E006A">
              <w:rPr>
                <w:rFonts w:cs="Arial"/>
                <w:color w:val="0D0D0D" w:themeColor="text1" w:themeTint="F2"/>
                <w:spacing w:val="-5"/>
                <w:szCs w:val="20"/>
                <w:lang w:val="en-GB"/>
              </w:rPr>
              <w:t>both with the revival of tourism and</w:t>
            </w:r>
            <w:r w:rsidRPr="00D160FB">
              <w:rPr>
                <w:rFonts w:cs="Arial"/>
                <w:color w:val="0D0D0D" w:themeColor="text1" w:themeTint="F2"/>
                <w:spacing w:val="-5"/>
                <w:szCs w:val="20"/>
                <w:lang w:val="en-GB"/>
              </w:rPr>
              <w:t xml:space="preserve"> the refugee wave from Ukraine </w:t>
            </w:r>
            <w:r w:rsidRPr="00D160FB">
              <w:rPr>
                <w:rFonts w:cs="Arial"/>
                <w:color w:val="0D0D0D" w:themeColor="text1" w:themeTint="F2"/>
                <w:spacing w:val="-4"/>
                <w:szCs w:val="20"/>
                <w:lang w:val="en-GB"/>
              </w:rPr>
              <w:t>had a pro-growth effect.</w:t>
            </w:r>
            <w:r w:rsidRPr="00D160FB">
              <w:rPr>
                <w:rFonts w:cs="Arial"/>
                <w:color w:val="0D0D0D" w:themeColor="text1" w:themeTint="F2"/>
                <w:spacing w:val="-5"/>
                <w:szCs w:val="20"/>
                <w:lang w:val="en-GB"/>
              </w:rPr>
              <w:t xml:space="preserve"> The month-on-month decrease of the retail sales ceased in January 2023, their size however only balanced out the level from October 2018. The slump of the consumer confidence down to the historical minimum (in October 2022)</w:t>
            </w:r>
            <w:r w:rsidRPr="00D160FB">
              <w:rPr>
                <w:rStyle w:val="Znakapoznpodarou"/>
                <w:color w:val="0D0D0D" w:themeColor="text1" w:themeTint="F2"/>
                <w:spacing w:val="-5"/>
                <w:szCs w:val="20"/>
                <w:lang w:val="en-GB"/>
              </w:rPr>
              <w:footnoteReference w:id="45"/>
            </w:r>
            <w:r w:rsidRPr="00D160FB">
              <w:rPr>
                <w:rFonts w:cs="Arial"/>
                <w:color w:val="0D0D0D" w:themeColor="text1" w:themeTint="F2"/>
                <w:spacing w:val="-5"/>
                <w:szCs w:val="20"/>
                <w:lang w:val="en-GB"/>
              </w:rPr>
              <w:t xml:space="preserve"> </w:t>
            </w:r>
            <w:r w:rsidR="0066345F" w:rsidRPr="00D160FB">
              <w:rPr>
                <w:rFonts w:cs="Arial"/>
                <w:color w:val="0D0D0D" w:themeColor="text1" w:themeTint="F2"/>
                <w:spacing w:val="-5"/>
                <w:szCs w:val="20"/>
                <w:lang w:val="en-GB"/>
              </w:rPr>
              <w:t>fully manifested here</w:t>
            </w:r>
            <w:r w:rsidR="0066345F">
              <w:rPr>
                <w:rFonts w:cs="Arial"/>
                <w:color w:val="0D0D0D" w:themeColor="text1" w:themeTint="F2"/>
                <w:spacing w:val="-5"/>
                <w:szCs w:val="20"/>
                <w:lang w:val="en-GB"/>
              </w:rPr>
              <w:t>.</w:t>
            </w:r>
            <w:r w:rsidR="0066345F" w:rsidRPr="00D160FB">
              <w:rPr>
                <w:rFonts w:cs="Arial"/>
                <w:color w:val="0D0D0D" w:themeColor="text1" w:themeTint="F2"/>
                <w:spacing w:val="-5"/>
                <w:szCs w:val="20"/>
                <w:lang w:val="en-GB"/>
              </w:rPr>
              <w:t xml:space="preserve"> </w:t>
            </w:r>
            <w:r w:rsidRPr="00D160FB">
              <w:rPr>
                <w:rFonts w:cs="Arial"/>
                <w:color w:val="0D0D0D" w:themeColor="text1" w:themeTint="F2"/>
                <w:spacing w:val="-5"/>
                <w:szCs w:val="20"/>
                <w:lang w:val="en-GB"/>
              </w:rPr>
              <w:t xml:space="preserve">Household confidence partially recovered at the beginning of year 2023, since the pessimism in the area of the </w:t>
            </w:r>
            <w:r w:rsidR="0066345F">
              <w:rPr>
                <w:rFonts w:cs="Arial"/>
                <w:color w:val="0D0D0D" w:themeColor="text1" w:themeTint="F2"/>
                <w:spacing w:val="-5"/>
                <w:szCs w:val="20"/>
                <w:lang w:val="en-GB"/>
              </w:rPr>
              <w:t xml:space="preserve">anticipated </w:t>
            </w:r>
            <w:r w:rsidRPr="00D160FB">
              <w:rPr>
                <w:rFonts w:cs="Arial"/>
                <w:color w:val="0D0D0D" w:themeColor="text1" w:themeTint="F2"/>
                <w:spacing w:val="-5"/>
                <w:szCs w:val="20"/>
                <w:lang w:val="en-GB"/>
              </w:rPr>
              <w:t>household financial situation</w:t>
            </w:r>
            <w:r w:rsidR="0066345F">
              <w:rPr>
                <w:rFonts w:cs="Arial"/>
                <w:color w:val="0D0D0D" w:themeColor="text1" w:themeTint="F2"/>
                <w:spacing w:val="-5"/>
                <w:szCs w:val="20"/>
                <w:lang w:val="en-GB"/>
              </w:rPr>
              <w:t xml:space="preserve"> (for </w:t>
            </w:r>
            <w:r w:rsidRPr="00D160FB">
              <w:rPr>
                <w:rFonts w:cs="Arial"/>
                <w:color w:val="0D0D0D" w:themeColor="text1" w:themeTint="F2"/>
                <w:spacing w:val="-5"/>
                <w:szCs w:val="20"/>
                <w:lang w:val="en-GB"/>
              </w:rPr>
              <w:t>year</w:t>
            </w:r>
            <w:r w:rsidR="0066345F">
              <w:rPr>
                <w:rFonts w:cs="Arial"/>
                <w:color w:val="0D0D0D" w:themeColor="text1" w:themeTint="F2"/>
                <w:spacing w:val="-5"/>
                <w:szCs w:val="20"/>
                <w:lang w:val="en-GB"/>
              </w:rPr>
              <w:t xml:space="preserve"> 2023)</w:t>
            </w:r>
            <w:r w:rsidRPr="00D160FB">
              <w:rPr>
                <w:rFonts w:cs="Arial"/>
                <w:color w:val="0D0D0D" w:themeColor="text1" w:themeTint="F2"/>
                <w:spacing w:val="-5"/>
                <w:szCs w:val="20"/>
                <w:lang w:val="en-GB"/>
              </w:rPr>
              <w:t xml:space="preserve"> eased up. Their concerns regarding the growth of prices as well as unemployment also lowered. It could have been connected to the relatively favourable trends in the area of the up-to-date development of prices on the market with energies and motor fuels. On the other hand, people remained fairly careful in the area of planning large purchases (mainly durable goods or investment). </w:t>
            </w:r>
          </w:p>
        </w:tc>
      </w:tr>
      <w:tr w:rsidR="005279E0" w:rsidRPr="00D160FB" w14:paraId="649FC10F" w14:textId="77777777" w:rsidTr="00976631">
        <w:trPr>
          <w:trHeight w:val="170"/>
        </w:trPr>
        <w:tc>
          <w:tcPr>
            <w:tcW w:w="1780" w:type="dxa"/>
            <w:tcBorders>
              <w:top w:val="nil"/>
              <w:left w:val="nil"/>
              <w:bottom w:val="nil"/>
              <w:right w:val="nil"/>
            </w:tcBorders>
            <w:shd w:val="clear" w:color="auto" w:fill="auto"/>
            <w:tcMar>
              <w:left w:w="0" w:type="dxa"/>
            </w:tcMar>
          </w:tcPr>
          <w:p w14:paraId="49996F4C" w14:textId="77777777" w:rsidR="005279E0" w:rsidRPr="00D160FB" w:rsidRDefault="005279E0" w:rsidP="005279E0">
            <w:pPr>
              <w:pStyle w:val="Marginlie"/>
              <w:rPr>
                <w:color w:val="0D0D0D" w:themeColor="text1" w:themeTint="F2"/>
                <w:lang w:val="en-GB"/>
              </w:rPr>
            </w:pPr>
          </w:p>
        </w:tc>
        <w:tc>
          <w:tcPr>
            <w:tcW w:w="200" w:type="dxa"/>
            <w:tcBorders>
              <w:top w:val="nil"/>
              <w:left w:val="nil"/>
              <w:bottom w:val="nil"/>
              <w:right w:val="nil"/>
            </w:tcBorders>
            <w:shd w:val="clear" w:color="auto" w:fill="auto"/>
            <w:tcMar>
              <w:left w:w="0" w:type="dxa"/>
            </w:tcMar>
          </w:tcPr>
          <w:p w14:paraId="1E4F9552" w14:textId="77777777" w:rsidR="005279E0" w:rsidRPr="00D160FB" w:rsidRDefault="005279E0" w:rsidP="005279E0">
            <w:pPr>
              <w:pStyle w:val="Textpoznpodarou"/>
              <w:jc w:val="both"/>
              <w:rPr>
                <w:color w:val="0D0D0D" w:themeColor="text1" w:themeTint="F2"/>
                <w:spacing w:val="-4"/>
                <w:lang w:val="en-GB"/>
              </w:rPr>
            </w:pPr>
          </w:p>
        </w:tc>
        <w:tc>
          <w:tcPr>
            <w:tcW w:w="7730" w:type="dxa"/>
            <w:tcBorders>
              <w:top w:val="nil"/>
              <w:left w:val="nil"/>
              <w:bottom w:val="nil"/>
              <w:right w:val="nil"/>
            </w:tcBorders>
            <w:shd w:val="clear" w:color="auto" w:fill="auto"/>
            <w:tcMar>
              <w:left w:w="0" w:type="dxa"/>
            </w:tcMar>
          </w:tcPr>
          <w:p w14:paraId="6E20350A" w14:textId="33314A61" w:rsidR="005279E0" w:rsidRPr="00D160FB" w:rsidRDefault="005279E0" w:rsidP="005279E0">
            <w:pPr>
              <w:spacing w:after="40"/>
              <w:rPr>
                <w:rFonts w:cs="Arial"/>
                <w:color w:val="0D0D0D" w:themeColor="text1" w:themeTint="F2"/>
                <w:spacing w:val="-4"/>
                <w:szCs w:val="20"/>
                <w:lang w:val="en-GB"/>
              </w:rPr>
            </w:pPr>
            <w:r w:rsidRPr="00D160FB">
              <w:rPr>
                <w:b/>
                <w:lang w:val="en-GB"/>
              </w:rPr>
              <w:t>Chart 8 Contributions of sub-branches to year-on-year change of retail sales</w:t>
            </w:r>
            <w:r w:rsidRPr="00D160FB">
              <w:rPr>
                <w:rFonts w:cs="Arial"/>
                <w:b/>
                <w:bCs/>
                <w:color w:val="0D0D0D" w:themeColor="text1" w:themeTint="F2"/>
                <w:spacing w:val="-6"/>
                <w:lang w:val="en-GB"/>
              </w:rPr>
              <w:t xml:space="preserve">* </w:t>
            </w:r>
            <w:r w:rsidRPr="00D160FB">
              <w:rPr>
                <w:rFonts w:cs="Arial"/>
                <w:color w:val="0D0D0D" w:themeColor="text1" w:themeTint="F2"/>
                <w:spacing w:val="-6"/>
                <w:lang w:val="en-GB"/>
              </w:rPr>
              <w:t xml:space="preserve">(real, in p.p.), </w:t>
            </w:r>
            <w:r w:rsidR="0066345F" w:rsidRPr="0066345F">
              <w:rPr>
                <w:rFonts w:cs="Arial"/>
                <w:b/>
                <w:color w:val="0D0D0D" w:themeColor="text1" w:themeTint="F2"/>
                <w:spacing w:val="-6"/>
                <w:lang w:val="en-GB"/>
              </w:rPr>
              <w:t>total</w:t>
            </w:r>
            <w:r w:rsidR="0066345F">
              <w:rPr>
                <w:rFonts w:cs="Arial"/>
                <w:color w:val="0D0D0D" w:themeColor="text1" w:themeTint="F2"/>
                <w:spacing w:val="-6"/>
                <w:lang w:val="en-GB"/>
              </w:rPr>
              <w:t xml:space="preserve"> </w:t>
            </w:r>
            <w:r w:rsidRPr="00D160FB">
              <w:rPr>
                <w:rFonts w:cs="Arial"/>
                <w:b/>
                <w:bCs/>
                <w:color w:val="0D0D0D" w:themeColor="text1" w:themeTint="F2"/>
                <w:spacing w:val="-6"/>
                <w:lang w:val="en-GB"/>
              </w:rPr>
              <w:t>r</w:t>
            </w:r>
            <w:r w:rsidRPr="00D160FB">
              <w:rPr>
                <w:rFonts w:cs="Arial"/>
                <w:b/>
                <w:bCs/>
                <w:color w:val="0D0D0D" w:themeColor="text1" w:themeTint="F2"/>
                <w:spacing w:val="-4"/>
                <w:szCs w:val="20"/>
                <w:lang w:val="en-GB"/>
              </w:rPr>
              <w:t xml:space="preserve">etail sales and sales of motor vehicles** </w:t>
            </w:r>
            <w:r w:rsidRPr="00D160FB">
              <w:rPr>
                <w:rFonts w:cs="Arial"/>
                <w:color w:val="0D0D0D" w:themeColor="text1" w:themeTint="F2"/>
                <w:spacing w:val="-4"/>
                <w:szCs w:val="20"/>
                <w:lang w:val="en-GB"/>
              </w:rPr>
              <w:t>(real, leve</w:t>
            </w:r>
            <w:r w:rsidR="0066345F">
              <w:rPr>
                <w:rFonts w:cs="Arial"/>
                <w:color w:val="0D0D0D" w:themeColor="text1" w:themeTint="F2"/>
                <w:spacing w:val="-4"/>
                <w:szCs w:val="20"/>
                <w:lang w:val="en-GB"/>
              </w:rPr>
              <w:t>l of year 2015=100, right axis),</w:t>
            </w:r>
            <w:r w:rsidRPr="00D160FB">
              <w:rPr>
                <w:rFonts w:cs="Arial"/>
                <w:b/>
                <w:color w:val="0D0D0D" w:themeColor="text1" w:themeTint="F2"/>
                <w:spacing w:val="-4"/>
                <w:szCs w:val="20"/>
                <w:lang w:val="en-GB"/>
              </w:rPr>
              <w:t xml:space="preserve"> balance of consumer confidence indicator</w:t>
            </w:r>
            <w:r>
              <w:rPr>
                <w:rFonts w:cs="Arial"/>
                <w:b/>
                <w:color w:val="0D0D0D" w:themeColor="text1" w:themeTint="F2"/>
                <w:spacing w:val="-4"/>
                <w:szCs w:val="20"/>
                <w:lang w:val="en-GB"/>
              </w:rPr>
              <w:t xml:space="preserve"> and confidence in trade</w:t>
            </w:r>
            <w:r w:rsidRPr="00D160FB">
              <w:rPr>
                <w:rFonts w:cs="Arial"/>
                <w:b/>
                <w:bCs/>
                <w:color w:val="0D0D0D" w:themeColor="text1" w:themeTint="F2"/>
                <w:spacing w:val="-4"/>
                <w:szCs w:val="20"/>
                <w:lang w:val="en-GB"/>
              </w:rPr>
              <w:t xml:space="preserve">*** </w:t>
            </w:r>
            <w:r w:rsidRPr="00D160FB">
              <w:rPr>
                <w:rFonts w:cs="Arial"/>
                <w:color w:val="0D0D0D" w:themeColor="text1" w:themeTint="F2"/>
                <w:spacing w:val="-4"/>
                <w:szCs w:val="20"/>
                <w:lang w:val="en-GB"/>
              </w:rPr>
              <w:t>(in points, right axis)</w:t>
            </w:r>
            <w:r w:rsidRPr="00D160FB">
              <w:rPr>
                <w:rFonts w:cs="Arial"/>
                <w:color w:val="0D0D0D" w:themeColor="text1" w:themeTint="F2"/>
                <w:spacing w:val="-6"/>
                <w:lang w:val="en-GB"/>
              </w:rPr>
              <w:t xml:space="preserve"> </w:t>
            </w:r>
          </w:p>
        </w:tc>
      </w:tr>
      <w:tr w:rsidR="005279E0" w:rsidRPr="00D160FB" w14:paraId="3D91FDEC" w14:textId="77777777" w:rsidTr="00976631">
        <w:tblPrEx>
          <w:tblCellMar>
            <w:left w:w="70" w:type="dxa"/>
            <w:right w:w="70" w:type="dxa"/>
          </w:tblCellMar>
        </w:tblPrEx>
        <w:trPr>
          <w:trHeight w:val="170"/>
        </w:trPr>
        <w:tc>
          <w:tcPr>
            <w:tcW w:w="1780" w:type="dxa"/>
            <w:tcBorders>
              <w:top w:val="nil"/>
              <w:left w:val="nil"/>
              <w:bottom w:val="nil"/>
              <w:right w:val="nil"/>
            </w:tcBorders>
            <w:shd w:val="clear" w:color="auto" w:fill="auto"/>
          </w:tcPr>
          <w:p w14:paraId="5FBE432D"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Pr>
          <w:p w14:paraId="2123F050"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Pr>
          <w:p w14:paraId="7AC6F42B" w14:textId="01399AE4" w:rsidR="005279E0" w:rsidRPr="00D160FB" w:rsidRDefault="00976631" w:rsidP="005279E0">
            <w:pPr>
              <w:spacing w:after="0"/>
              <w:rPr>
                <w:rFonts w:cs="Arial"/>
                <w:sz w:val="14"/>
                <w:szCs w:val="14"/>
                <w:lang w:val="en-GB"/>
              </w:rPr>
            </w:pPr>
            <w:r>
              <w:rPr>
                <w:noProof/>
              </w:rPr>
              <w:drawing>
                <wp:inline distT="0" distB="0" distL="0" distR="0" wp14:anchorId="19F7BBED" wp14:editId="11EB949E">
                  <wp:extent cx="4787900" cy="35814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5279E0" w:rsidRPr="00D160FB" w14:paraId="569DBE30" w14:textId="77777777" w:rsidTr="00976631">
        <w:trPr>
          <w:trHeight w:val="170"/>
        </w:trPr>
        <w:tc>
          <w:tcPr>
            <w:tcW w:w="1780" w:type="dxa"/>
            <w:tcBorders>
              <w:top w:val="nil"/>
              <w:left w:val="nil"/>
              <w:bottom w:val="nil"/>
              <w:right w:val="nil"/>
            </w:tcBorders>
            <w:shd w:val="clear" w:color="auto" w:fill="auto"/>
            <w:tcMar>
              <w:left w:w="0" w:type="dxa"/>
            </w:tcMar>
          </w:tcPr>
          <w:p w14:paraId="24C71A95"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0553836D" w14:textId="77777777" w:rsidR="005279E0" w:rsidRPr="00D160FB" w:rsidRDefault="005279E0" w:rsidP="005279E0">
            <w:pPr>
              <w:pStyle w:val="Textpoznpodarou"/>
              <w:spacing w:line="276" w:lineRule="auto"/>
              <w:jc w:val="both"/>
              <w:rPr>
                <w:spacing w:val="-4"/>
                <w:lang w:val="en-GB"/>
              </w:rPr>
            </w:pPr>
          </w:p>
        </w:tc>
        <w:tc>
          <w:tcPr>
            <w:tcW w:w="7730" w:type="dxa"/>
            <w:tcBorders>
              <w:top w:val="nil"/>
              <w:left w:val="nil"/>
              <w:bottom w:val="nil"/>
              <w:right w:val="nil"/>
            </w:tcBorders>
            <w:shd w:val="clear" w:color="auto" w:fill="auto"/>
            <w:tcMar>
              <w:left w:w="0" w:type="dxa"/>
            </w:tcMar>
          </w:tcPr>
          <w:p w14:paraId="48AF5684" w14:textId="77777777" w:rsidR="005279E0" w:rsidRDefault="005279E0" w:rsidP="005279E0">
            <w:pPr>
              <w:spacing w:after="0"/>
              <w:rPr>
                <w:rFonts w:cs="Arial"/>
                <w:sz w:val="14"/>
                <w:szCs w:val="14"/>
                <w:lang w:val="en-GB"/>
              </w:rPr>
            </w:pPr>
            <w:r w:rsidRPr="00D160FB">
              <w:rPr>
                <w:rFonts w:cs="Arial"/>
                <w:color w:val="0D0D0D" w:themeColor="text1" w:themeTint="F2"/>
                <w:spacing w:val="-6"/>
                <w:lang w:val="en-GB"/>
              </w:rPr>
              <w:t>*</w:t>
            </w:r>
            <w:r w:rsidRPr="00D160FB">
              <w:rPr>
                <w:rFonts w:cs="Arial"/>
                <w:sz w:val="14"/>
                <w:szCs w:val="14"/>
                <w:lang w:val="en-GB"/>
              </w:rPr>
              <w:t>Sales are adjust</w:t>
            </w:r>
            <w:r>
              <w:rPr>
                <w:rFonts w:cs="Arial"/>
                <w:sz w:val="14"/>
                <w:szCs w:val="14"/>
                <w:lang w:val="en-GB"/>
              </w:rPr>
              <w:t>ed for calendar effects.</w:t>
            </w:r>
          </w:p>
          <w:p w14:paraId="48DB3F9D" w14:textId="339A7CB7" w:rsidR="005279E0" w:rsidRPr="00D160FB" w:rsidRDefault="005279E0" w:rsidP="005279E0">
            <w:pPr>
              <w:spacing w:after="0"/>
              <w:rPr>
                <w:rFonts w:cs="Arial"/>
                <w:sz w:val="14"/>
                <w:szCs w:val="14"/>
                <w:lang w:val="en-GB"/>
              </w:rPr>
            </w:pPr>
            <w:r w:rsidRPr="00D160FB">
              <w:rPr>
                <w:rFonts w:cs="Arial"/>
                <w:sz w:val="14"/>
                <w:szCs w:val="14"/>
                <w:lang w:val="en-GB"/>
              </w:rPr>
              <w:t>** Sales are adjusted for both seasonal and calendar effects.</w:t>
            </w:r>
          </w:p>
          <w:p w14:paraId="25620685" w14:textId="77777777" w:rsidR="005279E0" w:rsidRPr="00D160FB" w:rsidRDefault="005279E0" w:rsidP="005279E0">
            <w:pPr>
              <w:spacing w:after="0"/>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 Consumer confidence indicator is seasonally adjusted and expresses the position in the second month of the given quarter</w:t>
            </w:r>
          </w:p>
          <w:p w14:paraId="54D3A640" w14:textId="7EE178A5" w:rsidR="005279E0" w:rsidRPr="00D50BC3" w:rsidRDefault="005279E0" w:rsidP="005279E0">
            <w:pPr>
              <w:spacing w:after="200"/>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Source: CZSO</w:t>
            </w:r>
          </w:p>
        </w:tc>
      </w:tr>
      <w:tr w:rsidR="005279E0" w:rsidRPr="00D160FB" w14:paraId="7B09011E" w14:textId="77777777" w:rsidTr="00976631">
        <w:trPr>
          <w:trHeight w:val="170"/>
        </w:trPr>
        <w:tc>
          <w:tcPr>
            <w:tcW w:w="1780" w:type="dxa"/>
            <w:tcBorders>
              <w:top w:val="nil"/>
              <w:left w:val="nil"/>
              <w:bottom w:val="nil"/>
              <w:right w:val="nil"/>
            </w:tcBorders>
            <w:shd w:val="clear" w:color="auto" w:fill="auto"/>
            <w:tcMar>
              <w:left w:w="0" w:type="dxa"/>
            </w:tcMar>
          </w:tcPr>
          <w:p w14:paraId="7C962893" w14:textId="6BF6E8D4" w:rsidR="005279E0" w:rsidRPr="00D160FB" w:rsidRDefault="005279E0" w:rsidP="005279E0">
            <w:pPr>
              <w:pStyle w:val="Marginlie"/>
              <w:rPr>
                <w:lang w:val="en-GB"/>
              </w:rPr>
            </w:pPr>
            <w:r w:rsidRPr="00D160FB">
              <w:rPr>
                <w:lang w:val="en-GB"/>
              </w:rPr>
              <w:t xml:space="preserve">Lower sale of food added from one half to the decrease of the retail sales for the entire last year. Demand also fell </w:t>
            </w:r>
            <w:r w:rsidRPr="00D160FB">
              <w:rPr>
                <w:lang w:val="en-GB"/>
              </w:rPr>
              <w:lastRenderedPageBreak/>
              <w:t xml:space="preserve">considerably in the area of sales via internet. </w:t>
            </w:r>
          </w:p>
          <w:p w14:paraId="279F9A3F" w14:textId="77777777" w:rsidR="005279E0" w:rsidRPr="00D160FB" w:rsidRDefault="005279E0" w:rsidP="005279E0">
            <w:pPr>
              <w:pStyle w:val="Marginlie"/>
              <w:rPr>
                <w:lang w:val="en-GB"/>
              </w:rPr>
            </w:pPr>
          </w:p>
          <w:p w14:paraId="30ED2CB1" w14:textId="77777777" w:rsidR="005279E0" w:rsidRPr="00D160FB" w:rsidRDefault="005279E0" w:rsidP="005279E0">
            <w:pPr>
              <w:pStyle w:val="Marginlie"/>
              <w:rPr>
                <w:lang w:val="en-GB"/>
              </w:rPr>
            </w:pPr>
          </w:p>
          <w:p w14:paraId="15D858EC" w14:textId="77777777" w:rsidR="005279E0" w:rsidRPr="00D160FB" w:rsidRDefault="005279E0" w:rsidP="005279E0">
            <w:pPr>
              <w:pStyle w:val="Marginlie"/>
              <w:rPr>
                <w:lang w:val="en-GB"/>
              </w:rPr>
            </w:pPr>
          </w:p>
          <w:p w14:paraId="27D80850" w14:textId="77777777" w:rsidR="005279E0" w:rsidRPr="00D160FB" w:rsidRDefault="005279E0" w:rsidP="005279E0">
            <w:pPr>
              <w:pStyle w:val="Marginlie"/>
              <w:rPr>
                <w:lang w:val="en-GB"/>
              </w:rPr>
            </w:pPr>
          </w:p>
          <w:p w14:paraId="25C3AFD8" w14:textId="3C54CE34" w:rsidR="005279E0" w:rsidRPr="00D160FB" w:rsidRDefault="005279E0" w:rsidP="005279E0">
            <w:pPr>
              <w:pStyle w:val="Marginlie"/>
              <w:rPr>
                <w:lang w:val="en-GB"/>
              </w:rPr>
            </w:pPr>
            <w:r w:rsidRPr="00D160FB">
              <w:rPr>
                <w:lang w:val="en-GB"/>
              </w:rPr>
              <w:t>Decrease of demand moderated in the motorist segment of trade, still it notably stayed behind the year 2019.</w:t>
            </w:r>
          </w:p>
          <w:p w14:paraId="5F3DAF95" w14:textId="77777777" w:rsidR="005279E0" w:rsidRPr="00D160FB" w:rsidRDefault="005279E0" w:rsidP="005279E0">
            <w:pPr>
              <w:pStyle w:val="Marginlie"/>
              <w:rPr>
                <w:lang w:val="en-GB"/>
              </w:rPr>
            </w:pPr>
          </w:p>
        </w:tc>
        <w:tc>
          <w:tcPr>
            <w:tcW w:w="200" w:type="dxa"/>
            <w:tcBorders>
              <w:top w:val="nil"/>
              <w:left w:val="nil"/>
              <w:bottom w:val="nil"/>
              <w:right w:val="nil"/>
            </w:tcBorders>
            <w:shd w:val="clear" w:color="auto" w:fill="auto"/>
            <w:tcMar>
              <w:left w:w="0" w:type="dxa"/>
            </w:tcMar>
          </w:tcPr>
          <w:p w14:paraId="5C85D738" w14:textId="77777777" w:rsidR="005279E0" w:rsidRPr="00D160FB" w:rsidRDefault="005279E0" w:rsidP="005279E0">
            <w:pPr>
              <w:pStyle w:val="Textpoznpodarou"/>
              <w:jc w:val="both"/>
              <w:rPr>
                <w:spacing w:val="-4"/>
                <w:lang w:val="en-GB"/>
              </w:rPr>
            </w:pPr>
          </w:p>
        </w:tc>
        <w:tc>
          <w:tcPr>
            <w:tcW w:w="7730" w:type="dxa"/>
            <w:tcBorders>
              <w:top w:val="nil"/>
              <w:left w:val="nil"/>
              <w:bottom w:val="nil"/>
              <w:right w:val="nil"/>
            </w:tcBorders>
            <w:shd w:val="clear" w:color="auto" w:fill="auto"/>
            <w:tcMar>
              <w:left w:w="0" w:type="dxa"/>
            </w:tcMar>
          </w:tcPr>
          <w:p w14:paraId="159E755C" w14:textId="0C906BF8" w:rsidR="005279E0" w:rsidRPr="00D160FB" w:rsidRDefault="005279E0" w:rsidP="005279E0">
            <w:pPr>
              <w:spacing w:after="0"/>
              <w:rPr>
                <w:rFonts w:cs="Arial"/>
                <w:color w:val="0D0D0D" w:themeColor="text1" w:themeTint="F2"/>
                <w:spacing w:val="-6"/>
                <w:lang w:val="en-GB"/>
              </w:rPr>
            </w:pPr>
            <w:r>
              <w:rPr>
                <w:rFonts w:cs="Arial"/>
                <w:color w:val="0D0D0D" w:themeColor="text1" w:themeTint="F2"/>
                <w:spacing w:val="-6"/>
                <w:lang w:val="en-GB"/>
              </w:rPr>
              <w:t>Retail sal</w:t>
            </w:r>
            <w:r w:rsidRPr="00D160FB">
              <w:rPr>
                <w:rFonts w:cs="Arial"/>
                <w:color w:val="0D0D0D" w:themeColor="text1" w:themeTint="F2"/>
                <w:spacing w:val="-6"/>
                <w:lang w:val="en-GB"/>
              </w:rPr>
              <w:t>es plunged by 9.2% year-on-year i</w:t>
            </w:r>
            <w:r>
              <w:rPr>
                <w:rFonts w:cs="Arial"/>
                <w:color w:val="0D0D0D" w:themeColor="text1" w:themeTint="F2"/>
                <w:spacing w:val="-6"/>
                <w:lang w:val="en-GB"/>
              </w:rPr>
              <w:t>n the last</w:t>
            </w:r>
            <w:r w:rsidRPr="00D160FB">
              <w:rPr>
                <w:rFonts w:cs="Arial"/>
                <w:color w:val="0D0D0D" w:themeColor="text1" w:themeTint="F2"/>
                <w:spacing w:val="-6"/>
                <w:lang w:val="en-GB"/>
              </w:rPr>
              <w:t xml:space="preserve"> year’s quarter. Large slump of demand was felt across all its main segments, including the vast majority of specialised shops. Retail sales decreased by 3.8% for the entire year 2022 (the largest year-on-year decrease in the comparable time series since year 2001). </w:t>
            </w:r>
            <w:r w:rsidR="00104022">
              <w:rPr>
                <w:rFonts w:cs="Arial"/>
                <w:color w:val="0D0D0D" w:themeColor="text1" w:themeTint="F2"/>
                <w:spacing w:val="-6"/>
                <w:lang w:val="en-GB"/>
              </w:rPr>
              <w:t>One-</w:t>
            </w:r>
            <w:r w:rsidRPr="00D160FB">
              <w:rPr>
                <w:rFonts w:cs="Arial"/>
                <w:color w:val="0D0D0D" w:themeColor="text1" w:themeTint="F2"/>
                <w:spacing w:val="-6"/>
                <w:lang w:val="en-GB"/>
              </w:rPr>
              <w:t xml:space="preserve">half of the last year’s decrease was associated </w:t>
            </w:r>
            <w:r w:rsidRPr="00D160FB">
              <w:rPr>
                <w:rFonts w:cs="Arial"/>
                <w:color w:val="0D0D0D" w:themeColor="text1" w:themeTint="F2"/>
                <w:spacing w:val="-6"/>
                <w:lang w:val="en-GB"/>
              </w:rPr>
              <w:lastRenderedPageBreak/>
              <w:t>with the lower sales for food</w:t>
            </w:r>
            <w:r w:rsidR="00104022">
              <w:rPr>
                <w:rFonts w:cs="Arial"/>
                <w:color w:val="0D0D0D" w:themeColor="text1" w:themeTint="F2"/>
                <w:spacing w:val="-6"/>
                <w:lang w:val="en-GB"/>
              </w:rPr>
              <w:t>, beverages and tobacco</w:t>
            </w:r>
            <w:r w:rsidRPr="00D160FB">
              <w:rPr>
                <w:rFonts w:cs="Arial"/>
                <w:color w:val="0D0D0D" w:themeColor="text1" w:themeTint="F2"/>
                <w:spacing w:val="-6"/>
                <w:lang w:val="en-GB"/>
              </w:rPr>
              <w:t xml:space="preserve"> (by 5.1%), when both large non-specialised shops (chains) and specialised shops recorded similar decrease of demand. Sales for non-food goods, which were the decisive factor in the retail slump in H2 2022 also registered a record decrease </w:t>
            </w:r>
            <w:r w:rsidR="00104022">
              <w:rPr>
                <w:rFonts w:cs="Arial"/>
                <w:color w:val="0D0D0D" w:themeColor="text1" w:themeTint="F2"/>
                <w:spacing w:val="-6"/>
                <w:lang w:val="en-GB"/>
              </w:rPr>
              <w:t xml:space="preserve">in the whole </w:t>
            </w:r>
            <w:r w:rsidRPr="00D160FB">
              <w:rPr>
                <w:rFonts w:cs="Arial"/>
                <w:color w:val="0D0D0D" w:themeColor="text1" w:themeTint="F2"/>
                <w:spacing w:val="-6"/>
                <w:lang w:val="en-GB"/>
              </w:rPr>
              <w:t>last year (by 3.1%). Weaker sales via internet or mail order houses, where sales plummeted by 10.6%</w:t>
            </w:r>
            <w:r w:rsidRPr="00D160FB">
              <w:rPr>
                <w:rStyle w:val="Znakapoznpodarou"/>
                <w:rFonts w:cs="Arial"/>
                <w:color w:val="0D0D0D" w:themeColor="text1" w:themeTint="F2"/>
                <w:spacing w:val="-6"/>
                <w:lang w:val="en-GB"/>
              </w:rPr>
              <w:footnoteReference w:id="46"/>
            </w:r>
            <w:r w:rsidRPr="00D160FB">
              <w:rPr>
                <w:rFonts w:cs="Arial"/>
                <w:color w:val="0D0D0D" w:themeColor="text1" w:themeTint="F2"/>
                <w:spacing w:val="-6"/>
                <w:lang w:val="en-GB"/>
              </w:rPr>
              <w:t xml:space="preserve"> for the entire last year played an essential role (there were still by nearly one third higher compared to year 2019). Milder decrease of demand was however apparent also in </w:t>
            </w:r>
            <w:r w:rsidR="00104022">
              <w:rPr>
                <w:rFonts w:cs="Arial"/>
                <w:color w:val="0D0D0D" w:themeColor="text1" w:themeTint="F2"/>
                <w:spacing w:val="-6"/>
                <w:lang w:val="en-GB"/>
              </w:rPr>
              <w:t>the majority of other specialised</w:t>
            </w:r>
            <w:r w:rsidRPr="00D160FB">
              <w:rPr>
                <w:rFonts w:cs="Arial"/>
                <w:color w:val="0D0D0D" w:themeColor="text1" w:themeTint="F2"/>
                <w:spacing w:val="-6"/>
                <w:lang w:val="en-GB"/>
              </w:rPr>
              <w:t xml:space="preserve"> stores with non-food goods. Mainly the shops with wearing apparel, footwear and leather goods represented the exception, with sales strengthening by more than one tenth year-on-year (but lagging by nearly one fifth behind the year 2019). Specialised stores with cosmetics and toilet articles recorded milder 4% growth. The demand for pharmaceutical and health goods, where t</w:t>
            </w:r>
            <w:r w:rsidR="00104022">
              <w:rPr>
                <w:rFonts w:cs="Arial"/>
                <w:color w:val="0D0D0D" w:themeColor="text1" w:themeTint="F2"/>
                <w:spacing w:val="-6"/>
                <w:lang w:val="en-GB"/>
              </w:rPr>
              <w:t>he price growth was only mild</w:t>
            </w:r>
            <w:r w:rsidRPr="00D160FB">
              <w:rPr>
                <w:rFonts w:cs="Arial"/>
                <w:color w:val="0D0D0D" w:themeColor="text1" w:themeTint="F2"/>
                <w:spacing w:val="-6"/>
                <w:lang w:val="en-GB"/>
              </w:rPr>
              <w:t xml:space="preserve"> this year in contrast to the majority of other range of products</w:t>
            </w:r>
            <w:r w:rsidR="00104022">
              <w:rPr>
                <w:rFonts w:cs="Arial"/>
                <w:color w:val="0D0D0D" w:themeColor="text1" w:themeTint="F2"/>
                <w:spacing w:val="-6"/>
                <w:lang w:val="en-GB"/>
              </w:rPr>
              <w:t>,</w:t>
            </w:r>
            <w:r w:rsidRPr="00D160FB">
              <w:rPr>
                <w:rFonts w:cs="Arial"/>
                <w:color w:val="0D0D0D" w:themeColor="text1" w:themeTint="F2"/>
                <w:spacing w:val="-6"/>
                <w:lang w:val="en-GB"/>
              </w:rPr>
              <w:t xml:space="preserve"> also grew similarly. Price development also affected the demand for motor fuels last year. Sales decreased by 2.3% in this area year-on-year, they still stayed behind the year 2019 (by 7.5%)</w:t>
            </w:r>
            <w:r w:rsidRPr="00D160FB">
              <w:rPr>
                <w:rStyle w:val="Znakapoznpodarou"/>
                <w:rFonts w:cs="Arial"/>
                <w:color w:val="0D0D0D" w:themeColor="text1" w:themeTint="F2"/>
                <w:spacing w:val="-6"/>
                <w:lang w:val="en-GB"/>
              </w:rPr>
              <w:footnoteReference w:id="47"/>
            </w:r>
            <w:r w:rsidRPr="00D160FB">
              <w:rPr>
                <w:rFonts w:cs="Arial"/>
                <w:color w:val="0D0D0D" w:themeColor="text1" w:themeTint="F2"/>
                <w:spacing w:val="-6"/>
                <w:lang w:val="en-GB"/>
              </w:rPr>
              <w:t xml:space="preserve">. It was also valid for the motorist segment of trade, where however the decrease of sales </w:t>
            </w:r>
            <w:r w:rsidR="00104022">
              <w:rPr>
                <w:rFonts w:cs="Arial"/>
                <w:color w:val="0D0D0D" w:themeColor="text1" w:themeTint="F2"/>
                <w:spacing w:val="-6"/>
                <w:lang w:val="en-GB"/>
              </w:rPr>
              <w:t>(</w:t>
            </w:r>
            <w:r w:rsidRPr="00D160FB">
              <w:rPr>
                <w:rFonts w:cs="Arial"/>
                <w:color w:val="0D0D0D" w:themeColor="text1" w:themeTint="F2"/>
                <w:spacing w:val="-6"/>
                <w:lang w:val="en-GB"/>
              </w:rPr>
              <w:t>lasting since the half of year 2021</w:t>
            </w:r>
            <w:r w:rsidR="00104022">
              <w:rPr>
                <w:rFonts w:cs="Arial"/>
                <w:color w:val="0D0D0D" w:themeColor="text1" w:themeTint="F2"/>
                <w:spacing w:val="-6"/>
                <w:lang w:val="en-GB"/>
              </w:rPr>
              <w:t>)</w:t>
            </w:r>
            <w:r w:rsidRPr="00D160FB">
              <w:rPr>
                <w:rFonts w:cs="Arial"/>
                <w:color w:val="0D0D0D" w:themeColor="text1" w:themeTint="F2"/>
                <w:spacing w:val="-6"/>
                <w:lang w:val="en-GB"/>
              </w:rPr>
              <w:t xml:space="preserve"> moderated to 1.8% last year in Q4</w:t>
            </w:r>
            <w:r w:rsidR="00104022">
              <w:rPr>
                <w:rFonts w:cs="Arial"/>
                <w:color w:val="0D0D0D" w:themeColor="text1" w:themeTint="F2"/>
                <w:spacing w:val="-6"/>
                <w:lang w:val="en-GB"/>
              </w:rPr>
              <w:t xml:space="preserve"> 2022</w:t>
            </w:r>
            <w:r w:rsidRPr="00D160FB">
              <w:rPr>
                <w:rFonts w:cs="Arial"/>
                <w:color w:val="0D0D0D" w:themeColor="text1" w:themeTint="F2"/>
                <w:spacing w:val="-6"/>
                <w:lang w:val="en-GB"/>
              </w:rPr>
              <w:t xml:space="preserve">. The only part of this segment, where the demand for the entire last year exceeded the pre-crisis year 2019 was trade, repairs and maintenance of motorcycles (+2.4%), in contrast it stayed behind by 14.1% for the trade with the motor vehicles (apart from motorcycles). </w:t>
            </w:r>
          </w:p>
        </w:tc>
      </w:tr>
    </w:tbl>
    <w:p w14:paraId="237CCCAB" w14:textId="77777777" w:rsidR="00E87D5B" w:rsidRPr="00D160FB" w:rsidRDefault="00E87D5B" w:rsidP="00E87D5B">
      <w:pPr>
        <w:pStyle w:val="Nadpis11"/>
        <w:rPr>
          <w:b w:val="0"/>
          <w:sz w:val="2"/>
          <w:szCs w:val="2"/>
          <w:lang w:val="en-GB"/>
        </w:rPr>
      </w:pPr>
    </w:p>
    <w:p w14:paraId="2E486663" w14:textId="77777777" w:rsidR="00DE3E22" w:rsidRPr="00D160FB" w:rsidRDefault="00DE3E22">
      <w:pPr>
        <w:spacing w:after="0" w:line="240" w:lineRule="auto"/>
        <w:jc w:val="left"/>
        <w:rPr>
          <w:rFonts w:eastAsia="MS Gothic"/>
          <w:b/>
          <w:bCs/>
          <w:color w:val="71818C"/>
          <w:sz w:val="32"/>
          <w:szCs w:val="28"/>
          <w:lang w:val="en-GB"/>
        </w:rPr>
      </w:pPr>
      <w:r w:rsidRPr="00D160FB">
        <w:rPr>
          <w:lang w:val="en-GB"/>
        </w:rPr>
        <w:br w:type="page"/>
      </w:r>
    </w:p>
    <w:p w14:paraId="7443308A" w14:textId="7567D08F" w:rsidR="00F53917" w:rsidRPr="00D160FB" w:rsidRDefault="00F53917" w:rsidP="00F53917">
      <w:pPr>
        <w:pStyle w:val="Nadpis11"/>
        <w:rPr>
          <w:sz w:val="2"/>
          <w:szCs w:val="2"/>
          <w:lang w:val="en-GB"/>
        </w:rPr>
      </w:pPr>
      <w:bookmarkStart w:id="26" w:name="_Toc132874248"/>
      <w:r w:rsidRPr="00D160FB">
        <w:rPr>
          <w:lang w:val="en-GB"/>
        </w:rPr>
        <w:lastRenderedPageBreak/>
        <w:t>4</w:t>
      </w:r>
      <w:bookmarkStart w:id="27" w:name="_Toc511215218"/>
      <w:bookmarkStart w:id="28" w:name="_Toc19090679"/>
      <w:bookmarkStart w:id="29" w:name="_Toc74643856"/>
      <w:bookmarkStart w:id="30" w:name="_Toc42852411"/>
      <w:bookmarkStart w:id="31" w:name="_Toc74643857"/>
      <w:bookmarkEnd w:id="27"/>
      <w:bookmarkEnd w:id="28"/>
      <w:r w:rsidRPr="00D160FB">
        <w:rPr>
          <w:lang w:val="en-GB"/>
        </w:rPr>
        <w:t>. </w:t>
      </w:r>
      <w:r w:rsidR="00332D86" w:rsidRPr="00D160FB">
        <w:rPr>
          <w:lang w:val="en-GB"/>
        </w:rPr>
        <w:t>External Relations</w:t>
      </w:r>
      <w:bookmarkEnd w:id="26"/>
    </w:p>
    <w:tbl>
      <w:tblPr>
        <w:tblW w:w="9639" w:type="dxa"/>
        <w:tblInd w:w="-15" w:type="dxa"/>
        <w:tblCellMar>
          <w:left w:w="0" w:type="dxa"/>
          <w:right w:w="0" w:type="dxa"/>
        </w:tblCellMar>
        <w:tblLook w:val="00A0" w:firstRow="1" w:lastRow="0" w:firstColumn="1" w:lastColumn="0" w:noHBand="0" w:noVBand="0"/>
      </w:tblPr>
      <w:tblGrid>
        <w:gridCol w:w="1476"/>
        <w:gridCol w:w="152"/>
        <w:gridCol w:w="8011"/>
      </w:tblGrid>
      <w:tr w:rsidR="00F53917" w:rsidRPr="00D160FB" w14:paraId="1CD6B7E9" w14:textId="77777777" w:rsidTr="0063723A">
        <w:trPr>
          <w:trHeight w:val="145"/>
        </w:trPr>
        <w:tc>
          <w:tcPr>
            <w:tcW w:w="1476" w:type="dxa"/>
            <w:shd w:val="clear" w:color="auto" w:fill="auto"/>
            <w:tcMar>
              <w:left w:w="0" w:type="dxa"/>
            </w:tcMar>
          </w:tcPr>
          <w:p w14:paraId="50AA1438" w14:textId="5D82BB4F" w:rsidR="00F53917" w:rsidRPr="00D160FB" w:rsidRDefault="00282451" w:rsidP="00163868">
            <w:pPr>
              <w:pStyle w:val="Marginlie"/>
              <w:rPr>
                <w:lang w:val="en-GB"/>
              </w:rPr>
            </w:pPr>
            <w:r w:rsidRPr="00D160FB">
              <w:rPr>
                <w:lang w:val="en-GB"/>
              </w:rPr>
              <w:t xml:space="preserve">Value of </w:t>
            </w:r>
            <w:r w:rsidR="00BF4E10" w:rsidRPr="00D160FB">
              <w:rPr>
                <w:lang w:val="en-GB"/>
              </w:rPr>
              <w:t>export of goods</w:t>
            </w:r>
            <w:r w:rsidR="007930C1" w:rsidRPr="00D160FB">
              <w:rPr>
                <w:lang w:val="en-GB"/>
              </w:rPr>
              <w:t xml:space="preserve"> expanded mainly due to the strong rise of prices last year. </w:t>
            </w:r>
          </w:p>
        </w:tc>
        <w:tc>
          <w:tcPr>
            <w:tcW w:w="152" w:type="dxa"/>
            <w:shd w:val="clear" w:color="auto" w:fill="auto"/>
            <w:tcMar>
              <w:left w:w="0" w:type="dxa"/>
            </w:tcMar>
          </w:tcPr>
          <w:p w14:paraId="27D68C60"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CD40528" w14:textId="1BFA4E78" w:rsidR="00F53917" w:rsidRPr="00D160FB" w:rsidRDefault="00725F9D" w:rsidP="00163868">
            <w:pPr>
              <w:spacing w:after="180"/>
              <w:rPr>
                <w:spacing w:val="-4"/>
                <w:lang w:val="en-GB"/>
              </w:rPr>
            </w:pPr>
            <w:r w:rsidRPr="00D160FB">
              <w:rPr>
                <w:spacing w:val="-4"/>
                <w:lang w:val="en-GB"/>
              </w:rPr>
              <w:t>Total value of export of goods</w:t>
            </w:r>
            <w:r w:rsidR="00F53917" w:rsidRPr="00D160FB">
              <w:rPr>
                <w:rStyle w:val="Znakapoznpodarou"/>
                <w:spacing w:val="-4"/>
                <w:lang w:val="en-GB"/>
              </w:rPr>
              <w:footnoteReference w:id="48"/>
            </w:r>
            <w:r w:rsidR="00F53917" w:rsidRPr="00D160FB">
              <w:rPr>
                <w:spacing w:val="-4"/>
                <w:lang w:val="en-GB"/>
              </w:rPr>
              <w:t xml:space="preserve"> </w:t>
            </w:r>
            <w:r w:rsidRPr="00D160FB">
              <w:rPr>
                <w:spacing w:val="-4"/>
                <w:lang w:val="en-GB"/>
              </w:rPr>
              <w:t xml:space="preserve">attained </w:t>
            </w:r>
            <w:r w:rsidR="00F53917" w:rsidRPr="00D160FB">
              <w:rPr>
                <w:spacing w:val="-4"/>
                <w:lang w:val="en-GB"/>
              </w:rPr>
              <w:t>4</w:t>
            </w:r>
            <w:r w:rsidRPr="00D160FB">
              <w:rPr>
                <w:spacing w:val="-4"/>
                <w:lang w:val="en-GB"/>
              </w:rPr>
              <w:t> </w:t>
            </w:r>
            <w:r w:rsidR="00F53917" w:rsidRPr="00D160FB">
              <w:rPr>
                <w:spacing w:val="-4"/>
                <w:lang w:val="en-GB"/>
              </w:rPr>
              <w:t>413</w:t>
            </w:r>
            <w:r w:rsidRPr="00D160FB">
              <w:rPr>
                <w:spacing w:val="-4"/>
                <w:lang w:val="en-GB"/>
              </w:rPr>
              <w:t>.</w:t>
            </w:r>
            <w:r w:rsidR="00F53917" w:rsidRPr="00D160FB">
              <w:rPr>
                <w:spacing w:val="-4"/>
                <w:lang w:val="en-GB"/>
              </w:rPr>
              <w:t>8</w:t>
            </w:r>
            <w:r w:rsidRPr="00D160FB">
              <w:rPr>
                <w:spacing w:val="-4"/>
                <w:lang w:val="en-GB"/>
              </w:rPr>
              <w:t xml:space="preserve"> CZK bn</w:t>
            </w:r>
            <w:r w:rsidR="00F53917" w:rsidRPr="00D160FB">
              <w:rPr>
                <w:rStyle w:val="Znakapoznpodarou"/>
                <w:spacing w:val="-4"/>
                <w:lang w:val="en-GB"/>
              </w:rPr>
              <w:footnoteReference w:id="49"/>
            </w:r>
            <w:r w:rsidRPr="00D160FB">
              <w:rPr>
                <w:spacing w:val="-4"/>
                <w:lang w:val="en-GB"/>
              </w:rPr>
              <w:t xml:space="preserve"> in year 2022 and </w:t>
            </w:r>
            <w:r w:rsidR="007930C1" w:rsidRPr="00D160FB">
              <w:rPr>
                <w:spacing w:val="-4"/>
                <w:lang w:val="en-GB"/>
              </w:rPr>
              <w:t>nominally</w:t>
            </w:r>
            <w:r w:rsidR="0003092C" w:rsidRPr="00D160FB">
              <w:rPr>
                <w:spacing w:val="-4"/>
                <w:lang w:val="en-GB"/>
              </w:rPr>
              <w:t xml:space="preserve"> thus increased by </w:t>
            </w:r>
            <w:r w:rsidR="00F53917" w:rsidRPr="00D160FB">
              <w:rPr>
                <w:spacing w:val="-4"/>
                <w:lang w:val="en-GB"/>
              </w:rPr>
              <w:t>532</w:t>
            </w:r>
            <w:r w:rsidR="0003092C" w:rsidRPr="00D160FB">
              <w:rPr>
                <w:spacing w:val="-4"/>
                <w:lang w:val="en-GB"/>
              </w:rPr>
              <w:t>.</w:t>
            </w:r>
            <w:r w:rsidR="00F53917" w:rsidRPr="00D160FB">
              <w:rPr>
                <w:spacing w:val="-4"/>
                <w:lang w:val="en-GB"/>
              </w:rPr>
              <w:t>4</w:t>
            </w:r>
            <w:r w:rsidR="0003092C" w:rsidRPr="00D160FB">
              <w:rPr>
                <w:spacing w:val="-4"/>
                <w:lang w:val="en-GB"/>
              </w:rPr>
              <w:t xml:space="preserve"> bn </w:t>
            </w:r>
            <w:r w:rsidR="00F53917" w:rsidRPr="00D160FB">
              <w:rPr>
                <w:spacing w:val="-4"/>
                <w:lang w:val="en-GB"/>
              </w:rPr>
              <w:t>(13</w:t>
            </w:r>
            <w:r w:rsidR="0003092C" w:rsidRPr="00D160FB">
              <w:rPr>
                <w:spacing w:val="-4"/>
                <w:lang w:val="en-GB"/>
              </w:rPr>
              <w:t>.</w:t>
            </w:r>
            <w:r w:rsidR="00F53917" w:rsidRPr="00D160FB">
              <w:rPr>
                <w:spacing w:val="-4"/>
                <w:lang w:val="en-GB"/>
              </w:rPr>
              <w:t xml:space="preserve">7%). </w:t>
            </w:r>
            <w:r w:rsidR="00153DD3" w:rsidRPr="00D160FB">
              <w:rPr>
                <w:spacing w:val="-4"/>
                <w:lang w:val="en-GB"/>
              </w:rPr>
              <w:t xml:space="preserve">However the growth of the price level participated on the relatively strong increase </w:t>
            </w:r>
            <w:r w:rsidR="00F53917" w:rsidRPr="00D160FB">
              <w:rPr>
                <w:spacing w:val="-4"/>
                <w:lang w:val="en-GB"/>
              </w:rPr>
              <w:t xml:space="preserve">– </w:t>
            </w:r>
            <w:r w:rsidR="00800D16" w:rsidRPr="00D160FB">
              <w:rPr>
                <w:spacing w:val="-4"/>
                <w:lang w:val="en-GB"/>
              </w:rPr>
              <w:t xml:space="preserve">the most for materials and energies, prices however </w:t>
            </w:r>
            <w:r w:rsidR="00153DD3" w:rsidRPr="00D160FB">
              <w:rPr>
                <w:spacing w:val="-4"/>
                <w:lang w:val="en-GB"/>
              </w:rPr>
              <w:t>significantly</w:t>
            </w:r>
            <w:r w:rsidR="00800D16" w:rsidRPr="00D160FB">
              <w:rPr>
                <w:spacing w:val="-4"/>
                <w:lang w:val="en-GB"/>
              </w:rPr>
              <w:t xml:space="preserve"> rose for the majority of types of goods</w:t>
            </w:r>
            <w:r w:rsidR="00F53917" w:rsidRPr="00D160FB">
              <w:rPr>
                <w:rStyle w:val="Znakapoznpodarou"/>
                <w:spacing w:val="-4"/>
                <w:lang w:val="en-GB"/>
              </w:rPr>
              <w:footnoteReference w:id="50"/>
            </w:r>
            <w:r w:rsidR="00F53917" w:rsidRPr="00D160FB">
              <w:rPr>
                <w:spacing w:val="-4"/>
                <w:lang w:val="en-GB"/>
              </w:rPr>
              <w:t xml:space="preserve">. </w:t>
            </w:r>
            <w:r w:rsidR="00800D16" w:rsidRPr="00D160FB">
              <w:rPr>
                <w:spacing w:val="-4"/>
                <w:lang w:val="en-GB"/>
              </w:rPr>
              <w:t xml:space="preserve">In individual quarters the year-on-year export dynamics </w:t>
            </w:r>
            <w:r w:rsidR="00B1401E" w:rsidRPr="00D160FB">
              <w:rPr>
                <w:spacing w:val="-4"/>
                <w:lang w:val="en-GB"/>
              </w:rPr>
              <w:t>continued at a strong level with the peak in Q</w:t>
            </w:r>
            <w:r w:rsidR="00F53917" w:rsidRPr="00D160FB">
              <w:rPr>
                <w:spacing w:val="-4"/>
                <w:lang w:val="en-GB"/>
              </w:rPr>
              <w:t>3</w:t>
            </w:r>
            <w:r w:rsidR="00B1401E" w:rsidRPr="00D160FB">
              <w:rPr>
                <w:spacing w:val="-4"/>
                <w:lang w:val="en-GB"/>
              </w:rPr>
              <w:t xml:space="preserve"> </w:t>
            </w:r>
            <w:r w:rsidR="00F53917" w:rsidRPr="00D160FB">
              <w:rPr>
                <w:spacing w:val="-4"/>
                <w:lang w:val="en-GB"/>
              </w:rPr>
              <w:t>(8</w:t>
            </w:r>
            <w:r w:rsidR="00B1401E" w:rsidRPr="00D160FB">
              <w:rPr>
                <w:spacing w:val="-4"/>
                <w:lang w:val="en-GB"/>
              </w:rPr>
              <w:t>.</w:t>
            </w:r>
            <w:r w:rsidR="00F53917" w:rsidRPr="00D160FB">
              <w:rPr>
                <w:spacing w:val="-4"/>
                <w:lang w:val="en-GB"/>
              </w:rPr>
              <w:t>3%, 11</w:t>
            </w:r>
            <w:r w:rsidR="00B1401E" w:rsidRPr="00D160FB">
              <w:rPr>
                <w:spacing w:val="-4"/>
                <w:lang w:val="en-GB"/>
              </w:rPr>
              <w:t>.</w:t>
            </w:r>
            <w:r w:rsidR="00F53917" w:rsidRPr="00D160FB">
              <w:rPr>
                <w:spacing w:val="-4"/>
                <w:lang w:val="en-GB"/>
              </w:rPr>
              <w:t>6% a</w:t>
            </w:r>
            <w:r w:rsidR="00B1401E" w:rsidRPr="00D160FB">
              <w:rPr>
                <w:spacing w:val="-4"/>
                <w:lang w:val="en-GB"/>
              </w:rPr>
              <w:t>nd</w:t>
            </w:r>
            <w:r w:rsidR="00F53917" w:rsidRPr="00D160FB">
              <w:rPr>
                <w:spacing w:val="-4"/>
                <w:lang w:val="en-GB"/>
              </w:rPr>
              <w:t xml:space="preserve"> 22</w:t>
            </w:r>
            <w:r w:rsidR="00B1401E" w:rsidRPr="00D160FB">
              <w:rPr>
                <w:spacing w:val="-4"/>
                <w:lang w:val="en-GB"/>
              </w:rPr>
              <w:t>.</w:t>
            </w:r>
            <w:r w:rsidR="00F53917" w:rsidRPr="00D160FB">
              <w:rPr>
                <w:spacing w:val="-4"/>
                <w:lang w:val="en-GB"/>
              </w:rPr>
              <w:t>3%</w:t>
            </w:r>
            <w:r w:rsidR="00B1401E" w:rsidRPr="00D160FB">
              <w:rPr>
                <w:spacing w:val="-4"/>
                <w:lang w:val="en-GB"/>
              </w:rPr>
              <w:t xml:space="preserve"> in individual quarters</w:t>
            </w:r>
            <w:r w:rsidR="00F53917" w:rsidRPr="00D160FB">
              <w:rPr>
                <w:spacing w:val="-4"/>
                <w:lang w:val="en-GB"/>
              </w:rPr>
              <w:t xml:space="preserve">). </w:t>
            </w:r>
            <w:r w:rsidR="00153DD3" w:rsidRPr="00D160FB">
              <w:rPr>
                <w:spacing w:val="-4"/>
                <w:lang w:val="en-GB"/>
              </w:rPr>
              <w:t xml:space="preserve">The value of export climbed up to </w:t>
            </w:r>
            <w:r w:rsidR="00F53917" w:rsidRPr="00D160FB">
              <w:rPr>
                <w:spacing w:val="-4"/>
                <w:lang w:val="en-GB"/>
              </w:rPr>
              <w:t>1</w:t>
            </w:r>
            <w:r w:rsidR="00153DD3" w:rsidRPr="00D160FB">
              <w:rPr>
                <w:spacing w:val="-4"/>
                <w:lang w:val="en-GB"/>
              </w:rPr>
              <w:t> </w:t>
            </w:r>
            <w:r w:rsidR="00F53917" w:rsidRPr="00D160FB">
              <w:rPr>
                <w:spacing w:val="-4"/>
                <w:lang w:val="en-GB"/>
              </w:rPr>
              <w:t>148</w:t>
            </w:r>
            <w:r w:rsidR="00153DD3" w:rsidRPr="00D160FB">
              <w:rPr>
                <w:spacing w:val="-4"/>
                <w:lang w:val="en-GB"/>
              </w:rPr>
              <w:t>.</w:t>
            </w:r>
            <w:r w:rsidR="00F53917" w:rsidRPr="00D160FB">
              <w:rPr>
                <w:spacing w:val="-4"/>
                <w:lang w:val="en-GB"/>
              </w:rPr>
              <w:t>4</w:t>
            </w:r>
            <w:r w:rsidR="00153DD3" w:rsidRPr="00D160FB">
              <w:rPr>
                <w:spacing w:val="-4"/>
                <w:lang w:val="en-GB"/>
              </w:rPr>
              <w:t xml:space="preserve"> CZK bn in Q4 and increased by </w:t>
            </w:r>
            <w:r w:rsidR="00F53917" w:rsidRPr="00D160FB">
              <w:rPr>
                <w:spacing w:val="-4"/>
                <w:lang w:val="en-GB"/>
              </w:rPr>
              <w:t>136</w:t>
            </w:r>
            <w:r w:rsidR="00153DD3" w:rsidRPr="00D160FB">
              <w:rPr>
                <w:spacing w:val="-4"/>
                <w:lang w:val="en-GB"/>
              </w:rPr>
              <w:t>.</w:t>
            </w:r>
            <w:r w:rsidR="00F53917" w:rsidRPr="00D160FB">
              <w:rPr>
                <w:spacing w:val="-4"/>
                <w:lang w:val="en-GB"/>
              </w:rPr>
              <w:t>2</w:t>
            </w:r>
            <w:r w:rsidR="00153DD3" w:rsidRPr="00D160FB">
              <w:rPr>
                <w:spacing w:val="-4"/>
                <w:lang w:val="en-GB"/>
              </w:rPr>
              <w:t xml:space="preserve"> bn year-on-year </w:t>
            </w:r>
            <w:r w:rsidR="00F53917" w:rsidRPr="00D160FB">
              <w:rPr>
                <w:spacing w:val="-4"/>
                <w:lang w:val="en-GB"/>
              </w:rPr>
              <w:t>(13</w:t>
            </w:r>
            <w:r w:rsidR="00153DD3" w:rsidRPr="00D160FB">
              <w:rPr>
                <w:spacing w:val="-4"/>
                <w:lang w:val="en-GB"/>
              </w:rPr>
              <w:t>.</w:t>
            </w:r>
            <w:r w:rsidR="00F53917" w:rsidRPr="00D160FB">
              <w:rPr>
                <w:spacing w:val="-4"/>
                <w:lang w:val="en-GB"/>
              </w:rPr>
              <w:t xml:space="preserve">5%). </w:t>
            </w:r>
            <w:r w:rsidR="00B1401E" w:rsidRPr="00D160FB">
              <w:rPr>
                <w:spacing w:val="-4"/>
                <w:lang w:val="en-GB"/>
              </w:rPr>
              <w:t xml:space="preserve">Price growth constituted a significant stimulus of the year-on-year dynamics throughout the whole year. The export was by 1.0% </w:t>
            </w:r>
            <w:r w:rsidR="0063723A">
              <w:rPr>
                <w:spacing w:val="-4"/>
                <w:lang w:val="en-GB"/>
              </w:rPr>
              <w:t>lower</w:t>
            </w:r>
            <w:r w:rsidR="00B1401E" w:rsidRPr="00D160FB">
              <w:rPr>
                <w:spacing w:val="-4"/>
                <w:lang w:val="en-GB"/>
              </w:rPr>
              <w:t xml:space="preserve"> </w:t>
            </w:r>
            <w:r w:rsidR="0063723A">
              <w:rPr>
                <w:spacing w:val="-4"/>
                <w:lang w:val="en-GB"/>
              </w:rPr>
              <w:t>quarter</w:t>
            </w:r>
            <w:r w:rsidR="00B1401E" w:rsidRPr="00D160FB">
              <w:rPr>
                <w:spacing w:val="-4"/>
                <w:lang w:val="en-GB"/>
              </w:rPr>
              <w:t>-on-</w:t>
            </w:r>
            <w:r w:rsidR="0063723A">
              <w:rPr>
                <w:spacing w:val="-4"/>
                <w:lang w:val="en-GB"/>
              </w:rPr>
              <w:t>quarter</w:t>
            </w:r>
            <w:r w:rsidR="00B1401E" w:rsidRPr="00D160FB">
              <w:rPr>
                <w:spacing w:val="-4"/>
                <w:lang w:val="en-GB"/>
              </w:rPr>
              <w:t xml:space="preserve"> based on the seasonally adjusted data. </w:t>
            </w:r>
            <w:r w:rsidR="00F53917" w:rsidRPr="00D160FB">
              <w:rPr>
                <w:spacing w:val="-4"/>
                <w:lang w:val="en-GB"/>
              </w:rPr>
              <w:t xml:space="preserve">     </w:t>
            </w:r>
          </w:p>
        </w:tc>
      </w:tr>
      <w:tr w:rsidR="00F53917" w:rsidRPr="00D160FB" w14:paraId="5649540B" w14:textId="77777777" w:rsidTr="0063723A">
        <w:trPr>
          <w:trHeight w:val="145"/>
        </w:trPr>
        <w:tc>
          <w:tcPr>
            <w:tcW w:w="1476" w:type="dxa"/>
            <w:shd w:val="clear" w:color="auto" w:fill="auto"/>
            <w:tcMar>
              <w:left w:w="0" w:type="dxa"/>
            </w:tcMar>
          </w:tcPr>
          <w:p w14:paraId="745A1A2B" w14:textId="037B56A5" w:rsidR="00F53917" w:rsidRPr="00D160FB" w:rsidRDefault="00E26122" w:rsidP="00163868">
            <w:pPr>
              <w:pStyle w:val="Marginlie"/>
              <w:rPr>
                <w:lang w:val="en-GB"/>
              </w:rPr>
            </w:pPr>
            <w:r w:rsidRPr="00D160FB">
              <w:rPr>
                <w:lang w:val="en-GB"/>
              </w:rPr>
              <w:t xml:space="preserve">Export grew faster into the EU countries. </w:t>
            </w:r>
          </w:p>
        </w:tc>
        <w:tc>
          <w:tcPr>
            <w:tcW w:w="152" w:type="dxa"/>
            <w:shd w:val="clear" w:color="auto" w:fill="auto"/>
            <w:tcMar>
              <w:left w:w="0" w:type="dxa"/>
            </w:tcMar>
          </w:tcPr>
          <w:p w14:paraId="3FAACA20"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1618F3B0" w14:textId="3D0166FD" w:rsidR="00F53917" w:rsidRPr="00D160FB" w:rsidRDefault="00F53917" w:rsidP="00163868">
            <w:pPr>
              <w:spacing w:after="180"/>
              <w:rPr>
                <w:spacing w:val="-4"/>
                <w:lang w:val="en-GB"/>
              </w:rPr>
            </w:pPr>
            <w:r w:rsidRPr="00D160FB">
              <w:rPr>
                <w:spacing w:val="-4"/>
                <w:lang w:val="en-GB"/>
              </w:rPr>
              <w:t>L</w:t>
            </w:r>
            <w:r w:rsidR="002C196C" w:rsidRPr="00D160FB">
              <w:rPr>
                <w:spacing w:val="-4"/>
                <w:lang w:val="en-GB"/>
              </w:rPr>
              <w:t xml:space="preserve">ast year’s increase of export of goods was for the most part allotted to the </w:t>
            </w:r>
            <w:r w:rsidR="00BF057E" w:rsidRPr="00D160FB">
              <w:rPr>
                <w:spacing w:val="-4"/>
                <w:lang w:val="en-GB"/>
              </w:rPr>
              <w:t>growth</w:t>
            </w:r>
            <w:r w:rsidR="002C196C" w:rsidRPr="00D160FB">
              <w:rPr>
                <w:spacing w:val="-4"/>
                <w:lang w:val="en-GB"/>
              </w:rPr>
              <w:t xml:space="preserve"> of export into the EU </w:t>
            </w:r>
            <w:r w:rsidR="00BF057E" w:rsidRPr="00D160FB">
              <w:rPr>
                <w:spacing w:val="-4"/>
                <w:lang w:val="en-GB"/>
              </w:rPr>
              <w:t>countries</w:t>
            </w:r>
            <w:r w:rsidR="002C196C" w:rsidRPr="00D160FB">
              <w:rPr>
                <w:spacing w:val="-4"/>
                <w:lang w:val="en-GB"/>
              </w:rPr>
              <w:t xml:space="preserve"> </w:t>
            </w:r>
            <w:r w:rsidRPr="00D160FB">
              <w:rPr>
                <w:spacing w:val="-4"/>
                <w:lang w:val="en-GB"/>
              </w:rPr>
              <w:t>(+472</w:t>
            </w:r>
            <w:r w:rsidR="00BF057E" w:rsidRPr="00D160FB">
              <w:rPr>
                <w:spacing w:val="-4"/>
                <w:lang w:val="en-GB"/>
              </w:rPr>
              <w:t>.</w:t>
            </w:r>
            <w:r w:rsidRPr="00D160FB">
              <w:rPr>
                <w:spacing w:val="-4"/>
                <w:lang w:val="en-GB"/>
              </w:rPr>
              <w:t>3</w:t>
            </w:r>
            <w:r w:rsidR="00BF057E" w:rsidRPr="00D160FB">
              <w:rPr>
                <w:spacing w:val="-4"/>
                <w:lang w:val="en-GB"/>
              </w:rPr>
              <w:t xml:space="preserve"> CZK bn, </w:t>
            </w:r>
            <w:r w:rsidRPr="00D160FB">
              <w:rPr>
                <w:spacing w:val="-4"/>
                <w:lang w:val="en-GB"/>
              </w:rPr>
              <w:t>15</w:t>
            </w:r>
            <w:r w:rsidR="00BF057E" w:rsidRPr="00D160FB">
              <w:rPr>
                <w:spacing w:val="-4"/>
                <w:lang w:val="en-GB"/>
              </w:rPr>
              <w:t>.</w:t>
            </w:r>
            <w:r w:rsidR="00ED2525" w:rsidRPr="00D160FB">
              <w:rPr>
                <w:spacing w:val="-4"/>
                <w:lang w:val="en-GB"/>
              </w:rPr>
              <w:t>4</w:t>
            </w:r>
            <w:r w:rsidRPr="00D160FB">
              <w:rPr>
                <w:spacing w:val="-4"/>
                <w:lang w:val="en-GB"/>
              </w:rPr>
              <w:t xml:space="preserve">%). </w:t>
            </w:r>
            <w:r w:rsidR="005A5F92" w:rsidRPr="00D160FB">
              <w:rPr>
                <w:spacing w:val="-4"/>
                <w:lang w:val="en-GB"/>
              </w:rPr>
              <w:t xml:space="preserve">Export outside the EU went up considerably slower </w:t>
            </w:r>
            <w:r w:rsidRPr="00D160FB">
              <w:rPr>
                <w:spacing w:val="-4"/>
                <w:lang w:val="en-GB"/>
              </w:rPr>
              <w:t>(+60</w:t>
            </w:r>
            <w:r w:rsidR="005A5F92" w:rsidRPr="00D160FB">
              <w:rPr>
                <w:spacing w:val="-4"/>
                <w:lang w:val="en-GB"/>
              </w:rPr>
              <w:t>.</w:t>
            </w:r>
            <w:r w:rsidRPr="00D160FB">
              <w:rPr>
                <w:spacing w:val="-4"/>
                <w:lang w:val="en-GB"/>
              </w:rPr>
              <w:t>2</w:t>
            </w:r>
            <w:r w:rsidR="005A5F92" w:rsidRPr="00D160FB">
              <w:rPr>
                <w:spacing w:val="-4"/>
                <w:lang w:val="en-GB"/>
              </w:rPr>
              <w:t xml:space="preserve"> CZK bn</w:t>
            </w:r>
            <w:r w:rsidRPr="00D160FB">
              <w:rPr>
                <w:spacing w:val="-4"/>
                <w:lang w:val="en-GB"/>
              </w:rPr>
              <w:t>, 7</w:t>
            </w:r>
            <w:r w:rsidR="005A5F92" w:rsidRPr="00D160FB">
              <w:rPr>
                <w:spacing w:val="-4"/>
                <w:lang w:val="en-GB"/>
              </w:rPr>
              <w:t>.</w:t>
            </w:r>
            <w:r w:rsidRPr="00D160FB">
              <w:rPr>
                <w:spacing w:val="-4"/>
                <w:lang w:val="en-GB"/>
              </w:rPr>
              <w:t xml:space="preserve">5%). </w:t>
            </w:r>
            <w:r w:rsidR="00374ED6" w:rsidRPr="00D160FB">
              <w:rPr>
                <w:spacing w:val="-4"/>
                <w:lang w:val="en-GB"/>
              </w:rPr>
              <w:t xml:space="preserve">Export to Germany </w:t>
            </w:r>
            <w:r w:rsidRPr="00D160FB">
              <w:rPr>
                <w:spacing w:val="-4"/>
                <w:lang w:val="en-GB"/>
              </w:rPr>
              <w:t>(+170</w:t>
            </w:r>
            <w:r w:rsidR="00374ED6" w:rsidRPr="00D160FB">
              <w:rPr>
                <w:spacing w:val="-4"/>
                <w:lang w:val="en-GB"/>
              </w:rPr>
              <w:t>.</w:t>
            </w:r>
            <w:r w:rsidRPr="00D160FB">
              <w:rPr>
                <w:spacing w:val="-4"/>
                <w:lang w:val="en-GB"/>
              </w:rPr>
              <w:t>6</w:t>
            </w:r>
            <w:r w:rsidR="00374ED6" w:rsidRPr="00D160FB">
              <w:rPr>
                <w:spacing w:val="-4"/>
                <w:lang w:val="en-GB"/>
              </w:rPr>
              <w:t xml:space="preserve"> CZK bn</w:t>
            </w:r>
            <w:r w:rsidRPr="00D160FB">
              <w:rPr>
                <w:spacing w:val="-4"/>
                <w:lang w:val="en-GB"/>
              </w:rPr>
              <w:t>, 14</w:t>
            </w:r>
            <w:r w:rsidR="00374ED6" w:rsidRPr="00D160FB">
              <w:rPr>
                <w:spacing w:val="-4"/>
                <w:lang w:val="en-GB"/>
              </w:rPr>
              <w:t>.</w:t>
            </w:r>
            <w:r w:rsidRPr="00D160FB">
              <w:rPr>
                <w:spacing w:val="-4"/>
                <w:lang w:val="en-GB"/>
              </w:rPr>
              <w:t xml:space="preserve">7%), </w:t>
            </w:r>
            <w:r w:rsidR="00374ED6" w:rsidRPr="00D160FB">
              <w:rPr>
                <w:spacing w:val="-4"/>
                <w:lang w:val="en-GB"/>
              </w:rPr>
              <w:t xml:space="preserve">Slovakia </w:t>
            </w:r>
            <w:r w:rsidRPr="00D160FB">
              <w:rPr>
                <w:spacing w:val="-4"/>
                <w:lang w:val="en-GB"/>
              </w:rPr>
              <w:t>(+70</w:t>
            </w:r>
            <w:r w:rsidR="00374ED6" w:rsidRPr="00D160FB">
              <w:rPr>
                <w:spacing w:val="-4"/>
                <w:lang w:val="en-GB"/>
              </w:rPr>
              <w:t>.</w:t>
            </w:r>
            <w:r w:rsidRPr="00D160FB">
              <w:rPr>
                <w:spacing w:val="-4"/>
                <w:lang w:val="en-GB"/>
              </w:rPr>
              <w:t>2</w:t>
            </w:r>
            <w:r w:rsidR="00374ED6" w:rsidRPr="00D160FB">
              <w:rPr>
                <w:spacing w:val="-4"/>
                <w:lang w:val="en-GB"/>
              </w:rPr>
              <w:t xml:space="preserve"> bn</w:t>
            </w:r>
            <w:r w:rsidRPr="00D160FB">
              <w:rPr>
                <w:spacing w:val="-4"/>
                <w:lang w:val="en-GB"/>
              </w:rPr>
              <w:t>, 18</w:t>
            </w:r>
            <w:r w:rsidR="00374ED6" w:rsidRPr="00D160FB">
              <w:rPr>
                <w:spacing w:val="-4"/>
                <w:lang w:val="en-GB"/>
              </w:rPr>
              <w:t>.</w:t>
            </w:r>
            <w:r w:rsidRPr="00D160FB">
              <w:rPr>
                <w:spacing w:val="-4"/>
                <w:lang w:val="en-GB"/>
              </w:rPr>
              <w:t>7%) a</w:t>
            </w:r>
            <w:r w:rsidR="00374ED6" w:rsidRPr="00D160FB">
              <w:rPr>
                <w:spacing w:val="-4"/>
                <w:lang w:val="en-GB"/>
              </w:rPr>
              <w:t xml:space="preserve">nd to Poland </w:t>
            </w:r>
            <w:r w:rsidRPr="00D160FB">
              <w:rPr>
                <w:spacing w:val="-4"/>
                <w:lang w:val="en-GB"/>
              </w:rPr>
              <w:t>(+38</w:t>
            </w:r>
            <w:r w:rsidR="00374ED6" w:rsidRPr="00D160FB">
              <w:rPr>
                <w:spacing w:val="-4"/>
                <w:lang w:val="en-GB"/>
              </w:rPr>
              <w:t>.</w:t>
            </w:r>
            <w:r w:rsidRPr="00D160FB">
              <w:rPr>
                <w:spacing w:val="-4"/>
                <w:lang w:val="en-GB"/>
              </w:rPr>
              <w:t>3</w:t>
            </w:r>
            <w:r w:rsidR="00374ED6" w:rsidRPr="00D160FB">
              <w:rPr>
                <w:spacing w:val="-4"/>
                <w:lang w:val="en-GB"/>
              </w:rPr>
              <w:t xml:space="preserve"> bn</w:t>
            </w:r>
            <w:r w:rsidRPr="00D160FB">
              <w:rPr>
                <w:spacing w:val="-4"/>
                <w:lang w:val="en-GB"/>
              </w:rPr>
              <w:t>, 14</w:t>
            </w:r>
            <w:r w:rsidR="00374ED6" w:rsidRPr="00D160FB">
              <w:rPr>
                <w:spacing w:val="-4"/>
                <w:lang w:val="en-GB"/>
              </w:rPr>
              <w:t>.</w:t>
            </w:r>
            <w:r w:rsidRPr="00D160FB">
              <w:rPr>
                <w:spacing w:val="-4"/>
                <w:lang w:val="en-GB"/>
              </w:rPr>
              <w:t>1%)</w:t>
            </w:r>
            <w:r w:rsidR="00374ED6" w:rsidRPr="00D160FB">
              <w:rPr>
                <w:spacing w:val="-4"/>
                <w:lang w:val="en-GB"/>
              </w:rPr>
              <w:t xml:space="preserve"> featured the highest increase</w:t>
            </w:r>
            <w:r w:rsidRPr="00D160FB">
              <w:rPr>
                <w:spacing w:val="-4"/>
                <w:lang w:val="en-GB"/>
              </w:rPr>
              <w:t xml:space="preserve">. </w:t>
            </w:r>
            <w:r w:rsidR="00021623" w:rsidRPr="00D160FB">
              <w:rPr>
                <w:spacing w:val="-4"/>
                <w:lang w:val="en-GB"/>
              </w:rPr>
              <w:t>The export of electricity played a significant role in the increase to Germany and Slovakia</w:t>
            </w:r>
            <w:r w:rsidRPr="00D160FB">
              <w:rPr>
                <w:rStyle w:val="Znakapoznpodarou"/>
                <w:spacing w:val="-4"/>
                <w:lang w:val="en-GB"/>
              </w:rPr>
              <w:footnoteReference w:id="51"/>
            </w:r>
            <w:r w:rsidRPr="00D160FB">
              <w:rPr>
                <w:spacing w:val="-4"/>
                <w:lang w:val="en-GB"/>
              </w:rPr>
              <w:t xml:space="preserve">. </w:t>
            </w:r>
            <w:r w:rsidR="00021623" w:rsidRPr="00D160FB">
              <w:rPr>
                <w:spacing w:val="-4"/>
                <w:lang w:val="en-GB"/>
              </w:rPr>
              <w:t xml:space="preserve">Export of motor vehicles grew the most for Poland. </w:t>
            </w:r>
            <w:r w:rsidR="001152E2" w:rsidRPr="00D160FB">
              <w:rPr>
                <w:spacing w:val="-4"/>
                <w:lang w:val="en-GB"/>
              </w:rPr>
              <w:t xml:space="preserve">Export to Italy </w:t>
            </w:r>
            <w:r w:rsidRPr="00D160FB">
              <w:rPr>
                <w:spacing w:val="-4"/>
                <w:lang w:val="en-GB"/>
              </w:rPr>
              <w:t>(+35</w:t>
            </w:r>
            <w:r w:rsidR="00C71060" w:rsidRPr="00D160FB">
              <w:rPr>
                <w:spacing w:val="-4"/>
                <w:lang w:val="en-GB"/>
              </w:rPr>
              <w:t>.</w:t>
            </w:r>
            <w:r w:rsidRPr="00D160FB">
              <w:rPr>
                <w:spacing w:val="-4"/>
                <w:lang w:val="en-GB"/>
              </w:rPr>
              <w:t>8</w:t>
            </w:r>
            <w:r w:rsidR="00C71060" w:rsidRPr="00D160FB">
              <w:rPr>
                <w:spacing w:val="-4"/>
                <w:lang w:val="en-GB"/>
              </w:rPr>
              <w:t xml:space="preserve"> CZK bn</w:t>
            </w:r>
            <w:r w:rsidRPr="00D160FB">
              <w:rPr>
                <w:spacing w:val="-4"/>
                <w:lang w:val="en-GB"/>
              </w:rPr>
              <w:t>, 23</w:t>
            </w:r>
            <w:r w:rsidR="00C71060" w:rsidRPr="00D160FB">
              <w:rPr>
                <w:spacing w:val="-4"/>
                <w:lang w:val="en-GB"/>
              </w:rPr>
              <w:t>.</w:t>
            </w:r>
            <w:r w:rsidRPr="00D160FB">
              <w:rPr>
                <w:spacing w:val="-4"/>
                <w:lang w:val="en-GB"/>
              </w:rPr>
              <w:t>7%), Franc</w:t>
            </w:r>
            <w:r w:rsidR="00C71060" w:rsidRPr="00D160FB">
              <w:rPr>
                <w:spacing w:val="-4"/>
                <w:lang w:val="en-GB"/>
              </w:rPr>
              <w:t xml:space="preserve">e </w:t>
            </w:r>
            <w:r w:rsidRPr="00D160FB">
              <w:rPr>
                <w:spacing w:val="-4"/>
                <w:lang w:val="en-GB"/>
              </w:rPr>
              <w:t>(+26</w:t>
            </w:r>
            <w:r w:rsidR="00C71060" w:rsidRPr="00D160FB">
              <w:rPr>
                <w:spacing w:val="-4"/>
                <w:lang w:val="en-GB"/>
              </w:rPr>
              <w:t>.</w:t>
            </w:r>
            <w:r w:rsidRPr="00D160FB">
              <w:rPr>
                <w:spacing w:val="-4"/>
                <w:lang w:val="en-GB"/>
              </w:rPr>
              <w:t>0</w:t>
            </w:r>
            <w:r w:rsidR="00C71060" w:rsidRPr="00D160FB">
              <w:rPr>
                <w:spacing w:val="-4"/>
                <w:lang w:val="en-GB"/>
              </w:rPr>
              <w:t xml:space="preserve"> bn</w:t>
            </w:r>
            <w:r w:rsidRPr="00D160FB">
              <w:rPr>
                <w:spacing w:val="-4"/>
                <w:lang w:val="en-GB"/>
              </w:rPr>
              <w:t>, 13</w:t>
            </w:r>
            <w:r w:rsidR="00C71060" w:rsidRPr="00D160FB">
              <w:rPr>
                <w:spacing w:val="-4"/>
                <w:lang w:val="en-GB"/>
              </w:rPr>
              <w:t>.</w:t>
            </w:r>
            <w:r w:rsidRPr="00D160FB">
              <w:rPr>
                <w:spacing w:val="-4"/>
                <w:lang w:val="en-GB"/>
              </w:rPr>
              <w:t xml:space="preserve">9%), </w:t>
            </w:r>
            <w:r w:rsidR="00C71060" w:rsidRPr="00D160FB">
              <w:rPr>
                <w:spacing w:val="-4"/>
                <w:lang w:val="en-GB"/>
              </w:rPr>
              <w:t xml:space="preserve">Austria </w:t>
            </w:r>
            <w:r w:rsidRPr="00D160FB">
              <w:rPr>
                <w:spacing w:val="-4"/>
                <w:lang w:val="en-GB"/>
              </w:rPr>
              <w:t>(+27</w:t>
            </w:r>
            <w:r w:rsidR="00C71060" w:rsidRPr="00D160FB">
              <w:rPr>
                <w:spacing w:val="-4"/>
                <w:lang w:val="en-GB"/>
              </w:rPr>
              <w:t>.</w:t>
            </w:r>
            <w:r w:rsidRPr="00D160FB">
              <w:rPr>
                <w:spacing w:val="-4"/>
                <w:lang w:val="en-GB"/>
              </w:rPr>
              <w:t>2</w:t>
            </w:r>
            <w:r w:rsidR="00C71060" w:rsidRPr="00D160FB">
              <w:rPr>
                <w:spacing w:val="-4"/>
                <w:lang w:val="en-GB"/>
              </w:rPr>
              <w:t xml:space="preserve"> bn</w:t>
            </w:r>
            <w:r w:rsidRPr="00D160FB">
              <w:rPr>
                <w:spacing w:val="-4"/>
                <w:lang w:val="en-GB"/>
              </w:rPr>
              <w:t>, 15</w:t>
            </w:r>
            <w:r w:rsidR="00C71060" w:rsidRPr="00D160FB">
              <w:rPr>
                <w:spacing w:val="-4"/>
                <w:lang w:val="en-GB"/>
              </w:rPr>
              <w:t>.</w:t>
            </w:r>
            <w:r w:rsidRPr="00D160FB">
              <w:rPr>
                <w:spacing w:val="-4"/>
                <w:lang w:val="en-GB"/>
              </w:rPr>
              <w:t>7%),</w:t>
            </w:r>
            <w:r w:rsidR="00C71060" w:rsidRPr="00D160FB">
              <w:rPr>
                <w:spacing w:val="-4"/>
                <w:lang w:val="en-GB"/>
              </w:rPr>
              <w:t xml:space="preserve"> the United States </w:t>
            </w:r>
            <w:r w:rsidRPr="00D160FB">
              <w:rPr>
                <w:spacing w:val="-4"/>
                <w:lang w:val="en-GB"/>
              </w:rPr>
              <w:t>(+22</w:t>
            </w:r>
            <w:r w:rsidR="00C71060" w:rsidRPr="00D160FB">
              <w:rPr>
                <w:spacing w:val="-4"/>
                <w:lang w:val="en-GB"/>
              </w:rPr>
              <w:t>.</w:t>
            </w:r>
            <w:r w:rsidRPr="00D160FB">
              <w:rPr>
                <w:spacing w:val="-4"/>
                <w:lang w:val="en-GB"/>
              </w:rPr>
              <w:t>9</w:t>
            </w:r>
            <w:r w:rsidR="00C71060" w:rsidRPr="00D160FB">
              <w:rPr>
                <w:spacing w:val="-4"/>
                <w:lang w:val="en-GB"/>
              </w:rPr>
              <w:t xml:space="preserve"> bn</w:t>
            </w:r>
            <w:r w:rsidRPr="00D160FB">
              <w:rPr>
                <w:spacing w:val="-4"/>
                <w:lang w:val="en-GB"/>
              </w:rPr>
              <w:t>, 24</w:t>
            </w:r>
            <w:r w:rsidR="00C71060" w:rsidRPr="00D160FB">
              <w:rPr>
                <w:spacing w:val="-4"/>
                <w:lang w:val="en-GB"/>
              </w:rPr>
              <w:t>.</w:t>
            </w:r>
            <w:r w:rsidRPr="00D160FB">
              <w:rPr>
                <w:spacing w:val="-4"/>
                <w:lang w:val="en-GB"/>
              </w:rPr>
              <w:t>6%) a</w:t>
            </w:r>
            <w:r w:rsidR="00C71060" w:rsidRPr="00D160FB">
              <w:rPr>
                <w:spacing w:val="-4"/>
                <w:lang w:val="en-GB"/>
              </w:rPr>
              <w:t xml:space="preserve">nd Spain </w:t>
            </w:r>
            <w:r w:rsidRPr="00D160FB">
              <w:rPr>
                <w:spacing w:val="-4"/>
                <w:lang w:val="en-GB"/>
              </w:rPr>
              <w:t>(+20</w:t>
            </w:r>
            <w:r w:rsidR="00C71060" w:rsidRPr="00D160FB">
              <w:rPr>
                <w:spacing w:val="-4"/>
                <w:lang w:val="en-GB"/>
              </w:rPr>
              <w:t>.</w:t>
            </w:r>
            <w:r w:rsidRPr="00D160FB">
              <w:rPr>
                <w:spacing w:val="-4"/>
                <w:lang w:val="en-GB"/>
              </w:rPr>
              <w:t>6</w:t>
            </w:r>
            <w:r w:rsidR="00C71060" w:rsidRPr="00D160FB">
              <w:rPr>
                <w:spacing w:val="-4"/>
                <w:lang w:val="en-GB"/>
              </w:rPr>
              <w:t xml:space="preserve"> bn</w:t>
            </w:r>
            <w:r w:rsidRPr="00D160FB">
              <w:rPr>
                <w:spacing w:val="-4"/>
                <w:lang w:val="en-GB"/>
              </w:rPr>
              <w:t>, 19</w:t>
            </w:r>
            <w:r w:rsidR="00C71060" w:rsidRPr="00D160FB">
              <w:rPr>
                <w:spacing w:val="-4"/>
                <w:lang w:val="en-GB"/>
              </w:rPr>
              <w:t>.</w:t>
            </w:r>
            <w:r w:rsidRPr="00D160FB">
              <w:rPr>
                <w:spacing w:val="-4"/>
                <w:lang w:val="en-GB"/>
              </w:rPr>
              <w:t>8%)</w:t>
            </w:r>
            <w:r w:rsidR="001152E2" w:rsidRPr="00D160FB">
              <w:rPr>
                <w:spacing w:val="-4"/>
                <w:lang w:val="en-GB"/>
              </w:rPr>
              <w:t xml:space="preserve"> also went up considerably</w:t>
            </w:r>
            <w:r w:rsidRPr="00D160FB">
              <w:rPr>
                <w:spacing w:val="-4"/>
                <w:lang w:val="en-GB"/>
              </w:rPr>
              <w:t>.</w:t>
            </w:r>
            <w:r w:rsidR="001152E2" w:rsidRPr="00D160FB">
              <w:rPr>
                <w:spacing w:val="-4"/>
                <w:lang w:val="en-GB"/>
              </w:rPr>
              <w:t xml:space="preserve"> </w:t>
            </w:r>
            <w:r w:rsidR="001E53BB" w:rsidRPr="00D160FB">
              <w:rPr>
                <w:spacing w:val="-4"/>
                <w:lang w:val="en-GB"/>
              </w:rPr>
              <w:t>The export had a substantial percentage increas</w:t>
            </w:r>
            <w:r w:rsidR="00D00D23" w:rsidRPr="00D160FB">
              <w:rPr>
                <w:spacing w:val="-4"/>
                <w:lang w:val="en-GB"/>
              </w:rPr>
              <w:t xml:space="preserve">e for some destinations, where the value of export is relatively low such as Kazakhstan </w:t>
            </w:r>
            <w:r w:rsidRPr="00D160FB">
              <w:rPr>
                <w:spacing w:val="-4"/>
                <w:lang w:val="en-GB"/>
              </w:rPr>
              <w:t>(170</w:t>
            </w:r>
            <w:r w:rsidR="00D00D23" w:rsidRPr="00D160FB">
              <w:rPr>
                <w:spacing w:val="-4"/>
                <w:lang w:val="en-GB"/>
              </w:rPr>
              <w:t>.</w:t>
            </w:r>
            <w:r w:rsidRPr="00D160FB">
              <w:rPr>
                <w:spacing w:val="-4"/>
                <w:lang w:val="en-GB"/>
              </w:rPr>
              <w:t xml:space="preserve">2%), </w:t>
            </w:r>
            <w:r w:rsidR="00D00D23" w:rsidRPr="00D160FB">
              <w:rPr>
                <w:spacing w:val="-4"/>
                <w:lang w:val="en-GB"/>
              </w:rPr>
              <w:t xml:space="preserve">the United Arab Emirates </w:t>
            </w:r>
            <w:r w:rsidRPr="00D160FB">
              <w:rPr>
                <w:spacing w:val="-4"/>
                <w:lang w:val="en-GB"/>
              </w:rPr>
              <w:t>(58</w:t>
            </w:r>
            <w:r w:rsidR="00D00D23" w:rsidRPr="00D160FB">
              <w:rPr>
                <w:spacing w:val="-4"/>
                <w:lang w:val="en-GB"/>
              </w:rPr>
              <w:t>.</w:t>
            </w:r>
            <w:r w:rsidRPr="00D160FB">
              <w:rPr>
                <w:spacing w:val="-4"/>
                <w:lang w:val="en-GB"/>
              </w:rPr>
              <w:t xml:space="preserve">9%), </w:t>
            </w:r>
            <w:r w:rsidR="00D00D23" w:rsidRPr="00D160FB">
              <w:rPr>
                <w:spacing w:val="-4"/>
                <w:lang w:val="en-GB"/>
              </w:rPr>
              <w:t xml:space="preserve">Azerbaijan </w:t>
            </w:r>
            <w:r w:rsidRPr="00D160FB">
              <w:rPr>
                <w:spacing w:val="-4"/>
                <w:lang w:val="en-GB"/>
              </w:rPr>
              <w:t>(73</w:t>
            </w:r>
            <w:r w:rsidR="00D00D23" w:rsidRPr="00D160FB">
              <w:rPr>
                <w:spacing w:val="-4"/>
                <w:lang w:val="en-GB"/>
              </w:rPr>
              <w:t>.</w:t>
            </w:r>
            <w:r w:rsidRPr="00D160FB">
              <w:rPr>
                <w:spacing w:val="-4"/>
                <w:lang w:val="en-GB"/>
              </w:rPr>
              <w:t xml:space="preserve">2%) </w:t>
            </w:r>
            <w:r w:rsidR="00D00D23" w:rsidRPr="00D160FB">
              <w:rPr>
                <w:spacing w:val="-4"/>
                <w:lang w:val="en-GB"/>
              </w:rPr>
              <w:t xml:space="preserve">or Mexico </w:t>
            </w:r>
            <w:r w:rsidRPr="00D160FB">
              <w:rPr>
                <w:spacing w:val="-4"/>
                <w:lang w:val="en-GB"/>
              </w:rPr>
              <w:t>(39</w:t>
            </w:r>
            <w:r w:rsidR="00D00D23" w:rsidRPr="00D160FB">
              <w:rPr>
                <w:spacing w:val="-4"/>
                <w:lang w:val="en-GB"/>
              </w:rPr>
              <w:t>.</w:t>
            </w:r>
            <w:r w:rsidRPr="00D160FB">
              <w:rPr>
                <w:spacing w:val="-4"/>
                <w:lang w:val="en-GB"/>
              </w:rPr>
              <w:t xml:space="preserve">7%). </w:t>
            </w:r>
            <w:r w:rsidR="001152E2" w:rsidRPr="00D160FB">
              <w:rPr>
                <w:spacing w:val="-4"/>
                <w:lang w:val="en-GB"/>
              </w:rPr>
              <w:t>Export into the majority of monitored countries grew last year.</w:t>
            </w:r>
            <w:r w:rsidR="00A9254E" w:rsidRPr="00D160FB">
              <w:rPr>
                <w:spacing w:val="-4"/>
                <w:lang w:val="en-GB"/>
              </w:rPr>
              <w:t xml:space="preserve"> Russia</w:t>
            </w:r>
            <w:r w:rsidR="003A6E2E" w:rsidRPr="00D160FB">
              <w:rPr>
                <w:spacing w:val="-4"/>
                <w:lang w:val="en-GB"/>
              </w:rPr>
              <w:t xml:space="preserve"> </w:t>
            </w:r>
            <w:r w:rsidRPr="00D160FB">
              <w:rPr>
                <w:spacing w:val="-4"/>
                <w:lang w:val="en-GB"/>
              </w:rPr>
              <w:t>(−48</w:t>
            </w:r>
            <w:r w:rsidR="003A6E2E" w:rsidRPr="00D160FB">
              <w:rPr>
                <w:spacing w:val="-4"/>
                <w:lang w:val="en-GB"/>
              </w:rPr>
              <w:t>.</w:t>
            </w:r>
            <w:r w:rsidRPr="00D160FB">
              <w:rPr>
                <w:spacing w:val="-4"/>
                <w:lang w:val="en-GB"/>
              </w:rPr>
              <w:t>3</w:t>
            </w:r>
            <w:r w:rsidR="003A6E2E" w:rsidRPr="00D160FB">
              <w:rPr>
                <w:spacing w:val="-4"/>
                <w:lang w:val="en-GB"/>
              </w:rPr>
              <w:t xml:space="preserve"> CZK bn</w:t>
            </w:r>
            <w:r w:rsidRPr="00D160FB">
              <w:rPr>
                <w:spacing w:val="-4"/>
                <w:lang w:val="en-GB"/>
              </w:rPr>
              <w:t>, −59</w:t>
            </w:r>
            <w:r w:rsidR="003A6E2E" w:rsidRPr="00D160FB">
              <w:rPr>
                <w:spacing w:val="-4"/>
                <w:lang w:val="en-GB"/>
              </w:rPr>
              <w:t>.</w:t>
            </w:r>
            <w:r w:rsidRPr="00D160FB">
              <w:rPr>
                <w:spacing w:val="-4"/>
                <w:lang w:val="en-GB"/>
              </w:rPr>
              <w:t>9%)</w:t>
            </w:r>
            <w:r w:rsidRPr="00D160FB">
              <w:rPr>
                <w:rStyle w:val="Znakapoznpodarou"/>
                <w:spacing w:val="-4"/>
                <w:lang w:val="en-GB"/>
              </w:rPr>
              <w:footnoteReference w:id="52"/>
            </w:r>
            <w:r w:rsidRPr="00D160FB">
              <w:rPr>
                <w:spacing w:val="-4"/>
                <w:lang w:val="en-GB"/>
              </w:rPr>
              <w:t xml:space="preserve">, </w:t>
            </w:r>
            <w:r w:rsidR="003A6E2E" w:rsidRPr="00D160FB">
              <w:rPr>
                <w:spacing w:val="-4"/>
                <w:lang w:val="en-GB"/>
              </w:rPr>
              <w:t xml:space="preserve">where the value of export following a series of deep slumps arrived at the lowest level since year 2005 </w:t>
            </w:r>
            <w:r w:rsidRPr="00D160FB">
              <w:rPr>
                <w:spacing w:val="-4"/>
                <w:lang w:val="en-GB"/>
              </w:rPr>
              <w:t>(32</w:t>
            </w:r>
            <w:r w:rsidR="003A6E2E" w:rsidRPr="00D160FB">
              <w:rPr>
                <w:spacing w:val="-4"/>
                <w:lang w:val="en-GB"/>
              </w:rPr>
              <w:t>.</w:t>
            </w:r>
            <w:r w:rsidRPr="00D160FB">
              <w:rPr>
                <w:spacing w:val="-4"/>
                <w:lang w:val="en-GB"/>
              </w:rPr>
              <w:t>3</w:t>
            </w:r>
            <w:r w:rsidR="003A6E2E" w:rsidRPr="00D160FB">
              <w:rPr>
                <w:spacing w:val="-4"/>
                <w:lang w:val="en-GB"/>
              </w:rPr>
              <w:t xml:space="preserve"> bn</w:t>
            </w:r>
            <w:r w:rsidRPr="00D160FB">
              <w:rPr>
                <w:spacing w:val="-4"/>
                <w:lang w:val="en-GB"/>
              </w:rPr>
              <w:t>)</w:t>
            </w:r>
            <w:r w:rsidR="003A6E2E" w:rsidRPr="00D160FB">
              <w:rPr>
                <w:spacing w:val="-4"/>
                <w:lang w:val="en-GB"/>
              </w:rPr>
              <w:t xml:space="preserve"> comprised a distinct exception</w:t>
            </w:r>
            <w:r w:rsidRPr="00D160FB">
              <w:rPr>
                <w:spacing w:val="-4"/>
                <w:lang w:val="en-GB"/>
              </w:rPr>
              <w:t xml:space="preserve">. </w:t>
            </w:r>
          </w:p>
        </w:tc>
      </w:tr>
      <w:tr w:rsidR="00F53917" w:rsidRPr="00D160FB" w14:paraId="547042DF" w14:textId="77777777" w:rsidTr="0063723A">
        <w:trPr>
          <w:trHeight w:val="145"/>
        </w:trPr>
        <w:tc>
          <w:tcPr>
            <w:tcW w:w="1476" w:type="dxa"/>
            <w:shd w:val="clear" w:color="auto" w:fill="auto"/>
            <w:tcMar>
              <w:left w:w="0" w:type="dxa"/>
            </w:tcMar>
          </w:tcPr>
          <w:p w14:paraId="562A112C" w14:textId="6F6F5B97" w:rsidR="00F53917" w:rsidRPr="00D160FB" w:rsidRDefault="005A18CF" w:rsidP="00163868">
            <w:pPr>
              <w:pStyle w:val="Marginlie"/>
              <w:rPr>
                <w:lang w:val="en-GB"/>
              </w:rPr>
            </w:pPr>
            <w:r w:rsidRPr="00D160FB">
              <w:rPr>
                <w:lang w:val="en-GB"/>
              </w:rPr>
              <w:t>The stagnating export into the countries outside the EUR revived at the end of the year</w:t>
            </w:r>
            <w:r w:rsidR="00F53917" w:rsidRPr="00D160FB">
              <w:rPr>
                <w:lang w:val="en-GB"/>
              </w:rPr>
              <w:t>.</w:t>
            </w:r>
          </w:p>
        </w:tc>
        <w:tc>
          <w:tcPr>
            <w:tcW w:w="152" w:type="dxa"/>
            <w:shd w:val="clear" w:color="auto" w:fill="auto"/>
            <w:tcMar>
              <w:left w:w="0" w:type="dxa"/>
            </w:tcMar>
          </w:tcPr>
          <w:p w14:paraId="26E1A365"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9462E70" w14:textId="19448E1D" w:rsidR="00F53917" w:rsidRPr="00D160FB" w:rsidRDefault="007812D2" w:rsidP="00163868">
            <w:pPr>
              <w:spacing w:after="180"/>
              <w:rPr>
                <w:spacing w:val="-4"/>
                <w:lang w:val="en-GB"/>
              </w:rPr>
            </w:pPr>
            <w:r w:rsidRPr="00D160FB">
              <w:rPr>
                <w:spacing w:val="-4"/>
                <w:lang w:val="en-GB"/>
              </w:rPr>
              <w:t xml:space="preserve">Export into the EU expanded by </w:t>
            </w:r>
            <w:r w:rsidR="00F53917" w:rsidRPr="00D160FB">
              <w:rPr>
                <w:spacing w:val="-4"/>
                <w:lang w:val="en-GB"/>
              </w:rPr>
              <w:t>109</w:t>
            </w:r>
            <w:r w:rsidRPr="00D160FB">
              <w:rPr>
                <w:spacing w:val="-4"/>
                <w:lang w:val="en-GB"/>
              </w:rPr>
              <w:t>.</w:t>
            </w:r>
            <w:r w:rsidR="00F53917" w:rsidRPr="00D160FB">
              <w:rPr>
                <w:spacing w:val="-4"/>
                <w:lang w:val="en-GB"/>
              </w:rPr>
              <w:t>5</w:t>
            </w:r>
            <w:r w:rsidRPr="00D160FB">
              <w:rPr>
                <w:spacing w:val="-4"/>
                <w:lang w:val="en-GB"/>
              </w:rPr>
              <w:t xml:space="preserve"> CZK bn </w:t>
            </w:r>
            <w:r w:rsidR="00F53917" w:rsidRPr="00D160FB">
              <w:rPr>
                <w:spacing w:val="-4"/>
                <w:lang w:val="en-GB"/>
              </w:rPr>
              <w:t>(13</w:t>
            </w:r>
            <w:r w:rsidRPr="00D160FB">
              <w:rPr>
                <w:spacing w:val="-4"/>
                <w:lang w:val="en-GB"/>
              </w:rPr>
              <w:t>.</w:t>
            </w:r>
            <w:r w:rsidR="00F53917" w:rsidRPr="00D160FB">
              <w:rPr>
                <w:spacing w:val="-4"/>
                <w:lang w:val="en-GB"/>
              </w:rPr>
              <w:t>7%)</w:t>
            </w:r>
            <w:r w:rsidRPr="00D160FB">
              <w:rPr>
                <w:spacing w:val="-4"/>
                <w:lang w:val="en-GB"/>
              </w:rPr>
              <w:t xml:space="preserve"> in Q4 itself and by</w:t>
            </w:r>
            <w:r w:rsidR="00513846" w:rsidRPr="00D160FB">
              <w:rPr>
                <w:spacing w:val="-4"/>
                <w:lang w:val="en-GB"/>
              </w:rPr>
              <w:t xml:space="preserve"> </w:t>
            </w:r>
            <w:r w:rsidR="00F53917" w:rsidRPr="00D160FB">
              <w:rPr>
                <w:spacing w:val="-4"/>
                <w:lang w:val="en-GB"/>
              </w:rPr>
              <w:t>26</w:t>
            </w:r>
            <w:r w:rsidR="00513846" w:rsidRPr="00D160FB">
              <w:rPr>
                <w:spacing w:val="-4"/>
                <w:lang w:val="en-GB"/>
              </w:rPr>
              <w:t>.</w:t>
            </w:r>
            <w:r w:rsidR="00F53917" w:rsidRPr="00D160FB">
              <w:rPr>
                <w:spacing w:val="-4"/>
                <w:lang w:val="en-GB"/>
              </w:rPr>
              <w:t>9</w:t>
            </w:r>
            <w:r w:rsidR="00513846" w:rsidRPr="00D160FB">
              <w:rPr>
                <w:spacing w:val="-4"/>
                <w:lang w:val="en-GB"/>
              </w:rPr>
              <w:t xml:space="preserve"> bn </w:t>
            </w:r>
            <w:r w:rsidR="00F53917" w:rsidRPr="00D160FB">
              <w:rPr>
                <w:spacing w:val="-4"/>
                <w:lang w:val="en-GB"/>
              </w:rPr>
              <w:t>(12</w:t>
            </w:r>
            <w:r w:rsidR="00513846" w:rsidRPr="00D160FB">
              <w:rPr>
                <w:spacing w:val="-4"/>
                <w:lang w:val="en-GB"/>
              </w:rPr>
              <w:t>.</w:t>
            </w:r>
            <w:r w:rsidR="00F53917" w:rsidRPr="00D160FB">
              <w:rPr>
                <w:spacing w:val="-4"/>
                <w:lang w:val="en-GB"/>
              </w:rPr>
              <w:t>8%)</w:t>
            </w:r>
            <w:r w:rsidR="00513846" w:rsidRPr="00D160FB">
              <w:rPr>
                <w:spacing w:val="-4"/>
                <w:lang w:val="en-GB"/>
              </w:rPr>
              <w:t xml:space="preserve"> outside the EU</w:t>
            </w:r>
            <w:r w:rsidR="00F53917" w:rsidRPr="00D160FB">
              <w:rPr>
                <w:spacing w:val="-4"/>
                <w:lang w:val="en-GB"/>
              </w:rPr>
              <w:t xml:space="preserve">. </w:t>
            </w:r>
            <w:r w:rsidR="00A22F57" w:rsidRPr="00D160FB">
              <w:rPr>
                <w:spacing w:val="-4"/>
                <w:lang w:val="en-GB"/>
              </w:rPr>
              <w:t xml:space="preserve">In retrospect, the strong recovery of export into the countries outside the EU is also apparent in the second half of the year </w:t>
            </w:r>
            <w:r w:rsidR="00F53917" w:rsidRPr="00D160FB">
              <w:rPr>
                <w:spacing w:val="-4"/>
                <w:lang w:val="en-GB"/>
              </w:rPr>
              <w:t>(</w:t>
            </w:r>
            <w:r w:rsidR="00A22F57" w:rsidRPr="00D160FB">
              <w:rPr>
                <w:spacing w:val="-4"/>
                <w:lang w:val="en-GB"/>
              </w:rPr>
              <w:t xml:space="preserve">year-on-year change </w:t>
            </w:r>
            <w:r w:rsidR="00F53917" w:rsidRPr="00D160FB">
              <w:rPr>
                <w:spacing w:val="-4"/>
                <w:lang w:val="en-GB"/>
              </w:rPr>
              <w:t>−1</w:t>
            </w:r>
            <w:r w:rsidR="00A22F57" w:rsidRPr="00D160FB">
              <w:rPr>
                <w:spacing w:val="-4"/>
                <w:lang w:val="en-GB"/>
              </w:rPr>
              <w:t>.</w:t>
            </w:r>
            <w:r w:rsidR="00F53917" w:rsidRPr="00D160FB">
              <w:rPr>
                <w:spacing w:val="-4"/>
                <w:lang w:val="en-GB"/>
              </w:rPr>
              <w:t>0%, 0</w:t>
            </w:r>
            <w:r w:rsidR="00A22F57" w:rsidRPr="00D160FB">
              <w:rPr>
                <w:spacing w:val="-4"/>
                <w:lang w:val="en-GB"/>
              </w:rPr>
              <w:t>.</w:t>
            </w:r>
            <w:r w:rsidR="00F53917" w:rsidRPr="00D160FB">
              <w:rPr>
                <w:spacing w:val="-4"/>
                <w:lang w:val="en-GB"/>
              </w:rPr>
              <w:t>3% a</w:t>
            </w:r>
            <w:r w:rsidR="00A22F57" w:rsidRPr="00D160FB">
              <w:rPr>
                <w:spacing w:val="-4"/>
                <w:lang w:val="en-GB"/>
              </w:rPr>
              <w:t>nd</w:t>
            </w:r>
            <w:r w:rsidR="00F53917" w:rsidRPr="00D160FB">
              <w:rPr>
                <w:spacing w:val="-4"/>
                <w:lang w:val="en-GB"/>
              </w:rPr>
              <w:t xml:space="preserve"> 18</w:t>
            </w:r>
            <w:r w:rsidR="00A22F57" w:rsidRPr="00D160FB">
              <w:rPr>
                <w:spacing w:val="-4"/>
                <w:lang w:val="en-GB"/>
              </w:rPr>
              <w:t>.</w:t>
            </w:r>
            <w:r w:rsidR="00F53917" w:rsidRPr="00D160FB">
              <w:rPr>
                <w:spacing w:val="-4"/>
                <w:lang w:val="en-GB"/>
              </w:rPr>
              <w:t>7%</w:t>
            </w:r>
            <w:r w:rsidR="00A22F57" w:rsidRPr="00D160FB">
              <w:rPr>
                <w:spacing w:val="-4"/>
                <w:lang w:val="en-GB"/>
              </w:rPr>
              <w:t xml:space="preserve"> in Q</w:t>
            </w:r>
            <w:r w:rsidR="00F53917" w:rsidRPr="00D160FB">
              <w:rPr>
                <w:spacing w:val="-4"/>
                <w:lang w:val="en-GB"/>
              </w:rPr>
              <w:t>1</w:t>
            </w:r>
            <w:r w:rsidR="00A22F57" w:rsidRPr="00D160FB">
              <w:rPr>
                <w:spacing w:val="-4"/>
                <w:lang w:val="en-GB"/>
              </w:rPr>
              <w:t xml:space="preserve"> to Q</w:t>
            </w:r>
            <w:r w:rsidR="00F53917" w:rsidRPr="00D160FB">
              <w:rPr>
                <w:spacing w:val="-4"/>
                <w:lang w:val="en-GB"/>
              </w:rPr>
              <w:t>3).</w:t>
            </w:r>
            <w:r w:rsidR="0007621D" w:rsidRPr="00D160FB">
              <w:rPr>
                <w:spacing w:val="-4"/>
                <w:lang w:val="en-GB"/>
              </w:rPr>
              <w:t xml:space="preserve"> </w:t>
            </w:r>
            <w:r w:rsidR="002122EA" w:rsidRPr="00D160FB">
              <w:rPr>
                <w:spacing w:val="-4"/>
                <w:lang w:val="en-GB"/>
              </w:rPr>
              <w:t xml:space="preserve">Export to Germany </w:t>
            </w:r>
            <w:r w:rsidR="00F53917" w:rsidRPr="00D160FB">
              <w:rPr>
                <w:spacing w:val="-4"/>
                <w:lang w:val="en-GB"/>
              </w:rPr>
              <w:t>(+41</w:t>
            </w:r>
            <w:r w:rsidR="002122EA" w:rsidRPr="00D160FB">
              <w:rPr>
                <w:spacing w:val="-4"/>
                <w:lang w:val="en-GB"/>
              </w:rPr>
              <w:t>.</w:t>
            </w:r>
            <w:r w:rsidR="00F53917" w:rsidRPr="00D160FB">
              <w:rPr>
                <w:spacing w:val="-4"/>
                <w:lang w:val="en-GB"/>
              </w:rPr>
              <w:t>7</w:t>
            </w:r>
            <w:r w:rsidR="002122EA" w:rsidRPr="00D160FB">
              <w:rPr>
                <w:spacing w:val="-4"/>
                <w:lang w:val="en-GB"/>
              </w:rPr>
              <w:t xml:space="preserve"> CZK bn</w:t>
            </w:r>
            <w:r w:rsidR="00F53917" w:rsidRPr="00D160FB">
              <w:rPr>
                <w:spacing w:val="-4"/>
                <w:lang w:val="en-GB"/>
              </w:rPr>
              <w:t>,</w:t>
            </w:r>
            <w:r w:rsidR="0007621D" w:rsidRPr="00D160FB">
              <w:rPr>
                <w:spacing w:val="-4"/>
                <w:lang w:val="en-GB"/>
              </w:rPr>
              <w:t xml:space="preserve"> </w:t>
            </w:r>
            <w:r w:rsidR="00F53917" w:rsidRPr="00D160FB">
              <w:rPr>
                <w:spacing w:val="-4"/>
                <w:lang w:val="en-GB"/>
              </w:rPr>
              <w:t>13</w:t>
            </w:r>
            <w:r w:rsidR="002122EA" w:rsidRPr="00D160FB">
              <w:rPr>
                <w:spacing w:val="-4"/>
                <w:lang w:val="en-GB"/>
              </w:rPr>
              <w:t>.</w:t>
            </w:r>
            <w:r w:rsidR="00F53917" w:rsidRPr="00D160FB">
              <w:rPr>
                <w:spacing w:val="-4"/>
                <w:lang w:val="en-GB"/>
              </w:rPr>
              <w:t>9%), Pol</w:t>
            </w:r>
            <w:r w:rsidR="002122EA" w:rsidRPr="00D160FB">
              <w:rPr>
                <w:spacing w:val="-4"/>
                <w:lang w:val="en-GB"/>
              </w:rPr>
              <w:t xml:space="preserve">and </w:t>
            </w:r>
            <w:r w:rsidR="00F53917" w:rsidRPr="00D160FB">
              <w:rPr>
                <w:spacing w:val="-4"/>
                <w:lang w:val="en-GB"/>
              </w:rPr>
              <w:t>(+9</w:t>
            </w:r>
            <w:r w:rsidR="002122EA" w:rsidRPr="00D160FB">
              <w:rPr>
                <w:spacing w:val="-4"/>
                <w:lang w:val="en-GB"/>
              </w:rPr>
              <w:t>.</w:t>
            </w:r>
            <w:r w:rsidR="00F53917" w:rsidRPr="00D160FB">
              <w:rPr>
                <w:spacing w:val="-4"/>
                <w:lang w:val="en-GB"/>
              </w:rPr>
              <w:t>8</w:t>
            </w:r>
            <w:r w:rsidR="002122EA" w:rsidRPr="00D160FB">
              <w:rPr>
                <w:spacing w:val="-4"/>
                <w:lang w:val="en-GB"/>
              </w:rPr>
              <w:t xml:space="preserve"> bn</w:t>
            </w:r>
            <w:r w:rsidR="00F53917" w:rsidRPr="00D160FB">
              <w:rPr>
                <w:spacing w:val="-4"/>
                <w:lang w:val="en-GB"/>
              </w:rPr>
              <w:t>, 13</w:t>
            </w:r>
            <w:r w:rsidR="002122EA" w:rsidRPr="00D160FB">
              <w:rPr>
                <w:spacing w:val="-4"/>
                <w:lang w:val="en-GB"/>
              </w:rPr>
              <w:t>.</w:t>
            </w:r>
            <w:r w:rsidR="00F53917" w:rsidRPr="00D160FB">
              <w:rPr>
                <w:spacing w:val="-4"/>
                <w:lang w:val="en-GB"/>
              </w:rPr>
              <w:t>8%), France (+9</w:t>
            </w:r>
            <w:r w:rsidR="002122EA" w:rsidRPr="00D160FB">
              <w:rPr>
                <w:spacing w:val="-4"/>
                <w:lang w:val="en-GB"/>
              </w:rPr>
              <w:t>.</w:t>
            </w:r>
            <w:r w:rsidR="00F53917" w:rsidRPr="00D160FB">
              <w:rPr>
                <w:spacing w:val="-4"/>
                <w:lang w:val="en-GB"/>
              </w:rPr>
              <w:t xml:space="preserve">5 </w:t>
            </w:r>
            <w:r w:rsidR="002122EA" w:rsidRPr="00D160FB">
              <w:rPr>
                <w:spacing w:val="-4"/>
                <w:lang w:val="en-GB"/>
              </w:rPr>
              <w:t>bn</w:t>
            </w:r>
            <w:r w:rsidR="00F53917" w:rsidRPr="00D160FB">
              <w:rPr>
                <w:spacing w:val="-4"/>
                <w:lang w:val="en-GB"/>
              </w:rPr>
              <w:t>, 21</w:t>
            </w:r>
            <w:r w:rsidR="002122EA" w:rsidRPr="00D160FB">
              <w:rPr>
                <w:spacing w:val="-4"/>
                <w:lang w:val="en-GB"/>
              </w:rPr>
              <w:t>.</w:t>
            </w:r>
            <w:r w:rsidR="00F53917" w:rsidRPr="00D160FB">
              <w:rPr>
                <w:spacing w:val="-4"/>
                <w:lang w:val="en-GB"/>
              </w:rPr>
              <w:t xml:space="preserve">0%), </w:t>
            </w:r>
            <w:r w:rsidR="002122EA" w:rsidRPr="00D160FB">
              <w:rPr>
                <w:spacing w:val="-4"/>
                <w:lang w:val="en-GB"/>
              </w:rPr>
              <w:t xml:space="preserve">Spain </w:t>
            </w:r>
            <w:r w:rsidR="00F53917" w:rsidRPr="00D160FB">
              <w:rPr>
                <w:spacing w:val="-4"/>
                <w:lang w:val="en-GB"/>
              </w:rPr>
              <w:t>(+9</w:t>
            </w:r>
            <w:r w:rsidR="002122EA" w:rsidRPr="00D160FB">
              <w:rPr>
                <w:spacing w:val="-4"/>
                <w:lang w:val="en-GB"/>
              </w:rPr>
              <w:t>.</w:t>
            </w:r>
            <w:r w:rsidR="00F53917" w:rsidRPr="00D160FB">
              <w:rPr>
                <w:spacing w:val="-4"/>
                <w:lang w:val="en-GB"/>
              </w:rPr>
              <w:t>4</w:t>
            </w:r>
            <w:r w:rsidR="002122EA" w:rsidRPr="00D160FB">
              <w:rPr>
                <w:spacing w:val="-4"/>
                <w:lang w:val="en-GB"/>
              </w:rPr>
              <w:t xml:space="preserve"> bn</w:t>
            </w:r>
            <w:r w:rsidR="00F53917" w:rsidRPr="00D160FB">
              <w:rPr>
                <w:spacing w:val="-4"/>
                <w:lang w:val="en-GB"/>
              </w:rPr>
              <w:t>, 39</w:t>
            </w:r>
            <w:r w:rsidR="002122EA" w:rsidRPr="00D160FB">
              <w:rPr>
                <w:spacing w:val="-4"/>
                <w:lang w:val="en-GB"/>
              </w:rPr>
              <w:t>.</w:t>
            </w:r>
            <w:r w:rsidR="00F53917" w:rsidRPr="00D160FB">
              <w:rPr>
                <w:spacing w:val="-4"/>
                <w:lang w:val="en-GB"/>
              </w:rPr>
              <w:t>1%), It</w:t>
            </w:r>
            <w:r w:rsidR="002122EA" w:rsidRPr="00D160FB">
              <w:rPr>
                <w:spacing w:val="-4"/>
                <w:lang w:val="en-GB"/>
              </w:rPr>
              <w:t xml:space="preserve">aly </w:t>
            </w:r>
            <w:r w:rsidR="00F53917" w:rsidRPr="00D160FB">
              <w:rPr>
                <w:spacing w:val="-4"/>
                <w:lang w:val="en-GB"/>
              </w:rPr>
              <w:t>(+8</w:t>
            </w:r>
            <w:r w:rsidR="002122EA" w:rsidRPr="00D160FB">
              <w:rPr>
                <w:spacing w:val="-4"/>
                <w:lang w:val="en-GB"/>
              </w:rPr>
              <w:t>.</w:t>
            </w:r>
            <w:r w:rsidR="00F53917" w:rsidRPr="00D160FB">
              <w:rPr>
                <w:spacing w:val="-4"/>
                <w:lang w:val="en-GB"/>
              </w:rPr>
              <w:t>7</w:t>
            </w:r>
            <w:r w:rsidR="002122EA" w:rsidRPr="00D160FB">
              <w:rPr>
                <w:spacing w:val="-4"/>
                <w:lang w:val="en-GB"/>
              </w:rPr>
              <w:t xml:space="preserve"> bn</w:t>
            </w:r>
            <w:r w:rsidR="00F53917" w:rsidRPr="00D160FB">
              <w:rPr>
                <w:spacing w:val="-4"/>
                <w:lang w:val="en-GB"/>
              </w:rPr>
              <w:t>, 21</w:t>
            </w:r>
            <w:r w:rsidR="002122EA" w:rsidRPr="00D160FB">
              <w:rPr>
                <w:spacing w:val="-4"/>
                <w:lang w:val="en-GB"/>
              </w:rPr>
              <w:t>.</w:t>
            </w:r>
            <w:r w:rsidR="00F53917" w:rsidRPr="00D160FB">
              <w:rPr>
                <w:spacing w:val="-4"/>
                <w:lang w:val="en-GB"/>
              </w:rPr>
              <w:t>8%) a</w:t>
            </w:r>
            <w:r w:rsidR="002122EA" w:rsidRPr="00D160FB">
              <w:rPr>
                <w:spacing w:val="-4"/>
                <w:lang w:val="en-GB"/>
              </w:rPr>
              <w:t xml:space="preserve">nd Belgium </w:t>
            </w:r>
            <w:r w:rsidR="00F53917" w:rsidRPr="00D160FB">
              <w:rPr>
                <w:spacing w:val="-4"/>
                <w:lang w:val="en-GB"/>
              </w:rPr>
              <w:t>(+5</w:t>
            </w:r>
            <w:r w:rsidR="002122EA" w:rsidRPr="00D160FB">
              <w:rPr>
                <w:spacing w:val="-4"/>
                <w:lang w:val="en-GB"/>
              </w:rPr>
              <w:t>.</w:t>
            </w:r>
            <w:r w:rsidR="00F53917" w:rsidRPr="00D160FB">
              <w:rPr>
                <w:spacing w:val="-4"/>
                <w:lang w:val="en-GB"/>
              </w:rPr>
              <w:t>4</w:t>
            </w:r>
            <w:r w:rsidR="002122EA" w:rsidRPr="00D160FB">
              <w:rPr>
                <w:spacing w:val="-4"/>
                <w:lang w:val="en-GB"/>
              </w:rPr>
              <w:t xml:space="preserve"> bn</w:t>
            </w:r>
            <w:r w:rsidR="00F53917" w:rsidRPr="00D160FB">
              <w:rPr>
                <w:spacing w:val="-4"/>
                <w:lang w:val="en-GB"/>
              </w:rPr>
              <w:t>, 25</w:t>
            </w:r>
            <w:r w:rsidR="002122EA" w:rsidRPr="00D160FB">
              <w:rPr>
                <w:spacing w:val="-4"/>
                <w:lang w:val="en-GB"/>
              </w:rPr>
              <w:t>.</w:t>
            </w:r>
            <w:r w:rsidR="00F53917" w:rsidRPr="00D160FB">
              <w:rPr>
                <w:spacing w:val="-4"/>
                <w:lang w:val="en-GB"/>
              </w:rPr>
              <w:t>8%)</w:t>
            </w:r>
            <w:r w:rsidR="002122EA" w:rsidRPr="00D160FB">
              <w:rPr>
                <w:spacing w:val="-4"/>
                <w:lang w:val="en-GB"/>
              </w:rPr>
              <w:t xml:space="preserve"> expanded the most year-on-year</w:t>
            </w:r>
            <w:r w:rsidR="00F53917" w:rsidRPr="00D160FB">
              <w:rPr>
                <w:spacing w:val="-4"/>
                <w:lang w:val="en-GB"/>
              </w:rPr>
              <w:t xml:space="preserve">. </w:t>
            </w:r>
            <w:r w:rsidR="002122EA" w:rsidRPr="00D160FB">
              <w:rPr>
                <w:spacing w:val="-4"/>
                <w:lang w:val="en-GB"/>
              </w:rPr>
              <w:t xml:space="preserve">Export to Russia plunged deeply year-on-year </w:t>
            </w:r>
            <w:r w:rsidR="00F53917" w:rsidRPr="00D160FB">
              <w:rPr>
                <w:spacing w:val="-4"/>
                <w:lang w:val="en-GB"/>
              </w:rPr>
              <w:t>(−11</w:t>
            </w:r>
            <w:r w:rsidR="002122EA" w:rsidRPr="00D160FB">
              <w:rPr>
                <w:spacing w:val="-4"/>
                <w:lang w:val="en-GB"/>
              </w:rPr>
              <w:t>.</w:t>
            </w:r>
            <w:r w:rsidR="00F53917" w:rsidRPr="00D160FB">
              <w:rPr>
                <w:spacing w:val="-4"/>
                <w:lang w:val="en-GB"/>
              </w:rPr>
              <w:t>9</w:t>
            </w:r>
            <w:r w:rsidR="002122EA" w:rsidRPr="00D160FB">
              <w:rPr>
                <w:spacing w:val="-4"/>
                <w:lang w:val="en-GB"/>
              </w:rPr>
              <w:t xml:space="preserve"> CZK bn</w:t>
            </w:r>
            <w:r w:rsidR="00F53917" w:rsidRPr="00D160FB">
              <w:rPr>
                <w:spacing w:val="-4"/>
                <w:lang w:val="en-GB"/>
              </w:rPr>
              <w:t xml:space="preserve">, </w:t>
            </w:r>
            <w:r w:rsidR="00ED2525" w:rsidRPr="00D160FB">
              <w:rPr>
                <w:spacing w:val="-4"/>
                <w:lang w:val="en-GB"/>
              </w:rPr>
              <w:t>−</w:t>
            </w:r>
            <w:r w:rsidR="00F53917" w:rsidRPr="00D160FB">
              <w:rPr>
                <w:spacing w:val="-4"/>
                <w:lang w:val="en-GB"/>
              </w:rPr>
              <w:t>66</w:t>
            </w:r>
            <w:r w:rsidR="002122EA" w:rsidRPr="00D160FB">
              <w:rPr>
                <w:spacing w:val="-4"/>
                <w:lang w:val="en-GB"/>
              </w:rPr>
              <w:t>.</w:t>
            </w:r>
            <w:r w:rsidR="00F53917" w:rsidRPr="00D160FB">
              <w:rPr>
                <w:spacing w:val="-4"/>
                <w:lang w:val="en-GB"/>
              </w:rPr>
              <w:t>5%).</w:t>
            </w:r>
          </w:p>
        </w:tc>
      </w:tr>
      <w:tr w:rsidR="00F53917" w:rsidRPr="00D160FB" w14:paraId="4477C446" w14:textId="77777777" w:rsidTr="0063723A">
        <w:trPr>
          <w:trHeight w:val="170"/>
        </w:trPr>
        <w:tc>
          <w:tcPr>
            <w:tcW w:w="1476" w:type="dxa"/>
            <w:shd w:val="clear" w:color="auto" w:fill="auto"/>
            <w:tcMar>
              <w:left w:w="0" w:type="dxa"/>
            </w:tcMar>
          </w:tcPr>
          <w:p w14:paraId="71C24A16" w14:textId="0CA50C00" w:rsidR="00F53917" w:rsidRPr="00D160FB" w:rsidRDefault="005A18CF" w:rsidP="00163868">
            <w:pPr>
              <w:pStyle w:val="Marginlie"/>
              <w:rPr>
                <w:lang w:val="en-GB"/>
              </w:rPr>
            </w:pPr>
            <w:r w:rsidRPr="00D160FB">
              <w:rPr>
                <w:lang w:val="en-GB"/>
              </w:rPr>
              <w:t xml:space="preserve">Export of motor vehicles the most stimulated the growth of export last year. </w:t>
            </w:r>
          </w:p>
        </w:tc>
        <w:tc>
          <w:tcPr>
            <w:tcW w:w="152" w:type="dxa"/>
            <w:shd w:val="clear" w:color="auto" w:fill="auto"/>
            <w:tcMar>
              <w:left w:w="0" w:type="dxa"/>
            </w:tcMar>
          </w:tcPr>
          <w:p w14:paraId="45A12F78"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53A6E3A3" w14:textId="2120FC6E" w:rsidR="00F53917" w:rsidRPr="00D160FB" w:rsidRDefault="00E72774" w:rsidP="00163868">
            <w:pPr>
              <w:spacing w:after="180"/>
              <w:rPr>
                <w:spacing w:val="-4"/>
                <w:lang w:val="en-GB"/>
              </w:rPr>
            </w:pPr>
            <w:r w:rsidRPr="00D160FB">
              <w:rPr>
                <w:spacing w:val="-4"/>
                <w:lang w:val="en-GB"/>
              </w:rPr>
              <w:t xml:space="preserve">In the view of the goods structure, the export of motor vehicles </w:t>
            </w:r>
            <w:r w:rsidR="00F53917" w:rsidRPr="00D160FB">
              <w:rPr>
                <w:spacing w:val="-4"/>
                <w:lang w:val="en-GB"/>
              </w:rPr>
              <w:t>(+101</w:t>
            </w:r>
            <w:r w:rsidRPr="00D160FB">
              <w:rPr>
                <w:spacing w:val="-4"/>
                <w:lang w:val="en-GB"/>
              </w:rPr>
              <w:t>.</w:t>
            </w:r>
            <w:r w:rsidR="00F53917" w:rsidRPr="00D160FB">
              <w:rPr>
                <w:spacing w:val="-4"/>
                <w:lang w:val="en-GB"/>
              </w:rPr>
              <w:t>4</w:t>
            </w:r>
            <w:r w:rsidRPr="00D160FB">
              <w:rPr>
                <w:spacing w:val="-4"/>
                <w:lang w:val="en-GB"/>
              </w:rPr>
              <w:t xml:space="preserve"> CZK bn</w:t>
            </w:r>
            <w:r w:rsidR="00F53917" w:rsidRPr="00D160FB">
              <w:rPr>
                <w:spacing w:val="-4"/>
                <w:lang w:val="en-GB"/>
              </w:rPr>
              <w:t>, 10</w:t>
            </w:r>
            <w:r w:rsidRPr="00D160FB">
              <w:rPr>
                <w:spacing w:val="-4"/>
                <w:lang w:val="en-GB"/>
              </w:rPr>
              <w:t>.</w:t>
            </w:r>
            <w:r w:rsidR="00F53917" w:rsidRPr="00D160FB">
              <w:rPr>
                <w:spacing w:val="-4"/>
                <w:lang w:val="en-GB"/>
              </w:rPr>
              <w:t>8%)</w:t>
            </w:r>
            <w:r w:rsidRPr="00D160FB">
              <w:rPr>
                <w:spacing w:val="-4"/>
                <w:lang w:val="en-GB"/>
              </w:rPr>
              <w:t xml:space="preserve"> electrical </w:t>
            </w:r>
            <w:r w:rsidR="005A6032">
              <w:rPr>
                <w:spacing w:val="-4"/>
                <w:lang w:val="en-GB"/>
              </w:rPr>
              <w:t>equipment</w:t>
            </w:r>
            <w:r w:rsidRPr="00D160FB">
              <w:rPr>
                <w:spacing w:val="-4"/>
                <w:lang w:val="en-GB"/>
              </w:rPr>
              <w:t xml:space="preserve"> </w:t>
            </w:r>
            <w:r w:rsidR="00F53917" w:rsidRPr="00D160FB">
              <w:rPr>
                <w:spacing w:val="-4"/>
                <w:lang w:val="en-GB"/>
              </w:rPr>
              <w:t>(+66</w:t>
            </w:r>
            <w:r w:rsidRPr="00D160FB">
              <w:rPr>
                <w:spacing w:val="-4"/>
                <w:lang w:val="en-GB"/>
              </w:rPr>
              <w:t>.</w:t>
            </w:r>
            <w:r w:rsidR="00F53917" w:rsidRPr="00D160FB">
              <w:rPr>
                <w:spacing w:val="-4"/>
                <w:lang w:val="en-GB"/>
              </w:rPr>
              <w:t>7</w:t>
            </w:r>
            <w:r w:rsidRPr="00D160FB">
              <w:rPr>
                <w:spacing w:val="-4"/>
                <w:lang w:val="en-GB"/>
              </w:rPr>
              <w:t xml:space="preserve"> bn</w:t>
            </w:r>
            <w:r w:rsidR="00F53917" w:rsidRPr="00D160FB">
              <w:rPr>
                <w:spacing w:val="-4"/>
                <w:lang w:val="en-GB"/>
              </w:rPr>
              <w:t>, 19</w:t>
            </w:r>
            <w:r w:rsidRPr="00D160FB">
              <w:rPr>
                <w:spacing w:val="-4"/>
                <w:lang w:val="en-GB"/>
              </w:rPr>
              <w:t>.</w:t>
            </w:r>
            <w:r w:rsidR="00F53917" w:rsidRPr="00D160FB">
              <w:rPr>
                <w:spacing w:val="-4"/>
                <w:lang w:val="en-GB"/>
              </w:rPr>
              <w:t>1%) a</w:t>
            </w:r>
            <w:r w:rsidRPr="00D160FB">
              <w:rPr>
                <w:spacing w:val="-4"/>
                <w:lang w:val="en-GB"/>
              </w:rPr>
              <w:t xml:space="preserve">nd electricity, gas, steam and air conditioning </w:t>
            </w:r>
            <w:r w:rsidR="00F53917" w:rsidRPr="00D160FB">
              <w:rPr>
                <w:spacing w:val="-4"/>
                <w:lang w:val="en-GB"/>
              </w:rPr>
              <w:t>(+58</w:t>
            </w:r>
            <w:r w:rsidRPr="00D160FB">
              <w:rPr>
                <w:spacing w:val="-4"/>
                <w:lang w:val="en-GB"/>
              </w:rPr>
              <w:t>.</w:t>
            </w:r>
            <w:r w:rsidR="00F53917" w:rsidRPr="00D160FB">
              <w:rPr>
                <w:spacing w:val="-4"/>
                <w:lang w:val="en-GB"/>
              </w:rPr>
              <w:t>9</w:t>
            </w:r>
            <w:r w:rsidRPr="00D160FB">
              <w:rPr>
                <w:spacing w:val="-4"/>
                <w:lang w:val="en-GB"/>
              </w:rPr>
              <w:t xml:space="preserve"> bn</w:t>
            </w:r>
            <w:r w:rsidR="00F53917" w:rsidRPr="00D160FB">
              <w:rPr>
                <w:spacing w:val="-4"/>
                <w:lang w:val="en-GB"/>
              </w:rPr>
              <w:t>, 97</w:t>
            </w:r>
            <w:r w:rsidRPr="00D160FB">
              <w:rPr>
                <w:spacing w:val="-4"/>
                <w:lang w:val="en-GB"/>
              </w:rPr>
              <w:t>.</w:t>
            </w:r>
            <w:r w:rsidR="00F53917" w:rsidRPr="00D160FB">
              <w:rPr>
                <w:spacing w:val="-4"/>
                <w:lang w:val="en-GB"/>
              </w:rPr>
              <w:t>5%)</w:t>
            </w:r>
            <w:r w:rsidRPr="00D160FB">
              <w:rPr>
                <w:spacing w:val="-4"/>
                <w:lang w:val="en-GB"/>
              </w:rPr>
              <w:t xml:space="preserve"> went up the most last year</w:t>
            </w:r>
            <w:r w:rsidR="00F53917" w:rsidRPr="00D160FB">
              <w:rPr>
                <w:spacing w:val="-4"/>
                <w:lang w:val="en-GB"/>
              </w:rPr>
              <w:t xml:space="preserve">. </w:t>
            </w:r>
            <w:r w:rsidR="00055F11" w:rsidRPr="00D160FB">
              <w:rPr>
                <w:spacing w:val="-4"/>
                <w:lang w:val="en-GB"/>
              </w:rPr>
              <w:t xml:space="preserve">Export of machinery and equipment </w:t>
            </w:r>
            <w:r w:rsidR="00F53917" w:rsidRPr="00D160FB">
              <w:rPr>
                <w:spacing w:val="-4"/>
                <w:lang w:val="en-GB"/>
              </w:rPr>
              <w:t>(+36</w:t>
            </w:r>
            <w:r w:rsidR="00055F11" w:rsidRPr="00D160FB">
              <w:rPr>
                <w:spacing w:val="-4"/>
                <w:lang w:val="en-GB"/>
              </w:rPr>
              <w:t>.</w:t>
            </w:r>
            <w:r w:rsidR="00F53917" w:rsidRPr="00D160FB">
              <w:rPr>
                <w:spacing w:val="-4"/>
                <w:lang w:val="en-GB"/>
              </w:rPr>
              <w:t>4</w:t>
            </w:r>
            <w:r w:rsidR="00055F11" w:rsidRPr="00D160FB">
              <w:rPr>
                <w:spacing w:val="-4"/>
                <w:lang w:val="en-GB"/>
              </w:rPr>
              <w:t xml:space="preserve"> CZK bn</w:t>
            </w:r>
            <w:r w:rsidR="00F53917" w:rsidRPr="00D160FB">
              <w:rPr>
                <w:spacing w:val="-4"/>
                <w:lang w:val="en-GB"/>
              </w:rPr>
              <w:t>, 7</w:t>
            </w:r>
            <w:r w:rsidR="00055F11" w:rsidRPr="00D160FB">
              <w:rPr>
                <w:spacing w:val="-4"/>
                <w:lang w:val="en-GB"/>
              </w:rPr>
              <w:t>.</w:t>
            </w:r>
            <w:r w:rsidR="00F53917" w:rsidRPr="00D160FB">
              <w:rPr>
                <w:spacing w:val="-4"/>
                <w:lang w:val="en-GB"/>
              </w:rPr>
              <w:t>9%), chemic</w:t>
            </w:r>
            <w:r w:rsidR="00055F11" w:rsidRPr="00D160FB">
              <w:rPr>
                <w:spacing w:val="-4"/>
                <w:lang w:val="en-GB"/>
              </w:rPr>
              <w:t xml:space="preserve">al substances and products </w:t>
            </w:r>
            <w:r w:rsidR="00F53917" w:rsidRPr="00D160FB">
              <w:rPr>
                <w:spacing w:val="-4"/>
                <w:lang w:val="en-GB"/>
              </w:rPr>
              <w:t>(+34</w:t>
            </w:r>
            <w:r w:rsidR="00055F11" w:rsidRPr="00D160FB">
              <w:rPr>
                <w:spacing w:val="-4"/>
                <w:lang w:val="en-GB"/>
              </w:rPr>
              <w:t>.</w:t>
            </w:r>
            <w:r w:rsidR="00F53917" w:rsidRPr="00D160FB">
              <w:rPr>
                <w:spacing w:val="-4"/>
                <w:lang w:val="en-GB"/>
              </w:rPr>
              <w:t>6</w:t>
            </w:r>
            <w:r w:rsidR="00055F11" w:rsidRPr="00D160FB">
              <w:rPr>
                <w:spacing w:val="-4"/>
                <w:lang w:val="en-GB"/>
              </w:rPr>
              <w:t xml:space="preserve"> bn</w:t>
            </w:r>
            <w:r w:rsidR="00F53917" w:rsidRPr="00D160FB">
              <w:rPr>
                <w:spacing w:val="-4"/>
                <w:lang w:val="en-GB"/>
              </w:rPr>
              <w:t>,</w:t>
            </w:r>
            <w:r w:rsidR="0007621D" w:rsidRPr="00D160FB">
              <w:rPr>
                <w:spacing w:val="-4"/>
                <w:lang w:val="en-GB"/>
              </w:rPr>
              <w:t xml:space="preserve"> </w:t>
            </w:r>
            <w:r w:rsidR="00F53917" w:rsidRPr="00D160FB">
              <w:rPr>
                <w:spacing w:val="-4"/>
                <w:lang w:val="en-GB"/>
              </w:rPr>
              <w:t>17</w:t>
            </w:r>
            <w:r w:rsidR="00055F11" w:rsidRPr="00D160FB">
              <w:rPr>
                <w:spacing w:val="-4"/>
                <w:lang w:val="en-GB"/>
              </w:rPr>
              <w:t>.</w:t>
            </w:r>
            <w:r w:rsidR="00F53917" w:rsidRPr="00D160FB">
              <w:rPr>
                <w:spacing w:val="-4"/>
                <w:lang w:val="en-GB"/>
              </w:rPr>
              <w:t xml:space="preserve">2%), </w:t>
            </w:r>
            <w:r w:rsidR="005A6032">
              <w:rPr>
                <w:spacing w:val="-4"/>
                <w:lang w:val="en-GB"/>
              </w:rPr>
              <w:t>fabricated metal</w:t>
            </w:r>
            <w:r w:rsidR="00055F11" w:rsidRPr="00D160FB">
              <w:rPr>
                <w:spacing w:val="-4"/>
                <w:lang w:val="en-GB"/>
              </w:rPr>
              <w:t xml:space="preserve"> products </w:t>
            </w:r>
            <w:r w:rsidR="00F53917" w:rsidRPr="00D160FB">
              <w:rPr>
                <w:spacing w:val="-4"/>
                <w:lang w:val="en-GB"/>
              </w:rPr>
              <w:t>(+32</w:t>
            </w:r>
            <w:r w:rsidR="00055F11" w:rsidRPr="00D160FB">
              <w:rPr>
                <w:spacing w:val="-4"/>
                <w:lang w:val="en-GB"/>
              </w:rPr>
              <w:t>.</w:t>
            </w:r>
            <w:r w:rsidR="00F53917" w:rsidRPr="00D160FB">
              <w:rPr>
                <w:spacing w:val="-4"/>
                <w:lang w:val="en-GB"/>
              </w:rPr>
              <w:t>1</w:t>
            </w:r>
            <w:r w:rsidR="00055F11" w:rsidRPr="00D160FB">
              <w:rPr>
                <w:spacing w:val="-4"/>
                <w:lang w:val="en-GB"/>
              </w:rPr>
              <w:t xml:space="preserve"> bn</w:t>
            </w:r>
            <w:r w:rsidR="00F53917" w:rsidRPr="00D160FB">
              <w:rPr>
                <w:spacing w:val="-4"/>
                <w:lang w:val="en-GB"/>
              </w:rPr>
              <w:t>, 13</w:t>
            </w:r>
            <w:r w:rsidR="00055F11" w:rsidRPr="00D160FB">
              <w:rPr>
                <w:spacing w:val="-4"/>
                <w:lang w:val="en-GB"/>
              </w:rPr>
              <w:t>.</w:t>
            </w:r>
            <w:r w:rsidR="00F53917" w:rsidRPr="00D160FB">
              <w:rPr>
                <w:spacing w:val="-4"/>
                <w:lang w:val="en-GB"/>
              </w:rPr>
              <w:t xml:space="preserve">3%), </w:t>
            </w:r>
            <w:r w:rsidR="00055F11" w:rsidRPr="00D160FB">
              <w:rPr>
                <w:spacing w:val="-4"/>
                <w:lang w:val="en-GB"/>
              </w:rPr>
              <w:t xml:space="preserve">food products </w:t>
            </w:r>
            <w:r w:rsidR="00F53917" w:rsidRPr="00D160FB">
              <w:rPr>
                <w:spacing w:val="-4"/>
                <w:lang w:val="en-GB"/>
              </w:rPr>
              <w:t>(+29</w:t>
            </w:r>
            <w:r w:rsidR="00055F11" w:rsidRPr="00D160FB">
              <w:rPr>
                <w:spacing w:val="-4"/>
                <w:lang w:val="en-GB"/>
              </w:rPr>
              <w:t>.</w:t>
            </w:r>
            <w:r w:rsidR="00F53917" w:rsidRPr="00D160FB">
              <w:rPr>
                <w:spacing w:val="-4"/>
                <w:lang w:val="en-GB"/>
              </w:rPr>
              <w:t>5</w:t>
            </w:r>
            <w:r w:rsidR="00055F11" w:rsidRPr="00D160FB">
              <w:rPr>
                <w:spacing w:val="-4"/>
                <w:lang w:val="en-GB"/>
              </w:rPr>
              <w:t xml:space="preserve"> bn</w:t>
            </w:r>
            <w:r w:rsidR="00F53917" w:rsidRPr="00D160FB">
              <w:rPr>
                <w:spacing w:val="-4"/>
                <w:lang w:val="en-GB"/>
              </w:rPr>
              <w:t>, 24</w:t>
            </w:r>
            <w:r w:rsidR="00055F11" w:rsidRPr="00D160FB">
              <w:rPr>
                <w:spacing w:val="-4"/>
                <w:lang w:val="en-GB"/>
              </w:rPr>
              <w:t>.</w:t>
            </w:r>
            <w:r w:rsidR="00F53917" w:rsidRPr="00D160FB">
              <w:rPr>
                <w:spacing w:val="-4"/>
                <w:lang w:val="en-GB"/>
              </w:rPr>
              <w:t>9%),</w:t>
            </w:r>
            <w:r w:rsidR="00055F11" w:rsidRPr="00D160FB">
              <w:rPr>
                <w:spacing w:val="-4"/>
                <w:lang w:val="en-GB"/>
              </w:rPr>
              <w:t xml:space="preserve"> basic metals </w:t>
            </w:r>
            <w:r w:rsidR="00F53917" w:rsidRPr="00D160FB">
              <w:rPr>
                <w:spacing w:val="-4"/>
                <w:lang w:val="en-GB"/>
              </w:rPr>
              <w:t>(+27</w:t>
            </w:r>
            <w:r w:rsidR="00055F11" w:rsidRPr="00D160FB">
              <w:rPr>
                <w:spacing w:val="-4"/>
                <w:lang w:val="en-GB"/>
              </w:rPr>
              <w:t>.</w:t>
            </w:r>
            <w:r w:rsidR="00F53917" w:rsidRPr="00D160FB">
              <w:rPr>
                <w:spacing w:val="-4"/>
                <w:lang w:val="en-GB"/>
              </w:rPr>
              <w:t>5</w:t>
            </w:r>
            <w:r w:rsidR="00055F11" w:rsidRPr="00D160FB">
              <w:rPr>
                <w:spacing w:val="-4"/>
                <w:lang w:val="en-GB"/>
              </w:rPr>
              <w:t xml:space="preserve"> bn</w:t>
            </w:r>
            <w:r w:rsidR="00F53917" w:rsidRPr="00D160FB">
              <w:rPr>
                <w:spacing w:val="-4"/>
                <w:lang w:val="en-GB"/>
              </w:rPr>
              <w:t>, 16</w:t>
            </w:r>
            <w:r w:rsidR="00055F11" w:rsidRPr="00D160FB">
              <w:rPr>
                <w:spacing w:val="-4"/>
                <w:lang w:val="en-GB"/>
              </w:rPr>
              <w:t>.</w:t>
            </w:r>
            <w:r w:rsidR="00F53917" w:rsidRPr="00D160FB">
              <w:rPr>
                <w:spacing w:val="-4"/>
                <w:lang w:val="en-GB"/>
              </w:rPr>
              <w:t>4%),</w:t>
            </w:r>
            <w:r w:rsidR="00055F11" w:rsidRPr="00D160FB">
              <w:rPr>
                <w:spacing w:val="-4"/>
                <w:lang w:val="en-GB"/>
              </w:rPr>
              <w:t xml:space="preserve"> rubber and plastic products </w:t>
            </w:r>
            <w:r w:rsidR="00F53917" w:rsidRPr="00D160FB">
              <w:rPr>
                <w:spacing w:val="-4"/>
                <w:lang w:val="en-GB"/>
              </w:rPr>
              <w:t>(+19</w:t>
            </w:r>
            <w:r w:rsidR="00055F11" w:rsidRPr="00D160FB">
              <w:rPr>
                <w:spacing w:val="-4"/>
                <w:lang w:val="en-GB"/>
              </w:rPr>
              <w:t>.</w:t>
            </w:r>
            <w:r w:rsidR="00F53917" w:rsidRPr="00D160FB">
              <w:rPr>
                <w:spacing w:val="-4"/>
                <w:lang w:val="en-GB"/>
              </w:rPr>
              <w:t>2</w:t>
            </w:r>
            <w:r w:rsidR="00055F11" w:rsidRPr="00D160FB">
              <w:rPr>
                <w:spacing w:val="-4"/>
                <w:lang w:val="en-GB"/>
              </w:rPr>
              <w:t xml:space="preserve"> bn</w:t>
            </w:r>
            <w:r w:rsidR="00F53917" w:rsidRPr="00D160FB">
              <w:rPr>
                <w:spacing w:val="-4"/>
                <w:lang w:val="en-GB"/>
              </w:rPr>
              <w:t>, 10</w:t>
            </w:r>
            <w:r w:rsidR="00055F11" w:rsidRPr="00D160FB">
              <w:rPr>
                <w:spacing w:val="-4"/>
                <w:lang w:val="en-GB"/>
              </w:rPr>
              <w:t>.</w:t>
            </w:r>
            <w:r w:rsidR="00F53917" w:rsidRPr="00D160FB">
              <w:rPr>
                <w:spacing w:val="-4"/>
                <w:lang w:val="en-GB"/>
              </w:rPr>
              <w:t>0%), pap</w:t>
            </w:r>
            <w:r w:rsidR="00055F11" w:rsidRPr="00D160FB">
              <w:rPr>
                <w:spacing w:val="-4"/>
                <w:lang w:val="en-GB"/>
              </w:rPr>
              <w:t xml:space="preserve">er and paper products </w:t>
            </w:r>
            <w:r w:rsidR="00F53917" w:rsidRPr="00D160FB">
              <w:rPr>
                <w:spacing w:val="-4"/>
                <w:lang w:val="en-GB"/>
              </w:rPr>
              <w:t>(+18</w:t>
            </w:r>
            <w:r w:rsidR="00055F11" w:rsidRPr="00D160FB">
              <w:rPr>
                <w:spacing w:val="-4"/>
                <w:lang w:val="en-GB"/>
              </w:rPr>
              <w:t>.</w:t>
            </w:r>
            <w:r w:rsidR="00F53917" w:rsidRPr="00D160FB">
              <w:rPr>
                <w:spacing w:val="-4"/>
                <w:lang w:val="en-GB"/>
              </w:rPr>
              <w:t>9</w:t>
            </w:r>
            <w:r w:rsidR="00055F11" w:rsidRPr="00D160FB">
              <w:rPr>
                <w:spacing w:val="-4"/>
                <w:lang w:val="en-GB"/>
              </w:rPr>
              <w:t xml:space="preserve"> bn</w:t>
            </w:r>
            <w:r w:rsidR="00F53917" w:rsidRPr="00D160FB">
              <w:rPr>
                <w:spacing w:val="-4"/>
                <w:lang w:val="en-GB"/>
              </w:rPr>
              <w:t>, 28</w:t>
            </w:r>
            <w:r w:rsidR="00055F11" w:rsidRPr="00D160FB">
              <w:rPr>
                <w:spacing w:val="-4"/>
                <w:lang w:val="en-GB"/>
              </w:rPr>
              <w:t>.</w:t>
            </w:r>
            <w:r w:rsidR="00F53917" w:rsidRPr="00D160FB">
              <w:rPr>
                <w:spacing w:val="-4"/>
                <w:lang w:val="en-GB"/>
              </w:rPr>
              <w:t xml:space="preserve">9%), </w:t>
            </w:r>
            <w:r w:rsidR="00055F11" w:rsidRPr="00D160FB">
              <w:rPr>
                <w:spacing w:val="-4"/>
                <w:lang w:val="en-GB"/>
              </w:rPr>
              <w:t xml:space="preserve">computers, electronic and optical </w:t>
            </w:r>
            <w:r w:rsidR="005A6032">
              <w:rPr>
                <w:spacing w:val="-4"/>
                <w:lang w:val="en-GB"/>
              </w:rPr>
              <w:t>products</w:t>
            </w:r>
            <w:r w:rsidR="00055F11" w:rsidRPr="00D160FB">
              <w:rPr>
                <w:spacing w:val="-4"/>
                <w:lang w:val="en-GB"/>
              </w:rPr>
              <w:t xml:space="preserve"> </w:t>
            </w:r>
            <w:r w:rsidR="00F53917" w:rsidRPr="00D160FB">
              <w:rPr>
                <w:spacing w:val="-4"/>
                <w:lang w:val="en-GB"/>
              </w:rPr>
              <w:t>(+16</w:t>
            </w:r>
            <w:r w:rsidR="00055F11" w:rsidRPr="00D160FB">
              <w:rPr>
                <w:spacing w:val="-4"/>
                <w:lang w:val="en-GB"/>
              </w:rPr>
              <w:t>.</w:t>
            </w:r>
            <w:r w:rsidR="00F53917" w:rsidRPr="00D160FB">
              <w:rPr>
                <w:spacing w:val="-4"/>
                <w:lang w:val="en-GB"/>
              </w:rPr>
              <w:t>9</w:t>
            </w:r>
            <w:r w:rsidR="00055F11" w:rsidRPr="00D160FB">
              <w:rPr>
                <w:spacing w:val="-4"/>
                <w:lang w:val="en-GB"/>
              </w:rPr>
              <w:t xml:space="preserve"> bn</w:t>
            </w:r>
            <w:r w:rsidR="00F53917" w:rsidRPr="00D160FB">
              <w:rPr>
                <w:spacing w:val="-4"/>
                <w:lang w:val="en-GB"/>
              </w:rPr>
              <w:t>, 4</w:t>
            </w:r>
            <w:r w:rsidR="00055F11" w:rsidRPr="00D160FB">
              <w:rPr>
                <w:spacing w:val="-4"/>
                <w:lang w:val="en-GB"/>
              </w:rPr>
              <w:t>.</w:t>
            </w:r>
            <w:r w:rsidR="00F53917" w:rsidRPr="00D160FB">
              <w:rPr>
                <w:spacing w:val="-4"/>
                <w:lang w:val="en-GB"/>
              </w:rPr>
              <w:t>1%)</w:t>
            </w:r>
            <w:r w:rsidR="00055F11" w:rsidRPr="00D160FB">
              <w:rPr>
                <w:spacing w:val="-4"/>
                <w:lang w:val="en-GB"/>
              </w:rPr>
              <w:t xml:space="preserve"> and coke and </w:t>
            </w:r>
            <w:r w:rsidR="00186538">
              <w:rPr>
                <w:spacing w:val="-4"/>
                <w:lang w:val="en-GB"/>
              </w:rPr>
              <w:t>refined petroleum</w:t>
            </w:r>
            <w:r w:rsidR="00055F11" w:rsidRPr="00D160FB">
              <w:rPr>
                <w:spacing w:val="-4"/>
                <w:lang w:val="en-GB"/>
              </w:rPr>
              <w:t xml:space="preserve"> products </w:t>
            </w:r>
            <w:r w:rsidR="00F53917" w:rsidRPr="00D160FB">
              <w:rPr>
                <w:spacing w:val="-4"/>
                <w:lang w:val="en-GB"/>
              </w:rPr>
              <w:t>(+15</w:t>
            </w:r>
            <w:r w:rsidR="00055F11" w:rsidRPr="00D160FB">
              <w:rPr>
                <w:spacing w:val="-4"/>
                <w:lang w:val="en-GB"/>
              </w:rPr>
              <w:t>.</w:t>
            </w:r>
            <w:r w:rsidR="00F53917" w:rsidRPr="00D160FB">
              <w:rPr>
                <w:spacing w:val="-4"/>
                <w:lang w:val="en-GB"/>
              </w:rPr>
              <w:t>4</w:t>
            </w:r>
            <w:r w:rsidR="00055F11" w:rsidRPr="00D160FB">
              <w:rPr>
                <w:spacing w:val="-4"/>
                <w:lang w:val="en-GB"/>
              </w:rPr>
              <w:t xml:space="preserve"> bn</w:t>
            </w:r>
            <w:r w:rsidR="00F53917" w:rsidRPr="00D160FB">
              <w:rPr>
                <w:spacing w:val="-4"/>
                <w:lang w:val="en-GB"/>
              </w:rPr>
              <w:t>, 36</w:t>
            </w:r>
            <w:r w:rsidR="00055F11" w:rsidRPr="00D160FB">
              <w:rPr>
                <w:spacing w:val="-4"/>
                <w:lang w:val="en-GB"/>
              </w:rPr>
              <w:t>.</w:t>
            </w:r>
            <w:r w:rsidR="00F53917" w:rsidRPr="00D160FB">
              <w:rPr>
                <w:spacing w:val="-4"/>
                <w:lang w:val="en-GB"/>
              </w:rPr>
              <w:t>1%)</w:t>
            </w:r>
            <w:r w:rsidR="00055F11" w:rsidRPr="00D160FB">
              <w:rPr>
                <w:spacing w:val="-4"/>
                <w:lang w:val="en-GB"/>
              </w:rPr>
              <w:t xml:space="preserve"> also attained a large increase</w:t>
            </w:r>
            <w:r w:rsidR="00F53917" w:rsidRPr="00D160FB">
              <w:rPr>
                <w:spacing w:val="-4"/>
                <w:lang w:val="en-GB"/>
              </w:rPr>
              <w:t xml:space="preserve">. </w:t>
            </w:r>
          </w:p>
        </w:tc>
      </w:tr>
      <w:tr w:rsidR="00F53917" w:rsidRPr="00D160FB" w14:paraId="7273EDC0" w14:textId="77777777" w:rsidTr="0063723A">
        <w:trPr>
          <w:trHeight w:val="170"/>
        </w:trPr>
        <w:tc>
          <w:tcPr>
            <w:tcW w:w="1476" w:type="dxa"/>
            <w:shd w:val="clear" w:color="auto" w:fill="auto"/>
            <w:tcMar>
              <w:left w:w="0" w:type="dxa"/>
            </w:tcMar>
          </w:tcPr>
          <w:p w14:paraId="41B18606" w14:textId="646594DD" w:rsidR="00F53917" w:rsidRPr="00D160FB" w:rsidRDefault="00F53917" w:rsidP="00163868">
            <w:pPr>
              <w:pStyle w:val="Marginlie"/>
              <w:rPr>
                <w:lang w:val="en-GB"/>
              </w:rPr>
            </w:pPr>
            <w:r w:rsidRPr="00D160FB">
              <w:rPr>
                <w:lang w:val="en-GB"/>
              </w:rPr>
              <w:t>Motor</w:t>
            </w:r>
            <w:r w:rsidR="005A18CF" w:rsidRPr="00D160FB">
              <w:rPr>
                <w:lang w:val="en-GB"/>
              </w:rPr>
              <w:t xml:space="preserve"> vehicles dominated the export growth in H</w:t>
            </w:r>
            <w:r w:rsidRPr="00D160FB">
              <w:rPr>
                <w:lang w:val="en-GB"/>
              </w:rPr>
              <w:t xml:space="preserve">2. </w:t>
            </w:r>
          </w:p>
        </w:tc>
        <w:tc>
          <w:tcPr>
            <w:tcW w:w="152" w:type="dxa"/>
            <w:shd w:val="clear" w:color="auto" w:fill="auto"/>
            <w:tcMar>
              <w:left w:w="0" w:type="dxa"/>
            </w:tcMar>
          </w:tcPr>
          <w:p w14:paraId="526F70CA" w14:textId="79B5BAE8"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1846E2B5" w14:textId="50410C7C" w:rsidR="00F53917" w:rsidRPr="00D160FB" w:rsidRDefault="005A18CF" w:rsidP="00163868">
            <w:pPr>
              <w:spacing w:after="180"/>
              <w:rPr>
                <w:spacing w:val="-4"/>
                <w:lang w:val="en-GB"/>
              </w:rPr>
            </w:pPr>
            <w:r w:rsidRPr="00D160FB">
              <w:rPr>
                <w:spacing w:val="-4"/>
                <w:lang w:val="en-GB"/>
              </w:rPr>
              <w:t xml:space="preserve">The export of motor vehicles grew the most year-on-year in Q4 itself </w:t>
            </w:r>
            <w:r w:rsidR="00F53917" w:rsidRPr="00D160FB">
              <w:rPr>
                <w:spacing w:val="-4"/>
                <w:lang w:val="en-GB"/>
              </w:rPr>
              <w:t>(+45</w:t>
            </w:r>
            <w:r w:rsidRPr="00D160FB">
              <w:rPr>
                <w:spacing w:val="-4"/>
                <w:lang w:val="en-GB"/>
              </w:rPr>
              <w:t>.</w:t>
            </w:r>
            <w:r w:rsidR="00F53917" w:rsidRPr="00D160FB">
              <w:rPr>
                <w:spacing w:val="-4"/>
                <w:lang w:val="en-GB"/>
              </w:rPr>
              <w:t>1</w:t>
            </w:r>
            <w:r w:rsidRPr="00D160FB">
              <w:rPr>
                <w:spacing w:val="-4"/>
                <w:lang w:val="en-GB"/>
              </w:rPr>
              <w:t xml:space="preserve"> CZK bn</w:t>
            </w:r>
            <w:r w:rsidR="00F53917" w:rsidRPr="00D160FB">
              <w:rPr>
                <w:spacing w:val="-4"/>
                <w:lang w:val="en-GB"/>
              </w:rPr>
              <w:t>, 19</w:t>
            </w:r>
            <w:r w:rsidRPr="00D160FB">
              <w:rPr>
                <w:spacing w:val="-4"/>
                <w:lang w:val="en-GB"/>
              </w:rPr>
              <w:t>.</w:t>
            </w:r>
            <w:r w:rsidR="00F53917" w:rsidRPr="00D160FB">
              <w:rPr>
                <w:spacing w:val="-4"/>
                <w:lang w:val="en-GB"/>
              </w:rPr>
              <w:t xml:space="preserve">3%). </w:t>
            </w:r>
            <w:r w:rsidR="00A43A2B" w:rsidRPr="00D160FB">
              <w:rPr>
                <w:spacing w:val="-4"/>
                <w:lang w:val="en-GB"/>
              </w:rPr>
              <w:t xml:space="preserve">Considerable annual addition for motor vehicles can be attributed for the major part to the </w:t>
            </w:r>
            <w:r w:rsidR="00A43A2B" w:rsidRPr="00D160FB">
              <w:rPr>
                <w:spacing w:val="-4"/>
                <w:lang w:val="en-GB"/>
              </w:rPr>
              <w:lastRenderedPageBreak/>
              <w:t xml:space="preserve">development in H2. </w:t>
            </w:r>
            <w:r w:rsidR="00E30B71" w:rsidRPr="00D160FB">
              <w:rPr>
                <w:spacing w:val="-4"/>
                <w:lang w:val="en-GB"/>
              </w:rPr>
              <w:t xml:space="preserve">Export of electrical equipment </w:t>
            </w:r>
            <w:r w:rsidR="00F53917" w:rsidRPr="00D160FB">
              <w:rPr>
                <w:spacing w:val="-4"/>
                <w:lang w:val="en-GB"/>
              </w:rPr>
              <w:t>(+29</w:t>
            </w:r>
            <w:r w:rsidR="00E30B71" w:rsidRPr="00D160FB">
              <w:rPr>
                <w:spacing w:val="-4"/>
                <w:lang w:val="en-GB"/>
              </w:rPr>
              <w:t>.</w:t>
            </w:r>
            <w:r w:rsidR="00F53917" w:rsidRPr="00D160FB">
              <w:rPr>
                <w:spacing w:val="-4"/>
                <w:lang w:val="en-GB"/>
              </w:rPr>
              <w:t>6</w:t>
            </w:r>
            <w:r w:rsidR="00E30B71" w:rsidRPr="00D160FB">
              <w:rPr>
                <w:spacing w:val="-4"/>
                <w:lang w:val="en-GB"/>
              </w:rPr>
              <w:t xml:space="preserve"> CZK bn</w:t>
            </w:r>
            <w:r w:rsidR="00F53917" w:rsidRPr="00D160FB">
              <w:rPr>
                <w:spacing w:val="-4"/>
                <w:lang w:val="en-GB"/>
              </w:rPr>
              <w:t>, 33</w:t>
            </w:r>
            <w:r w:rsidR="00E30B71" w:rsidRPr="00D160FB">
              <w:rPr>
                <w:spacing w:val="-4"/>
                <w:lang w:val="en-GB"/>
              </w:rPr>
              <w:t>.</w:t>
            </w:r>
            <w:r w:rsidR="00F53917" w:rsidRPr="00D160FB">
              <w:rPr>
                <w:spacing w:val="-4"/>
                <w:lang w:val="en-GB"/>
              </w:rPr>
              <w:t xml:space="preserve">8%), </w:t>
            </w:r>
            <w:r w:rsidR="00E30B71" w:rsidRPr="00D160FB">
              <w:rPr>
                <w:spacing w:val="-4"/>
                <w:lang w:val="en-GB"/>
              </w:rPr>
              <w:t xml:space="preserve">machinery and equipment </w:t>
            </w:r>
            <w:r w:rsidR="00F53917" w:rsidRPr="00D160FB">
              <w:rPr>
                <w:spacing w:val="-4"/>
                <w:lang w:val="en-GB"/>
              </w:rPr>
              <w:t>(+19</w:t>
            </w:r>
            <w:r w:rsidR="00E30B71" w:rsidRPr="00D160FB">
              <w:rPr>
                <w:spacing w:val="-4"/>
                <w:lang w:val="en-GB"/>
              </w:rPr>
              <w:t>.</w:t>
            </w:r>
            <w:r w:rsidR="00F53917" w:rsidRPr="00D160FB">
              <w:rPr>
                <w:spacing w:val="-4"/>
                <w:lang w:val="en-GB"/>
              </w:rPr>
              <w:t>0</w:t>
            </w:r>
            <w:r w:rsidR="00E30B71" w:rsidRPr="00D160FB">
              <w:rPr>
                <w:spacing w:val="-4"/>
                <w:lang w:val="en-GB"/>
              </w:rPr>
              <w:t xml:space="preserve"> bn</w:t>
            </w:r>
            <w:r w:rsidR="00F53917" w:rsidRPr="00D160FB">
              <w:rPr>
                <w:spacing w:val="-4"/>
                <w:lang w:val="en-GB"/>
              </w:rPr>
              <w:t>, 16</w:t>
            </w:r>
            <w:r w:rsidR="00E30B71" w:rsidRPr="00D160FB">
              <w:rPr>
                <w:spacing w:val="-4"/>
                <w:lang w:val="en-GB"/>
              </w:rPr>
              <w:t>.</w:t>
            </w:r>
            <w:r w:rsidR="00F53917" w:rsidRPr="00D160FB">
              <w:rPr>
                <w:spacing w:val="-4"/>
                <w:lang w:val="en-GB"/>
              </w:rPr>
              <w:t xml:space="preserve">8%), </w:t>
            </w:r>
            <w:r w:rsidR="00E30B71" w:rsidRPr="00D160FB">
              <w:rPr>
                <w:spacing w:val="-4"/>
                <w:lang w:val="en-GB"/>
              </w:rPr>
              <w:t xml:space="preserve">computers, electrical and optical </w:t>
            </w:r>
            <w:r w:rsidR="005A6032">
              <w:rPr>
                <w:spacing w:val="-4"/>
                <w:lang w:val="en-GB"/>
              </w:rPr>
              <w:t>products</w:t>
            </w:r>
            <w:r w:rsidR="00E30B71" w:rsidRPr="00D160FB">
              <w:rPr>
                <w:spacing w:val="-4"/>
                <w:lang w:val="en-GB"/>
              </w:rPr>
              <w:t xml:space="preserve"> </w:t>
            </w:r>
            <w:r w:rsidR="00F53917" w:rsidRPr="00D160FB">
              <w:rPr>
                <w:spacing w:val="-4"/>
                <w:lang w:val="en-GB"/>
              </w:rPr>
              <w:t>(+13</w:t>
            </w:r>
            <w:r w:rsidR="00E30B71" w:rsidRPr="00D160FB">
              <w:rPr>
                <w:spacing w:val="-4"/>
                <w:lang w:val="en-GB"/>
              </w:rPr>
              <w:t>.</w:t>
            </w:r>
            <w:r w:rsidR="00F53917" w:rsidRPr="00D160FB">
              <w:rPr>
                <w:spacing w:val="-4"/>
                <w:lang w:val="en-GB"/>
              </w:rPr>
              <w:t>3</w:t>
            </w:r>
            <w:r w:rsidR="00E30B71" w:rsidRPr="00D160FB">
              <w:rPr>
                <w:spacing w:val="-4"/>
                <w:lang w:val="en-GB"/>
              </w:rPr>
              <w:t xml:space="preserve"> bn</w:t>
            </w:r>
            <w:r w:rsidR="00F53917" w:rsidRPr="00D160FB">
              <w:rPr>
                <w:spacing w:val="-4"/>
                <w:lang w:val="en-GB"/>
              </w:rPr>
              <w:t>, 12</w:t>
            </w:r>
            <w:r w:rsidR="00E30B71" w:rsidRPr="00D160FB">
              <w:rPr>
                <w:spacing w:val="-4"/>
                <w:lang w:val="en-GB"/>
              </w:rPr>
              <w:t>.</w:t>
            </w:r>
            <w:r w:rsidR="00F53917" w:rsidRPr="00D160FB">
              <w:rPr>
                <w:spacing w:val="-4"/>
                <w:lang w:val="en-GB"/>
              </w:rPr>
              <w:t>5%) a</w:t>
            </w:r>
            <w:r w:rsidR="00E30B71" w:rsidRPr="00D160FB">
              <w:rPr>
                <w:spacing w:val="-4"/>
                <w:lang w:val="en-GB"/>
              </w:rPr>
              <w:t xml:space="preserve">nd food products </w:t>
            </w:r>
            <w:r w:rsidR="00F53917" w:rsidRPr="00D160FB">
              <w:rPr>
                <w:spacing w:val="-4"/>
                <w:lang w:val="en-GB"/>
              </w:rPr>
              <w:t>(+9</w:t>
            </w:r>
            <w:r w:rsidR="00E30B71" w:rsidRPr="00D160FB">
              <w:rPr>
                <w:spacing w:val="-4"/>
                <w:lang w:val="en-GB"/>
              </w:rPr>
              <w:t>.</w:t>
            </w:r>
            <w:r w:rsidR="00F53917" w:rsidRPr="00D160FB">
              <w:rPr>
                <w:spacing w:val="-4"/>
                <w:lang w:val="en-GB"/>
              </w:rPr>
              <w:t>2</w:t>
            </w:r>
            <w:r w:rsidR="00E30B71" w:rsidRPr="00D160FB">
              <w:rPr>
                <w:spacing w:val="-4"/>
                <w:lang w:val="en-GB"/>
              </w:rPr>
              <w:t xml:space="preserve"> bn</w:t>
            </w:r>
            <w:r w:rsidR="00F53917" w:rsidRPr="00D160FB">
              <w:rPr>
                <w:spacing w:val="-4"/>
                <w:lang w:val="en-GB"/>
              </w:rPr>
              <w:t>, 28</w:t>
            </w:r>
            <w:r w:rsidR="00E30B71" w:rsidRPr="00D160FB">
              <w:rPr>
                <w:spacing w:val="-4"/>
                <w:lang w:val="en-GB"/>
              </w:rPr>
              <w:t>.</w:t>
            </w:r>
            <w:r w:rsidR="00F53917" w:rsidRPr="00D160FB">
              <w:rPr>
                <w:spacing w:val="-4"/>
                <w:lang w:val="en-GB"/>
              </w:rPr>
              <w:t>4%)</w:t>
            </w:r>
            <w:r w:rsidR="00E30B71" w:rsidRPr="00D160FB">
              <w:rPr>
                <w:spacing w:val="-4"/>
                <w:lang w:val="en-GB"/>
              </w:rPr>
              <w:t xml:space="preserve"> further strongly increased year-on-year in Q4</w:t>
            </w:r>
            <w:r w:rsidR="00F53917" w:rsidRPr="00D160FB">
              <w:rPr>
                <w:spacing w:val="-4"/>
                <w:lang w:val="en-GB"/>
              </w:rPr>
              <w:t xml:space="preserve">. </w:t>
            </w:r>
            <w:r w:rsidR="00D17F29" w:rsidRPr="00D160FB">
              <w:rPr>
                <w:spacing w:val="-4"/>
                <w:lang w:val="en-GB"/>
              </w:rPr>
              <w:t xml:space="preserve">Export of the majority of articles grew year-on-year, </w:t>
            </w:r>
            <w:r w:rsidR="00F52F07" w:rsidRPr="00D160FB">
              <w:rPr>
                <w:spacing w:val="-4"/>
                <w:lang w:val="en-GB"/>
              </w:rPr>
              <w:t>the growth trend however changed for electricity, gas, steam and air conditioning after a longer time in Q</w:t>
            </w:r>
            <w:r w:rsidR="00F53917" w:rsidRPr="00D160FB">
              <w:rPr>
                <w:spacing w:val="-4"/>
                <w:lang w:val="en-GB"/>
              </w:rPr>
              <w:t xml:space="preserve">4, </w:t>
            </w:r>
            <w:r w:rsidR="00F52F07" w:rsidRPr="00D160FB">
              <w:rPr>
                <w:spacing w:val="-4"/>
                <w:lang w:val="en-GB"/>
              </w:rPr>
              <w:t xml:space="preserve">when the export fell by </w:t>
            </w:r>
            <w:r w:rsidR="00F53917" w:rsidRPr="00D160FB">
              <w:rPr>
                <w:spacing w:val="-4"/>
                <w:lang w:val="en-GB"/>
              </w:rPr>
              <w:t>4</w:t>
            </w:r>
            <w:r w:rsidR="00F52F07" w:rsidRPr="00D160FB">
              <w:rPr>
                <w:spacing w:val="-4"/>
                <w:lang w:val="en-GB"/>
              </w:rPr>
              <w:t>.</w:t>
            </w:r>
            <w:r w:rsidR="00F53917" w:rsidRPr="00D160FB">
              <w:rPr>
                <w:spacing w:val="-4"/>
                <w:lang w:val="en-GB"/>
              </w:rPr>
              <w:t>0</w:t>
            </w:r>
            <w:r w:rsidR="00F52F07" w:rsidRPr="00D160FB">
              <w:rPr>
                <w:spacing w:val="-4"/>
                <w:lang w:val="en-GB"/>
              </w:rPr>
              <w:t xml:space="preserve"> CZK bn </w:t>
            </w:r>
            <w:r w:rsidR="00F53917" w:rsidRPr="00D160FB">
              <w:rPr>
                <w:spacing w:val="-4"/>
                <w:lang w:val="en-GB"/>
              </w:rPr>
              <w:t>(−11</w:t>
            </w:r>
            <w:r w:rsidR="00F52F07" w:rsidRPr="00D160FB">
              <w:rPr>
                <w:spacing w:val="-4"/>
                <w:lang w:val="en-GB"/>
              </w:rPr>
              <w:t>.</w:t>
            </w:r>
            <w:r w:rsidR="00F53917" w:rsidRPr="00D160FB">
              <w:rPr>
                <w:spacing w:val="-4"/>
                <w:lang w:val="en-GB"/>
              </w:rPr>
              <w:t>8%)</w:t>
            </w:r>
            <w:r w:rsidR="00F52F07" w:rsidRPr="00D160FB">
              <w:rPr>
                <w:spacing w:val="-4"/>
                <w:lang w:val="en-GB"/>
              </w:rPr>
              <w:t xml:space="preserve"> year-on-year after six quarters</w:t>
            </w:r>
            <w:r w:rsidR="00F53917" w:rsidRPr="00D160FB">
              <w:rPr>
                <w:spacing w:val="-4"/>
                <w:lang w:val="en-GB"/>
              </w:rPr>
              <w:t xml:space="preserve">. </w:t>
            </w:r>
            <w:r w:rsidR="00D17F29" w:rsidRPr="00D160FB">
              <w:rPr>
                <w:spacing w:val="-4"/>
                <w:lang w:val="en-GB"/>
              </w:rPr>
              <w:t>Export of basic metals also decreased year-on-year for the first time since Q</w:t>
            </w:r>
            <w:r w:rsidR="00F53917" w:rsidRPr="00D160FB">
              <w:rPr>
                <w:spacing w:val="-4"/>
                <w:lang w:val="en-GB"/>
              </w:rPr>
              <w:t>3</w:t>
            </w:r>
            <w:r w:rsidR="00D17F29" w:rsidRPr="00D160FB">
              <w:rPr>
                <w:spacing w:val="-4"/>
                <w:lang w:val="en-GB"/>
              </w:rPr>
              <w:t xml:space="preserve"> </w:t>
            </w:r>
            <w:r w:rsidR="00F53917" w:rsidRPr="00D160FB">
              <w:rPr>
                <w:spacing w:val="-4"/>
                <w:lang w:val="en-GB"/>
              </w:rPr>
              <w:t>2020</w:t>
            </w:r>
            <w:r w:rsidR="00D17F29" w:rsidRPr="00D160FB">
              <w:rPr>
                <w:spacing w:val="-4"/>
                <w:lang w:val="en-GB"/>
              </w:rPr>
              <w:t xml:space="preserve"> </w:t>
            </w:r>
            <w:r w:rsidR="00F53917" w:rsidRPr="00D160FB">
              <w:rPr>
                <w:spacing w:val="-4"/>
                <w:lang w:val="en-GB"/>
              </w:rPr>
              <w:t>(−2</w:t>
            </w:r>
            <w:r w:rsidR="00D17F29" w:rsidRPr="00D160FB">
              <w:rPr>
                <w:spacing w:val="-4"/>
                <w:lang w:val="en-GB"/>
              </w:rPr>
              <w:t>.</w:t>
            </w:r>
            <w:r w:rsidR="00F53917" w:rsidRPr="00D160FB">
              <w:rPr>
                <w:spacing w:val="-4"/>
                <w:lang w:val="en-GB"/>
              </w:rPr>
              <w:t>4</w:t>
            </w:r>
            <w:r w:rsidR="00D17F29" w:rsidRPr="00D160FB">
              <w:rPr>
                <w:spacing w:val="-4"/>
                <w:lang w:val="en-GB"/>
              </w:rPr>
              <w:t xml:space="preserve"> CZK bn</w:t>
            </w:r>
            <w:r w:rsidR="00F53917" w:rsidRPr="00D160FB">
              <w:rPr>
                <w:spacing w:val="-4"/>
                <w:lang w:val="en-GB"/>
              </w:rPr>
              <w:t>, −5</w:t>
            </w:r>
            <w:r w:rsidR="00D17F29" w:rsidRPr="00D160FB">
              <w:rPr>
                <w:spacing w:val="-4"/>
                <w:lang w:val="en-GB"/>
              </w:rPr>
              <w:t>.</w:t>
            </w:r>
            <w:r w:rsidR="00F53917" w:rsidRPr="00D160FB">
              <w:rPr>
                <w:spacing w:val="-4"/>
                <w:lang w:val="en-GB"/>
              </w:rPr>
              <w:t>4%).</w:t>
            </w:r>
          </w:p>
        </w:tc>
      </w:tr>
      <w:tr w:rsidR="00F53917" w:rsidRPr="00D160FB" w14:paraId="1EF80657" w14:textId="77777777" w:rsidTr="0063723A">
        <w:trPr>
          <w:trHeight w:val="126"/>
        </w:trPr>
        <w:tc>
          <w:tcPr>
            <w:tcW w:w="1476" w:type="dxa"/>
            <w:vMerge w:val="restart"/>
            <w:shd w:val="clear" w:color="auto" w:fill="auto"/>
            <w:tcMar>
              <w:left w:w="0" w:type="dxa"/>
            </w:tcMar>
          </w:tcPr>
          <w:p w14:paraId="6474E133" w14:textId="77777777" w:rsidR="00F53917" w:rsidRPr="00D160FB" w:rsidRDefault="00F53917" w:rsidP="00163868">
            <w:pPr>
              <w:pStyle w:val="Marginlie"/>
              <w:rPr>
                <w:lang w:val="en-GB"/>
              </w:rPr>
            </w:pPr>
          </w:p>
        </w:tc>
        <w:tc>
          <w:tcPr>
            <w:tcW w:w="152" w:type="dxa"/>
            <w:vMerge w:val="restart"/>
            <w:shd w:val="clear" w:color="auto" w:fill="auto"/>
            <w:tcMar>
              <w:left w:w="0" w:type="dxa"/>
            </w:tcMar>
          </w:tcPr>
          <w:p w14:paraId="72F04481"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681070C" w14:textId="4951B763" w:rsidR="00F53917" w:rsidRPr="00D160FB" w:rsidRDefault="00CF6E02" w:rsidP="00163868">
            <w:pPr>
              <w:spacing w:after="0"/>
              <w:rPr>
                <w:spacing w:val="-4"/>
                <w:lang w:val="en-GB"/>
              </w:rPr>
            </w:pPr>
            <w:r w:rsidRPr="00D160FB">
              <w:rPr>
                <w:b/>
                <w:bCs/>
                <w:spacing w:val="-4"/>
                <w:lang w:val="en-GB"/>
              </w:rPr>
              <w:t xml:space="preserve">Chart  </w:t>
            </w:r>
            <w:r w:rsidR="00F53917" w:rsidRPr="00D160FB">
              <w:rPr>
                <w:b/>
                <w:bCs/>
                <w:spacing w:val="-4"/>
                <w:lang w:val="en-GB"/>
              </w:rPr>
              <w:t xml:space="preserve">9 </w:t>
            </w:r>
            <w:r w:rsidR="005C4841" w:rsidRPr="00D160FB">
              <w:rPr>
                <w:b/>
                <w:bCs/>
                <w:spacing w:val="-4"/>
                <w:lang w:val="en-GB"/>
              </w:rPr>
              <w:t>Export and import of goods (y-o-y change, in %) and b</w:t>
            </w:r>
            <w:r w:rsidR="002E7B0C" w:rsidRPr="00D160FB">
              <w:rPr>
                <w:rFonts w:cs="Arial"/>
                <w:b/>
                <w:bCs/>
                <w:color w:val="000000"/>
                <w:szCs w:val="20"/>
                <w:lang w:val="en-GB"/>
              </w:rPr>
              <w:t xml:space="preserve">alance of foreign trade with goods </w:t>
            </w:r>
            <w:r w:rsidR="002E7B0C" w:rsidRPr="00D160FB">
              <w:rPr>
                <w:rFonts w:cs="Arial"/>
                <w:color w:val="000000"/>
                <w:szCs w:val="20"/>
                <w:lang w:val="en-GB"/>
              </w:rPr>
              <w:t>(</w:t>
            </w:r>
            <w:r w:rsidR="005C4841" w:rsidRPr="00D160FB">
              <w:rPr>
                <w:rFonts w:cs="Arial"/>
                <w:color w:val="000000"/>
                <w:szCs w:val="20"/>
                <w:lang w:val="en-GB"/>
              </w:rPr>
              <w:t>in CZK bn, right axis</w:t>
            </w:r>
            <w:r w:rsidR="002E7B0C" w:rsidRPr="00D160FB">
              <w:rPr>
                <w:rFonts w:cs="Arial"/>
                <w:color w:val="000000"/>
                <w:szCs w:val="20"/>
                <w:lang w:val="en-GB"/>
              </w:rPr>
              <w:t>)</w:t>
            </w:r>
          </w:p>
        </w:tc>
      </w:tr>
      <w:tr w:rsidR="00F53917" w:rsidRPr="00D160FB" w14:paraId="7D3EC744" w14:textId="77777777" w:rsidTr="0063723A">
        <w:tblPrEx>
          <w:tblCellMar>
            <w:left w:w="70" w:type="dxa"/>
            <w:right w:w="70" w:type="dxa"/>
          </w:tblCellMar>
        </w:tblPrEx>
        <w:trPr>
          <w:trHeight w:val="125"/>
        </w:trPr>
        <w:tc>
          <w:tcPr>
            <w:tcW w:w="1476" w:type="dxa"/>
            <w:vMerge/>
          </w:tcPr>
          <w:p w14:paraId="2C180D2D" w14:textId="77777777" w:rsidR="00F53917" w:rsidRPr="00D160FB" w:rsidRDefault="00F53917" w:rsidP="00163868">
            <w:pPr>
              <w:pStyle w:val="Marginlie"/>
              <w:rPr>
                <w:lang w:val="en-GB"/>
              </w:rPr>
            </w:pPr>
          </w:p>
        </w:tc>
        <w:tc>
          <w:tcPr>
            <w:tcW w:w="152" w:type="dxa"/>
            <w:vMerge/>
          </w:tcPr>
          <w:p w14:paraId="31BE3B75" w14:textId="77777777" w:rsidR="00F53917" w:rsidRPr="00D160FB" w:rsidRDefault="00F53917" w:rsidP="00163868">
            <w:pPr>
              <w:pStyle w:val="Textpoznpodarou"/>
              <w:jc w:val="both"/>
              <w:rPr>
                <w:spacing w:val="-4"/>
                <w:lang w:val="en-GB"/>
              </w:rPr>
            </w:pPr>
          </w:p>
        </w:tc>
        <w:tc>
          <w:tcPr>
            <w:tcW w:w="8011" w:type="dxa"/>
            <w:shd w:val="clear" w:color="auto" w:fill="auto"/>
          </w:tcPr>
          <w:p w14:paraId="69FBD59D" w14:textId="1BBEAADD" w:rsidR="00F53917" w:rsidRPr="00D160FB" w:rsidRDefault="0063723A" w:rsidP="00163868">
            <w:pPr>
              <w:spacing w:after="0"/>
              <w:rPr>
                <w:lang w:val="en-GB"/>
              </w:rPr>
            </w:pPr>
            <w:r>
              <w:rPr>
                <w:noProof/>
              </w:rPr>
              <w:drawing>
                <wp:inline distT="0" distB="0" distL="0" distR="0" wp14:anchorId="7CADB301" wp14:editId="2EB91B96">
                  <wp:extent cx="4998600" cy="3359650"/>
                  <wp:effectExtent l="0" t="0" r="0" b="0"/>
                  <wp:docPr id="1091003655" name="Graf 1">
                    <a:extLst xmlns:a="http://schemas.openxmlformats.org/drawingml/2006/main">
                      <a:ext uri="{FF2B5EF4-FFF2-40B4-BE49-F238E27FC236}">
                        <a16:creationId xmlns:a16="http://schemas.microsoft.com/office/drawing/2014/main" id="{8E34A376-5955-451A-B8E8-536A257FF3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F53917" w:rsidRPr="00D160FB" w14:paraId="065DFCCC" w14:textId="77777777" w:rsidTr="0063723A">
        <w:trPr>
          <w:trHeight w:val="125"/>
        </w:trPr>
        <w:tc>
          <w:tcPr>
            <w:tcW w:w="1476" w:type="dxa"/>
            <w:vMerge/>
            <w:tcMar>
              <w:left w:w="0" w:type="dxa"/>
            </w:tcMar>
          </w:tcPr>
          <w:p w14:paraId="6C6F76BC" w14:textId="77777777" w:rsidR="00F53917" w:rsidRPr="00D160FB" w:rsidRDefault="00F53917" w:rsidP="00163868">
            <w:pPr>
              <w:pStyle w:val="Marginlie"/>
              <w:rPr>
                <w:lang w:val="en-GB"/>
              </w:rPr>
            </w:pPr>
          </w:p>
        </w:tc>
        <w:tc>
          <w:tcPr>
            <w:tcW w:w="152" w:type="dxa"/>
            <w:vMerge/>
            <w:tcMar>
              <w:left w:w="0" w:type="dxa"/>
            </w:tcMar>
          </w:tcPr>
          <w:p w14:paraId="0B2AEE08"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8FA5365" w14:textId="5D0C7B80" w:rsidR="002E7B0C" w:rsidRPr="0063723A" w:rsidRDefault="00E26122" w:rsidP="0063723A">
            <w:pPr>
              <w:spacing w:after="180"/>
              <w:rPr>
                <w:sz w:val="14"/>
                <w:szCs w:val="14"/>
                <w:lang w:val="en-GB"/>
              </w:rPr>
            </w:pPr>
            <w:r w:rsidRPr="00D160FB">
              <w:rPr>
                <w:sz w:val="14"/>
                <w:szCs w:val="14"/>
                <w:lang w:val="en-GB"/>
              </w:rPr>
              <w:t>Source</w:t>
            </w:r>
            <w:r w:rsidR="00F53917" w:rsidRPr="00D160FB">
              <w:rPr>
                <w:sz w:val="14"/>
                <w:szCs w:val="14"/>
                <w:lang w:val="en-GB"/>
              </w:rPr>
              <w:t xml:space="preserve">: </w:t>
            </w:r>
            <w:r w:rsidRPr="00D160FB">
              <w:rPr>
                <w:sz w:val="14"/>
                <w:szCs w:val="14"/>
                <w:lang w:val="en-GB"/>
              </w:rPr>
              <w:t>CZSO</w:t>
            </w:r>
          </w:p>
        </w:tc>
      </w:tr>
      <w:tr w:rsidR="00F53917" w:rsidRPr="00D160FB" w14:paraId="45A816F5" w14:textId="77777777" w:rsidTr="0063723A">
        <w:trPr>
          <w:trHeight w:val="145"/>
        </w:trPr>
        <w:tc>
          <w:tcPr>
            <w:tcW w:w="1476" w:type="dxa"/>
            <w:shd w:val="clear" w:color="auto" w:fill="auto"/>
            <w:tcMar>
              <w:left w:w="0" w:type="dxa"/>
            </w:tcMar>
          </w:tcPr>
          <w:p w14:paraId="5EB7CCF0" w14:textId="7129B601" w:rsidR="00F53917" w:rsidRPr="00D160FB" w:rsidRDefault="00F53917" w:rsidP="00163868">
            <w:pPr>
              <w:pStyle w:val="Marginlie"/>
              <w:rPr>
                <w:lang w:val="en-GB"/>
              </w:rPr>
            </w:pPr>
            <w:r w:rsidRPr="00D160FB">
              <w:rPr>
                <w:lang w:val="en-GB"/>
              </w:rPr>
              <w:t xml:space="preserve">Import </w:t>
            </w:r>
            <w:r w:rsidR="00E26122" w:rsidRPr="00D160FB">
              <w:rPr>
                <w:lang w:val="en-GB"/>
              </w:rPr>
              <w:t xml:space="preserve">grew stronger than export last year. </w:t>
            </w:r>
          </w:p>
        </w:tc>
        <w:tc>
          <w:tcPr>
            <w:tcW w:w="152" w:type="dxa"/>
            <w:shd w:val="clear" w:color="auto" w:fill="auto"/>
            <w:tcMar>
              <w:left w:w="0" w:type="dxa"/>
            </w:tcMar>
          </w:tcPr>
          <w:p w14:paraId="4C3E012F"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01C0346E" w14:textId="018B5E40" w:rsidR="00F53917" w:rsidRPr="00D160FB" w:rsidRDefault="00A43A2B" w:rsidP="00163868">
            <w:pPr>
              <w:spacing w:after="180"/>
              <w:rPr>
                <w:spacing w:val="-4"/>
                <w:lang w:val="en-GB"/>
              </w:rPr>
            </w:pPr>
            <w:r w:rsidRPr="00D160FB">
              <w:rPr>
                <w:spacing w:val="-4"/>
                <w:lang w:val="en-GB"/>
              </w:rPr>
              <w:t xml:space="preserve">Import of goods reached the value of </w:t>
            </w:r>
            <w:r w:rsidR="00F53917" w:rsidRPr="00D160FB">
              <w:rPr>
                <w:spacing w:val="-4"/>
                <w:lang w:val="en-GB"/>
              </w:rPr>
              <w:t>4</w:t>
            </w:r>
            <w:r w:rsidRPr="00D160FB">
              <w:rPr>
                <w:spacing w:val="-4"/>
                <w:lang w:val="en-GB"/>
              </w:rPr>
              <w:t> </w:t>
            </w:r>
            <w:r w:rsidR="00F53917" w:rsidRPr="00D160FB">
              <w:rPr>
                <w:spacing w:val="-4"/>
                <w:lang w:val="en-GB"/>
              </w:rPr>
              <w:t>613</w:t>
            </w:r>
            <w:r w:rsidRPr="00D160FB">
              <w:rPr>
                <w:spacing w:val="-4"/>
                <w:lang w:val="en-GB"/>
              </w:rPr>
              <w:t>.</w:t>
            </w:r>
            <w:r w:rsidR="00F53917" w:rsidRPr="00D160FB">
              <w:rPr>
                <w:spacing w:val="-4"/>
                <w:lang w:val="en-GB"/>
              </w:rPr>
              <w:t xml:space="preserve">5 </w:t>
            </w:r>
            <w:r w:rsidRPr="00D160FB">
              <w:rPr>
                <w:spacing w:val="-4"/>
                <w:lang w:val="en-GB"/>
              </w:rPr>
              <w:t xml:space="preserve">CZK bn for the whole year 2022 and it was by </w:t>
            </w:r>
            <w:r w:rsidR="00F53917" w:rsidRPr="00D160FB">
              <w:rPr>
                <w:spacing w:val="-4"/>
                <w:lang w:val="en-GB"/>
              </w:rPr>
              <w:t>723</w:t>
            </w:r>
            <w:r w:rsidRPr="00D160FB">
              <w:rPr>
                <w:spacing w:val="-4"/>
                <w:lang w:val="en-GB"/>
              </w:rPr>
              <w:t>.</w:t>
            </w:r>
            <w:r w:rsidR="00F53917" w:rsidRPr="00D160FB">
              <w:rPr>
                <w:spacing w:val="-4"/>
                <w:lang w:val="en-GB"/>
              </w:rPr>
              <w:t>0</w:t>
            </w:r>
            <w:r w:rsidRPr="00D160FB">
              <w:rPr>
                <w:spacing w:val="-4"/>
                <w:lang w:val="en-GB"/>
              </w:rPr>
              <w:t xml:space="preserve"> bn higher </w:t>
            </w:r>
            <w:r w:rsidR="00F53917" w:rsidRPr="00D160FB">
              <w:rPr>
                <w:spacing w:val="-4"/>
                <w:lang w:val="en-GB"/>
              </w:rPr>
              <w:t>(18</w:t>
            </w:r>
            <w:r w:rsidRPr="00D160FB">
              <w:rPr>
                <w:spacing w:val="-4"/>
                <w:lang w:val="en-GB"/>
              </w:rPr>
              <w:t>.</w:t>
            </w:r>
            <w:r w:rsidR="00F53917" w:rsidRPr="00D160FB">
              <w:rPr>
                <w:spacing w:val="-4"/>
                <w:lang w:val="en-GB"/>
              </w:rPr>
              <w:t xml:space="preserve">6%). </w:t>
            </w:r>
            <w:r w:rsidR="007910F6" w:rsidRPr="00D160FB">
              <w:rPr>
                <w:spacing w:val="-4"/>
                <w:lang w:val="en-GB"/>
              </w:rPr>
              <w:t xml:space="preserve">The import dynamics thus to a large extent exceeded the export last year, </w:t>
            </w:r>
            <w:r w:rsidR="006B5898" w:rsidRPr="00D160FB">
              <w:rPr>
                <w:spacing w:val="-4"/>
                <w:lang w:val="en-GB"/>
              </w:rPr>
              <w:t>which was mainly due to the sharp rise of prices of the imported materials</w:t>
            </w:r>
            <w:r w:rsidR="00F53917" w:rsidRPr="00D160FB">
              <w:rPr>
                <w:rStyle w:val="Znakapoznpodarou"/>
                <w:spacing w:val="-4"/>
                <w:lang w:val="en-GB"/>
              </w:rPr>
              <w:footnoteReference w:id="53"/>
            </w:r>
            <w:r w:rsidR="00F53917" w:rsidRPr="00D160FB">
              <w:rPr>
                <w:spacing w:val="-4"/>
                <w:lang w:val="en-GB"/>
              </w:rPr>
              <w:t>.</w:t>
            </w:r>
            <w:r w:rsidR="006B5898" w:rsidRPr="00D160FB">
              <w:rPr>
                <w:spacing w:val="-4"/>
                <w:lang w:val="en-GB"/>
              </w:rPr>
              <w:t xml:space="preserve"> The year-on-year additions to import overtook the export in all quarters of the year. </w:t>
            </w:r>
            <w:r w:rsidR="00F30CA2" w:rsidRPr="00D160FB">
              <w:rPr>
                <w:spacing w:val="-4"/>
                <w:lang w:val="en-GB"/>
              </w:rPr>
              <w:t xml:space="preserve">The import gradually increased by </w:t>
            </w:r>
            <w:r w:rsidR="00F53917" w:rsidRPr="00D160FB">
              <w:rPr>
                <w:spacing w:val="-4"/>
                <w:lang w:val="en-GB"/>
              </w:rPr>
              <w:t>16</w:t>
            </w:r>
            <w:r w:rsidR="00F30CA2" w:rsidRPr="00D160FB">
              <w:rPr>
                <w:spacing w:val="-4"/>
                <w:lang w:val="en-GB"/>
              </w:rPr>
              <w:t>.</w:t>
            </w:r>
            <w:r w:rsidR="00F53917" w:rsidRPr="00D160FB">
              <w:rPr>
                <w:spacing w:val="-4"/>
                <w:lang w:val="en-GB"/>
              </w:rPr>
              <w:t>9%, 20</w:t>
            </w:r>
            <w:r w:rsidR="00F30CA2" w:rsidRPr="00D160FB">
              <w:rPr>
                <w:spacing w:val="-4"/>
                <w:lang w:val="en-GB"/>
              </w:rPr>
              <w:t>.</w:t>
            </w:r>
            <w:r w:rsidR="00F53917" w:rsidRPr="00D160FB">
              <w:rPr>
                <w:spacing w:val="-4"/>
                <w:lang w:val="en-GB"/>
              </w:rPr>
              <w:t>3% a</w:t>
            </w:r>
            <w:r w:rsidR="00F30CA2" w:rsidRPr="00D160FB">
              <w:rPr>
                <w:spacing w:val="-4"/>
                <w:lang w:val="en-GB"/>
              </w:rPr>
              <w:t>nd</w:t>
            </w:r>
            <w:r w:rsidR="00F53917" w:rsidRPr="00D160FB">
              <w:rPr>
                <w:spacing w:val="-4"/>
                <w:lang w:val="en-GB"/>
              </w:rPr>
              <w:t xml:space="preserve"> 22</w:t>
            </w:r>
            <w:r w:rsidR="00F30CA2" w:rsidRPr="00D160FB">
              <w:rPr>
                <w:spacing w:val="-4"/>
                <w:lang w:val="en-GB"/>
              </w:rPr>
              <w:t>.</w:t>
            </w:r>
            <w:r w:rsidR="00F53917" w:rsidRPr="00D160FB">
              <w:rPr>
                <w:spacing w:val="-4"/>
                <w:lang w:val="en-GB"/>
              </w:rPr>
              <w:t xml:space="preserve">3% </w:t>
            </w:r>
            <w:r w:rsidR="00F30CA2" w:rsidRPr="00D160FB">
              <w:rPr>
                <w:spacing w:val="-4"/>
                <w:lang w:val="en-GB"/>
              </w:rPr>
              <w:t>in Q</w:t>
            </w:r>
            <w:r w:rsidR="00F53917" w:rsidRPr="00D160FB">
              <w:rPr>
                <w:spacing w:val="-4"/>
                <w:lang w:val="en-GB"/>
              </w:rPr>
              <w:t>1</w:t>
            </w:r>
            <w:r w:rsidR="00F30CA2" w:rsidRPr="00D160FB">
              <w:rPr>
                <w:spacing w:val="-4"/>
                <w:lang w:val="en-GB"/>
              </w:rPr>
              <w:t xml:space="preserve"> to Q</w:t>
            </w:r>
            <w:r w:rsidR="00F53917" w:rsidRPr="00D160FB">
              <w:rPr>
                <w:spacing w:val="-4"/>
                <w:lang w:val="en-GB"/>
              </w:rPr>
              <w:t>3</w:t>
            </w:r>
            <w:r w:rsidR="00F30CA2" w:rsidRPr="00D160FB">
              <w:rPr>
                <w:spacing w:val="-4"/>
                <w:lang w:val="en-GB"/>
              </w:rPr>
              <w:t xml:space="preserve"> year-on-year</w:t>
            </w:r>
            <w:r w:rsidR="00F53917" w:rsidRPr="00D160FB">
              <w:rPr>
                <w:spacing w:val="-4"/>
                <w:lang w:val="en-GB"/>
              </w:rPr>
              <w:t xml:space="preserve">. </w:t>
            </w:r>
            <w:r w:rsidR="00C65C81" w:rsidRPr="00D160FB">
              <w:rPr>
                <w:spacing w:val="-4"/>
                <w:lang w:val="en-GB"/>
              </w:rPr>
              <w:t xml:space="preserve">The value of import reached </w:t>
            </w:r>
            <w:r w:rsidR="00F53917" w:rsidRPr="00D160FB">
              <w:rPr>
                <w:spacing w:val="-4"/>
                <w:lang w:val="en-GB"/>
              </w:rPr>
              <w:t>1</w:t>
            </w:r>
            <w:r w:rsidR="00C65C81" w:rsidRPr="00D160FB">
              <w:rPr>
                <w:spacing w:val="-4"/>
                <w:lang w:val="en-GB"/>
              </w:rPr>
              <w:t> </w:t>
            </w:r>
            <w:r w:rsidR="00F53917" w:rsidRPr="00D160FB">
              <w:rPr>
                <w:spacing w:val="-4"/>
                <w:lang w:val="en-GB"/>
              </w:rPr>
              <w:t>198</w:t>
            </w:r>
            <w:r w:rsidR="00C65C81" w:rsidRPr="00D160FB">
              <w:rPr>
                <w:spacing w:val="-4"/>
                <w:lang w:val="en-GB"/>
              </w:rPr>
              <w:t>.</w:t>
            </w:r>
            <w:r w:rsidR="00F53917" w:rsidRPr="00D160FB">
              <w:rPr>
                <w:spacing w:val="-4"/>
                <w:lang w:val="en-GB"/>
              </w:rPr>
              <w:t>8</w:t>
            </w:r>
            <w:r w:rsidR="00C65C81" w:rsidRPr="00D160FB">
              <w:rPr>
                <w:spacing w:val="-4"/>
                <w:lang w:val="en-GB"/>
              </w:rPr>
              <w:t xml:space="preserve"> CZK bn </w:t>
            </w:r>
            <w:r w:rsidR="00F30CA2" w:rsidRPr="00D160FB">
              <w:rPr>
                <w:spacing w:val="-4"/>
                <w:lang w:val="en-GB"/>
              </w:rPr>
              <w:t xml:space="preserve">in Q4 and went up by </w:t>
            </w:r>
            <w:r w:rsidR="00F53917" w:rsidRPr="00D160FB">
              <w:rPr>
                <w:spacing w:val="-4"/>
                <w:lang w:val="en-GB"/>
              </w:rPr>
              <w:t>157</w:t>
            </w:r>
            <w:r w:rsidR="00F30CA2" w:rsidRPr="00D160FB">
              <w:rPr>
                <w:spacing w:val="-4"/>
                <w:lang w:val="en-GB"/>
              </w:rPr>
              <w:t>.</w:t>
            </w:r>
            <w:r w:rsidR="00F53917" w:rsidRPr="00D160FB">
              <w:rPr>
                <w:spacing w:val="-4"/>
                <w:lang w:val="en-GB"/>
              </w:rPr>
              <w:t>3</w:t>
            </w:r>
            <w:r w:rsidR="00F30CA2" w:rsidRPr="00D160FB">
              <w:rPr>
                <w:spacing w:val="-4"/>
                <w:lang w:val="en-GB"/>
              </w:rPr>
              <w:t xml:space="preserve"> bn year-on-year </w:t>
            </w:r>
            <w:r w:rsidR="00F53917" w:rsidRPr="00D160FB">
              <w:rPr>
                <w:spacing w:val="-4"/>
                <w:lang w:val="en-GB"/>
              </w:rPr>
              <w:t>(15</w:t>
            </w:r>
            <w:r w:rsidR="00F30CA2" w:rsidRPr="00D160FB">
              <w:rPr>
                <w:spacing w:val="-4"/>
                <w:lang w:val="en-GB"/>
              </w:rPr>
              <w:t>.</w:t>
            </w:r>
            <w:r w:rsidR="00F53917" w:rsidRPr="00D160FB">
              <w:rPr>
                <w:spacing w:val="-4"/>
                <w:lang w:val="en-GB"/>
              </w:rPr>
              <w:t xml:space="preserve">1%). </w:t>
            </w:r>
            <w:r w:rsidR="00C466EF" w:rsidRPr="00D160FB">
              <w:rPr>
                <w:spacing w:val="-4"/>
                <w:lang w:val="en-GB"/>
              </w:rPr>
              <w:t xml:space="preserve">Quarter-on-quarter, the </w:t>
            </w:r>
            <w:r w:rsidR="00F53917" w:rsidRPr="00D160FB">
              <w:rPr>
                <w:spacing w:val="-4"/>
                <w:lang w:val="en-GB"/>
              </w:rPr>
              <w:t>(se</w:t>
            </w:r>
            <w:r w:rsidR="00C466EF" w:rsidRPr="00D160FB">
              <w:rPr>
                <w:spacing w:val="-4"/>
                <w:lang w:val="en-GB"/>
              </w:rPr>
              <w:t>asonally adjusted</w:t>
            </w:r>
            <w:r w:rsidR="00F53917" w:rsidRPr="00D160FB">
              <w:rPr>
                <w:spacing w:val="-4"/>
                <w:lang w:val="en-GB"/>
              </w:rPr>
              <w:t xml:space="preserve">) </w:t>
            </w:r>
            <w:r w:rsidR="00C466EF" w:rsidRPr="00D160FB">
              <w:rPr>
                <w:spacing w:val="-4"/>
                <w:lang w:val="en-GB"/>
              </w:rPr>
              <w:t>impor</w:t>
            </w:r>
            <w:r w:rsidR="006B5898" w:rsidRPr="00D160FB">
              <w:rPr>
                <w:spacing w:val="-4"/>
                <w:lang w:val="en-GB"/>
              </w:rPr>
              <w:t>t</w:t>
            </w:r>
            <w:r w:rsidR="00C466EF" w:rsidRPr="00D160FB">
              <w:rPr>
                <w:spacing w:val="-4"/>
                <w:lang w:val="en-GB"/>
              </w:rPr>
              <w:t xml:space="preserve"> went down by </w:t>
            </w:r>
            <w:r w:rsidR="00F53917" w:rsidRPr="00D160FB">
              <w:rPr>
                <w:spacing w:val="-4"/>
                <w:lang w:val="en-GB"/>
              </w:rPr>
              <w:t>1</w:t>
            </w:r>
            <w:r w:rsidR="00C466EF" w:rsidRPr="00D160FB">
              <w:rPr>
                <w:spacing w:val="-4"/>
                <w:lang w:val="en-GB"/>
              </w:rPr>
              <w:t>.</w:t>
            </w:r>
            <w:r w:rsidR="00F53917" w:rsidRPr="00D160FB">
              <w:rPr>
                <w:spacing w:val="-4"/>
                <w:lang w:val="en-GB"/>
              </w:rPr>
              <w:t xml:space="preserve">9%.       </w:t>
            </w:r>
          </w:p>
        </w:tc>
      </w:tr>
      <w:tr w:rsidR="00F53917" w:rsidRPr="00D160FB" w14:paraId="3A56C3EA" w14:textId="77777777" w:rsidTr="0063723A">
        <w:trPr>
          <w:trHeight w:val="145"/>
        </w:trPr>
        <w:tc>
          <w:tcPr>
            <w:tcW w:w="1476" w:type="dxa"/>
            <w:shd w:val="clear" w:color="auto" w:fill="auto"/>
            <w:tcMar>
              <w:left w:w="0" w:type="dxa"/>
            </w:tcMar>
          </w:tcPr>
          <w:p w14:paraId="5C859B48" w14:textId="3BE47EBA" w:rsidR="00F53917" w:rsidRPr="00D160FB" w:rsidRDefault="00DA5378" w:rsidP="00163868">
            <w:pPr>
              <w:pStyle w:val="Marginlie"/>
              <w:rPr>
                <w:lang w:val="en-GB"/>
              </w:rPr>
            </w:pPr>
            <w:r w:rsidRPr="00D160FB">
              <w:rPr>
                <w:lang w:val="en-GB"/>
              </w:rPr>
              <w:t xml:space="preserve">Increase of import from countries outside the EU exceeded the increase from the EU countries. </w:t>
            </w:r>
          </w:p>
        </w:tc>
        <w:tc>
          <w:tcPr>
            <w:tcW w:w="152" w:type="dxa"/>
            <w:shd w:val="clear" w:color="auto" w:fill="auto"/>
            <w:tcMar>
              <w:left w:w="0" w:type="dxa"/>
            </w:tcMar>
          </w:tcPr>
          <w:p w14:paraId="0CA307AE"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56A4E9D" w14:textId="681434A3" w:rsidR="00F53917" w:rsidRPr="00D160FB" w:rsidRDefault="002B322D" w:rsidP="00163868">
            <w:pPr>
              <w:spacing w:after="180"/>
              <w:rPr>
                <w:spacing w:val="-4"/>
                <w:lang w:val="en-GB"/>
              </w:rPr>
            </w:pPr>
            <w:r w:rsidRPr="00D160FB">
              <w:rPr>
                <w:spacing w:val="-4"/>
                <w:lang w:val="en-GB"/>
              </w:rPr>
              <w:t xml:space="preserve">Effect of the rising prices of materials is apparent on the difference between the percentage increase of the import from the EU </w:t>
            </w:r>
            <w:r w:rsidR="00F53917" w:rsidRPr="00D160FB">
              <w:rPr>
                <w:spacing w:val="-4"/>
                <w:lang w:val="en-GB"/>
              </w:rPr>
              <w:t>(+303</w:t>
            </w:r>
            <w:r w:rsidRPr="00D160FB">
              <w:rPr>
                <w:spacing w:val="-4"/>
                <w:lang w:val="en-GB"/>
              </w:rPr>
              <w:t>.</w:t>
            </w:r>
            <w:r w:rsidR="00F53917" w:rsidRPr="00D160FB">
              <w:rPr>
                <w:spacing w:val="-4"/>
                <w:lang w:val="en-GB"/>
              </w:rPr>
              <w:t>9</w:t>
            </w:r>
            <w:r w:rsidRPr="00D160FB">
              <w:rPr>
                <w:spacing w:val="-4"/>
                <w:lang w:val="en-GB"/>
              </w:rPr>
              <w:t xml:space="preserve"> CZK bn</w:t>
            </w:r>
            <w:r w:rsidR="00F53917" w:rsidRPr="00D160FB">
              <w:rPr>
                <w:spacing w:val="-4"/>
                <w:lang w:val="en-GB"/>
              </w:rPr>
              <w:t>, 12</w:t>
            </w:r>
            <w:r w:rsidRPr="00D160FB">
              <w:rPr>
                <w:spacing w:val="-4"/>
                <w:lang w:val="en-GB"/>
              </w:rPr>
              <w:t>.</w:t>
            </w:r>
            <w:r w:rsidR="00F53917" w:rsidRPr="00D160FB">
              <w:rPr>
                <w:spacing w:val="-4"/>
                <w:lang w:val="en-GB"/>
              </w:rPr>
              <w:t>5%) a</w:t>
            </w:r>
            <w:r w:rsidRPr="00D160FB">
              <w:rPr>
                <w:spacing w:val="-4"/>
                <w:lang w:val="en-GB"/>
              </w:rPr>
              <w:t xml:space="preserve">nd countries outside the EU </w:t>
            </w:r>
            <w:r w:rsidR="00F53917" w:rsidRPr="00D160FB">
              <w:rPr>
                <w:spacing w:val="-4"/>
                <w:lang w:val="en-GB"/>
              </w:rPr>
              <w:t>(+415</w:t>
            </w:r>
            <w:r w:rsidRPr="00D160FB">
              <w:rPr>
                <w:spacing w:val="-4"/>
                <w:lang w:val="en-GB"/>
              </w:rPr>
              <w:t>.</w:t>
            </w:r>
            <w:r w:rsidR="00F53917" w:rsidRPr="00D160FB">
              <w:rPr>
                <w:spacing w:val="-4"/>
                <w:lang w:val="en-GB"/>
              </w:rPr>
              <w:t>7</w:t>
            </w:r>
            <w:r w:rsidRPr="00D160FB">
              <w:rPr>
                <w:spacing w:val="-4"/>
                <w:lang w:val="en-GB"/>
              </w:rPr>
              <w:t xml:space="preserve"> bn</w:t>
            </w:r>
            <w:r w:rsidR="00F53917" w:rsidRPr="00D160FB">
              <w:rPr>
                <w:spacing w:val="-4"/>
                <w:lang w:val="en-GB"/>
              </w:rPr>
              <w:t>, 29</w:t>
            </w:r>
            <w:r w:rsidRPr="00D160FB">
              <w:rPr>
                <w:spacing w:val="-4"/>
                <w:lang w:val="en-GB"/>
              </w:rPr>
              <w:t>.</w:t>
            </w:r>
            <w:r w:rsidR="00F53917" w:rsidRPr="00D160FB">
              <w:rPr>
                <w:spacing w:val="-4"/>
                <w:lang w:val="en-GB"/>
              </w:rPr>
              <w:t xml:space="preserve">2%), </w:t>
            </w:r>
            <w:r w:rsidR="00E07392" w:rsidRPr="00D160FB">
              <w:rPr>
                <w:spacing w:val="-4"/>
                <w:lang w:val="en-GB"/>
              </w:rPr>
              <w:t>where the main portion of the imported oil and natural gas comes form</w:t>
            </w:r>
            <w:r w:rsidR="00F53917" w:rsidRPr="00D160FB">
              <w:rPr>
                <w:spacing w:val="-4"/>
                <w:lang w:val="en-GB"/>
              </w:rPr>
              <w:t xml:space="preserve">. </w:t>
            </w:r>
            <w:r w:rsidR="000F53AE" w:rsidRPr="00D160FB">
              <w:rPr>
                <w:spacing w:val="-4"/>
                <w:lang w:val="en-GB"/>
              </w:rPr>
              <w:t xml:space="preserve">Import from China grew the most </w:t>
            </w:r>
            <w:r w:rsidR="00F53917" w:rsidRPr="00D160FB">
              <w:rPr>
                <w:spacing w:val="-4"/>
                <w:lang w:val="en-GB"/>
              </w:rPr>
              <w:t>(+125</w:t>
            </w:r>
            <w:r w:rsidR="000F53AE" w:rsidRPr="00D160FB">
              <w:rPr>
                <w:spacing w:val="-4"/>
                <w:lang w:val="en-GB"/>
              </w:rPr>
              <w:t>.</w:t>
            </w:r>
            <w:r w:rsidR="00F53917" w:rsidRPr="00D160FB">
              <w:rPr>
                <w:spacing w:val="-4"/>
                <w:lang w:val="en-GB"/>
              </w:rPr>
              <w:t xml:space="preserve">0 </w:t>
            </w:r>
            <w:r w:rsidR="000F53AE" w:rsidRPr="00D160FB">
              <w:rPr>
                <w:spacing w:val="-4"/>
                <w:lang w:val="en-GB"/>
              </w:rPr>
              <w:t>CZK bn</w:t>
            </w:r>
            <w:r w:rsidR="00F53917" w:rsidRPr="00D160FB">
              <w:rPr>
                <w:spacing w:val="-4"/>
                <w:lang w:val="en-GB"/>
              </w:rPr>
              <w:t>, 2</w:t>
            </w:r>
            <w:r w:rsidR="00ED2525" w:rsidRPr="00D160FB">
              <w:rPr>
                <w:spacing w:val="-4"/>
                <w:lang w:val="en-GB"/>
              </w:rPr>
              <w:t>6</w:t>
            </w:r>
            <w:r w:rsidR="000F53AE" w:rsidRPr="00D160FB">
              <w:rPr>
                <w:spacing w:val="-4"/>
                <w:lang w:val="en-GB"/>
              </w:rPr>
              <w:t>.</w:t>
            </w:r>
            <w:r w:rsidR="00ED2525" w:rsidRPr="00D160FB">
              <w:rPr>
                <w:spacing w:val="-4"/>
                <w:lang w:val="en-GB"/>
              </w:rPr>
              <w:t>6</w:t>
            </w:r>
            <w:r w:rsidR="00F53917" w:rsidRPr="00D160FB">
              <w:rPr>
                <w:spacing w:val="-4"/>
                <w:lang w:val="en-GB"/>
              </w:rPr>
              <w:t xml:space="preserve">%), </w:t>
            </w:r>
            <w:r w:rsidR="000F53AE" w:rsidRPr="00D160FB">
              <w:rPr>
                <w:spacing w:val="-4"/>
                <w:lang w:val="en-GB"/>
              </w:rPr>
              <w:t xml:space="preserve">import from Russia had the second largest increase due to the provision of natural gas </w:t>
            </w:r>
            <w:r w:rsidR="00F53917" w:rsidRPr="00D160FB">
              <w:rPr>
                <w:spacing w:val="-4"/>
                <w:lang w:val="en-GB"/>
              </w:rPr>
              <w:t>(+113</w:t>
            </w:r>
            <w:r w:rsidR="000F53AE" w:rsidRPr="00D160FB">
              <w:rPr>
                <w:spacing w:val="-4"/>
                <w:lang w:val="en-GB"/>
              </w:rPr>
              <w:t>.</w:t>
            </w:r>
            <w:r w:rsidR="00F53917" w:rsidRPr="00D160FB">
              <w:rPr>
                <w:spacing w:val="-4"/>
                <w:lang w:val="en-GB"/>
              </w:rPr>
              <w:t>8</w:t>
            </w:r>
            <w:r w:rsidR="000F53AE" w:rsidRPr="00D160FB">
              <w:rPr>
                <w:spacing w:val="-4"/>
                <w:lang w:val="en-GB"/>
              </w:rPr>
              <w:t xml:space="preserve"> CZK bn</w:t>
            </w:r>
            <w:r w:rsidR="00F53917" w:rsidRPr="00D160FB">
              <w:rPr>
                <w:spacing w:val="-4"/>
                <w:lang w:val="en-GB"/>
              </w:rPr>
              <w:t>, 74</w:t>
            </w:r>
            <w:r w:rsidR="000F53AE" w:rsidRPr="00D160FB">
              <w:rPr>
                <w:spacing w:val="-4"/>
                <w:lang w:val="en-GB"/>
              </w:rPr>
              <w:t>.</w:t>
            </w:r>
            <w:r w:rsidR="00F53917" w:rsidRPr="00D160FB">
              <w:rPr>
                <w:spacing w:val="-4"/>
                <w:lang w:val="en-GB"/>
              </w:rPr>
              <w:t>9%) a</w:t>
            </w:r>
            <w:r w:rsidR="000F53AE" w:rsidRPr="00D160FB">
              <w:rPr>
                <w:spacing w:val="-4"/>
                <w:lang w:val="en-GB"/>
              </w:rPr>
              <w:t xml:space="preserve">nd Germany ranked the third </w:t>
            </w:r>
            <w:r w:rsidR="00F53917" w:rsidRPr="00D160FB">
              <w:rPr>
                <w:spacing w:val="-4"/>
                <w:lang w:val="en-GB"/>
              </w:rPr>
              <w:t>(+89</w:t>
            </w:r>
            <w:r w:rsidR="000F53AE" w:rsidRPr="00D160FB">
              <w:rPr>
                <w:spacing w:val="-4"/>
                <w:lang w:val="en-GB"/>
              </w:rPr>
              <w:t>.</w:t>
            </w:r>
            <w:r w:rsidR="00F53917" w:rsidRPr="00D160FB">
              <w:rPr>
                <w:spacing w:val="-4"/>
                <w:lang w:val="en-GB"/>
              </w:rPr>
              <w:t>4</w:t>
            </w:r>
            <w:r w:rsidR="000F53AE" w:rsidRPr="00D160FB">
              <w:rPr>
                <w:spacing w:val="-4"/>
                <w:lang w:val="en-GB"/>
              </w:rPr>
              <w:t xml:space="preserve"> bn</w:t>
            </w:r>
            <w:r w:rsidR="00F53917" w:rsidRPr="00D160FB">
              <w:rPr>
                <w:spacing w:val="-4"/>
                <w:lang w:val="en-GB"/>
              </w:rPr>
              <w:t>, 9</w:t>
            </w:r>
            <w:r w:rsidR="000F53AE" w:rsidRPr="00D160FB">
              <w:rPr>
                <w:spacing w:val="-4"/>
                <w:lang w:val="en-GB"/>
              </w:rPr>
              <w:t>.</w:t>
            </w:r>
            <w:r w:rsidR="00F53917" w:rsidRPr="00D160FB">
              <w:rPr>
                <w:spacing w:val="-4"/>
                <w:lang w:val="en-GB"/>
              </w:rPr>
              <w:t xml:space="preserve">9%). </w:t>
            </w:r>
            <w:r w:rsidR="00E07392" w:rsidRPr="00D160FB">
              <w:rPr>
                <w:spacing w:val="-4"/>
                <w:lang w:val="en-GB"/>
              </w:rPr>
              <w:t xml:space="preserve">Import from Poland </w:t>
            </w:r>
            <w:r w:rsidR="00F53917" w:rsidRPr="00D160FB">
              <w:rPr>
                <w:spacing w:val="-4"/>
                <w:lang w:val="en-GB"/>
              </w:rPr>
              <w:t>(+66</w:t>
            </w:r>
            <w:r w:rsidR="00E07392" w:rsidRPr="00D160FB">
              <w:rPr>
                <w:spacing w:val="-4"/>
                <w:lang w:val="en-GB"/>
              </w:rPr>
              <w:t>.</w:t>
            </w:r>
            <w:r w:rsidR="00F53917" w:rsidRPr="00D160FB">
              <w:rPr>
                <w:spacing w:val="-4"/>
                <w:lang w:val="en-GB"/>
              </w:rPr>
              <w:t>2</w:t>
            </w:r>
            <w:r w:rsidR="00E07392" w:rsidRPr="00D160FB">
              <w:rPr>
                <w:spacing w:val="-4"/>
                <w:lang w:val="en-GB"/>
              </w:rPr>
              <w:t xml:space="preserve"> CZK bn</w:t>
            </w:r>
            <w:r w:rsidR="00F53917" w:rsidRPr="00D160FB">
              <w:rPr>
                <w:spacing w:val="-4"/>
                <w:lang w:val="en-GB"/>
              </w:rPr>
              <w:t>, 19</w:t>
            </w:r>
            <w:r w:rsidR="00E07392" w:rsidRPr="00D160FB">
              <w:rPr>
                <w:spacing w:val="-4"/>
                <w:lang w:val="en-GB"/>
              </w:rPr>
              <w:t>.</w:t>
            </w:r>
            <w:r w:rsidR="00F53917" w:rsidRPr="00D160FB">
              <w:rPr>
                <w:spacing w:val="-4"/>
                <w:lang w:val="en-GB"/>
              </w:rPr>
              <w:t>4%)</w:t>
            </w:r>
            <w:r w:rsidR="00E07392" w:rsidRPr="00D160FB">
              <w:rPr>
                <w:spacing w:val="-4"/>
                <w:lang w:val="en-GB"/>
              </w:rPr>
              <w:t xml:space="preserve"> also grew strongly</w:t>
            </w:r>
            <w:r w:rsidR="00F53917" w:rsidRPr="00D160FB">
              <w:rPr>
                <w:spacing w:val="-4"/>
                <w:lang w:val="en-GB"/>
              </w:rPr>
              <w:t>.</w:t>
            </w:r>
            <w:r w:rsidR="00E07392" w:rsidRPr="00D160FB">
              <w:rPr>
                <w:spacing w:val="-4"/>
                <w:lang w:val="en-GB"/>
              </w:rPr>
              <w:t xml:space="preserve"> </w:t>
            </w:r>
            <w:r w:rsidR="008E490D" w:rsidRPr="00D160FB">
              <w:rPr>
                <w:spacing w:val="-4"/>
                <w:lang w:val="en-GB"/>
              </w:rPr>
              <w:t xml:space="preserve">The effort to lower the reliance on Russia in the import of the natural gas is noticeable on the sharp growth of the value of import from Norway </w:t>
            </w:r>
            <w:r w:rsidR="00F53917" w:rsidRPr="00D160FB">
              <w:rPr>
                <w:spacing w:val="-4"/>
                <w:lang w:val="en-GB"/>
              </w:rPr>
              <w:t>(+38</w:t>
            </w:r>
            <w:r w:rsidR="008E490D" w:rsidRPr="00D160FB">
              <w:rPr>
                <w:spacing w:val="-4"/>
                <w:lang w:val="en-GB"/>
              </w:rPr>
              <w:t>.</w:t>
            </w:r>
            <w:r w:rsidR="00F53917" w:rsidRPr="00D160FB">
              <w:rPr>
                <w:spacing w:val="-4"/>
                <w:lang w:val="en-GB"/>
              </w:rPr>
              <w:t>3</w:t>
            </w:r>
            <w:r w:rsidR="008E490D" w:rsidRPr="00D160FB">
              <w:rPr>
                <w:spacing w:val="-4"/>
                <w:lang w:val="en-GB"/>
              </w:rPr>
              <w:t xml:space="preserve"> CZK bn</w:t>
            </w:r>
            <w:r w:rsidR="00F53917" w:rsidRPr="00D160FB">
              <w:rPr>
                <w:spacing w:val="-4"/>
                <w:lang w:val="en-GB"/>
              </w:rPr>
              <w:t xml:space="preserve">, </w:t>
            </w:r>
            <w:r w:rsidR="008E490D" w:rsidRPr="00D160FB">
              <w:rPr>
                <w:spacing w:val="-4"/>
                <w:lang w:val="en-GB"/>
              </w:rPr>
              <w:t>import was boosted fivefold</w:t>
            </w:r>
            <w:r w:rsidR="00F53917" w:rsidRPr="00D160FB">
              <w:rPr>
                <w:spacing w:val="-4"/>
                <w:lang w:val="en-GB"/>
              </w:rPr>
              <w:t>)</w:t>
            </w:r>
            <w:r w:rsidR="008E490D" w:rsidRPr="00D160FB">
              <w:rPr>
                <w:spacing w:val="-4"/>
                <w:lang w:val="en-GB"/>
              </w:rPr>
              <w:t xml:space="preserve"> and Azerbaijan </w:t>
            </w:r>
            <w:r w:rsidR="00F53917" w:rsidRPr="00D160FB">
              <w:rPr>
                <w:spacing w:val="-4"/>
                <w:lang w:val="en-GB"/>
              </w:rPr>
              <w:t>(+21</w:t>
            </w:r>
            <w:r w:rsidR="008E490D" w:rsidRPr="00D160FB">
              <w:rPr>
                <w:spacing w:val="-4"/>
                <w:lang w:val="en-GB"/>
              </w:rPr>
              <w:t>.</w:t>
            </w:r>
            <w:r w:rsidR="00F53917" w:rsidRPr="00D160FB">
              <w:rPr>
                <w:spacing w:val="-4"/>
                <w:lang w:val="en-GB"/>
              </w:rPr>
              <w:t>2</w:t>
            </w:r>
            <w:r w:rsidR="008E490D" w:rsidRPr="00D160FB">
              <w:rPr>
                <w:spacing w:val="-4"/>
                <w:lang w:val="en-GB"/>
              </w:rPr>
              <w:t xml:space="preserve"> bn</w:t>
            </w:r>
            <w:r w:rsidR="00F53917" w:rsidRPr="00D160FB">
              <w:rPr>
                <w:spacing w:val="-4"/>
                <w:lang w:val="en-GB"/>
              </w:rPr>
              <w:t>, 160</w:t>
            </w:r>
            <w:r w:rsidR="008E490D" w:rsidRPr="00D160FB">
              <w:rPr>
                <w:spacing w:val="-4"/>
                <w:lang w:val="en-GB"/>
              </w:rPr>
              <w:t>.</w:t>
            </w:r>
            <w:r w:rsidR="00F53917" w:rsidRPr="00D160FB">
              <w:rPr>
                <w:spacing w:val="-4"/>
                <w:lang w:val="en-GB"/>
              </w:rPr>
              <w:t>5%)</w:t>
            </w:r>
            <w:r w:rsidR="00F53917" w:rsidRPr="00D160FB">
              <w:rPr>
                <w:rStyle w:val="Znakapoznpodarou"/>
                <w:spacing w:val="-4"/>
                <w:lang w:val="en-GB"/>
              </w:rPr>
              <w:footnoteReference w:id="54"/>
            </w:r>
            <w:r w:rsidR="00F53917" w:rsidRPr="00D160FB">
              <w:rPr>
                <w:spacing w:val="-4"/>
                <w:lang w:val="en-GB"/>
              </w:rPr>
              <w:t>.</w:t>
            </w:r>
            <w:r w:rsidR="0058364F" w:rsidRPr="00D160FB">
              <w:rPr>
                <w:spacing w:val="-4"/>
                <w:lang w:val="en-GB"/>
              </w:rPr>
              <w:t xml:space="preserve"> Larger decrease was recorded only for import from </w:t>
            </w:r>
            <w:r w:rsidR="00564E64" w:rsidRPr="00D160FB">
              <w:rPr>
                <w:spacing w:val="-4"/>
                <w:lang w:val="en-GB"/>
              </w:rPr>
              <w:lastRenderedPageBreak/>
              <w:t xml:space="preserve">Kazakhstan </w:t>
            </w:r>
            <w:r w:rsidR="00F53917" w:rsidRPr="00D160FB">
              <w:rPr>
                <w:spacing w:val="-4"/>
                <w:lang w:val="en-GB"/>
              </w:rPr>
              <w:t>(−3</w:t>
            </w:r>
            <w:r w:rsidR="00564E64" w:rsidRPr="00D160FB">
              <w:rPr>
                <w:spacing w:val="-4"/>
                <w:lang w:val="en-GB"/>
              </w:rPr>
              <w:t>.</w:t>
            </w:r>
            <w:r w:rsidR="00F53917" w:rsidRPr="00D160FB">
              <w:rPr>
                <w:spacing w:val="-4"/>
                <w:lang w:val="en-GB"/>
              </w:rPr>
              <w:t>5</w:t>
            </w:r>
            <w:r w:rsidR="00564E64" w:rsidRPr="00D160FB">
              <w:rPr>
                <w:spacing w:val="-4"/>
                <w:lang w:val="en-GB"/>
              </w:rPr>
              <w:t xml:space="preserve"> CZK bn</w:t>
            </w:r>
            <w:r w:rsidR="00F53917" w:rsidRPr="00D160FB">
              <w:rPr>
                <w:spacing w:val="-4"/>
                <w:lang w:val="en-GB"/>
              </w:rPr>
              <w:t>, −20</w:t>
            </w:r>
            <w:r w:rsidR="00564E64" w:rsidRPr="00D160FB">
              <w:rPr>
                <w:spacing w:val="-4"/>
                <w:lang w:val="en-GB"/>
              </w:rPr>
              <w:t>.</w:t>
            </w:r>
            <w:r w:rsidR="00F53917" w:rsidRPr="00D160FB">
              <w:rPr>
                <w:spacing w:val="-4"/>
                <w:lang w:val="en-GB"/>
              </w:rPr>
              <w:t>4%) a</w:t>
            </w:r>
            <w:r w:rsidR="00564E64" w:rsidRPr="00D160FB">
              <w:rPr>
                <w:spacing w:val="-4"/>
                <w:lang w:val="en-GB"/>
              </w:rPr>
              <w:t xml:space="preserve">nd Ukraine </w:t>
            </w:r>
            <w:r w:rsidR="00F53917" w:rsidRPr="00D160FB">
              <w:rPr>
                <w:spacing w:val="-4"/>
                <w:lang w:val="en-GB"/>
              </w:rPr>
              <w:t>(−2</w:t>
            </w:r>
            <w:r w:rsidR="00564E64" w:rsidRPr="00D160FB">
              <w:rPr>
                <w:spacing w:val="-4"/>
                <w:lang w:val="en-GB"/>
              </w:rPr>
              <w:t>.</w:t>
            </w:r>
            <w:r w:rsidR="00F53917" w:rsidRPr="00D160FB">
              <w:rPr>
                <w:spacing w:val="-4"/>
                <w:lang w:val="en-GB"/>
              </w:rPr>
              <w:t>4</w:t>
            </w:r>
            <w:r w:rsidR="00564E64" w:rsidRPr="00D160FB">
              <w:rPr>
                <w:spacing w:val="-4"/>
                <w:lang w:val="en-GB"/>
              </w:rPr>
              <w:t xml:space="preserve"> bn</w:t>
            </w:r>
            <w:r w:rsidR="00F53917" w:rsidRPr="00D160FB">
              <w:rPr>
                <w:spacing w:val="-4"/>
                <w:lang w:val="en-GB"/>
              </w:rPr>
              <w:t>, −6</w:t>
            </w:r>
            <w:r w:rsidR="00564E64" w:rsidRPr="00D160FB">
              <w:rPr>
                <w:spacing w:val="-4"/>
                <w:lang w:val="en-GB"/>
              </w:rPr>
              <w:t>.</w:t>
            </w:r>
            <w:r w:rsidR="00F53917" w:rsidRPr="00D160FB">
              <w:rPr>
                <w:spacing w:val="-4"/>
                <w:lang w:val="en-GB"/>
              </w:rPr>
              <w:t>4%).</w:t>
            </w:r>
            <w:r w:rsidR="00DB04B2" w:rsidRPr="00D160FB">
              <w:rPr>
                <w:spacing w:val="-4"/>
                <w:lang w:val="en-GB"/>
              </w:rPr>
              <w:t xml:space="preserve"> Significant percentage increases were also recorded for the import from the United Arab Emirates last year </w:t>
            </w:r>
            <w:r w:rsidR="00F53917" w:rsidRPr="00D160FB">
              <w:rPr>
                <w:spacing w:val="-4"/>
                <w:lang w:val="en-GB"/>
              </w:rPr>
              <w:t>(87</w:t>
            </w:r>
            <w:r w:rsidR="00DB04B2" w:rsidRPr="00D160FB">
              <w:rPr>
                <w:spacing w:val="-4"/>
                <w:lang w:val="en-GB"/>
              </w:rPr>
              <w:t>.</w:t>
            </w:r>
            <w:r w:rsidR="00F53917" w:rsidRPr="00D160FB">
              <w:rPr>
                <w:spacing w:val="-4"/>
                <w:lang w:val="en-GB"/>
              </w:rPr>
              <w:t>7%),</w:t>
            </w:r>
            <w:r w:rsidR="00DB04B2" w:rsidRPr="00D160FB">
              <w:rPr>
                <w:spacing w:val="-4"/>
                <w:lang w:val="en-GB"/>
              </w:rPr>
              <w:t xml:space="preserve"> Greece </w:t>
            </w:r>
            <w:r w:rsidR="00F53917" w:rsidRPr="00D160FB">
              <w:rPr>
                <w:spacing w:val="-4"/>
                <w:lang w:val="en-GB"/>
              </w:rPr>
              <w:t>(43</w:t>
            </w:r>
            <w:r w:rsidR="00DB04B2" w:rsidRPr="00D160FB">
              <w:rPr>
                <w:spacing w:val="-4"/>
                <w:lang w:val="en-GB"/>
              </w:rPr>
              <w:t>.</w:t>
            </w:r>
            <w:r w:rsidR="00F53917" w:rsidRPr="00D160FB">
              <w:rPr>
                <w:spacing w:val="-4"/>
                <w:lang w:val="en-GB"/>
              </w:rPr>
              <w:t>2%), Bul</w:t>
            </w:r>
            <w:r w:rsidR="00DB04B2" w:rsidRPr="00D160FB">
              <w:rPr>
                <w:spacing w:val="-4"/>
                <w:lang w:val="en-GB"/>
              </w:rPr>
              <w:t xml:space="preserve">garia </w:t>
            </w:r>
            <w:r w:rsidR="00F53917" w:rsidRPr="00D160FB">
              <w:rPr>
                <w:spacing w:val="-4"/>
                <w:lang w:val="en-GB"/>
              </w:rPr>
              <w:t>(40</w:t>
            </w:r>
            <w:r w:rsidR="00DB04B2" w:rsidRPr="00D160FB">
              <w:rPr>
                <w:spacing w:val="-4"/>
                <w:lang w:val="en-GB"/>
              </w:rPr>
              <w:t>.</w:t>
            </w:r>
            <w:r w:rsidR="00F53917" w:rsidRPr="00D160FB">
              <w:rPr>
                <w:spacing w:val="-4"/>
                <w:lang w:val="en-GB"/>
              </w:rPr>
              <w:t>8%), Indi</w:t>
            </w:r>
            <w:r w:rsidR="00DB04B2" w:rsidRPr="00D160FB">
              <w:rPr>
                <w:spacing w:val="-4"/>
                <w:lang w:val="en-GB"/>
              </w:rPr>
              <w:t xml:space="preserve">a </w:t>
            </w:r>
            <w:r w:rsidR="00F53917" w:rsidRPr="00D160FB">
              <w:rPr>
                <w:spacing w:val="-4"/>
                <w:lang w:val="en-GB"/>
              </w:rPr>
              <w:t>(40</w:t>
            </w:r>
            <w:r w:rsidR="00DB04B2" w:rsidRPr="00D160FB">
              <w:rPr>
                <w:spacing w:val="-4"/>
                <w:lang w:val="en-GB"/>
              </w:rPr>
              <w:t>.</w:t>
            </w:r>
            <w:r w:rsidR="00F53917" w:rsidRPr="00D160FB">
              <w:rPr>
                <w:spacing w:val="-4"/>
                <w:lang w:val="en-GB"/>
              </w:rPr>
              <w:t>7%), Indon</w:t>
            </w:r>
            <w:r w:rsidR="00DB04B2" w:rsidRPr="00D160FB">
              <w:rPr>
                <w:spacing w:val="-4"/>
                <w:lang w:val="en-GB"/>
              </w:rPr>
              <w:t xml:space="preserve">esia </w:t>
            </w:r>
            <w:r w:rsidR="00F53917" w:rsidRPr="00D160FB">
              <w:rPr>
                <w:spacing w:val="-4"/>
                <w:lang w:val="en-GB"/>
              </w:rPr>
              <w:t>(40</w:t>
            </w:r>
            <w:r w:rsidR="00DB04B2" w:rsidRPr="00D160FB">
              <w:rPr>
                <w:spacing w:val="-4"/>
                <w:lang w:val="en-GB"/>
              </w:rPr>
              <w:t>.</w:t>
            </w:r>
            <w:r w:rsidR="00F53917" w:rsidRPr="00D160FB">
              <w:rPr>
                <w:spacing w:val="-4"/>
                <w:lang w:val="en-GB"/>
              </w:rPr>
              <w:t>5%)</w:t>
            </w:r>
            <w:r w:rsidR="00DB04B2" w:rsidRPr="00D160FB">
              <w:rPr>
                <w:spacing w:val="-4"/>
                <w:lang w:val="en-GB"/>
              </w:rPr>
              <w:t xml:space="preserve"> or Israel </w:t>
            </w:r>
            <w:r w:rsidR="00F53917" w:rsidRPr="00D160FB">
              <w:rPr>
                <w:spacing w:val="-4"/>
                <w:lang w:val="en-GB"/>
              </w:rPr>
              <w:t>(30</w:t>
            </w:r>
            <w:r w:rsidR="00DB04B2" w:rsidRPr="00D160FB">
              <w:rPr>
                <w:spacing w:val="-4"/>
                <w:lang w:val="en-GB"/>
              </w:rPr>
              <w:t>.</w:t>
            </w:r>
            <w:r w:rsidR="00F53917" w:rsidRPr="00D160FB">
              <w:rPr>
                <w:spacing w:val="-4"/>
                <w:lang w:val="en-GB"/>
              </w:rPr>
              <w:t xml:space="preserve">0%). </w:t>
            </w:r>
            <w:r w:rsidR="00C32DF9" w:rsidRPr="00D160FB">
              <w:rPr>
                <w:spacing w:val="-4"/>
                <w:lang w:val="en-GB"/>
              </w:rPr>
              <w:t xml:space="preserve">Import of goods from the EU went up by </w:t>
            </w:r>
            <w:r w:rsidR="00F53917" w:rsidRPr="00D160FB">
              <w:rPr>
                <w:spacing w:val="-4"/>
                <w:lang w:val="en-GB"/>
              </w:rPr>
              <w:t>55</w:t>
            </w:r>
            <w:r w:rsidR="00C32DF9" w:rsidRPr="00D160FB">
              <w:rPr>
                <w:spacing w:val="-4"/>
                <w:lang w:val="en-GB"/>
              </w:rPr>
              <w:t>.</w:t>
            </w:r>
            <w:r w:rsidR="00F53917" w:rsidRPr="00D160FB">
              <w:rPr>
                <w:spacing w:val="-4"/>
                <w:lang w:val="en-GB"/>
              </w:rPr>
              <w:t>6</w:t>
            </w:r>
            <w:r w:rsidR="00C32DF9" w:rsidRPr="00D160FB">
              <w:rPr>
                <w:spacing w:val="-4"/>
                <w:lang w:val="en-GB"/>
              </w:rPr>
              <w:t xml:space="preserve"> CZK bn year-on-year </w:t>
            </w:r>
            <w:r w:rsidR="00F53917" w:rsidRPr="00D160FB">
              <w:rPr>
                <w:spacing w:val="-4"/>
                <w:lang w:val="en-GB"/>
              </w:rPr>
              <w:t>(8</w:t>
            </w:r>
            <w:r w:rsidR="00C32DF9" w:rsidRPr="00D160FB">
              <w:rPr>
                <w:spacing w:val="-4"/>
                <w:lang w:val="en-GB"/>
              </w:rPr>
              <w:t>.</w:t>
            </w:r>
            <w:r w:rsidR="00F53917" w:rsidRPr="00D160FB">
              <w:rPr>
                <w:spacing w:val="-4"/>
                <w:lang w:val="en-GB"/>
              </w:rPr>
              <w:t>8%)</w:t>
            </w:r>
            <w:r w:rsidR="004F66AD" w:rsidRPr="00D160FB">
              <w:rPr>
                <w:spacing w:val="-4"/>
                <w:lang w:val="en-GB"/>
              </w:rPr>
              <w:t xml:space="preserve"> in Q4 itself and import outside the EU by </w:t>
            </w:r>
            <w:r w:rsidR="00F53917" w:rsidRPr="00D160FB">
              <w:rPr>
                <w:spacing w:val="-4"/>
                <w:lang w:val="en-GB"/>
              </w:rPr>
              <w:t>101</w:t>
            </w:r>
            <w:r w:rsidR="004F66AD" w:rsidRPr="00D160FB">
              <w:rPr>
                <w:spacing w:val="-4"/>
                <w:lang w:val="en-GB"/>
              </w:rPr>
              <w:t>.</w:t>
            </w:r>
            <w:r w:rsidR="00F53917" w:rsidRPr="00D160FB">
              <w:rPr>
                <w:spacing w:val="-4"/>
                <w:lang w:val="en-GB"/>
              </w:rPr>
              <w:t>7</w:t>
            </w:r>
            <w:r w:rsidR="004F66AD" w:rsidRPr="00D160FB">
              <w:rPr>
                <w:spacing w:val="-4"/>
                <w:lang w:val="en-GB"/>
              </w:rPr>
              <w:t xml:space="preserve"> bn </w:t>
            </w:r>
            <w:r w:rsidR="00F53917" w:rsidRPr="00D160FB">
              <w:rPr>
                <w:spacing w:val="-4"/>
                <w:lang w:val="en-GB"/>
              </w:rPr>
              <w:t>(25</w:t>
            </w:r>
            <w:r w:rsidR="004F66AD" w:rsidRPr="00D160FB">
              <w:rPr>
                <w:spacing w:val="-4"/>
                <w:lang w:val="en-GB"/>
              </w:rPr>
              <w:t>.</w:t>
            </w:r>
            <w:r w:rsidR="00F53917" w:rsidRPr="00D160FB">
              <w:rPr>
                <w:spacing w:val="-4"/>
                <w:lang w:val="en-GB"/>
              </w:rPr>
              <w:t xml:space="preserve">1%). </w:t>
            </w:r>
            <w:r w:rsidR="00012C8A" w:rsidRPr="00D160FB">
              <w:rPr>
                <w:spacing w:val="-4"/>
                <w:lang w:val="en-GB"/>
              </w:rPr>
              <w:t xml:space="preserve">The largest year-on-year increase occurred for import from China </w:t>
            </w:r>
            <w:r w:rsidR="00F53917" w:rsidRPr="00D160FB">
              <w:rPr>
                <w:spacing w:val="-4"/>
                <w:lang w:val="en-GB"/>
              </w:rPr>
              <w:t>(+46</w:t>
            </w:r>
            <w:r w:rsidR="00012C8A" w:rsidRPr="00D160FB">
              <w:rPr>
                <w:spacing w:val="-4"/>
                <w:lang w:val="en-GB"/>
              </w:rPr>
              <w:t>.</w:t>
            </w:r>
            <w:r w:rsidR="00F53917" w:rsidRPr="00D160FB">
              <w:rPr>
                <w:spacing w:val="-4"/>
                <w:lang w:val="en-GB"/>
              </w:rPr>
              <w:t>0</w:t>
            </w:r>
            <w:r w:rsidR="00012C8A" w:rsidRPr="00D160FB">
              <w:rPr>
                <w:spacing w:val="-4"/>
                <w:lang w:val="en-GB"/>
              </w:rPr>
              <w:t xml:space="preserve"> CZK bn</w:t>
            </w:r>
            <w:r w:rsidR="00F53917" w:rsidRPr="00D160FB">
              <w:rPr>
                <w:spacing w:val="-4"/>
                <w:lang w:val="en-GB"/>
              </w:rPr>
              <w:t>, 33</w:t>
            </w:r>
            <w:r w:rsidR="00012C8A" w:rsidRPr="00D160FB">
              <w:rPr>
                <w:spacing w:val="-4"/>
                <w:lang w:val="en-GB"/>
              </w:rPr>
              <w:t>.</w:t>
            </w:r>
            <w:r w:rsidR="00F53917" w:rsidRPr="00D160FB">
              <w:rPr>
                <w:spacing w:val="-4"/>
                <w:lang w:val="en-GB"/>
              </w:rPr>
              <w:t>2%) a</w:t>
            </w:r>
            <w:r w:rsidR="00012C8A" w:rsidRPr="00D160FB">
              <w:rPr>
                <w:spacing w:val="-4"/>
                <w:lang w:val="en-GB"/>
              </w:rPr>
              <w:t xml:space="preserve">nd Norway </w:t>
            </w:r>
            <w:r w:rsidR="00F53917" w:rsidRPr="00D160FB">
              <w:rPr>
                <w:spacing w:val="-4"/>
                <w:lang w:val="en-GB"/>
              </w:rPr>
              <w:t>(+37</w:t>
            </w:r>
            <w:r w:rsidR="00012C8A" w:rsidRPr="00D160FB">
              <w:rPr>
                <w:spacing w:val="-4"/>
                <w:lang w:val="en-GB"/>
              </w:rPr>
              <w:t>.</w:t>
            </w:r>
            <w:r w:rsidR="00F53917" w:rsidRPr="00D160FB">
              <w:rPr>
                <w:spacing w:val="-4"/>
                <w:lang w:val="en-GB"/>
              </w:rPr>
              <w:t>1</w:t>
            </w:r>
            <w:r w:rsidR="00012C8A" w:rsidRPr="00D160FB">
              <w:rPr>
                <w:spacing w:val="-4"/>
                <w:lang w:val="en-GB"/>
              </w:rPr>
              <w:t xml:space="preserve"> bn</w:t>
            </w:r>
            <w:r w:rsidR="00F53917" w:rsidRPr="00D160FB">
              <w:rPr>
                <w:spacing w:val="-4"/>
                <w:lang w:val="en-GB"/>
              </w:rPr>
              <w:t xml:space="preserve">, </w:t>
            </w:r>
            <w:r w:rsidR="00012C8A" w:rsidRPr="00D160FB">
              <w:rPr>
                <w:spacing w:val="-4"/>
                <w:lang w:val="en-GB"/>
              </w:rPr>
              <w:t>the value of import expanded by more than elevenfold</w:t>
            </w:r>
            <w:r w:rsidR="00F53917" w:rsidRPr="00D160FB">
              <w:rPr>
                <w:spacing w:val="-4"/>
                <w:lang w:val="en-GB"/>
              </w:rPr>
              <w:t xml:space="preserve">). </w:t>
            </w:r>
            <w:r w:rsidR="00BB58A9" w:rsidRPr="00D160FB">
              <w:rPr>
                <w:spacing w:val="-4"/>
                <w:lang w:val="en-GB"/>
              </w:rPr>
              <w:t xml:space="preserve">Increase of the import from Norway was simultaneously accompanied by the year-on-year slump for Russia </w:t>
            </w:r>
            <w:r w:rsidR="00F53917" w:rsidRPr="00D160FB">
              <w:rPr>
                <w:spacing w:val="-4"/>
                <w:lang w:val="en-GB"/>
              </w:rPr>
              <w:t>(−25</w:t>
            </w:r>
            <w:r w:rsidR="00BB58A9" w:rsidRPr="00D160FB">
              <w:rPr>
                <w:spacing w:val="-4"/>
                <w:lang w:val="en-GB"/>
              </w:rPr>
              <w:t>.</w:t>
            </w:r>
            <w:r w:rsidR="00F53917" w:rsidRPr="00D160FB">
              <w:rPr>
                <w:spacing w:val="-4"/>
                <w:lang w:val="en-GB"/>
              </w:rPr>
              <w:t>6</w:t>
            </w:r>
            <w:r w:rsidR="00BB58A9" w:rsidRPr="00D160FB">
              <w:rPr>
                <w:spacing w:val="-4"/>
                <w:lang w:val="en-GB"/>
              </w:rPr>
              <w:t xml:space="preserve"> CZK bn</w:t>
            </w:r>
            <w:r w:rsidR="00F53917" w:rsidRPr="00D160FB">
              <w:rPr>
                <w:spacing w:val="-4"/>
                <w:lang w:val="en-GB"/>
              </w:rPr>
              <w:t>, −48</w:t>
            </w:r>
            <w:r w:rsidR="00BB58A9" w:rsidRPr="00D160FB">
              <w:rPr>
                <w:spacing w:val="-4"/>
                <w:lang w:val="en-GB"/>
              </w:rPr>
              <w:t>.</w:t>
            </w:r>
            <w:r w:rsidR="00F53917" w:rsidRPr="00D160FB">
              <w:rPr>
                <w:spacing w:val="-4"/>
                <w:lang w:val="en-GB"/>
              </w:rPr>
              <w:t xml:space="preserve">0%). </w:t>
            </w:r>
            <w:r w:rsidR="004F66AD" w:rsidRPr="00D160FB">
              <w:rPr>
                <w:spacing w:val="-4"/>
                <w:lang w:val="en-GB"/>
              </w:rPr>
              <w:t xml:space="preserve">Import from Germany </w:t>
            </w:r>
            <w:r w:rsidR="00F53917" w:rsidRPr="00D160FB">
              <w:rPr>
                <w:spacing w:val="-4"/>
                <w:lang w:val="en-GB"/>
              </w:rPr>
              <w:t>(+21</w:t>
            </w:r>
            <w:r w:rsidR="004F66AD" w:rsidRPr="00D160FB">
              <w:rPr>
                <w:spacing w:val="-4"/>
                <w:lang w:val="en-GB"/>
              </w:rPr>
              <w:t>.</w:t>
            </w:r>
            <w:r w:rsidR="00F53917" w:rsidRPr="00D160FB">
              <w:rPr>
                <w:spacing w:val="-4"/>
                <w:lang w:val="en-GB"/>
              </w:rPr>
              <w:t>9</w:t>
            </w:r>
            <w:r w:rsidR="004F66AD" w:rsidRPr="00D160FB">
              <w:rPr>
                <w:spacing w:val="-4"/>
                <w:lang w:val="en-GB"/>
              </w:rPr>
              <w:t xml:space="preserve"> CZK bn</w:t>
            </w:r>
            <w:r w:rsidR="00F53917" w:rsidRPr="00D160FB">
              <w:rPr>
                <w:spacing w:val="-4"/>
                <w:lang w:val="en-GB"/>
              </w:rPr>
              <w:t>, 9</w:t>
            </w:r>
            <w:r w:rsidR="004F66AD" w:rsidRPr="00D160FB">
              <w:rPr>
                <w:spacing w:val="-4"/>
                <w:lang w:val="en-GB"/>
              </w:rPr>
              <w:t>.</w:t>
            </w:r>
            <w:r w:rsidR="00F53917" w:rsidRPr="00D160FB">
              <w:rPr>
                <w:spacing w:val="-4"/>
                <w:lang w:val="en-GB"/>
              </w:rPr>
              <w:t>8%),</w:t>
            </w:r>
            <w:r w:rsidR="004F66AD" w:rsidRPr="00D160FB">
              <w:rPr>
                <w:spacing w:val="-4"/>
                <w:lang w:val="en-GB"/>
              </w:rPr>
              <w:t xml:space="preserve"> the </w:t>
            </w:r>
            <w:r w:rsidR="00DB04B2" w:rsidRPr="00D160FB">
              <w:rPr>
                <w:spacing w:val="-4"/>
                <w:lang w:val="en-GB"/>
              </w:rPr>
              <w:t>United States</w:t>
            </w:r>
            <w:r w:rsidR="004F66AD" w:rsidRPr="00D160FB">
              <w:rPr>
                <w:spacing w:val="-4"/>
                <w:lang w:val="en-GB"/>
              </w:rPr>
              <w:t xml:space="preserve"> </w:t>
            </w:r>
            <w:r w:rsidR="00F53917" w:rsidRPr="00D160FB">
              <w:rPr>
                <w:spacing w:val="-4"/>
                <w:lang w:val="en-GB"/>
              </w:rPr>
              <w:t>(+10</w:t>
            </w:r>
            <w:r w:rsidR="004F66AD" w:rsidRPr="00D160FB">
              <w:rPr>
                <w:spacing w:val="-4"/>
                <w:lang w:val="en-GB"/>
              </w:rPr>
              <w:t>.</w:t>
            </w:r>
            <w:r w:rsidR="00F53917" w:rsidRPr="00D160FB">
              <w:rPr>
                <w:spacing w:val="-4"/>
                <w:lang w:val="en-GB"/>
              </w:rPr>
              <w:t>0</w:t>
            </w:r>
            <w:r w:rsidR="004F66AD" w:rsidRPr="00D160FB">
              <w:rPr>
                <w:spacing w:val="-4"/>
                <w:lang w:val="en-GB"/>
              </w:rPr>
              <w:t xml:space="preserve"> bn</w:t>
            </w:r>
            <w:r w:rsidR="00F53917" w:rsidRPr="00D160FB">
              <w:rPr>
                <w:spacing w:val="-4"/>
                <w:lang w:val="en-GB"/>
              </w:rPr>
              <w:t>, 36</w:t>
            </w:r>
            <w:r w:rsidR="004F66AD" w:rsidRPr="00D160FB">
              <w:rPr>
                <w:spacing w:val="-4"/>
                <w:lang w:val="en-GB"/>
              </w:rPr>
              <w:t>.</w:t>
            </w:r>
            <w:r w:rsidR="00F53917" w:rsidRPr="00D160FB">
              <w:rPr>
                <w:spacing w:val="-4"/>
                <w:lang w:val="en-GB"/>
              </w:rPr>
              <w:t>3%), Pol</w:t>
            </w:r>
            <w:r w:rsidR="004F66AD" w:rsidRPr="00D160FB">
              <w:rPr>
                <w:spacing w:val="-4"/>
                <w:lang w:val="en-GB"/>
              </w:rPr>
              <w:t xml:space="preserve">and </w:t>
            </w:r>
            <w:r w:rsidR="00F53917" w:rsidRPr="00D160FB">
              <w:rPr>
                <w:spacing w:val="-4"/>
                <w:lang w:val="en-GB"/>
              </w:rPr>
              <w:t>(+9</w:t>
            </w:r>
            <w:r w:rsidR="004F66AD" w:rsidRPr="00D160FB">
              <w:rPr>
                <w:spacing w:val="-4"/>
                <w:lang w:val="en-GB"/>
              </w:rPr>
              <w:t>.</w:t>
            </w:r>
            <w:r w:rsidR="00F53917" w:rsidRPr="00D160FB">
              <w:rPr>
                <w:spacing w:val="-4"/>
                <w:lang w:val="en-GB"/>
              </w:rPr>
              <w:t>3</w:t>
            </w:r>
            <w:r w:rsidR="004F66AD" w:rsidRPr="00D160FB">
              <w:rPr>
                <w:spacing w:val="-4"/>
                <w:lang w:val="en-GB"/>
              </w:rPr>
              <w:t xml:space="preserve"> bn</w:t>
            </w:r>
            <w:r w:rsidR="00F53917" w:rsidRPr="00D160FB">
              <w:rPr>
                <w:spacing w:val="-4"/>
                <w:lang w:val="en-GB"/>
              </w:rPr>
              <w:t>, 10</w:t>
            </w:r>
            <w:r w:rsidR="004F66AD" w:rsidRPr="00D160FB">
              <w:rPr>
                <w:spacing w:val="-4"/>
                <w:lang w:val="en-GB"/>
              </w:rPr>
              <w:t>.</w:t>
            </w:r>
            <w:r w:rsidR="00F53917" w:rsidRPr="00D160FB">
              <w:rPr>
                <w:spacing w:val="-4"/>
                <w:lang w:val="en-GB"/>
              </w:rPr>
              <w:t xml:space="preserve">2%), </w:t>
            </w:r>
            <w:r w:rsidR="004F66AD" w:rsidRPr="00D160FB">
              <w:rPr>
                <w:spacing w:val="-4"/>
                <w:lang w:val="en-GB"/>
              </w:rPr>
              <w:t xml:space="preserve">Azerbaijan </w:t>
            </w:r>
            <w:r w:rsidR="00F53917" w:rsidRPr="00D160FB">
              <w:rPr>
                <w:spacing w:val="-4"/>
                <w:lang w:val="en-GB"/>
              </w:rPr>
              <w:t>(+6</w:t>
            </w:r>
            <w:r w:rsidR="004F66AD" w:rsidRPr="00D160FB">
              <w:rPr>
                <w:spacing w:val="-4"/>
                <w:lang w:val="en-GB"/>
              </w:rPr>
              <w:t>.</w:t>
            </w:r>
            <w:r w:rsidR="00F53917" w:rsidRPr="00D160FB">
              <w:rPr>
                <w:spacing w:val="-4"/>
                <w:lang w:val="en-GB"/>
              </w:rPr>
              <w:t>2</w:t>
            </w:r>
            <w:r w:rsidR="004F66AD" w:rsidRPr="00D160FB">
              <w:rPr>
                <w:spacing w:val="-4"/>
                <w:lang w:val="en-GB"/>
              </w:rPr>
              <w:t xml:space="preserve"> bn</w:t>
            </w:r>
            <w:r w:rsidR="00F53917" w:rsidRPr="00D160FB">
              <w:rPr>
                <w:spacing w:val="-4"/>
                <w:lang w:val="en-GB"/>
              </w:rPr>
              <w:t>, 139</w:t>
            </w:r>
            <w:r w:rsidR="004F66AD" w:rsidRPr="00D160FB">
              <w:rPr>
                <w:spacing w:val="-4"/>
                <w:lang w:val="en-GB"/>
              </w:rPr>
              <w:t>.</w:t>
            </w:r>
            <w:r w:rsidR="00F53917" w:rsidRPr="00D160FB">
              <w:rPr>
                <w:spacing w:val="-4"/>
                <w:lang w:val="en-GB"/>
              </w:rPr>
              <w:t>2%) a</w:t>
            </w:r>
            <w:r w:rsidR="004F66AD" w:rsidRPr="00D160FB">
              <w:rPr>
                <w:spacing w:val="-4"/>
                <w:lang w:val="en-GB"/>
              </w:rPr>
              <w:t xml:space="preserve">nd the Great Britain </w:t>
            </w:r>
            <w:r w:rsidR="00F53917" w:rsidRPr="00D160FB">
              <w:rPr>
                <w:spacing w:val="-4"/>
                <w:lang w:val="en-GB"/>
              </w:rPr>
              <w:t>(+6</w:t>
            </w:r>
            <w:r w:rsidR="004F66AD" w:rsidRPr="00D160FB">
              <w:rPr>
                <w:spacing w:val="-4"/>
                <w:lang w:val="en-GB"/>
              </w:rPr>
              <w:t>.</w:t>
            </w:r>
            <w:r w:rsidR="00F53917" w:rsidRPr="00D160FB">
              <w:rPr>
                <w:spacing w:val="-4"/>
                <w:lang w:val="en-GB"/>
              </w:rPr>
              <w:t>1</w:t>
            </w:r>
            <w:r w:rsidR="004F66AD" w:rsidRPr="00D160FB">
              <w:rPr>
                <w:spacing w:val="-4"/>
                <w:lang w:val="en-GB"/>
              </w:rPr>
              <w:t xml:space="preserve"> bn</w:t>
            </w:r>
            <w:r w:rsidR="00F53917" w:rsidRPr="00D160FB">
              <w:rPr>
                <w:spacing w:val="-4"/>
                <w:lang w:val="en-GB"/>
              </w:rPr>
              <w:t>, 38</w:t>
            </w:r>
            <w:r w:rsidR="004F66AD" w:rsidRPr="00D160FB">
              <w:rPr>
                <w:spacing w:val="-4"/>
                <w:lang w:val="en-GB"/>
              </w:rPr>
              <w:t>.</w:t>
            </w:r>
            <w:r w:rsidR="00F53917" w:rsidRPr="00D160FB">
              <w:rPr>
                <w:spacing w:val="-4"/>
                <w:lang w:val="en-GB"/>
              </w:rPr>
              <w:t>0%)</w:t>
            </w:r>
            <w:r w:rsidR="004F66AD" w:rsidRPr="00D160FB">
              <w:rPr>
                <w:spacing w:val="-4"/>
                <w:lang w:val="en-GB"/>
              </w:rPr>
              <w:t xml:space="preserve"> also grew strongly</w:t>
            </w:r>
            <w:r w:rsidR="00F53917" w:rsidRPr="00D160FB">
              <w:rPr>
                <w:spacing w:val="-4"/>
                <w:lang w:val="en-GB"/>
              </w:rPr>
              <w:t>.</w:t>
            </w:r>
          </w:p>
        </w:tc>
      </w:tr>
      <w:tr w:rsidR="00F53917" w:rsidRPr="00D160FB" w14:paraId="72061DED" w14:textId="77777777" w:rsidTr="0063723A">
        <w:trPr>
          <w:trHeight w:val="145"/>
        </w:trPr>
        <w:tc>
          <w:tcPr>
            <w:tcW w:w="1476" w:type="dxa"/>
            <w:shd w:val="clear" w:color="auto" w:fill="auto"/>
            <w:tcMar>
              <w:left w:w="0" w:type="dxa"/>
            </w:tcMar>
          </w:tcPr>
          <w:p w14:paraId="2DA6AA8C" w14:textId="771AE444" w:rsidR="00F53917" w:rsidRPr="00D160FB" w:rsidRDefault="00307D33" w:rsidP="00163868">
            <w:pPr>
              <w:pStyle w:val="Marginlie"/>
              <w:rPr>
                <w:lang w:val="en-GB"/>
              </w:rPr>
            </w:pPr>
            <w:r w:rsidRPr="00D160FB">
              <w:rPr>
                <w:lang w:val="en-GB"/>
              </w:rPr>
              <w:lastRenderedPageBreak/>
              <w:t xml:space="preserve">Import of goods was growing mainly due to the effect of oil and natural gas. Import of electrical equipment sharply jumped up in the second half of the year. </w:t>
            </w:r>
          </w:p>
        </w:tc>
        <w:tc>
          <w:tcPr>
            <w:tcW w:w="152" w:type="dxa"/>
            <w:shd w:val="clear" w:color="auto" w:fill="auto"/>
            <w:tcMar>
              <w:left w:w="0" w:type="dxa"/>
            </w:tcMar>
          </w:tcPr>
          <w:p w14:paraId="6DE97BB9"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13C5142" w14:textId="25382190" w:rsidR="00F53917" w:rsidRPr="00D160FB" w:rsidRDefault="00307D33" w:rsidP="00163868">
            <w:pPr>
              <w:spacing w:after="180"/>
              <w:rPr>
                <w:lang w:val="en-GB"/>
              </w:rPr>
            </w:pPr>
            <w:r w:rsidRPr="00D160FB">
              <w:rPr>
                <w:spacing w:val="-4"/>
                <w:lang w:val="en-GB"/>
              </w:rPr>
              <w:t xml:space="preserve">The value of imports of oil and natural gas grew the most </w:t>
            </w:r>
            <w:r w:rsidR="00F53917" w:rsidRPr="00D160FB">
              <w:rPr>
                <w:spacing w:val="-4"/>
                <w:lang w:val="en-GB"/>
              </w:rPr>
              <w:t>(+190</w:t>
            </w:r>
            <w:r w:rsidRPr="00D160FB">
              <w:rPr>
                <w:spacing w:val="-4"/>
                <w:lang w:val="en-GB"/>
              </w:rPr>
              <w:t>.</w:t>
            </w:r>
            <w:r w:rsidR="00F53917" w:rsidRPr="00D160FB">
              <w:rPr>
                <w:spacing w:val="-4"/>
                <w:lang w:val="en-GB"/>
              </w:rPr>
              <w:t>0</w:t>
            </w:r>
            <w:r w:rsidRPr="00D160FB">
              <w:rPr>
                <w:spacing w:val="-4"/>
                <w:lang w:val="en-GB"/>
              </w:rPr>
              <w:t xml:space="preserve"> CZK bn</w:t>
            </w:r>
            <w:r w:rsidR="00F53917" w:rsidRPr="00D160FB">
              <w:rPr>
                <w:spacing w:val="-4"/>
                <w:lang w:val="en-GB"/>
              </w:rPr>
              <w:t>, 123</w:t>
            </w:r>
            <w:r w:rsidRPr="00D160FB">
              <w:rPr>
                <w:spacing w:val="-4"/>
                <w:lang w:val="en-GB"/>
              </w:rPr>
              <w:t>.</w:t>
            </w:r>
            <w:r w:rsidR="00F53917" w:rsidRPr="00D160FB">
              <w:rPr>
                <w:spacing w:val="-4"/>
                <w:lang w:val="en-GB"/>
              </w:rPr>
              <w:t>1%)</w:t>
            </w:r>
            <w:r w:rsidRPr="00D160FB">
              <w:rPr>
                <w:spacing w:val="-4"/>
                <w:lang w:val="en-GB"/>
              </w:rPr>
              <w:t xml:space="preserve"> in year 2022</w:t>
            </w:r>
            <w:r w:rsidR="00F53917" w:rsidRPr="00D160FB">
              <w:rPr>
                <w:spacing w:val="-4"/>
                <w:lang w:val="en-GB"/>
              </w:rPr>
              <w:t xml:space="preserve">. </w:t>
            </w:r>
            <w:r w:rsidR="005B5A17" w:rsidRPr="00D160FB">
              <w:rPr>
                <w:spacing w:val="-4"/>
                <w:lang w:val="en-GB"/>
              </w:rPr>
              <w:t xml:space="preserve">Mainly under the influence of the revival in the second half of the year, the import of electrical equipment also strongly increased </w:t>
            </w:r>
            <w:r w:rsidR="00F53917" w:rsidRPr="00D160FB">
              <w:rPr>
                <w:spacing w:val="-4"/>
                <w:lang w:val="en-GB"/>
              </w:rPr>
              <w:t>(+8</w:t>
            </w:r>
            <w:r w:rsidR="00ED2525" w:rsidRPr="00D160FB">
              <w:rPr>
                <w:spacing w:val="-4"/>
                <w:lang w:val="en-GB"/>
              </w:rPr>
              <w:t>9</w:t>
            </w:r>
            <w:r w:rsidR="005B5A17" w:rsidRPr="00D160FB">
              <w:rPr>
                <w:spacing w:val="-4"/>
                <w:lang w:val="en-GB"/>
              </w:rPr>
              <w:t>.</w:t>
            </w:r>
            <w:r w:rsidR="00F53917" w:rsidRPr="00D160FB">
              <w:rPr>
                <w:spacing w:val="-4"/>
                <w:lang w:val="en-GB"/>
              </w:rPr>
              <w:t>7</w:t>
            </w:r>
            <w:r w:rsidR="005B5A17" w:rsidRPr="00D160FB">
              <w:rPr>
                <w:spacing w:val="-4"/>
                <w:lang w:val="en-GB"/>
              </w:rPr>
              <w:t xml:space="preserve"> CZK bn</w:t>
            </w:r>
            <w:r w:rsidR="00F53917" w:rsidRPr="00D160FB">
              <w:rPr>
                <w:spacing w:val="-4"/>
                <w:lang w:val="en-GB"/>
              </w:rPr>
              <w:t>, 26</w:t>
            </w:r>
            <w:r w:rsidR="005B5A17" w:rsidRPr="00D160FB">
              <w:rPr>
                <w:spacing w:val="-4"/>
                <w:lang w:val="en-GB"/>
              </w:rPr>
              <w:t>.</w:t>
            </w:r>
            <w:r w:rsidR="00F53917" w:rsidRPr="00D160FB">
              <w:rPr>
                <w:spacing w:val="-4"/>
                <w:lang w:val="en-GB"/>
              </w:rPr>
              <w:t xml:space="preserve">0%). </w:t>
            </w:r>
            <w:r w:rsidR="009F7BE2" w:rsidRPr="00D160FB">
              <w:rPr>
                <w:spacing w:val="-4"/>
                <w:lang w:val="en-GB"/>
              </w:rPr>
              <w:t xml:space="preserve">Notable increases were also recorded for the import of basic metals </w:t>
            </w:r>
            <w:r w:rsidR="00F53917" w:rsidRPr="00D160FB">
              <w:rPr>
                <w:spacing w:val="-4"/>
                <w:lang w:val="en-GB"/>
              </w:rPr>
              <w:t>(+57</w:t>
            </w:r>
            <w:r w:rsidR="009F7BE2" w:rsidRPr="00D160FB">
              <w:rPr>
                <w:spacing w:val="-4"/>
                <w:lang w:val="en-GB"/>
              </w:rPr>
              <w:t>.</w:t>
            </w:r>
            <w:r w:rsidR="00F53917" w:rsidRPr="00D160FB">
              <w:rPr>
                <w:spacing w:val="-4"/>
                <w:lang w:val="en-GB"/>
              </w:rPr>
              <w:t>1</w:t>
            </w:r>
            <w:r w:rsidR="009F7BE2" w:rsidRPr="00D160FB">
              <w:rPr>
                <w:spacing w:val="-4"/>
                <w:lang w:val="en-GB"/>
              </w:rPr>
              <w:t xml:space="preserve"> CZK bn</w:t>
            </w:r>
            <w:r w:rsidR="00F53917" w:rsidRPr="00D160FB">
              <w:rPr>
                <w:spacing w:val="-4"/>
                <w:lang w:val="en-GB"/>
              </w:rPr>
              <w:t>, 17</w:t>
            </w:r>
            <w:r w:rsidR="009F7BE2" w:rsidRPr="00D160FB">
              <w:rPr>
                <w:spacing w:val="-4"/>
                <w:lang w:val="en-GB"/>
              </w:rPr>
              <w:t>.</w:t>
            </w:r>
            <w:r w:rsidR="00F53917" w:rsidRPr="00D160FB">
              <w:rPr>
                <w:spacing w:val="-4"/>
                <w:lang w:val="en-GB"/>
              </w:rPr>
              <w:t>7%),</w:t>
            </w:r>
            <w:r w:rsidR="009F7BE2" w:rsidRPr="00D160FB">
              <w:rPr>
                <w:spacing w:val="-4"/>
                <w:lang w:val="en-GB"/>
              </w:rPr>
              <w:t xml:space="preserve"> chemical substances and products </w:t>
            </w:r>
            <w:r w:rsidR="00F53917" w:rsidRPr="00D160FB">
              <w:rPr>
                <w:spacing w:val="-4"/>
                <w:lang w:val="en-GB"/>
              </w:rPr>
              <w:t>(+52</w:t>
            </w:r>
            <w:r w:rsidR="009F7BE2" w:rsidRPr="00D160FB">
              <w:rPr>
                <w:spacing w:val="-4"/>
                <w:lang w:val="en-GB"/>
              </w:rPr>
              <w:t>.</w:t>
            </w:r>
            <w:r w:rsidR="00F53917" w:rsidRPr="00D160FB">
              <w:rPr>
                <w:spacing w:val="-4"/>
                <w:lang w:val="en-GB"/>
              </w:rPr>
              <w:t>1</w:t>
            </w:r>
            <w:r w:rsidR="009F7BE2" w:rsidRPr="00D160FB">
              <w:rPr>
                <w:spacing w:val="-4"/>
                <w:lang w:val="en-GB"/>
              </w:rPr>
              <w:t xml:space="preserve"> bn</w:t>
            </w:r>
            <w:r w:rsidR="00F53917" w:rsidRPr="00D160FB">
              <w:rPr>
                <w:spacing w:val="-4"/>
                <w:lang w:val="en-GB"/>
              </w:rPr>
              <w:t>, 15</w:t>
            </w:r>
            <w:r w:rsidR="009F7BE2" w:rsidRPr="00D160FB">
              <w:rPr>
                <w:spacing w:val="-4"/>
                <w:lang w:val="en-GB"/>
              </w:rPr>
              <w:t>.</w:t>
            </w:r>
            <w:r w:rsidR="00F53917" w:rsidRPr="00D160FB">
              <w:rPr>
                <w:spacing w:val="-4"/>
                <w:lang w:val="en-GB"/>
              </w:rPr>
              <w:t>2%), motor</w:t>
            </w:r>
            <w:r w:rsidR="009F7BE2" w:rsidRPr="00D160FB">
              <w:rPr>
                <w:spacing w:val="-4"/>
                <w:lang w:val="en-GB"/>
              </w:rPr>
              <w:t xml:space="preserve"> vehicles </w:t>
            </w:r>
            <w:r w:rsidR="00F53917" w:rsidRPr="00D160FB">
              <w:rPr>
                <w:spacing w:val="-4"/>
                <w:lang w:val="en-GB"/>
              </w:rPr>
              <w:t>(+66</w:t>
            </w:r>
            <w:r w:rsidR="009F7BE2" w:rsidRPr="00D160FB">
              <w:rPr>
                <w:spacing w:val="-4"/>
                <w:lang w:val="en-GB"/>
              </w:rPr>
              <w:t>.</w:t>
            </w:r>
            <w:r w:rsidR="00F53917" w:rsidRPr="00D160FB">
              <w:rPr>
                <w:spacing w:val="-4"/>
                <w:lang w:val="en-GB"/>
              </w:rPr>
              <w:t>0</w:t>
            </w:r>
            <w:r w:rsidR="009F7BE2" w:rsidRPr="00D160FB">
              <w:rPr>
                <w:spacing w:val="-4"/>
                <w:lang w:val="en-GB"/>
              </w:rPr>
              <w:t xml:space="preserve"> bn</w:t>
            </w:r>
            <w:r w:rsidR="00F53917" w:rsidRPr="00D160FB">
              <w:rPr>
                <w:spacing w:val="-4"/>
                <w:lang w:val="en-GB"/>
              </w:rPr>
              <w:t>, 12</w:t>
            </w:r>
            <w:r w:rsidR="009F7BE2" w:rsidRPr="00D160FB">
              <w:rPr>
                <w:spacing w:val="-4"/>
                <w:lang w:val="en-GB"/>
              </w:rPr>
              <w:t>.</w:t>
            </w:r>
            <w:r w:rsidR="00F53917" w:rsidRPr="00D160FB">
              <w:rPr>
                <w:spacing w:val="-4"/>
                <w:lang w:val="en-GB"/>
              </w:rPr>
              <w:t xml:space="preserve">8%), </w:t>
            </w:r>
            <w:r w:rsidR="009F7BE2" w:rsidRPr="00D160FB">
              <w:rPr>
                <w:spacing w:val="-4"/>
                <w:lang w:val="en-GB"/>
              </w:rPr>
              <w:t xml:space="preserve">coke and </w:t>
            </w:r>
            <w:r w:rsidR="00186538">
              <w:rPr>
                <w:spacing w:val="-4"/>
                <w:lang w:val="en-GB"/>
              </w:rPr>
              <w:t>refined petroleum</w:t>
            </w:r>
            <w:r w:rsidR="009F7BE2" w:rsidRPr="00D160FB">
              <w:rPr>
                <w:spacing w:val="-4"/>
                <w:lang w:val="en-GB"/>
              </w:rPr>
              <w:t xml:space="preserve"> products </w:t>
            </w:r>
            <w:r w:rsidR="00F53917" w:rsidRPr="00D160FB">
              <w:rPr>
                <w:spacing w:val="-4"/>
                <w:lang w:val="en-GB"/>
              </w:rPr>
              <w:t>(+38</w:t>
            </w:r>
            <w:r w:rsidR="009F7BE2" w:rsidRPr="00D160FB">
              <w:rPr>
                <w:spacing w:val="-4"/>
                <w:lang w:val="en-GB"/>
              </w:rPr>
              <w:t>.</w:t>
            </w:r>
            <w:r w:rsidR="00F53917" w:rsidRPr="00D160FB">
              <w:rPr>
                <w:spacing w:val="-4"/>
                <w:lang w:val="en-GB"/>
              </w:rPr>
              <w:t>2</w:t>
            </w:r>
            <w:r w:rsidR="009F7BE2" w:rsidRPr="00D160FB">
              <w:rPr>
                <w:spacing w:val="-4"/>
                <w:lang w:val="en-GB"/>
              </w:rPr>
              <w:t xml:space="preserve"> bn</w:t>
            </w:r>
            <w:r w:rsidR="00F53917" w:rsidRPr="00D160FB">
              <w:rPr>
                <w:spacing w:val="-4"/>
                <w:lang w:val="en-GB"/>
              </w:rPr>
              <w:t>, 55</w:t>
            </w:r>
            <w:r w:rsidR="009F7BE2" w:rsidRPr="00D160FB">
              <w:rPr>
                <w:spacing w:val="-4"/>
                <w:lang w:val="en-GB"/>
              </w:rPr>
              <w:t>.</w:t>
            </w:r>
            <w:r w:rsidR="00F53917" w:rsidRPr="00D160FB">
              <w:rPr>
                <w:spacing w:val="-4"/>
                <w:lang w:val="en-GB"/>
              </w:rPr>
              <w:t>2%), p</w:t>
            </w:r>
            <w:r w:rsidR="009F7BE2" w:rsidRPr="00D160FB">
              <w:rPr>
                <w:spacing w:val="-4"/>
                <w:lang w:val="en-GB"/>
              </w:rPr>
              <w:t xml:space="preserve">harmaceutical products </w:t>
            </w:r>
            <w:r w:rsidR="00F53917" w:rsidRPr="00D160FB">
              <w:rPr>
                <w:spacing w:val="-4"/>
                <w:lang w:val="en-GB"/>
              </w:rPr>
              <w:t>(+35</w:t>
            </w:r>
            <w:r w:rsidR="009F7BE2" w:rsidRPr="00D160FB">
              <w:rPr>
                <w:spacing w:val="-4"/>
                <w:lang w:val="en-GB"/>
              </w:rPr>
              <w:t>.</w:t>
            </w:r>
            <w:r w:rsidR="00F53917" w:rsidRPr="00D160FB">
              <w:rPr>
                <w:spacing w:val="-4"/>
                <w:lang w:val="en-GB"/>
              </w:rPr>
              <w:t>8</w:t>
            </w:r>
            <w:r w:rsidR="009F7BE2" w:rsidRPr="00D160FB">
              <w:rPr>
                <w:spacing w:val="-4"/>
                <w:lang w:val="en-GB"/>
              </w:rPr>
              <w:t xml:space="preserve"> bn</w:t>
            </w:r>
            <w:r w:rsidR="00F53917" w:rsidRPr="00D160FB">
              <w:rPr>
                <w:spacing w:val="-4"/>
                <w:lang w:val="en-GB"/>
              </w:rPr>
              <w:t>, 20</w:t>
            </w:r>
            <w:r w:rsidR="009F7BE2" w:rsidRPr="00D160FB">
              <w:rPr>
                <w:spacing w:val="-4"/>
                <w:lang w:val="en-GB"/>
              </w:rPr>
              <w:t>.</w:t>
            </w:r>
            <w:r w:rsidR="00F53917" w:rsidRPr="00D160FB">
              <w:rPr>
                <w:spacing w:val="-4"/>
                <w:lang w:val="en-GB"/>
              </w:rPr>
              <w:t xml:space="preserve">7%), </w:t>
            </w:r>
            <w:r w:rsidR="009F7BE2" w:rsidRPr="00D160FB">
              <w:rPr>
                <w:spacing w:val="-4"/>
                <w:lang w:val="en-GB"/>
              </w:rPr>
              <w:t xml:space="preserve">machinery and equipment </w:t>
            </w:r>
            <w:r w:rsidR="00F53917" w:rsidRPr="00D160FB">
              <w:rPr>
                <w:spacing w:val="-4"/>
                <w:lang w:val="en-GB"/>
              </w:rPr>
              <w:t>(+32</w:t>
            </w:r>
            <w:r w:rsidR="009F7BE2" w:rsidRPr="00D160FB">
              <w:rPr>
                <w:spacing w:val="-4"/>
                <w:lang w:val="en-GB"/>
              </w:rPr>
              <w:t>.</w:t>
            </w:r>
            <w:r w:rsidR="00F53917" w:rsidRPr="00D160FB">
              <w:rPr>
                <w:spacing w:val="-4"/>
                <w:lang w:val="en-GB"/>
              </w:rPr>
              <w:t xml:space="preserve">5 </w:t>
            </w:r>
            <w:r w:rsidR="009F7BE2" w:rsidRPr="00D160FB">
              <w:rPr>
                <w:spacing w:val="-4"/>
                <w:lang w:val="en-GB"/>
              </w:rPr>
              <w:t>bn</w:t>
            </w:r>
            <w:r w:rsidR="00F53917" w:rsidRPr="00D160FB">
              <w:rPr>
                <w:spacing w:val="-4"/>
                <w:lang w:val="en-GB"/>
              </w:rPr>
              <w:t>, 8</w:t>
            </w:r>
            <w:r w:rsidR="009F7BE2" w:rsidRPr="00D160FB">
              <w:rPr>
                <w:spacing w:val="-4"/>
                <w:lang w:val="en-GB"/>
              </w:rPr>
              <w:t>.</w:t>
            </w:r>
            <w:r w:rsidR="00F53917" w:rsidRPr="00D160FB">
              <w:rPr>
                <w:spacing w:val="-4"/>
                <w:lang w:val="en-GB"/>
              </w:rPr>
              <w:t xml:space="preserve">9%) </w:t>
            </w:r>
            <w:r w:rsidR="009F7BE2" w:rsidRPr="00D160FB">
              <w:rPr>
                <w:spacing w:val="-4"/>
                <w:lang w:val="en-GB"/>
              </w:rPr>
              <w:t xml:space="preserve">or </w:t>
            </w:r>
            <w:r w:rsidR="005A6032">
              <w:rPr>
                <w:spacing w:val="-4"/>
                <w:lang w:val="en-GB"/>
              </w:rPr>
              <w:t>fabricated metal</w:t>
            </w:r>
            <w:r w:rsidR="005A6032" w:rsidRPr="00D160FB">
              <w:rPr>
                <w:spacing w:val="-4"/>
                <w:lang w:val="en-GB"/>
              </w:rPr>
              <w:t xml:space="preserve"> products</w:t>
            </w:r>
            <w:r w:rsidR="009F7BE2" w:rsidRPr="00D160FB">
              <w:rPr>
                <w:spacing w:val="-4"/>
                <w:lang w:val="en-GB"/>
              </w:rPr>
              <w:t xml:space="preserve"> </w:t>
            </w:r>
            <w:r w:rsidR="00F53917" w:rsidRPr="00D160FB">
              <w:rPr>
                <w:spacing w:val="-4"/>
                <w:lang w:val="en-GB"/>
              </w:rPr>
              <w:t>(+22</w:t>
            </w:r>
            <w:r w:rsidR="009F7BE2" w:rsidRPr="00D160FB">
              <w:rPr>
                <w:spacing w:val="-4"/>
                <w:lang w:val="en-GB"/>
              </w:rPr>
              <w:t>.</w:t>
            </w:r>
            <w:r w:rsidR="00F53917" w:rsidRPr="00D160FB">
              <w:rPr>
                <w:spacing w:val="-4"/>
                <w:lang w:val="en-GB"/>
              </w:rPr>
              <w:t>1</w:t>
            </w:r>
            <w:r w:rsidR="009F7BE2" w:rsidRPr="00D160FB">
              <w:rPr>
                <w:spacing w:val="-4"/>
                <w:lang w:val="en-GB"/>
              </w:rPr>
              <w:t xml:space="preserve"> bn</w:t>
            </w:r>
            <w:r w:rsidR="00F53917" w:rsidRPr="00D160FB">
              <w:rPr>
                <w:spacing w:val="-4"/>
                <w:lang w:val="en-GB"/>
              </w:rPr>
              <w:t>, 12</w:t>
            </w:r>
            <w:r w:rsidR="009F7BE2" w:rsidRPr="00D160FB">
              <w:rPr>
                <w:spacing w:val="-4"/>
                <w:lang w:val="en-GB"/>
              </w:rPr>
              <w:t>.</w:t>
            </w:r>
            <w:r w:rsidR="00F53917" w:rsidRPr="00D160FB">
              <w:rPr>
                <w:spacing w:val="-4"/>
                <w:lang w:val="en-GB"/>
              </w:rPr>
              <w:t xml:space="preserve">6%). </w:t>
            </w:r>
            <w:r w:rsidR="00CA2B32" w:rsidRPr="00D160FB">
              <w:rPr>
                <w:spacing w:val="-4"/>
                <w:lang w:val="en-GB"/>
              </w:rPr>
              <w:t xml:space="preserve">For the majority of the mentioned articles, mainly the change of prices stimulated the increases. </w:t>
            </w:r>
            <w:r w:rsidR="00CE1BE3" w:rsidRPr="00D160FB">
              <w:rPr>
                <w:spacing w:val="-4"/>
                <w:lang w:val="en-GB"/>
              </w:rPr>
              <w:t xml:space="preserve">Together with the renewal of demand for fossil fuels in connection to the energy crisis it was also the case of revival of import of black and brown coal and lignite </w:t>
            </w:r>
            <w:r w:rsidR="00F53917" w:rsidRPr="00D160FB">
              <w:rPr>
                <w:spacing w:val="-4"/>
                <w:lang w:val="en-GB"/>
              </w:rPr>
              <w:t>(+17</w:t>
            </w:r>
            <w:r w:rsidR="00CE1BE3" w:rsidRPr="00D160FB">
              <w:rPr>
                <w:spacing w:val="-4"/>
                <w:lang w:val="en-GB"/>
              </w:rPr>
              <w:t>.</w:t>
            </w:r>
            <w:r w:rsidR="00F53917" w:rsidRPr="00D160FB">
              <w:rPr>
                <w:spacing w:val="-4"/>
                <w:lang w:val="en-GB"/>
              </w:rPr>
              <w:t>2</w:t>
            </w:r>
            <w:r w:rsidR="00CE1BE3" w:rsidRPr="00D160FB">
              <w:rPr>
                <w:spacing w:val="-4"/>
                <w:lang w:val="en-GB"/>
              </w:rPr>
              <w:t xml:space="preserve"> CZK bn</w:t>
            </w:r>
            <w:r w:rsidR="00F53917" w:rsidRPr="00D160FB">
              <w:rPr>
                <w:spacing w:val="-4"/>
                <w:lang w:val="en-GB"/>
              </w:rPr>
              <w:t>, 117</w:t>
            </w:r>
            <w:r w:rsidR="00CE1BE3" w:rsidRPr="00D160FB">
              <w:rPr>
                <w:spacing w:val="-4"/>
                <w:lang w:val="en-GB"/>
              </w:rPr>
              <w:t>.</w:t>
            </w:r>
            <w:r w:rsidR="00F53917" w:rsidRPr="00D160FB">
              <w:rPr>
                <w:spacing w:val="-4"/>
                <w:lang w:val="en-GB"/>
              </w:rPr>
              <w:t>2%) a</w:t>
            </w:r>
            <w:r w:rsidR="00CE1BE3" w:rsidRPr="00D160FB">
              <w:rPr>
                <w:spacing w:val="-4"/>
                <w:lang w:val="en-GB"/>
              </w:rPr>
              <w:t xml:space="preserve">nd electricity, gas, steam and air conditioning </w:t>
            </w:r>
            <w:r w:rsidR="00F53917" w:rsidRPr="00D160FB">
              <w:rPr>
                <w:spacing w:val="-4"/>
                <w:lang w:val="en-GB"/>
              </w:rPr>
              <w:t>(+12</w:t>
            </w:r>
            <w:r w:rsidR="00CE1BE3" w:rsidRPr="00D160FB">
              <w:rPr>
                <w:spacing w:val="-4"/>
                <w:lang w:val="en-GB"/>
              </w:rPr>
              <w:t>.</w:t>
            </w:r>
            <w:r w:rsidR="00F53917" w:rsidRPr="00D160FB">
              <w:rPr>
                <w:spacing w:val="-4"/>
                <w:lang w:val="en-GB"/>
              </w:rPr>
              <w:t>3</w:t>
            </w:r>
            <w:r w:rsidR="00CE1BE3" w:rsidRPr="00D160FB">
              <w:rPr>
                <w:spacing w:val="-4"/>
                <w:lang w:val="en-GB"/>
              </w:rPr>
              <w:t xml:space="preserve"> bn</w:t>
            </w:r>
            <w:r w:rsidR="00F53917" w:rsidRPr="00D160FB">
              <w:rPr>
                <w:spacing w:val="-4"/>
                <w:lang w:val="en-GB"/>
              </w:rPr>
              <w:t>, 50</w:t>
            </w:r>
            <w:r w:rsidR="00CE1BE3" w:rsidRPr="00D160FB">
              <w:rPr>
                <w:spacing w:val="-4"/>
                <w:lang w:val="en-GB"/>
              </w:rPr>
              <w:t>.</w:t>
            </w:r>
            <w:r w:rsidR="00F53917" w:rsidRPr="00D160FB">
              <w:rPr>
                <w:spacing w:val="-4"/>
                <w:lang w:val="en-GB"/>
              </w:rPr>
              <w:t xml:space="preserve">2%). </w:t>
            </w:r>
            <w:r w:rsidR="006547DA" w:rsidRPr="00D160FB">
              <w:rPr>
                <w:spacing w:val="-4"/>
                <w:lang w:val="en-GB"/>
              </w:rPr>
              <w:t xml:space="preserve">Import of </w:t>
            </w:r>
            <w:r w:rsidR="00C57023" w:rsidRPr="00D160FB">
              <w:rPr>
                <w:spacing w:val="-4"/>
                <w:lang w:val="en-GB"/>
              </w:rPr>
              <w:t xml:space="preserve">electrical </w:t>
            </w:r>
            <w:r w:rsidR="005A6032">
              <w:rPr>
                <w:spacing w:val="-4"/>
                <w:lang w:val="en-GB"/>
              </w:rPr>
              <w:t>equipment</w:t>
            </w:r>
            <w:r w:rsidR="00C57023" w:rsidRPr="00D160FB">
              <w:rPr>
                <w:spacing w:val="-4"/>
                <w:lang w:val="en-GB"/>
              </w:rPr>
              <w:t xml:space="preserve"> </w:t>
            </w:r>
            <w:r w:rsidR="00F53917" w:rsidRPr="00D160FB">
              <w:rPr>
                <w:spacing w:val="-4"/>
                <w:lang w:val="en-GB"/>
              </w:rPr>
              <w:t>(+44</w:t>
            </w:r>
            <w:r w:rsidR="00C57023" w:rsidRPr="00D160FB">
              <w:rPr>
                <w:spacing w:val="-4"/>
                <w:lang w:val="en-GB"/>
              </w:rPr>
              <w:t>.</w:t>
            </w:r>
            <w:r w:rsidR="00F53917" w:rsidRPr="00D160FB">
              <w:rPr>
                <w:spacing w:val="-4"/>
                <w:lang w:val="en-GB"/>
              </w:rPr>
              <w:t xml:space="preserve">8 </w:t>
            </w:r>
            <w:r w:rsidR="00C57023" w:rsidRPr="00D160FB">
              <w:rPr>
                <w:spacing w:val="-4"/>
                <w:lang w:val="en-GB"/>
              </w:rPr>
              <w:t>CZK bn</w:t>
            </w:r>
            <w:r w:rsidR="00F53917" w:rsidRPr="00D160FB">
              <w:rPr>
                <w:spacing w:val="-4"/>
                <w:lang w:val="en-GB"/>
              </w:rPr>
              <w:t>, 50</w:t>
            </w:r>
            <w:r w:rsidR="00C57023" w:rsidRPr="00D160FB">
              <w:rPr>
                <w:spacing w:val="-4"/>
                <w:lang w:val="en-GB"/>
              </w:rPr>
              <w:t>.</w:t>
            </w:r>
            <w:r w:rsidR="00F53917" w:rsidRPr="00D160FB">
              <w:rPr>
                <w:spacing w:val="-4"/>
                <w:lang w:val="en-GB"/>
              </w:rPr>
              <w:t>9%), motor</w:t>
            </w:r>
            <w:r w:rsidR="00C57023" w:rsidRPr="00D160FB">
              <w:rPr>
                <w:spacing w:val="-4"/>
                <w:lang w:val="en-GB"/>
              </w:rPr>
              <w:t xml:space="preserve"> vehicles </w:t>
            </w:r>
            <w:r w:rsidR="00F53917" w:rsidRPr="00D160FB">
              <w:rPr>
                <w:spacing w:val="-4"/>
                <w:lang w:val="en-GB"/>
              </w:rPr>
              <w:t>(+31</w:t>
            </w:r>
            <w:r w:rsidR="00C57023" w:rsidRPr="00D160FB">
              <w:rPr>
                <w:spacing w:val="-4"/>
                <w:lang w:val="en-GB"/>
              </w:rPr>
              <w:t>.</w:t>
            </w:r>
            <w:r w:rsidR="00F53917" w:rsidRPr="00D160FB">
              <w:rPr>
                <w:spacing w:val="-4"/>
                <w:lang w:val="en-GB"/>
              </w:rPr>
              <w:t>1</w:t>
            </w:r>
            <w:r w:rsidR="00C57023" w:rsidRPr="00D160FB">
              <w:rPr>
                <w:spacing w:val="-4"/>
                <w:lang w:val="en-GB"/>
              </w:rPr>
              <w:t xml:space="preserve"> bn</w:t>
            </w:r>
            <w:r w:rsidR="00F53917" w:rsidRPr="00D160FB">
              <w:rPr>
                <w:spacing w:val="-4"/>
                <w:lang w:val="en-GB"/>
              </w:rPr>
              <w:t>, 25</w:t>
            </w:r>
            <w:r w:rsidR="00C57023" w:rsidRPr="00D160FB">
              <w:rPr>
                <w:spacing w:val="-4"/>
                <w:lang w:val="en-GB"/>
              </w:rPr>
              <w:t>.</w:t>
            </w:r>
            <w:r w:rsidR="00F53917" w:rsidRPr="00D160FB">
              <w:rPr>
                <w:spacing w:val="-4"/>
                <w:lang w:val="en-GB"/>
              </w:rPr>
              <w:t xml:space="preserve">0%) </w:t>
            </w:r>
            <w:r w:rsidR="00C57023" w:rsidRPr="00D160FB">
              <w:rPr>
                <w:spacing w:val="-4"/>
                <w:lang w:val="en-GB"/>
              </w:rPr>
              <w:t xml:space="preserve">and oil and natural gas </w:t>
            </w:r>
            <w:r w:rsidR="00F53917" w:rsidRPr="00D160FB">
              <w:rPr>
                <w:spacing w:val="-4"/>
                <w:lang w:val="en-GB"/>
              </w:rPr>
              <w:t>(+28</w:t>
            </w:r>
            <w:r w:rsidR="00662860" w:rsidRPr="00D160FB">
              <w:rPr>
                <w:spacing w:val="-4"/>
                <w:lang w:val="en-GB"/>
              </w:rPr>
              <w:t>.</w:t>
            </w:r>
            <w:r w:rsidR="00F53917" w:rsidRPr="00D160FB">
              <w:rPr>
                <w:spacing w:val="-4"/>
                <w:lang w:val="en-GB"/>
              </w:rPr>
              <w:t>7</w:t>
            </w:r>
            <w:r w:rsidR="00662860" w:rsidRPr="00D160FB">
              <w:rPr>
                <w:spacing w:val="-4"/>
                <w:lang w:val="en-GB"/>
              </w:rPr>
              <w:t xml:space="preserve"> bn</w:t>
            </w:r>
            <w:r w:rsidR="00F53917" w:rsidRPr="00D160FB">
              <w:rPr>
                <w:spacing w:val="-4"/>
                <w:lang w:val="en-GB"/>
              </w:rPr>
              <w:t>, 52</w:t>
            </w:r>
            <w:r w:rsidR="00662860" w:rsidRPr="00D160FB">
              <w:rPr>
                <w:spacing w:val="-4"/>
                <w:lang w:val="en-GB"/>
              </w:rPr>
              <w:t>.</w:t>
            </w:r>
            <w:r w:rsidR="00F53917" w:rsidRPr="00D160FB">
              <w:rPr>
                <w:spacing w:val="-4"/>
                <w:lang w:val="en-GB"/>
              </w:rPr>
              <w:t>4%)</w:t>
            </w:r>
            <w:r w:rsidR="006547DA" w:rsidRPr="00D160FB">
              <w:rPr>
                <w:spacing w:val="-4"/>
                <w:lang w:val="en-GB"/>
              </w:rPr>
              <w:t xml:space="preserve"> was growing the fastest year-on-year</w:t>
            </w:r>
            <w:r w:rsidR="00CE1BE3" w:rsidRPr="00D160FB">
              <w:rPr>
                <w:spacing w:val="-4"/>
                <w:lang w:val="en-GB"/>
              </w:rPr>
              <w:t xml:space="preserve"> in Q4</w:t>
            </w:r>
            <w:r w:rsidR="00F53917" w:rsidRPr="00D160FB">
              <w:rPr>
                <w:spacing w:val="-4"/>
                <w:lang w:val="en-GB"/>
              </w:rPr>
              <w:t xml:space="preserve">, </w:t>
            </w:r>
            <w:r w:rsidR="00662860" w:rsidRPr="00D160FB">
              <w:rPr>
                <w:spacing w:val="-4"/>
                <w:lang w:val="en-GB"/>
              </w:rPr>
              <w:t xml:space="preserve">the slump of dynamics however </w:t>
            </w:r>
            <w:r w:rsidR="00825406" w:rsidRPr="00D160FB">
              <w:rPr>
                <w:spacing w:val="-4"/>
                <w:lang w:val="en-GB"/>
              </w:rPr>
              <w:t xml:space="preserve">continued here </w:t>
            </w:r>
            <w:r w:rsidR="00F53917" w:rsidRPr="00D160FB">
              <w:rPr>
                <w:spacing w:val="-4"/>
                <w:lang w:val="en-GB"/>
              </w:rPr>
              <w:t>(</w:t>
            </w:r>
            <w:r w:rsidR="00742227" w:rsidRPr="00D160FB">
              <w:rPr>
                <w:spacing w:val="-4"/>
                <w:lang w:val="en-GB"/>
              </w:rPr>
              <w:t>it was the lowest addition since Q</w:t>
            </w:r>
            <w:r w:rsidR="00F53917" w:rsidRPr="00D160FB">
              <w:rPr>
                <w:spacing w:val="-4"/>
                <w:lang w:val="en-GB"/>
              </w:rPr>
              <w:t>3</w:t>
            </w:r>
            <w:r w:rsidR="00742227" w:rsidRPr="00D160FB">
              <w:rPr>
                <w:spacing w:val="-4"/>
                <w:lang w:val="en-GB"/>
              </w:rPr>
              <w:t xml:space="preserve"> </w:t>
            </w:r>
            <w:r w:rsidR="00F53917" w:rsidRPr="00D160FB">
              <w:rPr>
                <w:spacing w:val="-4"/>
                <w:lang w:val="en-GB"/>
              </w:rPr>
              <w:t xml:space="preserve">2021). </w:t>
            </w:r>
            <w:r w:rsidR="001D57D2" w:rsidRPr="00D160FB">
              <w:rPr>
                <w:spacing w:val="-4"/>
                <w:lang w:val="en-GB"/>
              </w:rPr>
              <w:t xml:space="preserve">Increase was also notable for machinery and equipment </w:t>
            </w:r>
            <w:r w:rsidR="00F53917" w:rsidRPr="00D160FB">
              <w:rPr>
                <w:spacing w:val="-4"/>
                <w:lang w:val="en-GB"/>
              </w:rPr>
              <w:t>(+12</w:t>
            </w:r>
            <w:r w:rsidR="001D57D2" w:rsidRPr="00D160FB">
              <w:rPr>
                <w:spacing w:val="-4"/>
                <w:lang w:val="en-GB"/>
              </w:rPr>
              <w:t>.</w:t>
            </w:r>
            <w:r w:rsidR="00F53917" w:rsidRPr="00D160FB">
              <w:rPr>
                <w:spacing w:val="-4"/>
                <w:lang w:val="en-GB"/>
              </w:rPr>
              <w:t>4</w:t>
            </w:r>
            <w:r w:rsidR="001D57D2" w:rsidRPr="00D160FB">
              <w:rPr>
                <w:spacing w:val="-4"/>
                <w:lang w:val="en-GB"/>
              </w:rPr>
              <w:t xml:space="preserve"> CZK bn</w:t>
            </w:r>
            <w:r w:rsidR="00F53917" w:rsidRPr="00D160FB">
              <w:rPr>
                <w:spacing w:val="-4"/>
                <w:lang w:val="en-GB"/>
              </w:rPr>
              <w:t>, 13</w:t>
            </w:r>
            <w:r w:rsidR="001D57D2" w:rsidRPr="00D160FB">
              <w:rPr>
                <w:spacing w:val="-4"/>
                <w:lang w:val="en-GB"/>
              </w:rPr>
              <w:t>.</w:t>
            </w:r>
            <w:r w:rsidR="00F53917" w:rsidRPr="00D160FB">
              <w:rPr>
                <w:spacing w:val="-4"/>
                <w:lang w:val="en-GB"/>
              </w:rPr>
              <w:t xml:space="preserve">1%), </w:t>
            </w:r>
            <w:r w:rsidR="001D57D2" w:rsidRPr="00D160FB">
              <w:rPr>
                <w:spacing w:val="-4"/>
                <w:lang w:val="en-GB"/>
              </w:rPr>
              <w:t xml:space="preserve">food products </w:t>
            </w:r>
            <w:r w:rsidR="00F53917" w:rsidRPr="00D160FB">
              <w:rPr>
                <w:spacing w:val="-4"/>
                <w:lang w:val="en-GB"/>
              </w:rPr>
              <w:t>(+8</w:t>
            </w:r>
            <w:r w:rsidR="001D57D2" w:rsidRPr="00D160FB">
              <w:rPr>
                <w:spacing w:val="-4"/>
                <w:lang w:val="en-GB"/>
              </w:rPr>
              <w:t>.</w:t>
            </w:r>
            <w:r w:rsidR="00F53917" w:rsidRPr="00D160FB">
              <w:rPr>
                <w:spacing w:val="-4"/>
                <w:lang w:val="en-GB"/>
              </w:rPr>
              <w:t>9</w:t>
            </w:r>
            <w:r w:rsidR="001D57D2" w:rsidRPr="00D160FB">
              <w:rPr>
                <w:spacing w:val="-4"/>
                <w:lang w:val="en-GB"/>
              </w:rPr>
              <w:t xml:space="preserve"> bn</w:t>
            </w:r>
            <w:r w:rsidR="00F53917" w:rsidRPr="00D160FB">
              <w:rPr>
                <w:spacing w:val="-4"/>
                <w:lang w:val="en-GB"/>
              </w:rPr>
              <w:t>,</w:t>
            </w:r>
            <w:r w:rsidR="001D57D2" w:rsidRPr="00D160FB">
              <w:rPr>
                <w:spacing w:val="-4"/>
                <w:lang w:val="en-GB"/>
              </w:rPr>
              <w:t xml:space="preserve"> </w:t>
            </w:r>
            <w:r w:rsidR="00F53917" w:rsidRPr="00D160FB">
              <w:rPr>
                <w:spacing w:val="-4"/>
                <w:lang w:val="en-GB"/>
              </w:rPr>
              <w:t>18</w:t>
            </w:r>
            <w:r w:rsidR="001D57D2" w:rsidRPr="00D160FB">
              <w:rPr>
                <w:spacing w:val="-4"/>
                <w:lang w:val="en-GB"/>
              </w:rPr>
              <w:t>.</w:t>
            </w:r>
            <w:r w:rsidR="00F53917" w:rsidRPr="00D160FB">
              <w:rPr>
                <w:spacing w:val="-4"/>
                <w:lang w:val="en-GB"/>
              </w:rPr>
              <w:t xml:space="preserve">3%), </w:t>
            </w:r>
            <w:r w:rsidR="001D57D2" w:rsidRPr="00D160FB">
              <w:rPr>
                <w:spacing w:val="-4"/>
                <w:lang w:val="en-GB"/>
              </w:rPr>
              <w:t xml:space="preserve">coke and </w:t>
            </w:r>
            <w:r w:rsidR="00186538">
              <w:rPr>
                <w:spacing w:val="-4"/>
                <w:lang w:val="en-GB"/>
              </w:rPr>
              <w:t>refined petroleum</w:t>
            </w:r>
            <w:r w:rsidR="001D57D2" w:rsidRPr="00D160FB">
              <w:rPr>
                <w:spacing w:val="-4"/>
                <w:lang w:val="en-GB"/>
              </w:rPr>
              <w:t xml:space="preserve"> products </w:t>
            </w:r>
            <w:r w:rsidR="00F53917" w:rsidRPr="00D160FB">
              <w:rPr>
                <w:spacing w:val="-4"/>
                <w:lang w:val="en-GB"/>
              </w:rPr>
              <w:t>(+6</w:t>
            </w:r>
            <w:r w:rsidR="001D57D2" w:rsidRPr="00D160FB">
              <w:rPr>
                <w:spacing w:val="-4"/>
                <w:lang w:val="en-GB"/>
              </w:rPr>
              <w:t>.</w:t>
            </w:r>
            <w:r w:rsidR="00F53917" w:rsidRPr="00D160FB">
              <w:rPr>
                <w:spacing w:val="-4"/>
                <w:lang w:val="en-GB"/>
              </w:rPr>
              <w:t>1</w:t>
            </w:r>
            <w:r w:rsidR="001D57D2" w:rsidRPr="00D160FB">
              <w:rPr>
                <w:spacing w:val="-4"/>
                <w:lang w:val="en-GB"/>
              </w:rPr>
              <w:t xml:space="preserve"> bn</w:t>
            </w:r>
            <w:r w:rsidR="00F53917" w:rsidRPr="00D160FB">
              <w:rPr>
                <w:spacing w:val="-4"/>
                <w:lang w:val="en-GB"/>
              </w:rPr>
              <w:t>, 29</w:t>
            </w:r>
            <w:r w:rsidR="001D57D2" w:rsidRPr="00D160FB">
              <w:rPr>
                <w:spacing w:val="-4"/>
                <w:lang w:val="en-GB"/>
              </w:rPr>
              <w:t>.</w:t>
            </w:r>
            <w:r w:rsidR="00F53917" w:rsidRPr="00D160FB">
              <w:rPr>
                <w:spacing w:val="-4"/>
                <w:lang w:val="en-GB"/>
              </w:rPr>
              <w:t xml:space="preserve">5%), </w:t>
            </w:r>
            <w:r w:rsidR="00186538">
              <w:rPr>
                <w:spacing w:val="-4"/>
                <w:lang w:val="en-GB"/>
              </w:rPr>
              <w:t>fabricated metal</w:t>
            </w:r>
            <w:r w:rsidR="001D57D2" w:rsidRPr="00D160FB">
              <w:rPr>
                <w:spacing w:val="-4"/>
                <w:lang w:val="en-GB"/>
              </w:rPr>
              <w:t xml:space="preserve"> products </w:t>
            </w:r>
            <w:r w:rsidR="00F53917" w:rsidRPr="00D160FB">
              <w:rPr>
                <w:spacing w:val="-4"/>
                <w:lang w:val="en-GB"/>
              </w:rPr>
              <w:t>(+5</w:t>
            </w:r>
            <w:r w:rsidR="001D57D2" w:rsidRPr="00D160FB">
              <w:rPr>
                <w:spacing w:val="-4"/>
                <w:lang w:val="en-GB"/>
              </w:rPr>
              <w:t>.</w:t>
            </w:r>
            <w:r w:rsidR="00F53917" w:rsidRPr="00D160FB">
              <w:rPr>
                <w:spacing w:val="-4"/>
                <w:lang w:val="en-GB"/>
              </w:rPr>
              <w:t>7</w:t>
            </w:r>
            <w:r w:rsidR="001D57D2" w:rsidRPr="00D160FB">
              <w:rPr>
                <w:spacing w:val="-4"/>
                <w:lang w:val="en-GB"/>
              </w:rPr>
              <w:t xml:space="preserve"> bn</w:t>
            </w:r>
            <w:r w:rsidR="00F53917" w:rsidRPr="00D160FB">
              <w:rPr>
                <w:spacing w:val="-4"/>
                <w:lang w:val="en-GB"/>
              </w:rPr>
              <w:t>, 12</w:t>
            </w:r>
            <w:r w:rsidR="001D57D2" w:rsidRPr="00D160FB">
              <w:rPr>
                <w:spacing w:val="-4"/>
                <w:lang w:val="en-GB"/>
              </w:rPr>
              <w:t>.</w:t>
            </w:r>
            <w:r w:rsidR="00F53917" w:rsidRPr="00D160FB">
              <w:rPr>
                <w:spacing w:val="-4"/>
                <w:lang w:val="en-GB"/>
              </w:rPr>
              <w:t>6%) a</w:t>
            </w:r>
            <w:r w:rsidR="001D57D2" w:rsidRPr="00D160FB">
              <w:rPr>
                <w:spacing w:val="-4"/>
                <w:lang w:val="en-GB"/>
              </w:rPr>
              <w:t xml:space="preserve">nd chemical substances and products </w:t>
            </w:r>
            <w:r w:rsidR="00F53917" w:rsidRPr="00D160FB">
              <w:rPr>
                <w:spacing w:val="-4"/>
                <w:lang w:val="en-GB"/>
              </w:rPr>
              <w:t>(+5</w:t>
            </w:r>
            <w:r w:rsidR="001D57D2" w:rsidRPr="00D160FB">
              <w:rPr>
                <w:spacing w:val="-4"/>
                <w:lang w:val="en-GB"/>
              </w:rPr>
              <w:t>.</w:t>
            </w:r>
            <w:r w:rsidR="00F53917" w:rsidRPr="00D160FB">
              <w:rPr>
                <w:spacing w:val="-4"/>
                <w:lang w:val="en-GB"/>
              </w:rPr>
              <w:t>3</w:t>
            </w:r>
            <w:r w:rsidR="001D57D2" w:rsidRPr="00D160FB">
              <w:rPr>
                <w:spacing w:val="-4"/>
                <w:lang w:val="en-GB"/>
              </w:rPr>
              <w:t xml:space="preserve"> bn</w:t>
            </w:r>
            <w:r w:rsidR="00F53917" w:rsidRPr="00D160FB">
              <w:rPr>
                <w:spacing w:val="-4"/>
                <w:lang w:val="en-GB"/>
              </w:rPr>
              <w:t>, 6</w:t>
            </w:r>
            <w:r w:rsidR="001D57D2" w:rsidRPr="00D160FB">
              <w:rPr>
                <w:spacing w:val="-4"/>
                <w:lang w:val="en-GB"/>
              </w:rPr>
              <w:t>.</w:t>
            </w:r>
            <w:r w:rsidR="00F53917" w:rsidRPr="00D160FB">
              <w:rPr>
                <w:spacing w:val="-4"/>
                <w:lang w:val="en-GB"/>
              </w:rPr>
              <w:t xml:space="preserve">0%). </w:t>
            </w:r>
            <w:r w:rsidR="00430114" w:rsidRPr="00D160FB">
              <w:rPr>
                <w:spacing w:val="-4"/>
                <w:lang w:val="en-GB"/>
              </w:rPr>
              <w:t xml:space="preserve">Import of basic metals </w:t>
            </w:r>
            <w:r w:rsidR="00F53917" w:rsidRPr="00D160FB">
              <w:rPr>
                <w:spacing w:val="-4"/>
                <w:lang w:val="en-GB"/>
              </w:rPr>
              <w:t>(−5</w:t>
            </w:r>
            <w:r w:rsidR="00430114" w:rsidRPr="00D160FB">
              <w:rPr>
                <w:spacing w:val="-4"/>
                <w:lang w:val="en-GB"/>
              </w:rPr>
              <w:t>.</w:t>
            </w:r>
            <w:r w:rsidR="00F53917" w:rsidRPr="00D160FB">
              <w:rPr>
                <w:spacing w:val="-4"/>
                <w:lang w:val="en-GB"/>
              </w:rPr>
              <w:t>3</w:t>
            </w:r>
            <w:r w:rsidR="00430114" w:rsidRPr="00D160FB">
              <w:rPr>
                <w:spacing w:val="-4"/>
                <w:lang w:val="en-GB"/>
              </w:rPr>
              <w:t xml:space="preserve"> bn</w:t>
            </w:r>
            <w:r w:rsidR="00F53917" w:rsidRPr="00D160FB">
              <w:rPr>
                <w:spacing w:val="-4"/>
                <w:lang w:val="en-GB"/>
              </w:rPr>
              <w:t>, −6</w:t>
            </w:r>
            <w:r w:rsidR="00430114" w:rsidRPr="00D160FB">
              <w:rPr>
                <w:spacing w:val="-4"/>
                <w:lang w:val="en-GB"/>
              </w:rPr>
              <w:t>.</w:t>
            </w:r>
            <w:r w:rsidR="00F53917" w:rsidRPr="00D160FB">
              <w:rPr>
                <w:spacing w:val="-4"/>
                <w:lang w:val="en-GB"/>
              </w:rPr>
              <w:t>0%) a</w:t>
            </w:r>
            <w:r w:rsidR="00430114" w:rsidRPr="00D160FB">
              <w:rPr>
                <w:spacing w:val="-4"/>
                <w:lang w:val="en-GB"/>
              </w:rPr>
              <w:t xml:space="preserve">nd electricity, gas, steam and air conditioning </w:t>
            </w:r>
            <w:r w:rsidR="00F53917" w:rsidRPr="00D160FB">
              <w:rPr>
                <w:spacing w:val="-4"/>
                <w:lang w:val="en-GB"/>
              </w:rPr>
              <w:t>(−1</w:t>
            </w:r>
            <w:r w:rsidR="00430114" w:rsidRPr="00D160FB">
              <w:rPr>
                <w:spacing w:val="-4"/>
                <w:lang w:val="en-GB"/>
              </w:rPr>
              <w:t>.</w:t>
            </w:r>
            <w:r w:rsidR="00F53917" w:rsidRPr="00D160FB">
              <w:rPr>
                <w:spacing w:val="-4"/>
                <w:lang w:val="en-GB"/>
              </w:rPr>
              <w:t>4</w:t>
            </w:r>
            <w:r w:rsidR="00430114" w:rsidRPr="00D160FB">
              <w:rPr>
                <w:spacing w:val="-4"/>
                <w:lang w:val="en-GB"/>
              </w:rPr>
              <w:t xml:space="preserve"> bn</w:t>
            </w:r>
            <w:r w:rsidR="00F53917" w:rsidRPr="00D160FB">
              <w:rPr>
                <w:spacing w:val="-4"/>
                <w:lang w:val="en-GB"/>
              </w:rPr>
              <w:t>, −14</w:t>
            </w:r>
            <w:r w:rsidR="00430114" w:rsidRPr="00D160FB">
              <w:rPr>
                <w:spacing w:val="-4"/>
                <w:lang w:val="en-GB"/>
              </w:rPr>
              <w:t>.</w:t>
            </w:r>
            <w:r w:rsidR="00F53917" w:rsidRPr="00D160FB">
              <w:rPr>
                <w:spacing w:val="-4"/>
                <w:lang w:val="en-GB"/>
              </w:rPr>
              <w:t>5%)</w:t>
            </w:r>
            <w:r w:rsidR="00430114" w:rsidRPr="00D160FB">
              <w:rPr>
                <w:spacing w:val="-4"/>
                <w:lang w:val="en-GB"/>
              </w:rPr>
              <w:t xml:space="preserve"> dropped the most year-on-year</w:t>
            </w:r>
            <w:r w:rsidR="00F53917" w:rsidRPr="00D160FB">
              <w:rPr>
                <w:spacing w:val="-4"/>
                <w:lang w:val="en-GB"/>
              </w:rPr>
              <w:t xml:space="preserve">.       </w:t>
            </w:r>
          </w:p>
        </w:tc>
      </w:tr>
      <w:tr w:rsidR="00F53917" w:rsidRPr="00D160FB" w14:paraId="75B65A82" w14:textId="77777777" w:rsidTr="0063723A">
        <w:trPr>
          <w:trHeight w:val="145"/>
        </w:trPr>
        <w:tc>
          <w:tcPr>
            <w:tcW w:w="1476" w:type="dxa"/>
            <w:shd w:val="clear" w:color="auto" w:fill="auto"/>
            <w:tcMar>
              <w:left w:w="0" w:type="dxa"/>
            </w:tcMar>
          </w:tcPr>
          <w:p w14:paraId="6FB6FBD7" w14:textId="57B7B157" w:rsidR="00F53917" w:rsidRPr="00D160FB" w:rsidRDefault="00E26122" w:rsidP="00163868">
            <w:pPr>
              <w:pStyle w:val="Marginlie"/>
              <w:rPr>
                <w:lang w:val="en-GB"/>
              </w:rPr>
            </w:pPr>
            <w:r w:rsidRPr="00D160FB">
              <w:rPr>
                <w:lang w:val="en-GB"/>
              </w:rPr>
              <w:t xml:space="preserve">Total </w:t>
            </w:r>
            <w:r w:rsidR="00071FF1" w:rsidRPr="00D160FB">
              <w:rPr>
                <w:lang w:val="en-GB"/>
              </w:rPr>
              <w:t xml:space="preserve">balance of foreign trade with goods ended in deep deficit last year. </w:t>
            </w:r>
          </w:p>
        </w:tc>
        <w:tc>
          <w:tcPr>
            <w:tcW w:w="152" w:type="dxa"/>
            <w:shd w:val="clear" w:color="auto" w:fill="auto"/>
            <w:tcMar>
              <w:left w:w="0" w:type="dxa"/>
            </w:tcMar>
          </w:tcPr>
          <w:p w14:paraId="59E852ED"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40C2369F" w14:textId="3CCC0B1C" w:rsidR="00F53917" w:rsidRPr="00D160FB" w:rsidRDefault="00F53917" w:rsidP="00163868">
            <w:pPr>
              <w:spacing w:after="180"/>
              <w:rPr>
                <w:spacing w:val="-4"/>
                <w:lang w:val="en-GB"/>
              </w:rPr>
            </w:pPr>
            <w:r w:rsidRPr="00D160FB">
              <w:rPr>
                <w:spacing w:val="-4"/>
                <w:lang w:val="en-GB"/>
              </w:rPr>
              <w:t>B</w:t>
            </w:r>
            <w:r w:rsidR="00A46894" w:rsidRPr="00D160FB">
              <w:rPr>
                <w:spacing w:val="-4"/>
                <w:lang w:val="en-GB"/>
              </w:rPr>
              <w:t xml:space="preserve">alance of foreign trade with goods ended in deficit of </w:t>
            </w:r>
            <w:r w:rsidRPr="00D160FB">
              <w:rPr>
                <w:spacing w:val="-4"/>
                <w:lang w:val="en-GB"/>
              </w:rPr>
              <w:t>199</w:t>
            </w:r>
            <w:r w:rsidR="00A46894" w:rsidRPr="00D160FB">
              <w:rPr>
                <w:spacing w:val="-4"/>
                <w:lang w:val="en-GB"/>
              </w:rPr>
              <w:t>.</w:t>
            </w:r>
            <w:r w:rsidRPr="00D160FB">
              <w:rPr>
                <w:spacing w:val="-4"/>
                <w:lang w:val="en-GB"/>
              </w:rPr>
              <w:t>7</w:t>
            </w:r>
            <w:r w:rsidR="00A46894" w:rsidRPr="00D160FB">
              <w:rPr>
                <w:spacing w:val="-4"/>
                <w:lang w:val="en-GB"/>
              </w:rPr>
              <w:t xml:space="preserve"> CZK bn last year. It was the second annual deficit in a row and it worsened by </w:t>
            </w:r>
            <w:r w:rsidRPr="00D160FB">
              <w:rPr>
                <w:spacing w:val="-4"/>
                <w:lang w:val="en-GB"/>
              </w:rPr>
              <w:t>190</w:t>
            </w:r>
            <w:r w:rsidR="00A46894" w:rsidRPr="00D160FB">
              <w:rPr>
                <w:spacing w:val="-4"/>
                <w:lang w:val="en-GB"/>
              </w:rPr>
              <w:t>.</w:t>
            </w:r>
            <w:r w:rsidRPr="00D160FB">
              <w:rPr>
                <w:spacing w:val="-4"/>
                <w:lang w:val="en-GB"/>
              </w:rPr>
              <w:t>5</w:t>
            </w:r>
            <w:r w:rsidR="00A46894" w:rsidRPr="00D160FB">
              <w:rPr>
                <w:spacing w:val="-4"/>
                <w:lang w:val="en-GB"/>
              </w:rPr>
              <w:t xml:space="preserve"> CZK bn. The balance was negative in all last year’s quarters and </w:t>
            </w:r>
            <w:r w:rsidR="00515079" w:rsidRPr="00D160FB">
              <w:rPr>
                <w:spacing w:val="-4"/>
                <w:lang w:val="en-GB"/>
              </w:rPr>
              <w:t>attained the sixth deficit in a row in Q</w:t>
            </w:r>
            <w:r w:rsidRPr="00D160FB">
              <w:rPr>
                <w:spacing w:val="-4"/>
                <w:lang w:val="en-GB"/>
              </w:rPr>
              <w:t>4</w:t>
            </w:r>
            <w:r w:rsidR="00515079" w:rsidRPr="00D160FB">
              <w:rPr>
                <w:spacing w:val="-4"/>
                <w:lang w:val="en-GB"/>
              </w:rPr>
              <w:t xml:space="preserve">, this time in the amount of </w:t>
            </w:r>
            <w:r w:rsidRPr="00D160FB">
              <w:rPr>
                <w:spacing w:val="-4"/>
                <w:lang w:val="en-GB"/>
              </w:rPr>
              <w:t>50</w:t>
            </w:r>
            <w:r w:rsidR="00515079" w:rsidRPr="00D160FB">
              <w:rPr>
                <w:spacing w:val="-4"/>
                <w:lang w:val="en-GB"/>
              </w:rPr>
              <w:t>.</w:t>
            </w:r>
            <w:r w:rsidRPr="00D160FB">
              <w:rPr>
                <w:spacing w:val="-4"/>
                <w:lang w:val="en-GB"/>
              </w:rPr>
              <w:t>4</w:t>
            </w:r>
            <w:r w:rsidR="00515079" w:rsidRPr="00D160FB">
              <w:rPr>
                <w:spacing w:val="-4"/>
                <w:lang w:val="en-GB"/>
              </w:rPr>
              <w:t xml:space="preserve"> CZK bn</w:t>
            </w:r>
            <w:r w:rsidRPr="00D160FB">
              <w:rPr>
                <w:spacing w:val="-4"/>
                <w:lang w:val="en-GB"/>
              </w:rPr>
              <w:t xml:space="preserve">. </w:t>
            </w:r>
            <w:r w:rsidR="00515079" w:rsidRPr="00D160FB">
              <w:rPr>
                <w:spacing w:val="-4"/>
                <w:lang w:val="en-GB"/>
              </w:rPr>
              <w:t xml:space="preserve">The deficit deteriorated by </w:t>
            </w:r>
            <w:r w:rsidRPr="00D160FB">
              <w:rPr>
                <w:spacing w:val="-4"/>
                <w:lang w:val="en-GB"/>
              </w:rPr>
              <w:t>21</w:t>
            </w:r>
            <w:r w:rsidR="00515079" w:rsidRPr="00D160FB">
              <w:rPr>
                <w:spacing w:val="-4"/>
                <w:lang w:val="en-GB"/>
              </w:rPr>
              <w:t>.</w:t>
            </w:r>
            <w:r w:rsidRPr="00D160FB">
              <w:rPr>
                <w:spacing w:val="-4"/>
                <w:lang w:val="en-GB"/>
              </w:rPr>
              <w:t>1</w:t>
            </w:r>
            <w:r w:rsidR="00515079" w:rsidRPr="00D160FB">
              <w:rPr>
                <w:spacing w:val="-4"/>
                <w:lang w:val="en-GB"/>
              </w:rPr>
              <w:t xml:space="preserve"> CZK bn year-on-year</w:t>
            </w:r>
            <w:r w:rsidRPr="00D160FB">
              <w:rPr>
                <w:spacing w:val="-4"/>
                <w:lang w:val="en-GB"/>
              </w:rPr>
              <w:t>. Se</w:t>
            </w:r>
            <w:r w:rsidR="00B774BD" w:rsidRPr="00D160FB">
              <w:rPr>
                <w:spacing w:val="-4"/>
                <w:lang w:val="en-GB"/>
              </w:rPr>
              <w:t>asonally adjusted data</w:t>
            </w:r>
            <w:r w:rsidR="005A6032">
              <w:rPr>
                <w:spacing w:val="-4"/>
                <w:lang w:val="en-GB"/>
              </w:rPr>
              <w:t xml:space="preserve"> </w:t>
            </w:r>
            <w:r w:rsidR="00160385" w:rsidRPr="00D160FB">
              <w:rPr>
                <w:spacing w:val="-4"/>
                <w:lang w:val="en-GB"/>
              </w:rPr>
              <w:t>nevertheless suggest</w:t>
            </w:r>
            <w:r w:rsidR="00B774BD" w:rsidRPr="00D160FB">
              <w:rPr>
                <w:spacing w:val="-4"/>
                <w:lang w:val="en-GB"/>
              </w:rPr>
              <w:t xml:space="preserve"> that the balance was improving quarter-on-quarter for the second quarter in a row. </w:t>
            </w:r>
            <w:r w:rsidRPr="00D160FB">
              <w:rPr>
                <w:spacing w:val="-4"/>
                <w:lang w:val="en-GB"/>
              </w:rPr>
              <w:t xml:space="preserve"> </w:t>
            </w:r>
          </w:p>
        </w:tc>
      </w:tr>
      <w:tr w:rsidR="00F53917" w:rsidRPr="00D160FB" w14:paraId="5823B1B1" w14:textId="77777777" w:rsidTr="0063723A">
        <w:trPr>
          <w:trHeight w:val="145"/>
        </w:trPr>
        <w:tc>
          <w:tcPr>
            <w:tcW w:w="1476" w:type="dxa"/>
            <w:shd w:val="clear" w:color="auto" w:fill="auto"/>
            <w:tcMar>
              <w:left w:w="0" w:type="dxa"/>
            </w:tcMar>
          </w:tcPr>
          <w:p w14:paraId="6FBB2AE1" w14:textId="27455D07" w:rsidR="00F53917" w:rsidRPr="00D160FB" w:rsidRDefault="00401837" w:rsidP="00163868">
            <w:pPr>
              <w:pStyle w:val="Marginlie"/>
              <w:rPr>
                <w:lang w:val="en-GB"/>
              </w:rPr>
            </w:pPr>
            <w:r w:rsidRPr="00D160FB">
              <w:rPr>
                <w:lang w:val="en-GB"/>
              </w:rPr>
              <w:t xml:space="preserve">Growth of the prices of materials impacted the balance deterioration. It was also related to the deepening of the trade deficit with the countries outside the EU.  </w:t>
            </w:r>
          </w:p>
        </w:tc>
        <w:tc>
          <w:tcPr>
            <w:tcW w:w="152" w:type="dxa"/>
            <w:shd w:val="clear" w:color="auto" w:fill="auto"/>
            <w:tcMar>
              <w:left w:w="0" w:type="dxa"/>
            </w:tcMar>
          </w:tcPr>
          <w:p w14:paraId="7A68EB1A"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26103DE8" w14:textId="7AD30384" w:rsidR="00F53917" w:rsidRPr="00D160FB" w:rsidRDefault="0035547E" w:rsidP="00163868">
            <w:pPr>
              <w:spacing w:after="180"/>
              <w:rPr>
                <w:spacing w:val="-4"/>
                <w:lang w:val="en-GB"/>
              </w:rPr>
            </w:pPr>
            <w:r w:rsidRPr="00D160FB">
              <w:rPr>
                <w:spacing w:val="-4"/>
                <w:lang w:val="en-GB"/>
              </w:rPr>
              <w:t xml:space="preserve">Worsening of the balance of foreign trade with goods was completely attributed to the trade with countries outside the EU last year </w:t>
            </w:r>
            <w:r w:rsidR="00F53917" w:rsidRPr="00D160FB">
              <w:rPr>
                <w:spacing w:val="-4"/>
                <w:lang w:val="en-GB"/>
              </w:rPr>
              <w:t>(</w:t>
            </w:r>
            <w:r w:rsidR="008C58EF" w:rsidRPr="00D160FB">
              <w:rPr>
                <w:spacing w:val="-4"/>
                <w:lang w:val="en-GB"/>
              </w:rPr>
              <w:t xml:space="preserve">deficit deepening by </w:t>
            </w:r>
            <w:r w:rsidR="00F53917" w:rsidRPr="00D160FB">
              <w:rPr>
                <w:spacing w:val="-4"/>
                <w:lang w:val="en-GB"/>
              </w:rPr>
              <w:t>355</w:t>
            </w:r>
            <w:r w:rsidR="008C58EF" w:rsidRPr="00D160FB">
              <w:rPr>
                <w:spacing w:val="-4"/>
                <w:lang w:val="en-GB"/>
              </w:rPr>
              <w:t>.</w:t>
            </w:r>
            <w:r w:rsidR="00F53917" w:rsidRPr="00D160FB">
              <w:rPr>
                <w:spacing w:val="-4"/>
                <w:lang w:val="en-GB"/>
              </w:rPr>
              <w:t>5</w:t>
            </w:r>
            <w:r w:rsidR="008C58EF" w:rsidRPr="00D160FB">
              <w:rPr>
                <w:spacing w:val="-4"/>
                <w:lang w:val="en-GB"/>
              </w:rPr>
              <w:t xml:space="preserve"> CZK bn</w:t>
            </w:r>
            <w:r w:rsidR="00F53917" w:rsidRPr="00D160FB">
              <w:rPr>
                <w:spacing w:val="-4"/>
                <w:lang w:val="en-GB"/>
              </w:rPr>
              <w:t xml:space="preserve">). </w:t>
            </w:r>
            <w:r w:rsidR="006C0CFA" w:rsidRPr="00D160FB">
              <w:rPr>
                <w:spacing w:val="-4"/>
                <w:lang w:val="en-GB"/>
              </w:rPr>
              <w:t xml:space="preserve">Even the record improvement of the trade balance with the EU by </w:t>
            </w:r>
            <w:r w:rsidR="00F53917" w:rsidRPr="00D160FB">
              <w:rPr>
                <w:spacing w:val="-4"/>
                <w:lang w:val="en-GB"/>
              </w:rPr>
              <w:t>168</w:t>
            </w:r>
            <w:r w:rsidR="006C0CFA" w:rsidRPr="00D160FB">
              <w:rPr>
                <w:spacing w:val="-4"/>
                <w:lang w:val="en-GB"/>
              </w:rPr>
              <w:t>.</w:t>
            </w:r>
            <w:r w:rsidR="00F53917" w:rsidRPr="00D160FB">
              <w:rPr>
                <w:spacing w:val="-4"/>
                <w:lang w:val="en-GB"/>
              </w:rPr>
              <w:t>4</w:t>
            </w:r>
            <w:r w:rsidR="006C0CFA" w:rsidRPr="00D160FB">
              <w:rPr>
                <w:spacing w:val="-4"/>
                <w:lang w:val="en-GB"/>
              </w:rPr>
              <w:t xml:space="preserve"> CZK bn was thus not sufficient for the maintaining the total overall surplus. </w:t>
            </w:r>
            <w:r w:rsidR="00190759" w:rsidRPr="00D160FB">
              <w:rPr>
                <w:spacing w:val="-4"/>
                <w:lang w:val="en-GB"/>
              </w:rPr>
              <w:t xml:space="preserve">Trade with Russia </w:t>
            </w:r>
            <w:r w:rsidR="00F53917" w:rsidRPr="00D160FB">
              <w:rPr>
                <w:spacing w:val="-4"/>
                <w:lang w:val="en-GB"/>
              </w:rPr>
              <w:t>(−162</w:t>
            </w:r>
            <w:r w:rsidR="00190759" w:rsidRPr="00D160FB">
              <w:rPr>
                <w:spacing w:val="-4"/>
                <w:lang w:val="en-GB"/>
              </w:rPr>
              <w:t>.</w:t>
            </w:r>
            <w:r w:rsidR="00F53917" w:rsidRPr="00D160FB">
              <w:rPr>
                <w:spacing w:val="-4"/>
                <w:lang w:val="en-GB"/>
              </w:rPr>
              <w:t>1</w:t>
            </w:r>
            <w:r w:rsidR="00190759" w:rsidRPr="00D160FB">
              <w:rPr>
                <w:spacing w:val="-4"/>
                <w:lang w:val="en-GB"/>
              </w:rPr>
              <w:t xml:space="preserve"> CZK bn</w:t>
            </w:r>
            <w:r w:rsidR="00F53917" w:rsidRPr="00D160FB">
              <w:rPr>
                <w:spacing w:val="-4"/>
                <w:lang w:val="en-GB"/>
              </w:rPr>
              <w:t xml:space="preserve">), </w:t>
            </w:r>
            <w:r w:rsidR="00190759" w:rsidRPr="00D160FB">
              <w:rPr>
                <w:spacing w:val="-4"/>
                <w:lang w:val="en-GB"/>
              </w:rPr>
              <w:t xml:space="preserve">China </w:t>
            </w:r>
            <w:r w:rsidR="00F53917" w:rsidRPr="00D160FB">
              <w:rPr>
                <w:spacing w:val="-4"/>
                <w:lang w:val="en-GB"/>
              </w:rPr>
              <w:t>(−127</w:t>
            </w:r>
            <w:r w:rsidR="00190759" w:rsidRPr="00D160FB">
              <w:rPr>
                <w:spacing w:val="-4"/>
                <w:lang w:val="en-GB"/>
              </w:rPr>
              <w:t>.</w:t>
            </w:r>
            <w:r w:rsidR="00F53917" w:rsidRPr="00D160FB">
              <w:rPr>
                <w:spacing w:val="-4"/>
                <w:lang w:val="en-GB"/>
              </w:rPr>
              <w:t>2</w:t>
            </w:r>
            <w:r w:rsidR="00190759" w:rsidRPr="00D160FB">
              <w:rPr>
                <w:spacing w:val="-4"/>
                <w:lang w:val="en-GB"/>
              </w:rPr>
              <w:t xml:space="preserve"> bn</w:t>
            </w:r>
            <w:r w:rsidR="00F53917" w:rsidRPr="00D160FB">
              <w:rPr>
                <w:spacing w:val="-4"/>
                <w:lang w:val="en-GB"/>
              </w:rPr>
              <w:t>), N</w:t>
            </w:r>
            <w:r w:rsidR="00190759" w:rsidRPr="00D160FB">
              <w:rPr>
                <w:spacing w:val="-4"/>
                <w:lang w:val="en-GB"/>
              </w:rPr>
              <w:t xml:space="preserve">orway </w:t>
            </w:r>
            <w:r w:rsidR="00F53917" w:rsidRPr="00D160FB">
              <w:rPr>
                <w:spacing w:val="-4"/>
                <w:lang w:val="en-GB"/>
              </w:rPr>
              <w:t>(−34</w:t>
            </w:r>
            <w:r w:rsidR="00190759" w:rsidRPr="00D160FB">
              <w:rPr>
                <w:spacing w:val="-4"/>
                <w:lang w:val="en-GB"/>
              </w:rPr>
              <w:t>.</w:t>
            </w:r>
            <w:r w:rsidR="00F53917" w:rsidRPr="00D160FB">
              <w:rPr>
                <w:spacing w:val="-4"/>
                <w:lang w:val="en-GB"/>
              </w:rPr>
              <w:t>0</w:t>
            </w:r>
            <w:r w:rsidR="00190759" w:rsidRPr="00D160FB">
              <w:rPr>
                <w:spacing w:val="-4"/>
                <w:lang w:val="en-GB"/>
              </w:rPr>
              <w:t xml:space="preserve"> bn</w:t>
            </w:r>
            <w:r w:rsidR="00F53917" w:rsidRPr="00D160FB">
              <w:rPr>
                <w:spacing w:val="-4"/>
                <w:lang w:val="en-GB"/>
              </w:rPr>
              <w:t>), Pol</w:t>
            </w:r>
            <w:r w:rsidR="00190759" w:rsidRPr="00D160FB">
              <w:rPr>
                <w:spacing w:val="-4"/>
                <w:lang w:val="en-GB"/>
              </w:rPr>
              <w:t xml:space="preserve">and </w:t>
            </w:r>
            <w:r w:rsidR="00F53917" w:rsidRPr="00D160FB">
              <w:rPr>
                <w:spacing w:val="-4"/>
                <w:lang w:val="en-GB"/>
              </w:rPr>
              <w:t>(−27</w:t>
            </w:r>
            <w:r w:rsidR="00190759" w:rsidRPr="00D160FB">
              <w:rPr>
                <w:spacing w:val="-4"/>
                <w:lang w:val="en-GB"/>
              </w:rPr>
              <w:t>.</w:t>
            </w:r>
            <w:r w:rsidR="00F53917" w:rsidRPr="00D160FB">
              <w:rPr>
                <w:spacing w:val="-4"/>
                <w:lang w:val="en-GB"/>
              </w:rPr>
              <w:t>9</w:t>
            </w:r>
            <w:r w:rsidR="00190759" w:rsidRPr="00D160FB">
              <w:rPr>
                <w:spacing w:val="-4"/>
                <w:lang w:val="en-GB"/>
              </w:rPr>
              <w:t xml:space="preserve"> bn</w:t>
            </w:r>
            <w:r w:rsidR="00F53917" w:rsidRPr="00D160FB">
              <w:rPr>
                <w:spacing w:val="-4"/>
                <w:lang w:val="en-GB"/>
              </w:rPr>
              <w:t>) a</w:t>
            </w:r>
            <w:r w:rsidR="00190759" w:rsidRPr="00D160FB">
              <w:rPr>
                <w:spacing w:val="-4"/>
                <w:lang w:val="en-GB"/>
              </w:rPr>
              <w:t xml:space="preserve">nd Azerbaijan </w:t>
            </w:r>
            <w:r w:rsidR="00F53917" w:rsidRPr="00D160FB">
              <w:rPr>
                <w:spacing w:val="-4"/>
                <w:lang w:val="en-GB"/>
              </w:rPr>
              <w:t>(−19</w:t>
            </w:r>
            <w:r w:rsidR="00190759" w:rsidRPr="00D160FB">
              <w:rPr>
                <w:spacing w:val="-4"/>
                <w:lang w:val="en-GB"/>
              </w:rPr>
              <w:t>.</w:t>
            </w:r>
            <w:r w:rsidR="00F53917" w:rsidRPr="00D160FB">
              <w:rPr>
                <w:spacing w:val="-4"/>
                <w:lang w:val="en-GB"/>
              </w:rPr>
              <w:t>9</w:t>
            </w:r>
            <w:r w:rsidR="00190759" w:rsidRPr="00D160FB">
              <w:rPr>
                <w:spacing w:val="-4"/>
                <w:lang w:val="en-GB"/>
              </w:rPr>
              <w:t xml:space="preserve"> bn</w:t>
            </w:r>
            <w:r w:rsidR="00F53917" w:rsidRPr="00D160FB">
              <w:rPr>
                <w:spacing w:val="-4"/>
                <w:lang w:val="en-GB"/>
              </w:rPr>
              <w:t>)</w:t>
            </w:r>
            <w:r w:rsidR="008C58EF" w:rsidRPr="00D160FB">
              <w:rPr>
                <w:spacing w:val="-4"/>
                <w:lang w:val="en-GB"/>
              </w:rPr>
              <w:t xml:space="preserve"> worked the most in the direction of balance deterioration last year</w:t>
            </w:r>
            <w:r w:rsidR="00F53917" w:rsidRPr="00D160FB">
              <w:rPr>
                <w:spacing w:val="-4"/>
                <w:lang w:val="en-GB"/>
              </w:rPr>
              <w:t xml:space="preserve">. </w:t>
            </w:r>
            <w:r w:rsidR="008C58EF" w:rsidRPr="00D160FB">
              <w:rPr>
                <w:spacing w:val="-4"/>
                <w:lang w:val="en-GB"/>
              </w:rPr>
              <w:t xml:space="preserve">On the contrary, the balance improved in case of trade with Germany </w:t>
            </w:r>
            <w:r w:rsidR="00F53917" w:rsidRPr="00D160FB">
              <w:rPr>
                <w:spacing w:val="-4"/>
                <w:lang w:val="en-GB"/>
              </w:rPr>
              <w:t>(+81</w:t>
            </w:r>
            <w:r w:rsidR="008C58EF" w:rsidRPr="00D160FB">
              <w:rPr>
                <w:spacing w:val="-4"/>
                <w:lang w:val="en-GB"/>
              </w:rPr>
              <w:t>.</w:t>
            </w:r>
            <w:r w:rsidR="00F53917" w:rsidRPr="00D160FB">
              <w:rPr>
                <w:spacing w:val="-4"/>
                <w:lang w:val="en-GB"/>
              </w:rPr>
              <w:t>2</w:t>
            </w:r>
            <w:r w:rsidR="008C58EF" w:rsidRPr="00D160FB">
              <w:rPr>
                <w:spacing w:val="-4"/>
                <w:lang w:val="en-GB"/>
              </w:rPr>
              <w:t xml:space="preserve"> CZK bn</w:t>
            </w:r>
            <w:r w:rsidR="00F53917" w:rsidRPr="00D160FB">
              <w:rPr>
                <w:spacing w:val="-4"/>
                <w:lang w:val="en-GB"/>
              </w:rPr>
              <w:t>), Slov</w:t>
            </w:r>
            <w:r w:rsidR="008C58EF" w:rsidRPr="00D160FB">
              <w:rPr>
                <w:spacing w:val="-4"/>
                <w:lang w:val="en-GB"/>
              </w:rPr>
              <w:t xml:space="preserve">akia </w:t>
            </w:r>
            <w:r w:rsidR="00F53917" w:rsidRPr="00D160FB">
              <w:rPr>
                <w:spacing w:val="-4"/>
                <w:lang w:val="en-GB"/>
              </w:rPr>
              <w:t>(+46</w:t>
            </w:r>
            <w:r w:rsidR="008C58EF" w:rsidRPr="00D160FB">
              <w:rPr>
                <w:spacing w:val="-4"/>
                <w:lang w:val="en-GB"/>
              </w:rPr>
              <w:t>.</w:t>
            </w:r>
            <w:r w:rsidR="00F53917" w:rsidRPr="00D160FB">
              <w:rPr>
                <w:spacing w:val="-4"/>
                <w:lang w:val="en-GB"/>
              </w:rPr>
              <w:t>4</w:t>
            </w:r>
            <w:r w:rsidR="008C58EF" w:rsidRPr="00D160FB">
              <w:rPr>
                <w:spacing w:val="-4"/>
                <w:lang w:val="en-GB"/>
              </w:rPr>
              <w:t xml:space="preserve"> bn</w:t>
            </w:r>
            <w:r w:rsidR="00F53917" w:rsidRPr="00D160FB">
              <w:rPr>
                <w:spacing w:val="-4"/>
                <w:lang w:val="en-GB"/>
              </w:rPr>
              <w:t>), It</w:t>
            </w:r>
            <w:r w:rsidR="008C58EF" w:rsidRPr="00D160FB">
              <w:rPr>
                <w:spacing w:val="-4"/>
                <w:lang w:val="en-GB"/>
              </w:rPr>
              <w:t xml:space="preserve">aly </w:t>
            </w:r>
            <w:r w:rsidR="00F53917" w:rsidRPr="00D160FB">
              <w:rPr>
                <w:spacing w:val="-4"/>
                <w:lang w:val="en-GB"/>
              </w:rPr>
              <w:t>(+15</w:t>
            </w:r>
            <w:r w:rsidR="008C58EF" w:rsidRPr="00D160FB">
              <w:rPr>
                <w:spacing w:val="-4"/>
                <w:lang w:val="en-GB"/>
              </w:rPr>
              <w:t>.</w:t>
            </w:r>
            <w:r w:rsidR="00F53917" w:rsidRPr="00D160FB">
              <w:rPr>
                <w:spacing w:val="-4"/>
                <w:lang w:val="en-GB"/>
              </w:rPr>
              <w:t>5</w:t>
            </w:r>
            <w:r w:rsidR="008C58EF" w:rsidRPr="00D160FB">
              <w:rPr>
                <w:spacing w:val="-4"/>
                <w:lang w:val="en-GB"/>
              </w:rPr>
              <w:t xml:space="preserve"> bn</w:t>
            </w:r>
            <w:r w:rsidR="00F53917" w:rsidRPr="00D160FB">
              <w:rPr>
                <w:spacing w:val="-4"/>
                <w:lang w:val="en-GB"/>
              </w:rPr>
              <w:t xml:space="preserve">), </w:t>
            </w:r>
            <w:r w:rsidR="008C58EF" w:rsidRPr="00D160FB">
              <w:rPr>
                <w:spacing w:val="-4"/>
                <w:lang w:val="en-GB"/>
              </w:rPr>
              <w:t xml:space="preserve">Spain </w:t>
            </w:r>
            <w:r w:rsidR="00F53917" w:rsidRPr="00D160FB">
              <w:rPr>
                <w:spacing w:val="-4"/>
                <w:lang w:val="en-GB"/>
              </w:rPr>
              <w:t>(+11</w:t>
            </w:r>
            <w:r w:rsidR="008C58EF" w:rsidRPr="00D160FB">
              <w:rPr>
                <w:spacing w:val="-4"/>
                <w:lang w:val="en-GB"/>
              </w:rPr>
              <w:t>.</w:t>
            </w:r>
            <w:r w:rsidR="00F53917" w:rsidRPr="00D160FB">
              <w:rPr>
                <w:spacing w:val="-4"/>
                <w:lang w:val="en-GB"/>
              </w:rPr>
              <w:t>2</w:t>
            </w:r>
            <w:r w:rsidR="008C58EF" w:rsidRPr="00D160FB">
              <w:rPr>
                <w:spacing w:val="-4"/>
                <w:lang w:val="en-GB"/>
              </w:rPr>
              <w:t xml:space="preserve"> bn</w:t>
            </w:r>
            <w:r w:rsidR="00F53917" w:rsidRPr="00D160FB">
              <w:rPr>
                <w:spacing w:val="-4"/>
                <w:lang w:val="en-GB"/>
              </w:rPr>
              <w:t xml:space="preserve">), </w:t>
            </w:r>
            <w:r w:rsidR="008C58EF" w:rsidRPr="00D160FB">
              <w:rPr>
                <w:spacing w:val="-4"/>
                <w:lang w:val="en-GB"/>
              </w:rPr>
              <w:t xml:space="preserve">Hungary </w:t>
            </w:r>
            <w:r w:rsidR="00F53917" w:rsidRPr="00D160FB">
              <w:rPr>
                <w:spacing w:val="-4"/>
                <w:lang w:val="en-GB"/>
              </w:rPr>
              <w:t>(+11</w:t>
            </w:r>
            <w:r w:rsidR="008C58EF" w:rsidRPr="00D160FB">
              <w:rPr>
                <w:spacing w:val="-4"/>
                <w:lang w:val="en-GB"/>
              </w:rPr>
              <w:t>.</w:t>
            </w:r>
            <w:r w:rsidR="00F53917" w:rsidRPr="00D160FB">
              <w:rPr>
                <w:spacing w:val="-4"/>
                <w:lang w:val="en-GB"/>
              </w:rPr>
              <w:t>1</w:t>
            </w:r>
            <w:r w:rsidR="008C58EF" w:rsidRPr="00D160FB">
              <w:rPr>
                <w:spacing w:val="-4"/>
                <w:lang w:val="en-GB"/>
              </w:rPr>
              <w:t xml:space="preserve"> bn</w:t>
            </w:r>
            <w:r w:rsidR="00F53917" w:rsidRPr="00D160FB">
              <w:rPr>
                <w:spacing w:val="-4"/>
                <w:lang w:val="en-GB"/>
              </w:rPr>
              <w:t>)</w:t>
            </w:r>
            <w:r w:rsidR="008C58EF" w:rsidRPr="00D160FB">
              <w:rPr>
                <w:spacing w:val="-4"/>
                <w:lang w:val="en-GB"/>
              </w:rPr>
              <w:t xml:space="preserve"> or </w:t>
            </w:r>
            <w:r w:rsidR="00190759" w:rsidRPr="00D160FB">
              <w:rPr>
                <w:spacing w:val="-4"/>
                <w:lang w:val="en-GB"/>
              </w:rPr>
              <w:t>Kazakhstan</w:t>
            </w:r>
            <w:r w:rsidR="008C58EF" w:rsidRPr="00D160FB">
              <w:rPr>
                <w:spacing w:val="-4"/>
                <w:lang w:val="en-GB"/>
              </w:rPr>
              <w:t xml:space="preserve"> </w:t>
            </w:r>
            <w:r w:rsidR="00F53917" w:rsidRPr="00D160FB">
              <w:rPr>
                <w:spacing w:val="-4"/>
                <w:lang w:val="en-GB"/>
              </w:rPr>
              <w:t>(+10</w:t>
            </w:r>
            <w:r w:rsidR="008C58EF" w:rsidRPr="00D160FB">
              <w:rPr>
                <w:spacing w:val="-4"/>
                <w:lang w:val="en-GB"/>
              </w:rPr>
              <w:t>.</w:t>
            </w:r>
            <w:r w:rsidR="00F53917" w:rsidRPr="00D160FB">
              <w:rPr>
                <w:spacing w:val="-4"/>
                <w:lang w:val="en-GB"/>
              </w:rPr>
              <w:t>9</w:t>
            </w:r>
            <w:r w:rsidR="008C58EF" w:rsidRPr="00D160FB">
              <w:rPr>
                <w:spacing w:val="-4"/>
                <w:lang w:val="en-GB"/>
              </w:rPr>
              <w:t xml:space="preserve"> bn</w:t>
            </w:r>
            <w:r w:rsidR="00F53917" w:rsidRPr="00D160FB">
              <w:rPr>
                <w:spacing w:val="-4"/>
                <w:lang w:val="en-GB"/>
              </w:rPr>
              <w:t xml:space="preserve">). </w:t>
            </w:r>
            <w:r w:rsidR="002F0009" w:rsidRPr="00D160FB">
              <w:rPr>
                <w:spacing w:val="-4"/>
                <w:lang w:val="en-GB"/>
              </w:rPr>
              <w:t>In Q</w:t>
            </w:r>
            <w:r w:rsidR="00F53917" w:rsidRPr="00D160FB">
              <w:rPr>
                <w:spacing w:val="-4"/>
                <w:lang w:val="en-GB"/>
              </w:rPr>
              <w:t>4</w:t>
            </w:r>
            <w:r w:rsidR="002F0009" w:rsidRPr="00D160FB">
              <w:rPr>
                <w:spacing w:val="-4"/>
                <w:lang w:val="en-GB"/>
              </w:rPr>
              <w:t xml:space="preserve"> itself, the trade balance with China </w:t>
            </w:r>
            <w:r w:rsidR="00F53917" w:rsidRPr="00D160FB">
              <w:rPr>
                <w:spacing w:val="-4"/>
                <w:lang w:val="en-GB"/>
              </w:rPr>
              <w:t>(−46</w:t>
            </w:r>
            <w:r w:rsidR="002F0009" w:rsidRPr="00D160FB">
              <w:rPr>
                <w:spacing w:val="-4"/>
                <w:lang w:val="en-GB"/>
              </w:rPr>
              <w:t>.</w:t>
            </w:r>
            <w:r w:rsidR="00F53917" w:rsidRPr="00D160FB">
              <w:rPr>
                <w:spacing w:val="-4"/>
                <w:lang w:val="en-GB"/>
              </w:rPr>
              <w:t>8</w:t>
            </w:r>
            <w:r w:rsidR="002F0009" w:rsidRPr="00D160FB">
              <w:rPr>
                <w:spacing w:val="-4"/>
                <w:lang w:val="en-GB"/>
              </w:rPr>
              <w:t xml:space="preserve"> CZK bn</w:t>
            </w:r>
            <w:r w:rsidR="00F53917" w:rsidRPr="00D160FB">
              <w:rPr>
                <w:spacing w:val="-4"/>
                <w:lang w:val="en-GB"/>
              </w:rPr>
              <w:t>) a</w:t>
            </w:r>
            <w:r w:rsidR="002F0009" w:rsidRPr="00D160FB">
              <w:rPr>
                <w:spacing w:val="-4"/>
                <w:lang w:val="en-GB"/>
              </w:rPr>
              <w:t xml:space="preserve">nd Norway </w:t>
            </w:r>
            <w:r w:rsidR="00F53917" w:rsidRPr="00D160FB">
              <w:rPr>
                <w:spacing w:val="-4"/>
                <w:lang w:val="en-GB"/>
              </w:rPr>
              <w:t>(−35</w:t>
            </w:r>
            <w:r w:rsidR="002F0009" w:rsidRPr="00D160FB">
              <w:rPr>
                <w:spacing w:val="-4"/>
                <w:lang w:val="en-GB"/>
              </w:rPr>
              <w:t>.</w:t>
            </w:r>
            <w:r w:rsidR="00F53917" w:rsidRPr="00D160FB">
              <w:rPr>
                <w:spacing w:val="-4"/>
                <w:lang w:val="en-GB"/>
              </w:rPr>
              <w:t>5</w:t>
            </w:r>
            <w:r w:rsidR="002F0009" w:rsidRPr="00D160FB">
              <w:rPr>
                <w:spacing w:val="-4"/>
                <w:lang w:val="en-GB"/>
              </w:rPr>
              <w:t xml:space="preserve"> bn</w:t>
            </w:r>
            <w:r w:rsidR="00F53917" w:rsidRPr="00D160FB">
              <w:rPr>
                <w:spacing w:val="-4"/>
                <w:lang w:val="en-GB"/>
              </w:rPr>
              <w:t>)</w:t>
            </w:r>
            <w:r w:rsidR="002F0009" w:rsidRPr="00D160FB">
              <w:rPr>
                <w:spacing w:val="-4"/>
                <w:lang w:val="en-GB"/>
              </w:rPr>
              <w:t xml:space="preserve"> worsened the most year-on-year</w:t>
            </w:r>
            <w:r w:rsidR="00F53917" w:rsidRPr="00D160FB">
              <w:rPr>
                <w:spacing w:val="-4"/>
                <w:lang w:val="en-GB"/>
              </w:rPr>
              <w:t xml:space="preserve">. </w:t>
            </w:r>
            <w:r w:rsidR="008706B0" w:rsidRPr="00D160FB">
              <w:rPr>
                <w:spacing w:val="-4"/>
                <w:lang w:val="en-GB"/>
              </w:rPr>
              <w:t xml:space="preserve">Smaller downswings were then recorded for the trade with the United States </w:t>
            </w:r>
            <w:r w:rsidR="00F53917" w:rsidRPr="00D160FB">
              <w:rPr>
                <w:spacing w:val="-4"/>
                <w:lang w:val="en-GB"/>
              </w:rPr>
              <w:t>(−6</w:t>
            </w:r>
            <w:r w:rsidR="008706B0" w:rsidRPr="00D160FB">
              <w:rPr>
                <w:spacing w:val="-4"/>
                <w:lang w:val="en-GB"/>
              </w:rPr>
              <w:t>.</w:t>
            </w:r>
            <w:r w:rsidR="00F53917" w:rsidRPr="00D160FB">
              <w:rPr>
                <w:spacing w:val="-4"/>
                <w:lang w:val="en-GB"/>
              </w:rPr>
              <w:t>3</w:t>
            </w:r>
            <w:r w:rsidR="008706B0" w:rsidRPr="00D160FB">
              <w:rPr>
                <w:spacing w:val="-4"/>
                <w:lang w:val="en-GB"/>
              </w:rPr>
              <w:t xml:space="preserve"> CZK bn</w:t>
            </w:r>
            <w:r w:rsidR="00F53917" w:rsidRPr="00D160FB">
              <w:rPr>
                <w:spacing w:val="-4"/>
                <w:lang w:val="en-GB"/>
              </w:rPr>
              <w:t>),</w:t>
            </w:r>
            <w:r w:rsidR="008706B0" w:rsidRPr="00D160FB">
              <w:rPr>
                <w:spacing w:val="-4"/>
                <w:lang w:val="en-GB"/>
              </w:rPr>
              <w:t xml:space="preserve"> Azerbaijan </w:t>
            </w:r>
            <w:r w:rsidR="00F53917" w:rsidRPr="00D160FB">
              <w:rPr>
                <w:spacing w:val="-4"/>
                <w:lang w:val="en-GB"/>
              </w:rPr>
              <w:t>(−5</w:t>
            </w:r>
            <w:r w:rsidR="008706B0" w:rsidRPr="00D160FB">
              <w:rPr>
                <w:spacing w:val="-4"/>
                <w:lang w:val="en-GB"/>
              </w:rPr>
              <w:t>.</w:t>
            </w:r>
            <w:r w:rsidR="00F53917" w:rsidRPr="00D160FB">
              <w:rPr>
                <w:spacing w:val="-4"/>
                <w:lang w:val="en-GB"/>
              </w:rPr>
              <w:t>7</w:t>
            </w:r>
            <w:r w:rsidR="008706B0" w:rsidRPr="00D160FB">
              <w:rPr>
                <w:spacing w:val="-4"/>
                <w:lang w:val="en-GB"/>
              </w:rPr>
              <w:t xml:space="preserve"> bn</w:t>
            </w:r>
            <w:r w:rsidR="00F53917" w:rsidRPr="00D160FB">
              <w:rPr>
                <w:spacing w:val="-4"/>
                <w:lang w:val="en-GB"/>
              </w:rPr>
              <w:t>)</w:t>
            </w:r>
            <w:r w:rsidR="008706B0" w:rsidRPr="00D160FB">
              <w:rPr>
                <w:spacing w:val="-4"/>
                <w:lang w:val="en-GB"/>
              </w:rPr>
              <w:t xml:space="preserve"> or South Korea </w:t>
            </w:r>
            <w:r w:rsidR="00F53917" w:rsidRPr="00D160FB">
              <w:rPr>
                <w:spacing w:val="-4"/>
                <w:lang w:val="en-GB"/>
              </w:rPr>
              <w:t>(−4</w:t>
            </w:r>
            <w:r w:rsidR="008706B0" w:rsidRPr="00D160FB">
              <w:rPr>
                <w:spacing w:val="-4"/>
                <w:lang w:val="en-GB"/>
              </w:rPr>
              <w:t>.</w:t>
            </w:r>
            <w:r w:rsidR="00F53917" w:rsidRPr="00D160FB">
              <w:rPr>
                <w:spacing w:val="-4"/>
                <w:lang w:val="en-GB"/>
              </w:rPr>
              <w:t>9</w:t>
            </w:r>
            <w:r w:rsidR="008706B0" w:rsidRPr="00D160FB">
              <w:rPr>
                <w:spacing w:val="-4"/>
                <w:lang w:val="en-GB"/>
              </w:rPr>
              <w:t xml:space="preserve"> bn</w:t>
            </w:r>
            <w:r w:rsidR="00F53917" w:rsidRPr="00D160FB">
              <w:rPr>
                <w:spacing w:val="-4"/>
                <w:lang w:val="en-GB"/>
              </w:rPr>
              <w:t xml:space="preserve">). </w:t>
            </w:r>
            <w:r w:rsidR="004E2567" w:rsidRPr="00D160FB">
              <w:rPr>
                <w:spacing w:val="-4"/>
                <w:lang w:val="en-GB"/>
              </w:rPr>
              <w:t xml:space="preserve">The foreign trade result was markedly better in case of Germany </w:t>
            </w:r>
            <w:r w:rsidR="00F53917" w:rsidRPr="00D160FB">
              <w:rPr>
                <w:spacing w:val="-4"/>
                <w:lang w:val="en-GB"/>
              </w:rPr>
              <w:t>(+19</w:t>
            </w:r>
            <w:r w:rsidR="004E2567" w:rsidRPr="00D160FB">
              <w:rPr>
                <w:spacing w:val="-4"/>
                <w:lang w:val="en-GB"/>
              </w:rPr>
              <w:t>.</w:t>
            </w:r>
            <w:r w:rsidR="00F53917" w:rsidRPr="00D160FB">
              <w:rPr>
                <w:spacing w:val="-4"/>
                <w:lang w:val="en-GB"/>
              </w:rPr>
              <w:t>8</w:t>
            </w:r>
            <w:r w:rsidR="004E2567" w:rsidRPr="00D160FB">
              <w:rPr>
                <w:spacing w:val="-4"/>
                <w:lang w:val="en-GB"/>
              </w:rPr>
              <w:t xml:space="preserve"> CZK bn</w:t>
            </w:r>
            <w:r w:rsidR="00F53917" w:rsidRPr="00D160FB">
              <w:rPr>
                <w:spacing w:val="-4"/>
                <w:lang w:val="en-GB"/>
              </w:rPr>
              <w:t>) a</w:t>
            </w:r>
            <w:r w:rsidR="004E2567" w:rsidRPr="00D160FB">
              <w:rPr>
                <w:spacing w:val="-4"/>
                <w:lang w:val="en-GB"/>
              </w:rPr>
              <w:t xml:space="preserve">nd Russia </w:t>
            </w:r>
            <w:r w:rsidR="00F53917" w:rsidRPr="00D160FB">
              <w:rPr>
                <w:spacing w:val="-4"/>
                <w:lang w:val="en-GB"/>
              </w:rPr>
              <w:t>(</w:t>
            </w:r>
            <w:r w:rsidR="005A6032">
              <w:rPr>
                <w:spacing w:val="-4"/>
                <w:lang w:val="en-GB"/>
              </w:rPr>
              <w:t>+</w:t>
            </w:r>
            <w:r w:rsidR="00F53917" w:rsidRPr="00D160FB">
              <w:rPr>
                <w:spacing w:val="-4"/>
                <w:lang w:val="en-GB"/>
              </w:rPr>
              <w:t>13</w:t>
            </w:r>
            <w:r w:rsidR="004E2567" w:rsidRPr="00D160FB">
              <w:rPr>
                <w:spacing w:val="-4"/>
                <w:lang w:val="en-GB"/>
              </w:rPr>
              <w:t>.</w:t>
            </w:r>
            <w:r w:rsidR="00F53917" w:rsidRPr="00D160FB">
              <w:rPr>
                <w:spacing w:val="-4"/>
                <w:lang w:val="en-GB"/>
              </w:rPr>
              <w:t>7</w:t>
            </w:r>
            <w:r w:rsidR="004E2567"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Trade with Italy </w:t>
            </w:r>
            <w:r w:rsidR="00F53917" w:rsidRPr="00D160FB">
              <w:rPr>
                <w:spacing w:val="-4"/>
                <w:lang w:val="en-GB"/>
              </w:rPr>
              <w:t>(+6</w:t>
            </w:r>
            <w:r w:rsidR="00527CAF" w:rsidRPr="00D160FB">
              <w:rPr>
                <w:spacing w:val="-4"/>
                <w:lang w:val="en-GB"/>
              </w:rPr>
              <w:t>.</w:t>
            </w:r>
            <w:r w:rsidR="00F53917" w:rsidRPr="00D160FB">
              <w:rPr>
                <w:spacing w:val="-4"/>
                <w:lang w:val="en-GB"/>
              </w:rPr>
              <w:t>5</w:t>
            </w:r>
            <w:r w:rsidR="00527CAF" w:rsidRPr="00D160FB">
              <w:rPr>
                <w:spacing w:val="-4"/>
                <w:lang w:val="en-GB"/>
              </w:rPr>
              <w:t xml:space="preserve"> CZK bn</w:t>
            </w:r>
            <w:r w:rsidR="00F53917" w:rsidRPr="00D160FB">
              <w:rPr>
                <w:spacing w:val="-4"/>
                <w:lang w:val="en-GB"/>
              </w:rPr>
              <w:t>),</w:t>
            </w:r>
            <w:r w:rsidR="00527CAF" w:rsidRPr="00D160FB">
              <w:rPr>
                <w:spacing w:val="-4"/>
                <w:lang w:val="en-GB"/>
              </w:rPr>
              <w:t xml:space="preserve"> Spain </w:t>
            </w:r>
            <w:r w:rsidR="00F53917" w:rsidRPr="00D160FB">
              <w:rPr>
                <w:spacing w:val="-4"/>
                <w:lang w:val="en-GB"/>
              </w:rPr>
              <w:t>(+6</w:t>
            </w:r>
            <w:r w:rsidR="00527CAF" w:rsidRPr="00D160FB">
              <w:rPr>
                <w:spacing w:val="-4"/>
                <w:lang w:val="en-GB"/>
              </w:rPr>
              <w:t>.</w:t>
            </w:r>
            <w:r w:rsidR="00F53917" w:rsidRPr="00D160FB">
              <w:rPr>
                <w:spacing w:val="-4"/>
                <w:lang w:val="en-GB"/>
              </w:rPr>
              <w:t>3</w:t>
            </w:r>
            <w:r w:rsidR="00527CAF" w:rsidRPr="00D160FB">
              <w:rPr>
                <w:spacing w:val="-4"/>
                <w:lang w:val="en-GB"/>
              </w:rPr>
              <w:t xml:space="preserve"> bn</w:t>
            </w:r>
            <w:r w:rsidR="00F53917" w:rsidRPr="00D160FB">
              <w:rPr>
                <w:spacing w:val="-4"/>
                <w:lang w:val="en-GB"/>
              </w:rPr>
              <w:t>), Slov</w:t>
            </w:r>
            <w:r w:rsidR="00527CAF" w:rsidRPr="00D160FB">
              <w:rPr>
                <w:spacing w:val="-4"/>
                <w:lang w:val="en-GB"/>
              </w:rPr>
              <w:t xml:space="preserve">akia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Kazakhstan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Switzerland </w:t>
            </w:r>
            <w:r w:rsidR="00F53917" w:rsidRPr="00D160FB">
              <w:rPr>
                <w:spacing w:val="-4"/>
                <w:lang w:val="en-GB"/>
              </w:rPr>
              <w:t>(+5</w:t>
            </w:r>
            <w:r w:rsidR="00527CAF" w:rsidRPr="00D160FB">
              <w:rPr>
                <w:spacing w:val="-4"/>
                <w:lang w:val="en-GB"/>
              </w:rPr>
              <w:t>.</w:t>
            </w:r>
            <w:r w:rsidR="00F53917" w:rsidRPr="00D160FB">
              <w:rPr>
                <w:spacing w:val="-4"/>
                <w:lang w:val="en-GB"/>
              </w:rPr>
              <w:t>1</w:t>
            </w:r>
            <w:r w:rsidR="00527CAF" w:rsidRPr="00D160FB">
              <w:rPr>
                <w:spacing w:val="-4"/>
                <w:lang w:val="en-GB"/>
              </w:rPr>
              <w:t xml:space="preserve"> bn</w:t>
            </w:r>
            <w:r w:rsidR="00F53917" w:rsidRPr="00D160FB">
              <w:rPr>
                <w:spacing w:val="-4"/>
                <w:lang w:val="en-GB"/>
              </w:rPr>
              <w:t>),</w:t>
            </w:r>
            <w:r w:rsidR="00527CAF" w:rsidRPr="00D160FB">
              <w:rPr>
                <w:spacing w:val="-4"/>
                <w:lang w:val="en-GB"/>
              </w:rPr>
              <w:t xml:space="preserve"> Austria </w:t>
            </w:r>
            <w:r w:rsidR="00F53917" w:rsidRPr="00D160FB">
              <w:rPr>
                <w:spacing w:val="-4"/>
                <w:lang w:val="en-GB"/>
              </w:rPr>
              <w:t>(+4</w:t>
            </w:r>
            <w:r w:rsidR="00527CAF" w:rsidRPr="00D160FB">
              <w:rPr>
                <w:spacing w:val="-4"/>
                <w:lang w:val="en-GB"/>
              </w:rPr>
              <w:t>.</w:t>
            </w:r>
            <w:r w:rsidR="00F53917" w:rsidRPr="00D160FB">
              <w:rPr>
                <w:spacing w:val="-4"/>
                <w:lang w:val="en-GB"/>
              </w:rPr>
              <w:t>5</w:t>
            </w:r>
            <w:r w:rsidR="00527CAF" w:rsidRPr="00D160FB">
              <w:rPr>
                <w:spacing w:val="-4"/>
                <w:lang w:val="en-GB"/>
              </w:rPr>
              <w:t xml:space="preserve"> bn</w:t>
            </w:r>
            <w:r w:rsidR="00F53917" w:rsidRPr="00D160FB">
              <w:rPr>
                <w:spacing w:val="-4"/>
                <w:lang w:val="en-GB"/>
              </w:rPr>
              <w:t xml:space="preserve">) </w:t>
            </w:r>
            <w:r w:rsidR="00527CAF" w:rsidRPr="00D160FB">
              <w:rPr>
                <w:spacing w:val="-4"/>
                <w:lang w:val="en-GB"/>
              </w:rPr>
              <w:t xml:space="preserve">or France </w:t>
            </w:r>
            <w:r w:rsidR="00F53917" w:rsidRPr="00D160FB">
              <w:rPr>
                <w:spacing w:val="-4"/>
                <w:lang w:val="en-GB"/>
              </w:rPr>
              <w:t>(+4</w:t>
            </w:r>
            <w:r w:rsidR="00527CAF" w:rsidRPr="00D160FB">
              <w:rPr>
                <w:spacing w:val="-4"/>
                <w:lang w:val="en-GB"/>
              </w:rPr>
              <w:t>.</w:t>
            </w:r>
            <w:r w:rsidR="00F53917" w:rsidRPr="00D160FB">
              <w:rPr>
                <w:spacing w:val="-4"/>
                <w:lang w:val="en-GB"/>
              </w:rPr>
              <w:t xml:space="preserve">3 </w:t>
            </w:r>
            <w:r w:rsidR="00527CAF" w:rsidRPr="00D160FB">
              <w:rPr>
                <w:spacing w:val="-4"/>
                <w:lang w:val="en-GB"/>
              </w:rPr>
              <w:t>bn</w:t>
            </w:r>
            <w:r w:rsidR="00F53917" w:rsidRPr="00D160FB">
              <w:rPr>
                <w:spacing w:val="-4"/>
                <w:lang w:val="en-GB"/>
              </w:rPr>
              <w:t>)</w:t>
            </w:r>
            <w:r w:rsidR="00527CAF" w:rsidRPr="00D160FB">
              <w:rPr>
                <w:spacing w:val="-4"/>
                <w:lang w:val="en-GB"/>
              </w:rPr>
              <w:t xml:space="preserve"> also worked in the direction of surplus</w:t>
            </w:r>
            <w:r w:rsidR="00F53917" w:rsidRPr="00D160FB">
              <w:rPr>
                <w:spacing w:val="-4"/>
                <w:lang w:val="en-GB"/>
              </w:rPr>
              <w:t xml:space="preserve">.    </w:t>
            </w:r>
          </w:p>
        </w:tc>
      </w:tr>
      <w:tr w:rsidR="00F53917" w:rsidRPr="00D160FB" w14:paraId="6E599C6B" w14:textId="77777777" w:rsidTr="0063723A">
        <w:trPr>
          <w:trHeight w:val="145"/>
        </w:trPr>
        <w:tc>
          <w:tcPr>
            <w:tcW w:w="1476" w:type="dxa"/>
            <w:shd w:val="clear" w:color="auto" w:fill="auto"/>
            <w:tcMar>
              <w:left w:w="0" w:type="dxa"/>
            </w:tcMar>
          </w:tcPr>
          <w:p w14:paraId="6C64A6EB" w14:textId="091C60C1" w:rsidR="00F53917" w:rsidRPr="00D160FB" w:rsidRDefault="0026632F" w:rsidP="00163868">
            <w:pPr>
              <w:pStyle w:val="Marginlie"/>
              <w:rPr>
                <w:lang w:val="en-GB"/>
              </w:rPr>
            </w:pPr>
            <w:r w:rsidRPr="00D160FB">
              <w:rPr>
                <w:lang w:val="en-GB"/>
              </w:rPr>
              <w:t xml:space="preserve">Trade with oil and natural gas was the main cause of the foreign trade with </w:t>
            </w:r>
            <w:r w:rsidRPr="00D160FB">
              <w:rPr>
                <w:lang w:val="en-GB"/>
              </w:rPr>
              <w:lastRenderedPageBreak/>
              <w:t xml:space="preserve">goods balance deterioration. </w:t>
            </w:r>
          </w:p>
        </w:tc>
        <w:tc>
          <w:tcPr>
            <w:tcW w:w="152" w:type="dxa"/>
            <w:shd w:val="clear" w:color="auto" w:fill="auto"/>
            <w:tcMar>
              <w:left w:w="0" w:type="dxa"/>
            </w:tcMar>
          </w:tcPr>
          <w:p w14:paraId="6C647A7B"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5BBBD4A" w14:textId="5A7A49CD" w:rsidR="00F53917" w:rsidRPr="00D160FB" w:rsidRDefault="0026632F" w:rsidP="00163868">
            <w:pPr>
              <w:spacing w:after="180"/>
              <w:rPr>
                <w:spacing w:val="-4"/>
                <w:lang w:val="en-GB"/>
              </w:rPr>
            </w:pPr>
            <w:r w:rsidRPr="00D160FB">
              <w:rPr>
                <w:spacing w:val="-4"/>
                <w:lang w:val="en-GB"/>
              </w:rPr>
              <w:t xml:space="preserve">Balance of trade with oil and natural gas worsened the most </w:t>
            </w:r>
            <w:r w:rsidR="00F53917" w:rsidRPr="00D160FB">
              <w:rPr>
                <w:spacing w:val="-4"/>
                <w:lang w:val="en-GB"/>
              </w:rPr>
              <w:t>(−177</w:t>
            </w:r>
            <w:r w:rsidRPr="00D160FB">
              <w:rPr>
                <w:spacing w:val="-4"/>
                <w:lang w:val="en-GB"/>
              </w:rPr>
              <w:t>.</w:t>
            </w:r>
            <w:r w:rsidR="00F53917" w:rsidRPr="00D160FB">
              <w:rPr>
                <w:spacing w:val="-4"/>
                <w:lang w:val="en-GB"/>
              </w:rPr>
              <w:t>0</w:t>
            </w:r>
            <w:r w:rsidRPr="00D160FB">
              <w:rPr>
                <w:spacing w:val="-4"/>
                <w:lang w:val="en-GB"/>
              </w:rPr>
              <w:t xml:space="preserve"> CZK bn</w:t>
            </w:r>
            <w:r w:rsidR="00F53917" w:rsidRPr="00D160FB">
              <w:rPr>
                <w:spacing w:val="-4"/>
                <w:lang w:val="en-GB"/>
              </w:rPr>
              <w:t xml:space="preserve">) </w:t>
            </w:r>
            <w:r w:rsidRPr="00D160FB">
              <w:rPr>
                <w:spacing w:val="-4"/>
                <w:lang w:val="en-GB"/>
              </w:rPr>
              <w:t xml:space="preserve">last year and further with basic metals </w:t>
            </w:r>
            <w:r w:rsidR="00F53917" w:rsidRPr="00D160FB">
              <w:rPr>
                <w:spacing w:val="-4"/>
                <w:lang w:val="en-GB"/>
              </w:rPr>
              <w:t>(−29</w:t>
            </w:r>
            <w:r w:rsidRPr="00D160FB">
              <w:rPr>
                <w:spacing w:val="-4"/>
                <w:lang w:val="en-GB"/>
              </w:rPr>
              <w:t>.</w:t>
            </w:r>
            <w:r w:rsidR="00F53917" w:rsidRPr="00D160FB">
              <w:rPr>
                <w:spacing w:val="-4"/>
                <w:lang w:val="en-GB"/>
              </w:rPr>
              <w:t>6</w:t>
            </w:r>
            <w:r w:rsidRPr="00D160FB">
              <w:rPr>
                <w:spacing w:val="-4"/>
                <w:lang w:val="en-GB"/>
              </w:rPr>
              <w:t xml:space="preserve"> bn</w:t>
            </w:r>
            <w:r w:rsidR="00F53917" w:rsidRPr="00D160FB">
              <w:rPr>
                <w:spacing w:val="-4"/>
                <w:lang w:val="en-GB"/>
              </w:rPr>
              <w:t>), ele</w:t>
            </w:r>
            <w:r w:rsidRPr="00D160FB">
              <w:rPr>
                <w:spacing w:val="-4"/>
                <w:lang w:val="en-GB"/>
              </w:rPr>
              <w:t xml:space="preserve">ctrical equipment </w:t>
            </w:r>
            <w:r w:rsidR="00F53917" w:rsidRPr="00D160FB">
              <w:rPr>
                <w:spacing w:val="-4"/>
                <w:lang w:val="en-GB"/>
              </w:rPr>
              <w:t>(−23</w:t>
            </w:r>
            <w:r w:rsidRPr="00D160FB">
              <w:rPr>
                <w:spacing w:val="-4"/>
                <w:lang w:val="en-GB"/>
              </w:rPr>
              <w:t>.</w:t>
            </w:r>
            <w:r w:rsidR="00F53917" w:rsidRPr="00D160FB">
              <w:rPr>
                <w:spacing w:val="-4"/>
                <w:lang w:val="en-GB"/>
              </w:rPr>
              <w:t>0</w:t>
            </w:r>
            <w:r w:rsidRPr="00D160FB">
              <w:rPr>
                <w:spacing w:val="-4"/>
                <w:lang w:val="en-GB"/>
              </w:rPr>
              <w:t xml:space="preserve"> bn</w:t>
            </w:r>
            <w:r w:rsidR="00F53917" w:rsidRPr="00D160FB">
              <w:rPr>
                <w:spacing w:val="-4"/>
                <w:lang w:val="en-GB"/>
              </w:rPr>
              <w:t>),</w:t>
            </w:r>
            <w:r w:rsidRPr="00D160FB">
              <w:rPr>
                <w:spacing w:val="-4"/>
                <w:lang w:val="en-GB"/>
              </w:rPr>
              <w:t xml:space="preserve"> coke and </w:t>
            </w:r>
            <w:r w:rsidR="00186538">
              <w:rPr>
                <w:spacing w:val="-4"/>
                <w:lang w:val="en-GB"/>
              </w:rPr>
              <w:t>refined petroleum</w:t>
            </w:r>
            <w:r w:rsidRPr="00D160FB">
              <w:rPr>
                <w:spacing w:val="-4"/>
                <w:lang w:val="en-GB"/>
              </w:rPr>
              <w:t xml:space="preserve"> products </w:t>
            </w:r>
            <w:r w:rsidR="00F53917" w:rsidRPr="00D160FB">
              <w:rPr>
                <w:spacing w:val="-4"/>
                <w:lang w:val="en-GB"/>
              </w:rPr>
              <w:t>(−22</w:t>
            </w:r>
            <w:r w:rsidRPr="00D160FB">
              <w:rPr>
                <w:spacing w:val="-4"/>
                <w:lang w:val="en-GB"/>
              </w:rPr>
              <w:t>.</w:t>
            </w:r>
            <w:r w:rsidR="00F53917" w:rsidRPr="00D160FB">
              <w:rPr>
                <w:spacing w:val="-4"/>
                <w:lang w:val="en-GB"/>
              </w:rPr>
              <w:t>8</w:t>
            </w:r>
            <w:r w:rsidRPr="00D160FB">
              <w:rPr>
                <w:spacing w:val="-4"/>
                <w:lang w:val="en-GB"/>
              </w:rPr>
              <w:t xml:space="preserve"> bn</w:t>
            </w:r>
            <w:r w:rsidR="00F53917" w:rsidRPr="00D160FB">
              <w:rPr>
                <w:spacing w:val="-4"/>
                <w:lang w:val="en-GB"/>
              </w:rPr>
              <w:t>) a</w:t>
            </w:r>
            <w:r w:rsidRPr="00D160FB">
              <w:rPr>
                <w:spacing w:val="-4"/>
                <w:lang w:val="en-GB"/>
              </w:rPr>
              <w:t xml:space="preserve">nd chemical substances and products </w:t>
            </w:r>
            <w:r w:rsidR="00F53917" w:rsidRPr="00D160FB">
              <w:rPr>
                <w:spacing w:val="-4"/>
                <w:lang w:val="en-GB"/>
              </w:rPr>
              <w:t>(−17</w:t>
            </w:r>
            <w:r w:rsidRPr="00D160FB">
              <w:rPr>
                <w:spacing w:val="-4"/>
                <w:lang w:val="en-GB"/>
              </w:rPr>
              <w:t>.</w:t>
            </w:r>
            <w:r w:rsidR="00F53917" w:rsidRPr="00D160FB">
              <w:rPr>
                <w:spacing w:val="-4"/>
                <w:lang w:val="en-GB"/>
              </w:rPr>
              <w:t>6</w:t>
            </w:r>
            <w:r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Trade with brown coal </w:t>
            </w:r>
            <w:r w:rsidR="00E95DAB" w:rsidRPr="00D160FB">
              <w:rPr>
                <w:spacing w:val="-4"/>
                <w:lang w:val="en-GB"/>
              </w:rPr>
              <w:lastRenderedPageBreak/>
              <w:t xml:space="preserve">and lignite </w:t>
            </w:r>
            <w:r w:rsidR="00F53917" w:rsidRPr="00D160FB">
              <w:rPr>
                <w:spacing w:val="-4"/>
                <w:lang w:val="en-GB"/>
              </w:rPr>
              <w:t>(−14</w:t>
            </w:r>
            <w:r w:rsidR="00E95DAB" w:rsidRPr="00D160FB">
              <w:rPr>
                <w:spacing w:val="-4"/>
                <w:lang w:val="en-GB"/>
              </w:rPr>
              <w:t>.</w:t>
            </w:r>
            <w:r w:rsidR="00F53917" w:rsidRPr="00D160FB">
              <w:rPr>
                <w:spacing w:val="-4"/>
                <w:lang w:val="en-GB"/>
              </w:rPr>
              <w:t>0</w:t>
            </w:r>
            <w:r w:rsidR="00E95DAB" w:rsidRPr="00D160FB">
              <w:rPr>
                <w:spacing w:val="-4"/>
                <w:lang w:val="en-GB"/>
              </w:rPr>
              <w:t xml:space="preserve"> CZK bn</w:t>
            </w:r>
            <w:r w:rsidR="00F53917" w:rsidRPr="00D160FB">
              <w:rPr>
                <w:spacing w:val="-4"/>
                <w:lang w:val="en-GB"/>
              </w:rPr>
              <w:t>),</w:t>
            </w:r>
            <w:r w:rsidR="00E95DAB" w:rsidRPr="00D160FB">
              <w:rPr>
                <w:spacing w:val="-4"/>
                <w:lang w:val="en-GB"/>
              </w:rPr>
              <w:t xml:space="preserve"> wearing apparel </w:t>
            </w:r>
            <w:r w:rsidR="00F53917" w:rsidRPr="00D160FB">
              <w:rPr>
                <w:spacing w:val="-4"/>
                <w:lang w:val="en-GB"/>
              </w:rPr>
              <w:t>(−9</w:t>
            </w:r>
            <w:r w:rsidR="00E95DAB" w:rsidRPr="00D160FB">
              <w:rPr>
                <w:spacing w:val="-4"/>
                <w:lang w:val="en-GB"/>
              </w:rPr>
              <w:t>.</w:t>
            </w:r>
            <w:r w:rsidR="00F53917" w:rsidRPr="00D160FB">
              <w:rPr>
                <w:spacing w:val="-4"/>
                <w:lang w:val="en-GB"/>
              </w:rPr>
              <w:t>8</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food products </w:t>
            </w:r>
            <w:r w:rsidR="00F53917" w:rsidRPr="00D160FB">
              <w:rPr>
                <w:spacing w:val="-4"/>
                <w:lang w:val="en-GB"/>
              </w:rPr>
              <w:t>(−6</w:t>
            </w:r>
            <w:r w:rsidR="00E95DAB" w:rsidRPr="00D160FB">
              <w:rPr>
                <w:spacing w:val="-4"/>
                <w:lang w:val="en-GB"/>
              </w:rPr>
              <w:t>.</w:t>
            </w:r>
            <w:r w:rsidR="00F53917" w:rsidRPr="00D160FB">
              <w:rPr>
                <w:spacing w:val="-4"/>
                <w:lang w:val="en-GB"/>
              </w:rPr>
              <w:t>3</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other products of manufacturing </w:t>
            </w:r>
            <w:r w:rsidR="00F53917" w:rsidRPr="00D160FB">
              <w:rPr>
                <w:spacing w:val="-4"/>
                <w:lang w:val="en-GB"/>
              </w:rPr>
              <w:t>(−4</w:t>
            </w:r>
            <w:r w:rsidR="00E95DAB" w:rsidRPr="00D160FB">
              <w:rPr>
                <w:spacing w:val="-4"/>
                <w:lang w:val="en-GB"/>
              </w:rPr>
              <w:t>.</w:t>
            </w:r>
            <w:r w:rsidR="00F53917" w:rsidRPr="00D160FB">
              <w:rPr>
                <w:spacing w:val="-4"/>
                <w:lang w:val="en-GB"/>
              </w:rPr>
              <w:t>7</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other transport equipment </w:t>
            </w:r>
            <w:r w:rsidR="00F53917" w:rsidRPr="00D160FB">
              <w:rPr>
                <w:spacing w:val="-4"/>
                <w:lang w:val="en-GB"/>
              </w:rPr>
              <w:t>(−4</w:t>
            </w:r>
            <w:r w:rsidR="00E95DAB" w:rsidRPr="00D160FB">
              <w:rPr>
                <w:spacing w:val="-4"/>
                <w:lang w:val="en-GB"/>
              </w:rPr>
              <w:t>.</w:t>
            </w:r>
            <w:r w:rsidR="00F53917" w:rsidRPr="00D160FB">
              <w:rPr>
                <w:spacing w:val="-4"/>
                <w:lang w:val="en-GB"/>
              </w:rPr>
              <w:t>6</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or </w:t>
            </w:r>
            <w:r w:rsidR="002376D3" w:rsidRPr="00D160FB">
              <w:rPr>
                <w:spacing w:val="-4"/>
                <w:lang w:val="en-GB"/>
              </w:rPr>
              <w:t xml:space="preserve">leather and associated products </w:t>
            </w:r>
            <w:r w:rsidR="00F53917" w:rsidRPr="00D160FB">
              <w:rPr>
                <w:spacing w:val="-4"/>
                <w:lang w:val="en-GB"/>
              </w:rPr>
              <w:t>(−4</w:t>
            </w:r>
            <w:r w:rsidR="002376D3" w:rsidRPr="00D160FB">
              <w:rPr>
                <w:spacing w:val="-4"/>
                <w:lang w:val="en-GB"/>
              </w:rPr>
              <w:t>.</w:t>
            </w:r>
            <w:r w:rsidR="00F53917" w:rsidRPr="00D160FB">
              <w:rPr>
                <w:spacing w:val="-4"/>
                <w:lang w:val="en-GB"/>
              </w:rPr>
              <w:t>5</w:t>
            </w:r>
            <w:r w:rsidR="002376D3" w:rsidRPr="00D160FB">
              <w:rPr>
                <w:spacing w:val="-4"/>
                <w:lang w:val="en-GB"/>
              </w:rPr>
              <w:t xml:space="preserve"> bn</w:t>
            </w:r>
            <w:r w:rsidR="00F53917" w:rsidRPr="00D160FB">
              <w:rPr>
                <w:spacing w:val="-4"/>
                <w:lang w:val="en-GB"/>
              </w:rPr>
              <w:t>)</w:t>
            </w:r>
            <w:r w:rsidR="00E95DAB" w:rsidRPr="00D160FB">
              <w:rPr>
                <w:spacing w:val="-4"/>
                <w:lang w:val="en-GB"/>
              </w:rPr>
              <w:t xml:space="preserve"> also had an adverse effect on the total balance</w:t>
            </w:r>
            <w:r w:rsidR="00F53917" w:rsidRPr="00D160FB">
              <w:rPr>
                <w:spacing w:val="-4"/>
                <w:lang w:val="en-GB"/>
              </w:rPr>
              <w:t xml:space="preserve">. </w:t>
            </w:r>
            <w:r w:rsidR="00E95DAB" w:rsidRPr="00D160FB">
              <w:rPr>
                <w:spacing w:val="-4"/>
                <w:lang w:val="en-GB"/>
              </w:rPr>
              <w:t>Balance improvement on the con</w:t>
            </w:r>
            <w:r w:rsidR="002376D3" w:rsidRPr="00D160FB">
              <w:rPr>
                <w:spacing w:val="-4"/>
                <w:lang w:val="en-GB"/>
              </w:rPr>
              <w:t xml:space="preserve">trary </w:t>
            </w:r>
            <w:r w:rsidR="00E95DAB" w:rsidRPr="00D160FB">
              <w:rPr>
                <w:spacing w:val="-4"/>
                <w:lang w:val="en-GB"/>
              </w:rPr>
              <w:t xml:space="preserve">occurred in case of trade with electricity, gas, steam and air conditioning </w:t>
            </w:r>
            <w:r w:rsidR="00F53917" w:rsidRPr="00D160FB">
              <w:rPr>
                <w:spacing w:val="-4"/>
                <w:lang w:val="en-GB"/>
              </w:rPr>
              <w:t>(+46</w:t>
            </w:r>
            <w:r w:rsidR="00E95DAB" w:rsidRPr="00D160FB">
              <w:rPr>
                <w:spacing w:val="-4"/>
                <w:lang w:val="en-GB"/>
              </w:rPr>
              <w:t>.</w:t>
            </w:r>
            <w:r w:rsidR="00F53917" w:rsidRPr="00D160FB">
              <w:rPr>
                <w:spacing w:val="-4"/>
                <w:lang w:val="en-GB"/>
              </w:rPr>
              <w:t>6</w:t>
            </w:r>
            <w:r w:rsidR="00E95DAB" w:rsidRPr="00D160FB">
              <w:rPr>
                <w:spacing w:val="-4"/>
                <w:lang w:val="en-GB"/>
              </w:rPr>
              <w:t xml:space="preserve"> CZK bn</w:t>
            </w:r>
            <w:r w:rsidR="00F53917" w:rsidRPr="00D160FB">
              <w:rPr>
                <w:spacing w:val="-4"/>
                <w:lang w:val="en-GB"/>
              </w:rPr>
              <w:t>), motor</w:t>
            </w:r>
            <w:r w:rsidR="00E95DAB" w:rsidRPr="00D160FB">
              <w:rPr>
                <w:spacing w:val="-4"/>
                <w:lang w:val="en-GB"/>
              </w:rPr>
              <w:t xml:space="preserve"> vehicles </w:t>
            </w:r>
            <w:r w:rsidR="00F53917" w:rsidRPr="00D160FB">
              <w:rPr>
                <w:spacing w:val="-4"/>
                <w:lang w:val="en-GB"/>
              </w:rPr>
              <w:t>(+35</w:t>
            </w:r>
            <w:r w:rsidR="00E95DAB" w:rsidRPr="00D160FB">
              <w:rPr>
                <w:spacing w:val="-4"/>
                <w:lang w:val="en-GB"/>
              </w:rPr>
              <w:t>.</w:t>
            </w:r>
            <w:r w:rsidR="00F53917" w:rsidRPr="00D160FB">
              <w:rPr>
                <w:spacing w:val="-4"/>
                <w:lang w:val="en-GB"/>
              </w:rPr>
              <w:t>4</w:t>
            </w:r>
            <w:r w:rsidR="00E95DAB" w:rsidRPr="00D160FB">
              <w:rPr>
                <w:spacing w:val="-4"/>
                <w:lang w:val="en-GB"/>
              </w:rPr>
              <w:t xml:space="preserve"> bn</w:t>
            </w:r>
            <w:r w:rsidR="00F53917" w:rsidRPr="00D160FB">
              <w:rPr>
                <w:spacing w:val="-4"/>
                <w:lang w:val="en-GB"/>
              </w:rPr>
              <w:t>),</w:t>
            </w:r>
            <w:r w:rsidR="00E95DAB" w:rsidRPr="00D160FB">
              <w:rPr>
                <w:spacing w:val="-4"/>
                <w:lang w:val="en-GB"/>
              </w:rPr>
              <w:t xml:space="preserve"> </w:t>
            </w:r>
            <w:r w:rsidR="00186538">
              <w:rPr>
                <w:spacing w:val="-4"/>
                <w:lang w:val="en-GB"/>
              </w:rPr>
              <w:t>fabricated metal</w:t>
            </w:r>
            <w:r w:rsidR="00E95DAB" w:rsidRPr="00D160FB">
              <w:rPr>
                <w:spacing w:val="-4"/>
                <w:lang w:val="en-GB"/>
              </w:rPr>
              <w:t xml:space="preserve"> products </w:t>
            </w:r>
            <w:r w:rsidR="00F53917" w:rsidRPr="00D160FB">
              <w:rPr>
                <w:spacing w:val="-4"/>
                <w:lang w:val="en-GB"/>
              </w:rPr>
              <w:t>(+10</w:t>
            </w:r>
            <w:r w:rsidR="00E95DAB" w:rsidRPr="00D160FB">
              <w:rPr>
                <w:spacing w:val="-4"/>
                <w:lang w:val="en-GB"/>
              </w:rPr>
              <w:t>.</w:t>
            </w:r>
            <w:r w:rsidR="00F53917" w:rsidRPr="00D160FB">
              <w:rPr>
                <w:spacing w:val="-4"/>
                <w:lang w:val="en-GB"/>
              </w:rPr>
              <w:t>0</w:t>
            </w:r>
            <w:r w:rsidR="00E95DAB" w:rsidRPr="00D160FB">
              <w:rPr>
                <w:spacing w:val="-4"/>
                <w:lang w:val="en-GB"/>
              </w:rPr>
              <w:t xml:space="preserve"> bn</w:t>
            </w:r>
            <w:r w:rsidR="00F53917" w:rsidRPr="00D160FB">
              <w:rPr>
                <w:spacing w:val="-4"/>
                <w:lang w:val="en-GB"/>
              </w:rPr>
              <w:t xml:space="preserve">) </w:t>
            </w:r>
            <w:r w:rsidR="00E95DAB" w:rsidRPr="00D160FB">
              <w:rPr>
                <w:spacing w:val="-4"/>
                <w:lang w:val="en-GB"/>
              </w:rPr>
              <w:t xml:space="preserve">or products of agriculture and hunting </w:t>
            </w:r>
            <w:r w:rsidR="00F53917" w:rsidRPr="00D160FB">
              <w:rPr>
                <w:spacing w:val="-4"/>
                <w:lang w:val="en-GB"/>
              </w:rPr>
              <w:t>(+7</w:t>
            </w:r>
            <w:r w:rsidR="00E95DAB" w:rsidRPr="00D160FB">
              <w:rPr>
                <w:spacing w:val="-4"/>
                <w:lang w:val="en-GB"/>
              </w:rPr>
              <w:t>.</w:t>
            </w:r>
            <w:r w:rsidR="00F53917" w:rsidRPr="00D160FB">
              <w:rPr>
                <w:spacing w:val="-4"/>
                <w:lang w:val="en-GB"/>
              </w:rPr>
              <w:t>9</w:t>
            </w:r>
            <w:r w:rsidR="00E95DAB" w:rsidRPr="00D160FB">
              <w:rPr>
                <w:spacing w:val="-4"/>
                <w:lang w:val="en-GB"/>
              </w:rPr>
              <w:t xml:space="preserve"> bn</w:t>
            </w:r>
            <w:r w:rsidR="00F53917" w:rsidRPr="00D160FB">
              <w:rPr>
                <w:spacing w:val="-4"/>
                <w:lang w:val="en-GB"/>
              </w:rPr>
              <w:t xml:space="preserve">). </w:t>
            </w:r>
          </w:p>
        </w:tc>
      </w:tr>
      <w:tr w:rsidR="00F53917" w:rsidRPr="00D160FB" w14:paraId="7B223ABE" w14:textId="77777777" w:rsidTr="0063723A">
        <w:trPr>
          <w:trHeight w:val="145"/>
        </w:trPr>
        <w:tc>
          <w:tcPr>
            <w:tcW w:w="1476" w:type="dxa"/>
            <w:shd w:val="clear" w:color="auto" w:fill="auto"/>
            <w:tcMar>
              <w:left w:w="0" w:type="dxa"/>
            </w:tcMar>
          </w:tcPr>
          <w:p w14:paraId="7ED29B38" w14:textId="558DAC03" w:rsidR="00F53917" w:rsidRPr="00D160FB" w:rsidRDefault="0047053B" w:rsidP="00163868">
            <w:pPr>
              <w:pStyle w:val="Marginlie"/>
              <w:rPr>
                <w:lang w:val="en-GB"/>
              </w:rPr>
            </w:pPr>
            <w:r w:rsidRPr="00D160FB">
              <w:rPr>
                <w:lang w:val="en-GB"/>
              </w:rPr>
              <w:lastRenderedPageBreak/>
              <w:t>Trade with oil and natur</w:t>
            </w:r>
            <w:r w:rsidR="00312E51">
              <w:rPr>
                <w:lang w:val="en-GB"/>
              </w:rPr>
              <w:t>al gas and electrical equipment</w:t>
            </w:r>
            <w:r w:rsidRPr="00D160FB">
              <w:rPr>
                <w:lang w:val="en-GB"/>
              </w:rPr>
              <w:t xml:space="preserve"> worsened the balance at the end of the year. </w:t>
            </w:r>
          </w:p>
        </w:tc>
        <w:tc>
          <w:tcPr>
            <w:tcW w:w="152" w:type="dxa"/>
            <w:shd w:val="clear" w:color="auto" w:fill="auto"/>
            <w:tcMar>
              <w:left w:w="0" w:type="dxa"/>
            </w:tcMar>
          </w:tcPr>
          <w:p w14:paraId="7099B857"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5441CB54" w14:textId="3AA3A82F" w:rsidR="00F53917" w:rsidRPr="00D160FB" w:rsidRDefault="0047053B" w:rsidP="00163868">
            <w:pPr>
              <w:spacing w:after="180"/>
              <w:rPr>
                <w:spacing w:val="-4"/>
                <w:lang w:val="en-GB"/>
              </w:rPr>
            </w:pPr>
            <w:r w:rsidRPr="00D160FB">
              <w:rPr>
                <w:spacing w:val="-4"/>
                <w:lang w:val="en-GB"/>
              </w:rPr>
              <w:t xml:space="preserve">Trade with oil and natural gas </w:t>
            </w:r>
            <w:r w:rsidR="00F53917" w:rsidRPr="00D160FB">
              <w:rPr>
                <w:spacing w:val="-4"/>
                <w:lang w:val="en-GB"/>
              </w:rPr>
              <w:t>(−24</w:t>
            </w:r>
            <w:r w:rsidRPr="00D160FB">
              <w:rPr>
                <w:spacing w:val="-4"/>
                <w:lang w:val="en-GB"/>
              </w:rPr>
              <w:t>.</w:t>
            </w:r>
            <w:r w:rsidR="00F53917" w:rsidRPr="00D160FB">
              <w:rPr>
                <w:spacing w:val="-4"/>
                <w:lang w:val="en-GB"/>
              </w:rPr>
              <w:t>6</w:t>
            </w:r>
            <w:r w:rsidRPr="00D160FB">
              <w:rPr>
                <w:spacing w:val="-4"/>
                <w:lang w:val="en-GB"/>
              </w:rPr>
              <w:t xml:space="preserve"> CZK bn</w:t>
            </w:r>
            <w:r w:rsidR="00F53917" w:rsidRPr="00D160FB">
              <w:rPr>
                <w:spacing w:val="-4"/>
                <w:lang w:val="en-GB"/>
              </w:rPr>
              <w:t>) a</w:t>
            </w:r>
            <w:r w:rsidRPr="00D160FB">
              <w:rPr>
                <w:spacing w:val="-4"/>
                <w:lang w:val="en-GB"/>
              </w:rPr>
              <w:t xml:space="preserve">nd electrical equipment </w:t>
            </w:r>
            <w:r w:rsidR="00F53917" w:rsidRPr="00D160FB">
              <w:rPr>
                <w:spacing w:val="-4"/>
                <w:lang w:val="en-GB"/>
              </w:rPr>
              <w:t>(−15</w:t>
            </w:r>
            <w:r w:rsidRPr="00D160FB">
              <w:rPr>
                <w:spacing w:val="-4"/>
                <w:lang w:val="en-GB"/>
              </w:rPr>
              <w:t>.</w:t>
            </w:r>
            <w:r w:rsidR="00F53917" w:rsidRPr="00D160FB">
              <w:rPr>
                <w:spacing w:val="-4"/>
                <w:lang w:val="en-GB"/>
              </w:rPr>
              <w:t>2</w:t>
            </w:r>
            <w:r w:rsidRPr="00D160FB">
              <w:rPr>
                <w:spacing w:val="-4"/>
                <w:lang w:val="en-GB"/>
              </w:rPr>
              <w:t xml:space="preserve"> bn</w:t>
            </w:r>
            <w:r w:rsidR="00F53917" w:rsidRPr="00D160FB">
              <w:rPr>
                <w:spacing w:val="-4"/>
                <w:lang w:val="en-GB"/>
              </w:rPr>
              <w:t>)</w:t>
            </w:r>
            <w:r w:rsidRPr="00D160FB">
              <w:rPr>
                <w:spacing w:val="-4"/>
                <w:lang w:val="en-GB"/>
              </w:rPr>
              <w:t xml:space="preserve"> worsened the balance the most year-on-year in Q4</w:t>
            </w:r>
            <w:r w:rsidR="00F53917" w:rsidRPr="00D160FB">
              <w:rPr>
                <w:spacing w:val="-4"/>
                <w:lang w:val="en-GB"/>
              </w:rPr>
              <w:t xml:space="preserve">. </w:t>
            </w:r>
            <w:r w:rsidR="00AE631C" w:rsidRPr="00D160FB">
              <w:rPr>
                <w:spacing w:val="-4"/>
                <w:lang w:val="en-GB"/>
              </w:rPr>
              <w:t xml:space="preserve">The deficit for coke and </w:t>
            </w:r>
            <w:r w:rsidR="00186538">
              <w:rPr>
                <w:spacing w:val="-4"/>
                <w:lang w:val="en-GB"/>
              </w:rPr>
              <w:t>refined petroleum</w:t>
            </w:r>
            <w:r w:rsidR="00AE631C" w:rsidRPr="00D160FB">
              <w:rPr>
                <w:spacing w:val="-4"/>
                <w:lang w:val="en-GB"/>
              </w:rPr>
              <w:t xml:space="preserve"> products </w:t>
            </w:r>
            <w:r w:rsidR="00F53917" w:rsidRPr="00D160FB">
              <w:rPr>
                <w:spacing w:val="-4"/>
                <w:lang w:val="en-GB"/>
              </w:rPr>
              <w:t>(−3</w:t>
            </w:r>
            <w:r w:rsidR="00AE631C" w:rsidRPr="00D160FB">
              <w:rPr>
                <w:spacing w:val="-4"/>
                <w:lang w:val="en-GB"/>
              </w:rPr>
              <w:t>.</w:t>
            </w:r>
            <w:r w:rsidR="00F53917" w:rsidRPr="00D160FB">
              <w:rPr>
                <w:spacing w:val="-4"/>
                <w:lang w:val="en-GB"/>
              </w:rPr>
              <w:t>9</w:t>
            </w:r>
            <w:r w:rsidR="00AE631C" w:rsidRPr="00D160FB">
              <w:rPr>
                <w:spacing w:val="-4"/>
                <w:lang w:val="en-GB"/>
              </w:rPr>
              <w:t xml:space="preserve"> CZK bn</w:t>
            </w:r>
            <w:r w:rsidR="00F53917" w:rsidRPr="00D160FB">
              <w:rPr>
                <w:spacing w:val="-4"/>
                <w:lang w:val="en-GB"/>
              </w:rPr>
              <w:t>), chemic</w:t>
            </w:r>
            <w:r w:rsidR="00AE631C" w:rsidRPr="00D160FB">
              <w:rPr>
                <w:spacing w:val="-4"/>
                <w:lang w:val="en-GB"/>
              </w:rPr>
              <w:t xml:space="preserve">al substances and products </w:t>
            </w:r>
            <w:r w:rsidR="00F53917" w:rsidRPr="00D160FB">
              <w:rPr>
                <w:spacing w:val="-4"/>
                <w:lang w:val="en-GB"/>
              </w:rPr>
              <w:t>(−2</w:t>
            </w:r>
            <w:r w:rsidR="00AE631C" w:rsidRPr="00D160FB">
              <w:rPr>
                <w:spacing w:val="-4"/>
                <w:lang w:val="en-GB"/>
              </w:rPr>
              <w:t>.</w:t>
            </w:r>
            <w:r w:rsidR="00F53917" w:rsidRPr="00D160FB">
              <w:rPr>
                <w:spacing w:val="-4"/>
                <w:lang w:val="en-GB"/>
              </w:rPr>
              <w:t>8</w:t>
            </w:r>
            <w:r w:rsidR="00AE631C" w:rsidRPr="00D160FB">
              <w:rPr>
                <w:spacing w:val="-4"/>
                <w:lang w:val="en-GB"/>
              </w:rPr>
              <w:t xml:space="preserve"> bn</w:t>
            </w:r>
            <w:r w:rsidR="00F53917" w:rsidRPr="00D160FB">
              <w:rPr>
                <w:spacing w:val="-4"/>
                <w:lang w:val="en-GB"/>
              </w:rPr>
              <w:t>.)</w:t>
            </w:r>
            <w:r w:rsidR="00AE631C" w:rsidRPr="00D160FB">
              <w:rPr>
                <w:spacing w:val="-4"/>
                <w:lang w:val="en-GB"/>
              </w:rPr>
              <w:t xml:space="preserve"> or wearing apparel </w:t>
            </w:r>
            <w:r w:rsidR="00F53917" w:rsidRPr="00D160FB">
              <w:rPr>
                <w:spacing w:val="-4"/>
                <w:lang w:val="en-GB"/>
              </w:rPr>
              <w:t>(−2</w:t>
            </w:r>
            <w:r w:rsidR="00AE631C" w:rsidRPr="00D160FB">
              <w:rPr>
                <w:spacing w:val="-4"/>
                <w:lang w:val="en-GB"/>
              </w:rPr>
              <w:t>.</w:t>
            </w:r>
            <w:r w:rsidR="00F53917" w:rsidRPr="00D160FB">
              <w:rPr>
                <w:spacing w:val="-4"/>
                <w:lang w:val="en-GB"/>
              </w:rPr>
              <w:t>2</w:t>
            </w:r>
            <w:r w:rsidR="00AE631C" w:rsidRPr="00D160FB">
              <w:rPr>
                <w:spacing w:val="-4"/>
                <w:lang w:val="en-GB"/>
              </w:rPr>
              <w:t xml:space="preserve"> bn</w:t>
            </w:r>
            <w:r w:rsidR="00F53917" w:rsidRPr="00D160FB">
              <w:rPr>
                <w:spacing w:val="-4"/>
                <w:lang w:val="en-GB"/>
              </w:rPr>
              <w:t>)</w:t>
            </w:r>
            <w:r w:rsidR="00AE631C" w:rsidRPr="00D160FB">
              <w:rPr>
                <w:spacing w:val="-4"/>
                <w:lang w:val="en-GB"/>
              </w:rPr>
              <w:t xml:space="preserve"> also deepened</w:t>
            </w:r>
            <w:r w:rsidR="00F53917" w:rsidRPr="00D160FB">
              <w:rPr>
                <w:spacing w:val="-4"/>
                <w:lang w:val="en-GB"/>
              </w:rPr>
              <w:t xml:space="preserve">. </w:t>
            </w:r>
            <w:r w:rsidR="00456AAB" w:rsidRPr="00D160FB">
              <w:rPr>
                <w:spacing w:val="-4"/>
                <w:lang w:val="en-GB"/>
              </w:rPr>
              <w:t xml:space="preserve">Surplus of trade with electricity, gas, steam and air-conditioning also shrank </w:t>
            </w:r>
            <w:r w:rsidR="00F53917" w:rsidRPr="00D160FB">
              <w:rPr>
                <w:spacing w:val="-4"/>
                <w:lang w:val="en-GB"/>
              </w:rPr>
              <w:t>(−2</w:t>
            </w:r>
            <w:r w:rsidR="00456AAB" w:rsidRPr="00D160FB">
              <w:rPr>
                <w:spacing w:val="-4"/>
                <w:lang w:val="en-GB"/>
              </w:rPr>
              <w:t>.</w:t>
            </w:r>
            <w:r w:rsidR="00F53917" w:rsidRPr="00D160FB">
              <w:rPr>
                <w:spacing w:val="-4"/>
                <w:lang w:val="en-GB"/>
              </w:rPr>
              <w:t>5</w:t>
            </w:r>
            <w:r w:rsidR="00456AAB" w:rsidRPr="00D160FB">
              <w:rPr>
                <w:spacing w:val="-4"/>
                <w:lang w:val="en-GB"/>
              </w:rPr>
              <w:t xml:space="preserve"> CZK bn</w:t>
            </w:r>
            <w:r w:rsidR="00F53917" w:rsidRPr="00D160FB">
              <w:rPr>
                <w:spacing w:val="-4"/>
                <w:lang w:val="en-GB"/>
              </w:rPr>
              <w:t>). B</w:t>
            </w:r>
            <w:r w:rsidR="00456AAB" w:rsidRPr="00D160FB">
              <w:rPr>
                <w:spacing w:val="-4"/>
                <w:lang w:val="en-GB"/>
              </w:rPr>
              <w:t xml:space="preserve">alance was improving for a minority of products. </w:t>
            </w:r>
            <w:r w:rsidR="00603787" w:rsidRPr="00D160FB">
              <w:rPr>
                <w:spacing w:val="-4"/>
                <w:lang w:val="en-GB"/>
              </w:rPr>
              <w:t xml:space="preserve">Marked year-on-year balance strengthening was recorded for trade with motor vehicles </w:t>
            </w:r>
            <w:r w:rsidR="00F53917" w:rsidRPr="00D160FB">
              <w:rPr>
                <w:spacing w:val="-4"/>
                <w:lang w:val="en-GB"/>
              </w:rPr>
              <w:t>(+14</w:t>
            </w:r>
            <w:r w:rsidR="00603787" w:rsidRPr="00D160FB">
              <w:rPr>
                <w:spacing w:val="-4"/>
                <w:lang w:val="en-GB"/>
              </w:rPr>
              <w:t>.</w:t>
            </w:r>
            <w:r w:rsidR="00F53917" w:rsidRPr="00D160FB">
              <w:rPr>
                <w:spacing w:val="-4"/>
                <w:lang w:val="en-GB"/>
              </w:rPr>
              <w:t>0</w:t>
            </w:r>
            <w:r w:rsidR="00603787" w:rsidRPr="00D160FB">
              <w:rPr>
                <w:spacing w:val="-4"/>
                <w:lang w:val="en-GB"/>
              </w:rPr>
              <w:t xml:space="preserve"> CZK bn</w:t>
            </w:r>
            <w:r w:rsidR="00F53917" w:rsidRPr="00D160FB">
              <w:rPr>
                <w:spacing w:val="-4"/>
                <w:lang w:val="en-GB"/>
              </w:rPr>
              <w:t>) a</w:t>
            </w:r>
            <w:r w:rsidR="00603787" w:rsidRPr="00D160FB">
              <w:rPr>
                <w:spacing w:val="-4"/>
                <w:lang w:val="en-GB"/>
              </w:rPr>
              <w:t xml:space="preserve">nd computers, electronic and optical </w:t>
            </w:r>
            <w:r w:rsidR="00C60FA1">
              <w:rPr>
                <w:spacing w:val="-4"/>
                <w:lang w:val="en-GB"/>
              </w:rPr>
              <w:t>products</w:t>
            </w:r>
            <w:r w:rsidR="00603787" w:rsidRPr="00D160FB">
              <w:rPr>
                <w:spacing w:val="-4"/>
                <w:lang w:val="en-GB"/>
              </w:rPr>
              <w:t xml:space="preserve"> </w:t>
            </w:r>
            <w:r w:rsidR="00F53917" w:rsidRPr="00D160FB">
              <w:rPr>
                <w:spacing w:val="-4"/>
                <w:lang w:val="en-GB"/>
              </w:rPr>
              <w:t>(+10</w:t>
            </w:r>
            <w:r w:rsidR="00603787" w:rsidRPr="00D160FB">
              <w:rPr>
                <w:spacing w:val="-4"/>
                <w:lang w:val="en-GB"/>
              </w:rPr>
              <w:t>.</w:t>
            </w:r>
            <w:r w:rsidR="00F53917" w:rsidRPr="00D160FB">
              <w:rPr>
                <w:spacing w:val="-4"/>
                <w:lang w:val="en-GB"/>
              </w:rPr>
              <w:t>4</w:t>
            </w:r>
            <w:r w:rsidR="00603787" w:rsidRPr="00D160FB">
              <w:rPr>
                <w:spacing w:val="-4"/>
                <w:lang w:val="en-GB"/>
              </w:rPr>
              <w:t xml:space="preserve"> CZK bn</w:t>
            </w:r>
            <w:r w:rsidR="00F53917" w:rsidRPr="00D160FB">
              <w:rPr>
                <w:spacing w:val="-4"/>
                <w:lang w:val="en-GB"/>
              </w:rPr>
              <w:t>)</w:t>
            </w:r>
            <w:r w:rsidR="00603787" w:rsidRPr="00D160FB">
              <w:rPr>
                <w:spacing w:val="-4"/>
                <w:lang w:val="en-GB"/>
              </w:rPr>
              <w:t xml:space="preserve"> in Q4</w:t>
            </w:r>
            <w:r w:rsidR="00F53917" w:rsidRPr="00D160FB">
              <w:rPr>
                <w:spacing w:val="-4"/>
                <w:lang w:val="en-GB"/>
              </w:rPr>
              <w:t xml:space="preserve">. </w:t>
            </w:r>
            <w:r w:rsidR="00F2507B" w:rsidRPr="00D160FB">
              <w:rPr>
                <w:spacing w:val="-4"/>
                <w:lang w:val="en-GB"/>
              </w:rPr>
              <w:t xml:space="preserve">Trade with machinery and equipment </w:t>
            </w:r>
            <w:r w:rsidR="00F53917" w:rsidRPr="00D160FB">
              <w:rPr>
                <w:spacing w:val="-4"/>
                <w:lang w:val="en-GB"/>
              </w:rPr>
              <w:t>(+6</w:t>
            </w:r>
            <w:r w:rsidR="00F2507B" w:rsidRPr="00D160FB">
              <w:rPr>
                <w:spacing w:val="-4"/>
                <w:lang w:val="en-GB"/>
              </w:rPr>
              <w:t>.</w:t>
            </w:r>
            <w:r w:rsidR="00F53917" w:rsidRPr="00D160FB">
              <w:rPr>
                <w:spacing w:val="-4"/>
                <w:lang w:val="en-GB"/>
              </w:rPr>
              <w:t>7</w:t>
            </w:r>
            <w:r w:rsidR="00F2507B" w:rsidRPr="00D160FB">
              <w:rPr>
                <w:spacing w:val="-4"/>
                <w:lang w:val="en-GB"/>
              </w:rPr>
              <w:t xml:space="preserve"> CZK bn</w:t>
            </w:r>
            <w:r w:rsidR="00F53917" w:rsidRPr="00D160FB">
              <w:rPr>
                <w:spacing w:val="-4"/>
                <w:lang w:val="en-GB"/>
              </w:rPr>
              <w:t xml:space="preserve">) </w:t>
            </w:r>
            <w:r w:rsidR="00F2507B" w:rsidRPr="00D160FB">
              <w:rPr>
                <w:spacing w:val="-4"/>
                <w:lang w:val="en-GB"/>
              </w:rPr>
              <w:t xml:space="preserve">or basic metals </w:t>
            </w:r>
            <w:r w:rsidR="00F53917" w:rsidRPr="00D160FB">
              <w:rPr>
                <w:spacing w:val="-4"/>
                <w:lang w:val="en-GB"/>
              </w:rPr>
              <w:t>(+2</w:t>
            </w:r>
            <w:r w:rsidR="00F2507B" w:rsidRPr="00D160FB">
              <w:rPr>
                <w:spacing w:val="-4"/>
                <w:lang w:val="en-GB"/>
              </w:rPr>
              <w:t>.</w:t>
            </w:r>
            <w:r w:rsidR="00F53917" w:rsidRPr="00D160FB">
              <w:rPr>
                <w:spacing w:val="-4"/>
                <w:lang w:val="en-GB"/>
              </w:rPr>
              <w:t>9</w:t>
            </w:r>
            <w:r w:rsidR="00F2507B" w:rsidRPr="00D160FB">
              <w:rPr>
                <w:spacing w:val="-4"/>
                <w:lang w:val="en-GB"/>
              </w:rPr>
              <w:t xml:space="preserve"> bn</w:t>
            </w:r>
            <w:r w:rsidR="00F53917" w:rsidRPr="00D160FB">
              <w:rPr>
                <w:spacing w:val="-4"/>
                <w:lang w:val="en-GB"/>
              </w:rPr>
              <w:t>)</w:t>
            </w:r>
            <w:r w:rsidR="00F2507B" w:rsidRPr="00D160FB">
              <w:rPr>
                <w:spacing w:val="-4"/>
                <w:lang w:val="en-GB"/>
              </w:rPr>
              <w:t xml:space="preserve"> also worked in the direction of improvement of the total balance</w:t>
            </w:r>
            <w:r w:rsidR="00F53917" w:rsidRPr="00D160FB">
              <w:rPr>
                <w:spacing w:val="-4"/>
                <w:lang w:val="en-GB"/>
              </w:rPr>
              <w:t xml:space="preserve">.    </w:t>
            </w:r>
          </w:p>
        </w:tc>
      </w:tr>
      <w:tr w:rsidR="00F53917" w:rsidRPr="00D160FB" w14:paraId="553A28BB" w14:textId="77777777" w:rsidTr="0063723A">
        <w:trPr>
          <w:trHeight w:val="106"/>
        </w:trPr>
        <w:tc>
          <w:tcPr>
            <w:tcW w:w="1476" w:type="dxa"/>
            <w:vMerge w:val="restart"/>
            <w:shd w:val="clear" w:color="auto" w:fill="auto"/>
            <w:tcMar>
              <w:left w:w="0" w:type="dxa"/>
            </w:tcMar>
          </w:tcPr>
          <w:p w14:paraId="6B347412" w14:textId="77777777" w:rsidR="00F53917" w:rsidRPr="00D160FB" w:rsidRDefault="00F53917" w:rsidP="00163868">
            <w:pPr>
              <w:pStyle w:val="Marginlie"/>
              <w:rPr>
                <w:lang w:val="en-GB"/>
              </w:rPr>
            </w:pPr>
          </w:p>
        </w:tc>
        <w:tc>
          <w:tcPr>
            <w:tcW w:w="152" w:type="dxa"/>
            <w:vMerge w:val="restart"/>
            <w:shd w:val="clear" w:color="auto" w:fill="auto"/>
            <w:tcMar>
              <w:left w:w="0" w:type="dxa"/>
            </w:tcMar>
          </w:tcPr>
          <w:p w14:paraId="5655C9DA"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342D9F04" w14:textId="3D103064" w:rsidR="00F53917" w:rsidRPr="00D160FB" w:rsidRDefault="00C55249" w:rsidP="00163868">
            <w:pPr>
              <w:spacing w:after="0"/>
              <w:rPr>
                <w:spacing w:val="-4"/>
                <w:szCs w:val="20"/>
                <w:lang w:val="en-GB"/>
              </w:rPr>
            </w:pPr>
            <w:r w:rsidRPr="00D160FB">
              <w:rPr>
                <w:rFonts w:cs="Arial"/>
                <w:b/>
                <w:bCs/>
                <w:color w:val="000000"/>
                <w:szCs w:val="20"/>
                <w:lang w:val="en-GB"/>
              </w:rPr>
              <w:t>Chart</w:t>
            </w:r>
            <w:r w:rsidR="00F53917" w:rsidRPr="00D160FB">
              <w:rPr>
                <w:rFonts w:cs="Arial"/>
                <w:b/>
                <w:bCs/>
                <w:color w:val="000000"/>
                <w:szCs w:val="20"/>
                <w:lang w:val="en-GB"/>
              </w:rPr>
              <w:t xml:space="preserve"> 10 </w:t>
            </w:r>
            <w:r w:rsidR="005C4841" w:rsidRPr="00D160FB">
              <w:rPr>
                <w:rFonts w:cs="Arial"/>
                <w:b/>
                <w:bCs/>
                <w:color w:val="000000"/>
                <w:szCs w:val="20"/>
                <w:lang w:val="en-GB"/>
              </w:rPr>
              <w:t xml:space="preserve">Balance of foreign trade with goods in foreign trade statistics </w:t>
            </w:r>
            <w:r w:rsidR="005C4841" w:rsidRPr="00D160FB">
              <w:rPr>
                <w:rFonts w:cs="Arial"/>
                <w:color w:val="000000"/>
                <w:szCs w:val="20"/>
                <w:lang w:val="en-GB"/>
              </w:rPr>
              <w:t xml:space="preserve">(cumulation of </w:t>
            </w:r>
            <w:r w:rsidR="00E87811" w:rsidRPr="00D160FB">
              <w:rPr>
                <w:rFonts w:cs="Arial"/>
                <w:color w:val="000000"/>
                <w:szCs w:val="20"/>
                <w:lang w:val="en-GB"/>
              </w:rPr>
              <w:t>entire year</w:t>
            </w:r>
            <w:r w:rsidR="005C4841" w:rsidRPr="00D160FB">
              <w:rPr>
                <w:rFonts w:cs="Arial"/>
                <w:color w:val="000000"/>
                <w:szCs w:val="20"/>
                <w:lang w:val="en-GB"/>
              </w:rPr>
              <w:t>, in CZK bn, selected divisions of the CPA classification)</w:t>
            </w:r>
          </w:p>
        </w:tc>
      </w:tr>
      <w:tr w:rsidR="00F53917" w:rsidRPr="00D160FB" w14:paraId="67DA8923" w14:textId="77777777" w:rsidTr="0063723A">
        <w:tblPrEx>
          <w:tblCellMar>
            <w:left w:w="70" w:type="dxa"/>
            <w:right w:w="70" w:type="dxa"/>
          </w:tblCellMar>
        </w:tblPrEx>
        <w:trPr>
          <w:trHeight w:val="106"/>
        </w:trPr>
        <w:tc>
          <w:tcPr>
            <w:tcW w:w="1476" w:type="dxa"/>
            <w:vMerge/>
          </w:tcPr>
          <w:p w14:paraId="33396454" w14:textId="77777777" w:rsidR="00F53917" w:rsidRPr="00D160FB" w:rsidRDefault="00F53917" w:rsidP="00163868">
            <w:pPr>
              <w:pStyle w:val="Marginlie"/>
              <w:rPr>
                <w:lang w:val="en-GB"/>
              </w:rPr>
            </w:pPr>
          </w:p>
        </w:tc>
        <w:tc>
          <w:tcPr>
            <w:tcW w:w="152" w:type="dxa"/>
            <w:vMerge/>
          </w:tcPr>
          <w:p w14:paraId="3BCAAE8D" w14:textId="77777777" w:rsidR="00F53917" w:rsidRPr="00D160FB" w:rsidRDefault="00F53917" w:rsidP="00163868">
            <w:pPr>
              <w:pStyle w:val="Textpoznpodarou"/>
              <w:jc w:val="both"/>
              <w:rPr>
                <w:spacing w:val="-4"/>
                <w:lang w:val="en-GB"/>
              </w:rPr>
            </w:pPr>
          </w:p>
        </w:tc>
        <w:tc>
          <w:tcPr>
            <w:tcW w:w="8011" w:type="dxa"/>
            <w:shd w:val="clear" w:color="auto" w:fill="auto"/>
          </w:tcPr>
          <w:p w14:paraId="69972E5D" w14:textId="4F7BD2C9" w:rsidR="00F53917" w:rsidRPr="00D160FB" w:rsidRDefault="0063723A" w:rsidP="00163868">
            <w:pPr>
              <w:spacing w:after="0"/>
              <w:rPr>
                <w:lang w:val="en-GB"/>
              </w:rPr>
            </w:pPr>
            <w:r>
              <w:rPr>
                <w:noProof/>
              </w:rPr>
              <w:drawing>
                <wp:inline distT="0" distB="0" distL="0" distR="0" wp14:anchorId="5C52396B" wp14:editId="597193E3">
                  <wp:extent cx="4737600" cy="3375400"/>
                  <wp:effectExtent l="0" t="0" r="6350" b="0"/>
                  <wp:docPr id="1180629480" name="Graf 1">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F53917" w:rsidRPr="00D160FB" w14:paraId="60DAB82F" w14:textId="77777777" w:rsidTr="0063723A">
        <w:trPr>
          <w:trHeight w:val="106"/>
        </w:trPr>
        <w:tc>
          <w:tcPr>
            <w:tcW w:w="1476" w:type="dxa"/>
            <w:vMerge/>
            <w:tcMar>
              <w:left w:w="0" w:type="dxa"/>
            </w:tcMar>
          </w:tcPr>
          <w:p w14:paraId="45CBFE5F" w14:textId="77777777" w:rsidR="00F53917" w:rsidRPr="00D160FB" w:rsidRDefault="00F53917" w:rsidP="00163868">
            <w:pPr>
              <w:pStyle w:val="Marginlie"/>
              <w:rPr>
                <w:lang w:val="en-GB"/>
              </w:rPr>
            </w:pPr>
          </w:p>
        </w:tc>
        <w:tc>
          <w:tcPr>
            <w:tcW w:w="152" w:type="dxa"/>
            <w:vMerge/>
            <w:tcMar>
              <w:left w:w="0" w:type="dxa"/>
            </w:tcMar>
          </w:tcPr>
          <w:p w14:paraId="3DEA699D" w14:textId="77777777" w:rsidR="00F53917" w:rsidRPr="00D160FB" w:rsidRDefault="00F53917" w:rsidP="00163868">
            <w:pPr>
              <w:pStyle w:val="Textpoznpodarou"/>
              <w:jc w:val="both"/>
              <w:rPr>
                <w:spacing w:val="-4"/>
                <w:lang w:val="en-GB"/>
              </w:rPr>
            </w:pPr>
          </w:p>
        </w:tc>
        <w:tc>
          <w:tcPr>
            <w:tcW w:w="8011" w:type="dxa"/>
            <w:shd w:val="clear" w:color="auto" w:fill="auto"/>
            <w:tcMar>
              <w:left w:w="0" w:type="dxa"/>
            </w:tcMar>
          </w:tcPr>
          <w:p w14:paraId="64E28379" w14:textId="10E3731F" w:rsidR="005C4841" w:rsidRPr="0063723A" w:rsidRDefault="00C55249" w:rsidP="0063723A">
            <w:pPr>
              <w:spacing w:after="0"/>
              <w:rPr>
                <w:sz w:val="14"/>
                <w:szCs w:val="14"/>
                <w:lang w:val="en-GB"/>
              </w:rPr>
            </w:pPr>
            <w:r w:rsidRPr="00D160FB">
              <w:rPr>
                <w:sz w:val="14"/>
                <w:szCs w:val="14"/>
                <w:lang w:val="en-GB"/>
              </w:rPr>
              <w:t>Source</w:t>
            </w:r>
            <w:r w:rsidR="00F53917" w:rsidRPr="00D160FB">
              <w:rPr>
                <w:sz w:val="14"/>
                <w:szCs w:val="14"/>
                <w:lang w:val="en-GB"/>
              </w:rPr>
              <w:t xml:space="preserve">: </w:t>
            </w:r>
            <w:r w:rsidRPr="00D160FB">
              <w:rPr>
                <w:sz w:val="14"/>
                <w:szCs w:val="14"/>
                <w:lang w:val="en-GB"/>
              </w:rPr>
              <w:t>CZSO</w:t>
            </w:r>
          </w:p>
        </w:tc>
      </w:tr>
      <w:bookmarkEnd w:id="29"/>
      <w:bookmarkEnd w:id="30"/>
      <w:bookmarkEnd w:id="31"/>
    </w:tbl>
    <w:p w14:paraId="41D8CD3F" w14:textId="77777777" w:rsidR="00F53917" w:rsidRPr="00D160FB" w:rsidRDefault="00F53917" w:rsidP="00F53917">
      <w:pPr>
        <w:pStyle w:val="Nadpis11"/>
        <w:rPr>
          <w:b w:val="0"/>
          <w:sz w:val="2"/>
          <w:szCs w:val="2"/>
          <w:lang w:val="en-GB"/>
        </w:rPr>
      </w:pPr>
    </w:p>
    <w:p w14:paraId="3546D27D" w14:textId="77777777" w:rsidR="00F53917" w:rsidRPr="00D160FB" w:rsidRDefault="00F53917" w:rsidP="00F53917">
      <w:pPr>
        <w:pStyle w:val="Nadpis11"/>
        <w:spacing w:after="0"/>
        <w:rPr>
          <w:b w:val="0"/>
          <w:sz w:val="2"/>
          <w:szCs w:val="2"/>
          <w:lang w:val="en-GB"/>
        </w:rPr>
      </w:pPr>
    </w:p>
    <w:p w14:paraId="7905CEC3" w14:textId="77777777" w:rsidR="00F53917" w:rsidRPr="00D160FB" w:rsidRDefault="00F53917" w:rsidP="00F53917">
      <w:pPr>
        <w:pStyle w:val="Nadpis11"/>
        <w:rPr>
          <w:b w:val="0"/>
          <w:sz w:val="2"/>
          <w:szCs w:val="2"/>
          <w:lang w:val="en-GB"/>
        </w:rPr>
      </w:pPr>
    </w:p>
    <w:p w14:paraId="6EDA085F" w14:textId="77777777" w:rsidR="00F53917" w:rsidRPr="00D160FB" w:rsidRDefault="00F53917" w:rsidP="00F53917">
      <w:pPr>
        <w:pStyle w:val="Nadpis11"/>
        <w:rPr>
          <w:b w:val="0"/>
          <w:sz w:val="2"/>
          <w:szCs w:val="2"/>
          <w:lang w:val="en-GB"/>
        </w:rPr>
      </w:pPr>
    </w:p>
    <w:p w14:paraId="3D801654" w14:textId="77777777" w:rsidR="00F53917" w:rsidRPr="00D160FB" w:rsidRDefault="00F53917" w:rsidP="00F53917">
      <w:pPr>
        <w:spacing w:after="0" w:line="240" w:lineRule="auto"/>
        <w:jc w:val="left"/>
        <w:rPr>
          <w:b/>
          <w:sz w:val="2"/>
          <w:szCs w:val="2"/>
          <w:lang w:val="en-GB"/>
        </w:rPr>
      </w:pPr>
    </w:p>
    <w:p w14:paraId="5036A71F" w14:textId="77777777" w:rsidR="00F53917" w:rsidRPr="00D160FB" w:rsidRDefault="00F53917">
      <w:pPr>
        <w:spacing w:after="0" w:line="240" w:lineRule="auto"/>
        <w:jc w:val="left"/>
        <w:rPr>
          <w:rFonts w:eastAsia="MS Gothic"/>
          <w:b/>
          <w:bCs/>
          <w:color w:val="71818C"/>
          <w:sz w:val="32"/>
          <w:szCs w:val="28"/>
          <w:lang w:val="en-GB"/>
        </w:rPr>
      </w:pPr>
      <w:r w:rsidRPr="00D160FB">
        <w:rPr>
          <w:lang w:val="en-GB"/>
        </w:rPr>
        <w:br w:type="page"/>
      </w:r>
    </w:p>
    <w:p w14:paraId="0B1E4E68" w14:textId="049BBA2E" w:rsidR="0087722C" w:rsidRPr="00D160FB" w:rsidRDefault="0087722C" w:rsidP="0087722C">
      <w:pPr>
        <w:pStyle w:val="Nadpis11"/>
        <w:rPr>
          <w:lang w:val="en-GB"/>
        </w:rPr>
      </w:pPr>
      <w:bookmarkStart w:id="32" w:name="_Toc114134050"/>
      <w:bookmarkStart w:id="33" w:name="_Toc132874249"/>
      <w:bookmarkEnd w:id="15"/>
      <w:bookmarkEnd w:id="16"/>
      <w:bookmarkEnd w:id="17"/>
      <w:bookmarkEnd w:id="18"/>
      <w:bookmarkEnd w:id="19"/>
      <w:bookmarkEnd w:id="20"/>
      <w:r w:rsidRPr="00D160FB">
        <w:rPr>
          <w:lang w:val="en-GB"/>
        </w:rPr>
        <w:lastRenderedPageBreak/>
        <w:t>5. </w:t>
      </w:r>
      <w:r w:rsidR="00C55249" w:rsidRPr="00D160FB">
        <w:rPr>
          <w:lang w:val="en-GB"/>
        </w:rPr>
        <w:t>Prices</w:t>
      </w:r>
      <w:bookmarkEnd w:id="33"/>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87722C" w:rsidRPr="00D160FB" w14:paraId="4E5D24DA" w14:textId="77777777" w:rsidTr="00435DE8">
        <w:trPr>
          <w:trHeight w:val="145"/>
        </w:trPr>
        <w:tc>
          <w:tcPr>
            <w:tcW w:w="1804" w:type="dxa"/>
            <w:shd w:val="clear" w:color="auto" w:fill="auto"/>
            <w:tcMar>
              <w:left w:w="0" w:type="dxa"/>
            </w:tcMar>
          </w:tcPr>
          <w:p w14:paraId="24B2AFD1" w14:textId="4A0BB0D6" w:rsidR="0087722C" w:rsidRPr="00D160FB" w:rsidRDefault="00C55249" w:rsidP="00163868">
            <w:pPr>
              <w:pStyle w:val="Marginlie"/>
              <w:rPr>
                <w:spacing w:val="0"/>
                <w:lang w:val="en-GB"/>
              </w:rPr>
            </w:pPr>
            <w:r w:rsidRPr="00D160FB">
              <w:rPr>
                <w:spacing w:val="0"/>
                <w:lang w:val="en-GB"/>
              </w:rPr>
              <w:t xml:space="preserve">Total price level </w:t>
            </w:r>
            <w:r w:rsidR="007359EC" w:rsidRPr="00D160FB">
              <w:rPr>
                <w:spacing w:val="0"/>
                <w:lang w:val="en-GB"/>
              </w:rPr>
              <w:t xml:space="preserve">sharply hiked up in the economy </w:t>
            </w:r>
            <w:r w:rsidR="00312E51" w:rsidRPr="00D160FB">
              <w:rPr>
                <w:spacing w:val="0"/>
                <w:lang w:val="en-GB"/>
              </w:rPr>
              <w:t>last year</w:t>
            </w:r>
            <w:r w:rsidR="007359EC" w:rsidRPr="00D160FB">
              <w:rPr>
                <w:spacing w:val="0"/>
                <w:lang w:val="en-GB"/>
              </w:rPr>
              <w:t xml:space="preserve">. </w:t>
            </w:r>
          </w:p>
        </w:tc>
        <w:tc>
          <w:tcPr>
            <w:tcW w:w="224" w:type="dxa"/>
            <w:shd w:val="clear" w:color="auto" w:fill="auto"/>
            <w:tcMar>
              <w:left w:w="0" w:type="dxa"/>
            </w:tcMar>
          </w:tcPr>
          <w:p w14:paraId="760FBC10"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54AEBB88" w14:textId="2BAFC27E" w:rsidR="0087722C" w:rsidRPr="00D160FB" w:rsidRDefault="00CF6E02" w:rsidP="00163868">
            <w:pPr>
              <w:rPr>
                <w:szCs w:val="20"/>
                <w:lang w:val="en-GB"/>
              </w:rPr>
            </w:pPr>
            <w:r w:rsidRPr="00D160FB">
              <w:rPr>
                <w:szCs w:val="20"/>
                <w:lang w:val="en-GB"/>
              </w:rPr>
              <w:t xml:space="preserve">Total price level gauged by the GDP deflator rose by </w:t>
            </w:r>
            <w:r w:rsidR="0087722C" w:rsidRPr="00D160FB">
              <w:rPr>
                <w:szCs w:val="20"/>
                <w:lang w:val="en-GB"/>
              </w:rPr>
              <w:t>8</w:t>
            </w:r>
            <w:r w:rsidRPr="00D160FB">
              <w:rPr>
                <w:szCs w:val="20"/>
                <w:lang w:val="en-GB"/>
              </w:rPr>
              <w:t>.</w:t>
            </w:r>
            <w:r w:rsidR="0087722C" w:rsidRPr="00D160FB">
              <w:rPr>
                <w:szCs w:val="20"/>
                <w:lang w:val="en-GB"/>
              </w:rPr>
              <w:t>4%</w:t>
            </w:r>
            <w:r w:rsidRPr="00D160FB">
              <w:rPr>
                <w:szCs w:val="20"/>
                <w:lang w:val="en-GB"/>
              </w:rPr>
              <w:t xml:space="preserve"> in the Czech economy in year 2022. It represents the </w:t>
            </w:r>
            <w:r w:rsidR="00917351" w:rsidRPr="00D160FB">
              <w:rPr>
                <w:szCs w:val="20"/>
                <w:lang w:val="en-GB"/>
              </w:rPr>
              <w:t>highest i</w:t>
            </w:r>
            <w:r w:rsidRPr="00D160FB">
              <w:rPr>
                <w:szCs w:val="20"/>
                <w:lang w:val="en-GB"/>
              </w:rPr>
              <w:t xml:space="preserve">ncrease since year </w:t>
            </w:r>
            <w:r w:rsidR="0087722C" w:rsidRPr="00D160FB">
              <w:rPr>
                <w:szCs w:val="20"/>
                <w:lang w:val="en-GB"/>
              </w:rPr>
              <w:t xml:space="preserve">1998. </w:t>
            </w:r>
            <w:r w:rsidRPr="00D160FB">
              <w:rPr>
                <w:szCs w:val="20"/>
                <w:lang w:val="en-GB"/>
              </w:rPr>
              <w:t xml:space="preserve">Prices of consumer goods were by </w:t>
            </w:r>
            <w:r w:rsidR="0087722C" w:rsidRPr="00D160FB">
              <w:rPr>
                <w:szCs w:val="20"/>
                <w:lang w:val="en-GB"/>
              </w:rPr>
              <w:t>11</w:t>
            </w:r>
            <w:r w:rsidRPr="00D160FB">
              <w:rPr>
                <w:szCs w:val="20"/>
                <w:lang w:val="en-GB"/>
              </w:rPr>
              <w:t>.</w:t>
            </w:r>
            <w:r w:rsidR="0087722C" w:rsidRPr="00D160FB">
              <w:rPr>
                <w:szCs w:val="20"/>
                <w:lang w:val="en-GB"/>
              </w:rPr>
              <w:t>9%</w:t>
            </w:r>
            <w:r w:rsidRPr="00D160FB">
              <w:rPr>
                <w:szCs w:val="20"/>
                <w:lang w:val="en-GB"/>
              </w:rPr>
              <w:t xml:space="preserve"> higher</w:t>
            </w:r>
            <w:r w:rsidR="0087722C" w:rsidRPr="00D160FB">
              <w:rPr>
                <w:szCs w:val="20"/>
                <w:lang w:val="en-GB"/>
              </w:rPr>
              <w:t>,</w:t>
            </w:r>
            <w:r w:rsidR="00A62427" w:rsidRPr="00D160FB">
              <w:rPr>
                <w:szCs w:val="20"/>
                <w:lang w:val="en-GB"/>
              </w:rPr>
              <w:t xml:space="preserve"> while large </w:t>
            </w:r>
            <w:r w:rsidR="005B7580" w:rsidRPr="00D160FB">
              <w:rPr>
                <w:szCs w:val="20"/>
                <w:lang w:val="en-GB"/>
              </w:rPr>
              <w:t xml:space="preserve">differences prevailed between the household consumption </w:t>
            </w:r>
            <w:r w:rsidR="0087722C" w:rsidRPr="00D160FB">
              <w:rPr>
                <w:szCs w:val="20"/>
                <w:lang w:val="en-GB"/>
              </w:rPr>
              <w:t>(</w:t>
            </w:r>
            <w:r w:rsidR="005B7580" w:rsidRPr="00D160FB">
              <w:rPr>
                <w:szCs w:val="20"/>
                <w:lang w:val="en-GB"/>
              </w:rPr>
              <w:t xml:space="preserve">increase of price level by </w:t>
            </w:r>
            <w:r w:rsidR="0087722C" w:rsidRPr="00D160FB">
              <w:rPr>
                <w:szCs w:val="20"/>
                <w:lang w:val="en-GB"/>
              </w:rPr>
              <w:t>16</w:t>
            </w:r>
            <w:r w:rsidR="005B7580" w:rsidRPr="00D160FB">
              <w:rPr>
                <w:szCs w:val="20"/>
                <w:lang w:val="en-GB"/>
              </w:rPr>
              <w:t>.</w:t>
            </w:r>
            <w:r w:rsidR="0087722C" w:rsidRPr="00D160FB">
              <w:rPr>
                <w:szCs w:val="20"/>
                <w:lang w:val="en-GB"/>
              </w:rPr>
              <w:t>3%) a</w:t>
            </w:r>
            <w:r w:rsidR="005B7580" w:rsidRPr="00D160FB">
              <w:rPr>
                <w:szCs w:val="20"/>
                <w:lang w:val="en-GB"/>
              </w:rPr>
              <w:t xml:space="preserve">nd government institutions </w:t>
            </w:r>
            <w:r w:rsidR="0087722C" w:rsidRPr="00D160FB">
              <w:rPr>
                <w:szCs w:val="20"/>
                <w:lang w:val="en-GB"/>
              </w:rPr>
              <w:t>(3</w:t>
            </w:r>
            <w:r w:rsidR="005B7580" w:rsidRPr="00D160FB">
              <w:rPr>
                <w:szCs w:val="20"/>
                <w:lang w:val="en-GB"/>
              </w:rPr>
              <w:t>.</w:t>
            </w:r>
            <w:r w:rsidR="0087722C" w:rsidRPr="00D160FB">
              <w:rPr>
                <w:szCs w:val="20"/>
                <w:lang w:val="en-GB"/>
              </w:rPr>
              <w:t>3%).</w:t>
            </w:r>
            <w:r w:rsidR="005B7580" w:rsidRPr="00D160FB">
              <w:rPr>
                <w:szCs w:val="20"/>
                <w:lang w:val="en-GB"/>
              </w:rPr>
              <w:t xml:space="preserve"> Prices of capital goods were by </w:t>
            </w:r>
            <w:r w:rsidR="0087722C" w:rsidRPr="00D160FB">
              <w:rPr>
                <w:szCs w:val="20"/>
                <w:lang w:val="en-GB"/>
              </w:rPr>
              <w:t>12</w:t>
            </w:r>
            <w:r w:rsidR="005B7580" w:rsidRPr="00D160FB">
              <w:rPr>
                <w:szCs w:val="20"/>
                <w:lang w:val="en-GB"/>
              </w:rPr>
              <w:t>.</w:t>
            </w:r>
            <w:r w:rsidR="0087722C" w:rsidRPr="00D160FB">
              <w:rPr>
                <w:szCs w:val="20"/>
                <w:lang w:val="en-GB"/>
              </w:rPr>
              <w:t>0%</w:t>
            </w:r>
            <w:r w:rsidR="005B7580" w:rsidRPr="00D160FB">
              <w:rPr>
                <w:szCs w:val="20"/>
                <w:lang w:val="en-GB"/>
              </w:rPr>
              <w:t xml:space="preserve"> higher last year</w:t>
            </w:r>
            <w:r w:rsidR="0087722C" w:rsidRPr="00D160FB">
              <w:rPr>
                <w:szCs w:val="20"/>
                <w:lang w:val="en-GB"/>
              </w:rPr>
              <w:t xml:space="preserve">. </w:t>
            </w:r>
            <w:r w:rsidR="005B7580" w:rsidRPr="00D160FB">
              <w:rPr>
                <w:szCs w:val="20"/>
                <w:lang w:val="en-GB"/>
              </w:rPr>
              <w:t xml:space="preserve">The terms of trade were negative and attained </w:t>
            </w:r>
            <w:r w:rsidR="0087722C" w:rsidRPr="00D160FB">
              <w:rPr>
                <w:szCs w:val="20"/>
                <w:lang w:val="en-GB"/>
              </w:rPr>
              <w:t>95</w:t>
            </w:r>
            <w:r w:rsidR="005B7580" w:rsidRPr="00D160FB">
              <w:rPr>
                <w:szCs w:val="20"/>
                <w:lang w:val="en-GB"/>
              </w:rPr>
              <w:t>.</w:t>
            </w:r>
            <w:r w:rsidR="0087722C" w:rsidRPr="00D160FB">
              <w:rPr>
                <w:szCs w:val="20"/>
                <w:lang w:val="en-GB"/>
              </w:rPr>
              <w:t>8%.</w:t>
            </w:r>
            <w:r w:rsidR="005B7580" w:rsidRPr="00D160FB">
              <w:rPr>
                <w:szCs w:val="20"/>
                <w:lang w:val="en-GB"/>
              </w:rPr>
              <w:t xml:space="preserve"> Terms of trade with goods were </w:t>
            </w:r>
            <w:r w:rsidR="0087722C" w:rsidRPr="00D160FB">
              <w:rPr>
                <w:szCs w:val="20"/>
                <w:lang w:val="en-GB"/>
              </w:rPr>
              <w:t>94</w:t>
            </w:r>
            <w:r w:rsidR="005B7580" w:rsidRPr="00D160FB">
              <w:rPr>
                <w:szCs w:val="20"/>
                <w:lang w:val="en-GB"/>
              </w:rPr>
              <w:t>.</w:t>
            </w:r>
            <w:r w:rsidR="0087722C" w:rsidRPr="00D160FB">
              <w:rPr>
                <w:szCs w:val="20"/>
                <w:lang w:val="en-GB"/>
              </w:rPr>
              <w:t xml:space="preserve">8%, </w:t>
            </w:r>
            <w:r w:rsidR="005B7580" w:rsidRPr="00D160FB">
              <w:rPr>
                <w:szCs w:val="20"/>
                <w:lang w:val="en-GB"/>
              </w:rPr>
              <w:t xml:space="preserve">while they were positive for services and reached </w:t>
            </w:r>
            <w:r w:rsidR="0087722C" w:rsidRPr="00D160FB">
              <w:rPr>
                <w:szCs w:val="20"/>
                <w:lang w:val="en-GB"/>
              </w:rPr>
              <w:t>102</w:t>
            </w:r>
            <w:r w:rsidR="005B7580" w:rsidRPr="00D160FB">
              <w:rPr>
                <w:szCs w:val="20"/>
                <w:lang w:val="en-GB"/>
              </w:rPr>
              <w:t>.</w:t>
            </w:r>
            <w:r w:rsidR="0087722C" w:rsidRPr="00D160FB">
              <w:rPr>
                <w:szCs w:val="20"/>
                <w:lang w:val="en-GB"/>
              </w:rPr>
              <w:t xml:space="preserve">4%. </w:t>
            </w:r>
            <w:r w:rsidR="00980997" w:rsidRPr="00D160FB">
              <w:rPr>
                <w:szCs w:val="20"/>
                <w:lang w:val="en-GB"/>
              </w:rPr>
              <w:t xml:space="preserve">The growth of the price level strengthened during the year and the year-on-year addition to price level arrived at </w:t>
            </w:r>
            <w:r w:rsidR="0087722C" w:rsidRPr="00D160FB">
              <w:rPr>
                <w:szCs w:val="20"/>
                <w:lang w:val="en-GB"/>
              </w:rPr>
              <w:t>10</w:t>
            </w:r>
            <w:r w:rsidR="00980997" w:rsidRPr="00D160FB">
              <w:rPr>
                <w:szCs w:val="20"/>
                <w:lang w:val="en-GB"/>
              </w:rPr>
              <w:t>.</w:t>
            </w:r>
            <w:r w:rsidR="0087722C" w:rsidRPr="00D160FB">
              <w:rPr>
                <w:szCs w:val="20"/>
                <w:lang w:val="en-GB"/>
              </w:rPr>
              <w:t>7%</w:t>
            </w:r>
            <w:r w:rsidR="00980997" w:rsidRPr="00D160FB">
              <w:rPr>
                <w:szCs w:val="20"/>
                <w:lang w:val="en-GB"/>
              </w:rPr>
              <w:t xml:space="preserve"> in Q4</w:t>
            </w:r>
            <w:r w:rsidR="0087722C" w:rsidRPr="00D160FB">
              <w:rPr>
                <w:szCs w:val="20"/>
                <w:lang w:val="en-GB"/>
              </w:rPr>
              <w:t xml:space="preserve">. </w:t>
            </w:r>
            <w:r w:rsidR="00980997" w:rsidRPr="00D160FB">
              <w:rPr>
                <w:szCs w:val="20"/>
                <w:lang w:val="en-GB"/>
              </w:rPr>
              <w:t xml:space="preserve">In that prices of consumption rose by </w:t>
            </w:r>
            <w:r w:rsidR="0087722C" w:rsidRPr="00D160FB">
              <w:rPr>
                <w:szCs w:val="20"/>
                <w:lang w:val="en-GB"/>
              </w:rPr>
              <w:t>12</w:t>
            </w:r>
            <w:r w:rsidR="00980997" w:rsidRPr="00D160FB">
              <w:rPr>
                <w:szCs w:val="20"/>
                <w:lang w:val="en-GB"/>
              </w:rPr>
              <w:t>.</w:t>
            </w:r>
            <w:r w:rsidR="0087722C" w:rsidRPr="00D160FB">
              <w:rPr>
                <w:szCs w:val="20"/>
                <w:lang w:val="en-GB"/>
              </w:rPr>
              <w:t>7% (</w:t>
            </w:r>
            <w:r w:rsidR="00980997" w:rsidRPr="00D160FB">
              <w:rPr>
                <w:szCs w:val="20"/>
                <w:lang w:val="en-GB"/>
              </w:rPr>
              <w:t xml:space="preserve">it was </w:t>
            </w:r>
            <w:r w:rsidR="0087722C" w:rsidRPr="00D160FB">
              <w:rPr>
                <w:szCs w:val="20"/>
                <w:lang w:val="en-GB"/>
              </w:rPr>
              <w:t>18</w:t>
            </w:r>
            <w:r w:rsidR="00980997" w:rsidRPr="00D160FB">
              <w:rPr>
                <w:szCs w:val="20"/>
                <w:lang w:val="en-GB"/>
              </w:rPr>
              <w:t>.</w:t>
            </w:r>
            <w:r w:rsidR="0087722C" w:rsidRPr="00D160FB">
              <w:rPr>
                <w:szCs w:val="20"/>
                <w:lang w:val="en-GB"/>
              </w:rPr>
              <w:t>0%</w:t>
            </w:r>
            <w:r w:rsidR="00980997" w:rsidRPr="00D160FB">
              <w:rPr>
                <w:szCs w:val="20"/>
                <w:lang w:val="en-GB"/>
              </w:rPr>
              <w:t xml:space="preserve"> for household consumption</w:t>
            </w:r>
            <w:r w:rsidR="0087722C" w:rsidRPr="00D160FB">
              <w:rPr>
                <w:szCs w:val="20"/>
                <w:lang w:val="en-GB"/>
              </w:rPr>
              <w:t xml:space="preserve">, </w:t>
            </w:r>
            <w:r w:rsidR="00980997" w:rsidRPr="00D160FB">
              <w:rPr>
                <w:szCs w:val="20"/>
                <w:lang w:val="en-GB"/>
              </w:rPr>
              <w:t>3.</w:t>
            </w:r>
            <w:r w:rsidR="0087722C" w:rsidRPr="00D160FB">
              <w:rPr>
                <w:szCs w:val="20"/>
                <w:lang w:val="en-GB"/>
              </w:rPr>
              <w:t>8%</w:t>
            </w:r>
            <w:r w:rsidR="00980997" w:rsidRPr="00D160FB">
              <w:rPr>
                <w:szCs w:val="20"/>
                <w:lang w:val="en-GB"/>
              </w:rPr>
              <w:t xml:space="preserve"> for consumption of government institutions</w:t>
            </w:r>
            <w:r w:rsidR="0087722C" w:rsidRPr="00D160FB">
              <w:rPr>
                <w:szCs w:val="20"/>
                <w:lang w:val="en-GB"/>
              </w:rPr>
              <w:t>).</w:t>
            </w:r>
            <w:r w:rsidR="001A540E" w:rsidRPr="00D160FB">
              <w:rPr>
                <w:szCs w:val="20"/>
                <w:lang w:val="en-GB"/>
              </w:rPr>
              <w:t xml:space="preserve"> Prices of capital goods hiked up by </w:t>
            </w:r>
            <w:r w:rsidR="0087722C" w:rsidRPr="00D160FB">
              <w:rPr>
                <w:szCs w:val="20"/>
                <w:lang w:val="en-GB"/>
              </w:rPr>
              <w:t>14</w:t>
            </w:r>
            <w:r w:rsidR="001A540E" w:rsidRPr="00D160FB">
              <w:rPr>
                <w:szCs w:val="20"/>
                <w:lang w:val="en-GB"/>
              </w:rPr>
              <w:t>.</w:t>
            </w:r>
            <w:r w:rsidR="0087722C" w:rsidRPr="00D160FB">
              <w:rPr>
                <w:szCs w:val="20"/>
                <w:lang w:val="en-GB"/>
              </w:rPr>
              <w:t>0%</w:t>
            </w:r>
            <w:r w:rsidR="001A540E" w:rsidRPr="00D160FB">
              <w:rPr>
                <w:szCs w:val="20"/>
                <w:lang w:val="en-GB"/>
              </w:rPr>
              <w:t xml:space="preserve"> year-on-year</w:t>
            </w:r>
            <w:r w:rsidR="0087722C" w:rsidRPr="00D160FB">
              <w:rPr>
                <w:szCs w:val="20"/>
                <w:lang w:val="en-GB"/>
              </w:rPr>
              <w:t>.</w:t>
            </w:r>
            <w:r w:rsidR="001A540E" w:rsidRPr="00D160FB">
              <w:rPr>
                <w:szCs w:val="20"/>
                <w:lang w:val="en-GB"/>
              </w:rPr>
              <w:t xml:space="preserve"> The terms of trade were negative in Q</w:t>
            </w:r>
            <w:r w:rsidR="0087722C" w:rsidRPr="00D160FB">
              <w:rPr>
                <w:szCs w:val="20"/>
                <w:lang w:val="en-GB"/>
              </w:rPr>
              <w:t>4</w:t>
            </w:r>
            <w:r w:rsidR="001A540E" w:rsidRPr="00D160FB">
              <w:rPr>
                <w:szCs w:val="20"/>
                <w:lang w:val="en-GB"/>
              </w:rPr>
              <w:t xml:space="preserve"> </w:t>
            </w:r>
            <w:r w:rsidR="0087722C" w:rsidRPr="00D160FB">
              <w:rPr>
                <w:szCs w:val="20"/>
                <w:lang w:val="en-GB"/>
              </w:rPr>
              <w:t>(97</w:t>
            </w:r>
            <w:r w:rsidR="001A540E" w:rsidRPr="00D160FB">
              <w:rPr>
                <w:szCs w:val="20"/>
                <w:lang w:val="en-GB"/>
              </w:rPr>
              <w:t>.</w:t>
            </w:r>
            <w:r w:rsidR="0087722C" w:rsidRPr="00D160FB">
              <w:rPr>
                <w:szCs w:val="20"/>
                <w:lang w:val="en-GB"/>
              </w:rPr>
              <w:t xml:space="preserve">3%) – </w:t>
            </w:r>
            <w:r w:rsidR="001A540E" w:rsidRPr="00D160FB">
              <w:rPr>
                <w:szCs w:val="20"/>
                <w:lang w:val="en-GB"/>
              </w:rPr>
              <w:t xml:space="preserve">terms of trade with goods totalled </w:t>
            </w:r>
            <w:r w:rsidR="0087722C" w:rsidRPr="00D160FB">
              <w:rPr>
                <w:szCs w:val="20"/>
                <w:lang w:val="en-GB"/>
              </w:rPr>
              <w:t>96</w:t>
            </w:r>
            <w:r w:rsidR="001A540E" w:rsidRPr="00D160FB">
              <w:rPr>
                <w:szCs w:val="20"/>
                <w:lang w:val="en-GB"/>
              </w:rPr>
              <w:t>.</w:t>
            </w:r>
            <w:r w:rsidR="0087722C" w:rsidRPr="00D160FB">
              <w:rPr>
                <w:szCs w:val="20"/>
                <w:lang w:val="en-GB"/>
              </w:rPr>
              <w:t>9% a</w:t>
            </w:r>
            <w:r w:rsidR="001A540E" w:rsidRPr="00D160FB">
              <w:rPr>
                <w:szCs w:val="20"/>
                <w:lang w:val="en-GB"/>
              </w:rPr>
              <w:t xml:space="preserve">nd it was </w:t>
            </w:r>
            <w:r w:rsidR="0087722C" w:rsidRPr="00D160FB">
              <w:rPr>
                <w:szCs w:val="20"/>
                <w:lang w:val="en-GB"/>
              </w:rPr>
              <w:t>99</w:t>
            </w:r>
            <w:r w:rsidR="001A540E" w:rsidRPr="00D160FB">
              <w:rPr>
                <w:szCs w:val="20"/>
                <w:lang w:val="en-GB"/>
              </w:rPr>
              <w:t>.</w:t>
            </w:r>
            <w:r w:rsidR="0087722C" w:rsidRPr="00D160FB">
              <w:rPr>
                <w:szCs w:val="20"/>
                <w:lang w:val="en-GB"/>
              </w:rPr>
              <w:t>1%</w:t>
            </w:r>
            <w:r w:rsidR="001A540E" w:rsidRPr="00D160FB">
              <w:rPr>
                <w:szCs w:val="20"/>
                <w:lang w:val="en-GB"/>
              </w:rPr>
              <w:t xml:space="preserve"> in case of services</w:t>
            </w:r>
            <w:r w:rsidR="0087722C" w:rsidRPr="00D160FB">
              <w:rPr>
                <w:szCs w:val="20"/>
                <w:lang w:val="en-GB"/>
              </w:rPr>
              <w:t xml:space="preserve">. </w:t>
            </w:r>
            <w:r w:rsidR="00A43A2B" w:rsidRPr="00D160FB">
              <w:rPr>
                <w:szCs w:val="20"/>
                <w:lang w:val="en-GB"/>
              </w:rPr>
              <w:t xml:space="preserve">The price level declined by </w:t>
            </w:r>
            <w:r w:rsidR="0087722C" w:rsidRPr="00D160FB">
              <w:rPr>
                <w:szCs w:val="20"/>
                <w:lang w:val="en-GB"/>
              </w:rPr>
              <w:t>0</w:t>
            </w:r>
            <w:r w:rsidR="00A43A2B" w:rsidRPr="00D160FB">
              <w:rPr>
                <w:szCs w:val="20"/>
                <w:lang w:val="en-GB"/>
              </w:rPr>
              <w:t>.</w:t>
            </w:r>
            <w:r w:rsidR="0087722C" w:rsidRPr="00D160FB">
              <w:rPr>
                <w:szCs w:val="20"/>
                <w:lang w:val="en-GB"/>
              </w:rPr>
              <w:t>5%</w:t>
            </w:r>
            <w:r w:rsidR="00A43A2B" w:rsidRPr="00D160FB">
              <w:rPr>
                <w:szCs w:val="20"/>
                <w:lang w:val="en-GB"/>
              </w:rPr>
              <w:t xml:space="preserve"> quarter-on-quarter</w:t>
            </w:r>
            <w:r w:rsidR="0087722C" w:rsidRPr="00D160FB">
              <w:rPr>
                <w:szCs w:val="20"/>
                <w:lang w:val="en-GB"/>
              </w:rPr>
              <w:t xml:space="preserve">. </w:t>
            </w:r>
            <w:r w:rsidR="001E18C4" w:rsidRPr="00D160FB">
              <w:rPr>
                <w:szCs w:val="20"/>
                <w:lang w:val="en-GB"/>
              </w:rPr>
              <w:t xml:space="preserve">Prices of consumption were by 0.9% lower compared to Q3, prices of capital goods stagnated </w:t>
            </w:r>
            <w:r w:rsidR="0087722C" w:rsidRPr="00D160FB">
              <w:rPr>
                <w:szCs w:val="20"/>
                <w:lang w:val="en-GB"/>
              </w:rPr>
              <w:t>(0</w:t>
            </w:r>
            <w:r w:rsidR="001E18C4" w:rsidRPr="00D160FB">
              <w:rPr>
                <w:szCs w:val="20"/>
                <w:lang w:val="en-GB"/>
              </w:rPr>
              <w:t>.</w:t>
            </w:r>
            <w:r w:rsidR="0087722C" w:rsidRPr="00D160FB">
              <w:rPr>
                <w:szCs w:val="20"/>
                <w:lang w:val="en-GB"/>
              </w:rPr>
              <w:t>1%) a</w:t>
            </w:r>
            <w:r w:rsidR="001E18C4" w:rsidRPr="00D160FB">
              <w:rPr>
                <w:szCs w:val="20"/>
                <w:lang w:val="en-GB"/>
              </w:rPr>
              <w:t xml:space="preserve">nd quarter-on-quarter terms of trade were slightly positive </w:t>
            </w:r>
            <w:r w:rsidR="0087722C" w:rsidRPr="00D160FB">
              <w:rPr>
                <w:szCs w:val="20"/>
                <w:lang w:val="en-GB"/>
              </w:rPr>
              <w:t>(100</w:t>
            </w:r>
            <w:r w:rsidR="001E18C4" w:rsidRPr="00D160FB">
              <w:rPr>
                <w:szCs w:val="20"/>
                <w:lang w:val="en-GB"/>
              </w:rPr>
              <w:t>.</w:t>
            </w:r>
            <w:r w:rsidR="0087722C" w:rsidRPr="00D160FB">
              <w:rPr>
                <w:szCs w:val="20"/>
                <w:lang w:val="en-GB"/>
              </w:rPr>
              <w:t xml:space="preserve">1%).    </w:t>
            </w:r>
          </w:p>
        </w:tc>
      </w:tr>
      <w:tr w:rsidR="0087722C" w:rsidRPr="00D160FB" w14:paraId="08869291" w14:textId="77777777" w:rsidTr="00435DE8">
        <w:trPr>
          <w:trHeight w:val="145"/>
        </w:trPr>
        <w:tc>
          <w:tcPr>
            <w:tcW w:w="1804" w:type="dxa"/>
            <w:shd w:val="clear" w:color="auto" w:fill="auto"/>
            <w:tcMar>
              <w:left w:w="0" w:type="dxa"/>
            </w:tcMar>
          </w:tcPr>
          <w:p w14:paraId="665B8DDE" w14:textId="6D8A8BFB" w:rsidR="0087722C" w:rsidRPr="00D160FB" w:rsidRDefault="007359EC" w:rsidP="00163868">
            <w:pPr>
              <w:pStyle w:val="Marginlie"/>
              <w:rPr>
                <w:spacing w:val="0"/>
                <w:lang w:val="en-GB"/>
              </w:rPr>
            </w:pPr>
            <w:r w:rsidRPr="00D160FB">
              <w:rPr>
                <w:spacing w:val="0"/>
                <w:lang w:val="en-GB"/>
              </w:rPr>
              <w:t xml:space="preserve">Consumer prices were raised the most since year </w:t>
            </w:r>
            <w:r w:rsidR="00E04485" w:rsidRPr="00D160FB">
              <w:rPr>
                <w:spacing w:val="0"/>
                <w:lang w:val="en-GB"/>
              </w:rPr>
              <w:t>1</w:t>
            </w:r>
            <w:r w:rsidR="0087722C" w:rsidRPr="00D160FB">
              <w:rPr>
                <w:spacing w:val="0"/>
                <w:lang w:val="en-GB"/>
              </w:rPr>
              <w:t>993.</w:t>
            </w:r>
          </w:p>
        </w:tc>
        <w:tc>
          <w:tcPr>
            <w:tcW w:w="224" w:type="dxa"/>
            <w:shd w:val="clear" w:color="auto" w:fill="auto"/>
            <w:tcMar>
              <w:left w:w="0" w:type="dxa"/>
            </w:tcMar>
          </w:tcPr>
          <w:p w14:paraId="615E7336"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7F76B83A" w14:textId="3867FDAC" w:rsidR="0087722C" w:rsidRPr="00D160FB" w:rsidRDefault="004B5831" w:rsidP="00163868">
            <w:pPr>
              <w:rPr>
                <w:lang w:val="en-GB"/>
              </w:rPr>
            </w:pPr>
            <w:r w:rsidRPr="00D160FB">
              <w:rPr>
                <w:lang w:val="en-GB"/>
              </w:rPr>
              <w:t xml:space="preserve">The Consumer price index jumped by </w:t>
            </w:r>
            <w:r w:rsidR="0087722C" w:rsidRPr="00D160FB">
              <w:rPr>
                <w:lang w:val="en-GB"/>
              </w:rPr>
              <w:t>15</w:t>
            </w:r>
            <w:r w:rsidRPr="00D160FB">
              <w:rPr>
                <w:lang w:val="en-GB"/>
              </w:rPr>
              <w:t>.</w:t>
            </w:r>
            <w:r w:rsidR="0087722C" w:rsidRPr="00D160FB">
              <w:rPr>
                <w:lang w:val="en-GB"/>
              </w:rPr>
              <w:t>1%</w:t>
            </w:r>
            <w:r w:rsidRPr="00D160FB">
              <w:rPr>
                <w:lang w:val="en-GB"/>
              </w:rPr>
              <w:t xml:space="preserve"> in </w:t>
            </w:r>
            <w:r w:rsidR="00312E51" w:rsidRPr="00D160FB">
              <w:rPr>
                <w:lang w:val="en-GB"/>
              </w:rPr>
              <w:t>total in</w:t>
            </w:r>
            <w:r w:rsidRPr="00D160FB">
              <w:rPr>
                <w:lang w:val="en-GB"/>
              </w:rPr>
              <w:t xml:space="preserve"> year 2022</w:t>
            </w:r>
            <w:r w:rsidR="0087722C" w:rsidRPr="00D160FB">
              <w:rPr>
                <w:lang w:val="en-GB"/>
              </w:rPr>
              <w:t xml:space="preserve"> a</w:t>
            </w:r>
            <w:r w:rsidRPr="00D160FB">
              <w:rPr>
                <w:lang w:val="en-GB"/>
              </w:rPr>
              <w:t xml:space="preserve">nd compared to year </w:t>
            </w:r>
            <w:r w:rsidR="0087722C" w:rsidRPr="00D160FB">
              <w:rPr>
                <w:lang w:val="en-GB"/>
              </w:rPr>
              <w:t>2021 (3</w:t>
            </w:r>
            <w:r w:rsidRPr="00D160FB">
              <w:rPr>
                <w:lang w:val="en-GB"/>
              </w:rPr>
              <w:t>.</w:t>
            </w:r>
            <w:r w:rsidR="0087722C" w:rsidRPr="00D160FB">
              <w:rPr>
                <w:lang w:val="en-GB"/>
              </w:rPr>
              <w:t xml:space="preserve">8%) </w:t>
            </w:r>
            <w:r w:rsidRPr="00D160FB">
              <w:rPr>
                <w:lang w:val="en-GB"/>
              </w:rPr>
              <w:t>its growth sharply accelerated. It comprised the largest increase since year 1</w:t>
            </w:r>
            <w:r w:rsidR="0087722C" w:rsidRPr="00D160FB">
              <w:rPr>
                <w:lang w:val="en-GB"/>
              </w:rPr>
              <w:t xml:space="preserve">993. </w:t>
            </w:r>
            <w:r w:rsidRPr="00D160FB">
              <w:rPr>
                <w:lang w:val="en-GB"/>
              </w:rPr>
              <w:t xml:space="preserve">The growth of prices was all encompassing and in </w:t>
            </w:r>
            <w:r w:rsidR="0087722C" w:rsidRPr="00D160FB">
              <w:rPr>
                <w:lang w:val="en-GB"/>
              </w:rPr>
              <w:t>7</w:t>
            </w:r>
            <w:r w:rsidRPr="00D160FB">
              <w:rPr>
                <w:lang w:val="en-GB"/>
              </w:rPr>
              <w:t xml:space="preserve"> out of </w:t>
            </w:r>
            <w:r w:rsidR="0087722C" w:rsidRPr="00D160FB">
              <w:rPr>
                <w:lang w:val="en-GB"/>
              </w:rPr>
              <w:t>12</w:t>
            </w:r>
            <w:r w:rsidRPr="00D160FB">
              <w:rPr>
                <w:lang w:val="en-GB"/>
              </w:rPr>
              <w:t xml:space="preserve"> divisions of the consumer basket it was double-digit. </w:t>
            </w:r>
            <w:r w:rsidR="0066539A" w:rsidRPr="00D160FB">
              <w:rPr>
                <w:lang w:val="en-GB"/>
              </w:rPr>
              <w:t xml:space="preserve">Increase of cost of housing, water, energies and fuels </w:t>
            </w:r>
            <w:r w:rsidR="0087722C" w:rsidRPr="00D160FB">
              <w:rPr>
                <w:lang w:val="en-GB"/>
              </w:rPr>
              <w:t>(</w:t>
            </w:r>
            <w:r w:rsidR="0066539A" w:rsidRPr="00D160FB">
              <w:rPr>
                <w:lang w:val="en-GB"/>
              </w:rPr>
              <w:t>housing and energies</w:t>
            </w:r>
            <w:r w:rsidR="0087722C" w:rsidRPr="00D160FB">
              <w:rPr>
                <w:lang w:val="en-GB"/>
              </w:rPr>
              <w:t xml:space="preserve">), </w:t>
            </w:r>
            <w:r w:rsidRPr="00D160FB">
              <w:rPr>
                <w:lang w:val="en-GB"/>
              </w:rPr>
              <w:t xml:space="preserve">which contributed to the total increase from one third, impacted the price development the most in the last year. Food and non-alcoholic beverages featured the second highest contribution. </w:t>
            </w:r>
            <w:r w:rsidR="0066539A" w:rsidRPr="00D160FB">
              <w:rPr>
                <w:lang w:val="en-GB"/>
              </w:rPr>
              <w:t xml:space="preserve">There the price growth accelerated mainly in the second half of the year and it was focused into the areas of the most basic food. </w:t>
            </w:r>
            <w:r w:rsidR="00231E31" w:rsidRPr="00D160FB">
              <w:rPr>
                <w:lang w:val="en-GB"/>
              </w:rPr>
              <w:t xml:space="preserve">The strong increase of prices of transport and </w:t>
            </w:r>
            <w:r w:rsidR="00FB1F0B">
              <w:rPr>
                <w:lang w:val="en-GB"/>
              </w:rPr>
              <w:t xml:space="preserve">restaurants </w:t>
            </w:r>
            <w:r w:rsidR="00231E31" w:rsidRPr="00D160FB">
              <w:rPr>
                <w:lang w:val="en-GB"/>
              </w:rPr>
              <w:t xml:space="preserve">and </w:t>
            </w:r>
            <w:r w:rsidR="00FB1F0B">
              <w:rPr>
                <w:lang w:val="en-GB"/>
              </w:rPr>
              <w:t>hotels</w:t>
            </w:r>
            <w:r w:rsidR="00231E31" w:rsidRPr="00D160FB">
              <w:rPr>
                <w:lang w:val="en-GB"/>
              </w:rPr>
              <w:t xml:space="preserve"> </w:t>
            </w:r>
            <w:r w:rsidR="00312E51" w:rsidRPr="00D160FB">
              <w:rPr>
                <w:lang w:val="en-GB"/>
              </w:rPr>
              <w:t>also had</w:t>
            </w:r>
            <w:r w:rsidR="00231E31" w:rsidRPr="00D160FB">
              <w:rPr>
                <w:lang w:val="en-GB"/>
              </w:rPr>
              <w:t xml:space="preserve"> a considerable effect. Prices of goods were in total raised by </w:t>
            </w:r>
            <w:r w:rsidR="0087722C" w:rsidRPr="00D160FB">
              <w:rPr>
                <w:lang w:val="en-GB"/>
              </w:rPr>
              <w:t>16</w:t>
            </w:r>
            <w:r w:rsidR="00231E31" w:rsidRPr="00D160FB">
              <w:rPr>
                <w:lang w:val="en-GB"/>
              </w:rPr>
              <w:t>.</w:t>
            </w:r>
            <w:r w:rsidR="0087722C" w:rsidRPr="00D160FB">
              <w:rPr>
                <w:lang w:val="en-GB"/>
              </w:rPr>
              <w:t>8% a</w:t>
            </w:r>
            <w:r w:rsidR="00231E31" w:rsidRPr="00D160FB">
              <w:rPr>
                <w:lang w:val="en-GB"/>
              </w:rPr>
              <w:t xml:space="preserve">nd services by </w:t>
            </w:r>
            <w:r w:rsidR="0087722C" w:rsidRPr="00D160FB">
              <w:rPr>
                <w:lang w:val="en-GB"/>
              </w:rPr>
              <w:t>12</w:t>
            </w:r>
            <w:r w:rsidR="00231E31" w:rsidRPr="00D160FB">
              <w:rPr>
                <w:lang w:val="en-GB"/>
              </w:rPr>
              <w:t>.</w:t>
            </w:r>
            <w:r w:rsidR="0087722C" w:rsidRPr="00D160FB">
              <w:rPr>
                <w:lang w:val="en-GB"/>
              </w:rPr>
              <w:t>3%</w:t>
            </w:r>
            <w:r w:rsidR="00231E31" w:rsidRPr="00D160FB">
              <w:rPr>
                <w:lang w:val="en-GB"/>
              </w:rPr>
              <w:t xml:space="preserve"> last year</w:t>
            </w:r>
            <w:r w:rsidR="0087722C" w:rsidRPr="00D160FB">
              <w:rPr>
                <w:lang w:val="en-GB"/>
              </w:rPr>
              <w:t xml:space="preserve">. </w:t>
            </w:r>
          </w:p>
        </w:tc>
      </w:tr>
      <w:tr w:rsidR="0087722C" w:rsidRPr="00D160FB" w14:paraId="4C5A2CCE" w14:textId="77777777" w:rsidTr="00435DE8">
        <w:trPr>
          <w:trHeight w:val="145"/>
        </w:trPr>
        <w:tc>
          <w:tcPr>
            <w:tcW w:w="1804" w:type="dxa"/>
            <w:shd w:val="clear" w:color="auto" w:fill="auto"/>
            <w:tcMar>
              <w:left w:w="0" w:type="dxa"/>
            </w:tcMar>
          </w:tcPr>
          <w:p w14:paraId="2DB18424" w14:textId="51397265" w:rsidR="0087722C" w:rsidRPr="00D160FB" w:rsidRDefault="00DA3F34" w:rsidP="00163868">
            <w:pPr>
              <w:pStyle w:val="Marginlie"/>
              <w:rPr>
                <w:spacing w:val="0"/>
                <w:lang w:val="en-GB"/>
              </w:rPr>
            </w:pPr>
            <w:r w:rsidRPr="00D160FB">
              <w:rPr>
                <w:spacing w:val="0"/>
                <w:lang w:val="en-GB"/>
              </w:rPr>
              <w:t>Year-on-year increase of the consumer prices slowed down in Q</w:t>
            </w:r>
            <w:r w:rsidR="0087722C" w:rsidRPr="00D160FB">
              <w:rPr>
                <w:spacing w:val="0"/>
                <w:lang w:val="en-GB"/>
              </w:rPr>
              <w:t>4.</w:t>
            </w:r>
            <w:r w:rsidRPr="00D160FB">
              <w:rPr>
                <w:spacing w:val="0"/>
                <w:lang w:val="en-GB"/>
              </w:rPr>
              <w:t xml:space="preserve"> </w:t>
            </w:r>
            <w:r w:rsidR="0087722C" w:rsidRPr="00D160FB">
              <w:rPr>
                <w:spacing w:val="0"/>
                <w:lang w:val="en-GB"/>
              </w:rPr>
              <w:t xml:space="preserve"> </w:t>
            </w:r>
          </w:p>
        </w:tc>
        <w:tc>
          <w:tcPr>
            <w:tcW w:w="224" w:type="dxa"/>
            <w:shd w:val="clear" w:color="auto" w:fill="auto"/>
            <w:tcMar>
              <w:left w:w="0" w:type="dxa"/>
            </w:tcMar>
          </w:tcPr>
          <w:p w14:paraId="0E272D27"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0FFBDD01" w14:textId="031F4626" w:rsidR="0087722C" w:rsidRPr="00D160FB" w:rsidRDefault="00DA3F34" w:rsidP="00163868">
            <w:pPr>
              <w:rPr>
                <w:lang w:val="en-GB"/>
              </w:rPr>
            </w:pPr>
            <w:r w:rsidRPr="00D160FB">
              <w:rPr>
                <w:lang w:val="en-GB"/>
              </w:rPr>
              <w:t>Year-on-year growth of the consumer prices accelerated from Q</w:t>
            </w:r>
            <w:r w:rsidR="0087722C" w:rsidRPr="00D160FB">
              <w:rPr>
                <w:lang w:val="en-GB"/>
              </w:rPr>
              <w:t>1</w:t>
            </w:r>
            <w:r w:rsidRPr="00D160FB">
              <w:rPr>
                <w:lang w:val="en-GB"/>
              </w:rPr>
              <w:t xml:space="preserve"> to Q</w:t>
            </w:r>
            <w:r w:rsidR="0087722C" w:rsidRPr="00D160FB">
              <w:rPr>
                <w:lang w:val="en-GB"/>
              </w:rPr>
              <w:t>3</w:t>
            </w:r>
            <w:r w:rsidRPr="00D160FB">
              <w:rPr>
                <w:lang w:val="en-GB"/>
              </w:rPr>
              <w:t xml:space="preserve"> </w:t>
            </w:r>
            <w:r w:rsidR="0087722C" w:rsidRPr="00D160FB">
              <w:rPr>
                <w:lang w:val="en-GB"/>
              </w:rPr>
              <w:t>(11</w:t>
            </w:r>
            <w:r w:rsidRPr="00D160FB">
              <w:rPr>
                <w:lang w:val="en-GB"/>
              </w:rPr>
              <w:t>.</w:t>
            </w:r>
            <w:r w:rsidR="0087722C" w:rsidRPr="00D160FB">
              <w:rPr>
                <w:lang w:val="en-GB"/>
              </w:rPr>
              <w:t>2%, 15</w:t>
            </w:r>
            <w:r w:rsidRPr="00D160FB">
              <w:rPr>
                <w:lang w:val="en-GB"/>
              </w:rPr>
              <w:t>.</w:t>
            </w:r>
            <w:r w:rsidR="0087722C" w:rsidRPr="00D160FB">
              <w:rPr>
                <w:lang w:val="en-GB"/>
              </w:rPr>
              <w:t>8% a</w:t>
            </w:r>
            <w:r w:rsidRPr="00D160FB">
              <w:rPr>
                <w:lang w:val="en-GB"/>
              </w:rPr>
              <w:t>nd</w:t>
            </w:r>
            <w:r w:rsidR="0087722C" w:rsidRPr="00D160FB">
              <w:rPr>
                <w:lang w:val="en-GB"/>
              </w:rPr>
              <w:t> 17</w:t>
            </w:r>
            <w:r w:rsidRPr="00D160FB">
              <w:rPr>
                <w:lang w:val="en-GB"/>
              </w:rPr>
              <w:t>.</w:t>
            </w:r>
            <w:r w:rsidR="0087722C" w:rsidRPr="00D160FB">
              <w:rPr>
                <w:lang w:val="en-GB"/>
              </w:rPr>
              <w:t>6%) a</w:t>
            </w:r>
            <w:r w:rsidRPr="00D160FB">
              <w:rPr>
                <w:lang w:val="en-GB"/>
              </w:rPr>
              <w:t xml:space="preserve">nd mildly slowed down only at the end of the year. </w:t>
            </w:r>
            <w:r w:rsidR="00166064" w:rsidRPr="00D160FB">
              <w:rPr>
                <w:lang w:val="en-GB"/>
              </w:rPr>
              <w:t xml:space="preserve">Consumer prices increased by </w:t>
            </w:r>
            <w:r w:rsidR="0087722C" w:rsidRPr="00D160FB">
              <w:rPr>
                <w:lang w:val="en-GB"/>
              </w:rPr>
              <w:t>15</w:t>
            </w:r>
            <w:r w:rsidR="00166064" w:rsidRPr="00D160FB">
              <w:rPr>
                <w:lang w:val="en-GB"/>
              </w:rPr>
              <w:t>.</w:t>
            </w:r>
            <w:r w:rsidR="0087722C" w:rsidRPr="00D160FB">
              <w:rPr>
                <w:lang w:val="en-GB"/>
              </w:rPr>
              <w:t>7%</w:t>
            </w:r>
            <w:r w:rsidR="00166064" w:rsidRPr="00D160FB">
              <w:rPr>
                <w:lang w:val="en-GB"/>
              </w:rPr>
              <w:t xml:space="preserve"> year-on-year in Q4 2022 itself</w:t>
            </w:r>
            <w:r w:rsidR="0087722C" w:rsidRPr="00D160FB">
              <w:rPr>
                <w:lang w:val="en-GB"/>
              </w:rPr>
              <w:t xml:space="preserve">. </w:t>
            </w:r>
            <w:r w:rsidR="00166064" w:rsidRPr="00D160FB">
              <w:rPr>
                <w:lang w:val="en-GB"/>
              </w:rPr>
              <w:t xml:space="preserve">Compared to Q3 however they stagnated in total. Sharp jump of prices of food and non-alcoholic beverages added the most to the year-on-year growth. Prices of housing and energies, </w:t>
            </w:r>
            <w:r w:rsidR="00FB1F0B">
              <w:rPr>
                <w:lang w:val="en-GB"/>
              </w:rPr>
              <w:t>restaurants and hotels</w:t>
            </w:r>
            <w:r w:rsidR="00166064" w:rsidRPr="00D160FB">
              <w:rPr>
                <w:lang w:val="en-GB"/>
              </w:rPr>
              <w:t xml:space="preserve"> and </w:t>
            </w:r>
            <w:r w:rsidR="00FB1F0B">
              <w:rPr>
                <w:lang w:val="en-GB"/>
              </w:rPr>
              <w:t>transport</w:t>
            </w:r>
            <w:r w:rsidR="00166064" w:rsidRPr="00D160FB">
              <w:rPr>
                <w:lang w:val="en-GB"/>
              </w:rPr>
              <w:t xml:space="preserve"> also had a significant effect. Slowdown of the year-on-year contribution compared to Q</w:t>
            </w:r>
            <w:r w:rsidR="0087722C" w:rsidRPr="00D160FB">
              <w:rPr>
                <w:lang w:val="en-GB"/>
              </w:rPr>
              <w:t>3</w:t>
            </w:r>
            <w:r w:rsidR="00166064" w:rsidRPr="00D160FB">
              <w:rPr>
                <w:lang w:val="en-GB"/>
              </w:rPr>
              <w:t xml:space="preserve"> was the result of moderation of the growth of prices of transport and also </w:t>
            </w:r>
            <w:r w:rsidR="007C1BB1" w:rsidRPr="00D160FB">
              <w:rPr>
                <w:lang w:val="en-GB"/>
              </w:rPr>
              <w:t xml:space="preserve">inclusion of the saving </w:t>
            </w:r>
            <w:r w:rsidR="003F4230" w:rsidRPr="00D160FB">
              <w:rPr>
                <w:lang w:val="en-GB"/>
              </w:rPr>
              <w:t>tariff</w:t>
            </w:r>
            <w:r w:rsidR="007C1BB1" w:rsidRPr="00D160FB">
              <w:rPr>
                <w:lang w:val="en-GB"/>
              </w:rPr>
              <w:t xml:space="preserve"> and </w:t>
            </w:r>
            <w:r w:rsidR="003F4230" w:rsidRPr="00D160FB">
              <w:rPr>
                <w:lang w:val="en-GB"/>
              </w:rPr>
              <w:t xml:space="preserve">waiving the fee for the supported sources of energy into the cost of housing and energies. Notable strengthening of the dynamics of prices of food and non-alcoholic </w:t>
            </w:r>
            <w:r w:rsidR="00312E51" w:rsidRPr="00D160FB">
              <w:rPr>
                <w:lang w:val="en-GB"/>
              </w:rPr>
              <w:t>beverages prevented</w:t>
            </w:r>
            <w:r w:rsidR="007C1BB1" w:rsidRPr="00D160FB">
              <w:rPr>
                <w:lang w:val="en-GB"/>
              </w:rPr>
              <w:t xml:space="preserve"> larger slowdown of the total growth</w:t>
            </w:r>
            <w:r w:rsidR="0087722C" w:rsidRPr="00D160FB">
              <w:rPr>
                <w:lang w:val="en-GB"/>
              </w:rPr>
              <w:t>.</w:t>
            </w:r>
            <w:r w:rsidR="007C1BB1" w:rsidRPr="00D160FB">
              <w:rPr>
                <w:lang w:val="en-GB"/>
              </w:rPr>
              <w:t xml:space="preserve"> Prices of goods increased by </w:t>
            </w:r>
            <w:r w:rsidR="0087722C" w:rsidRPr="00D160FB">
              <w:rPr>
                <w:lang w:val="en-GB"/>
              </w:rPr>
              <w:t>17</w:t>
            </w:r>
            <w:r w:rsidR="007C1BB1" w:rsidRPr="00D160FB">
              <w:rPr>
                <w:lang w:val="en-GB"/>
              </w:rPr>
              <w:t>.</w:t>
            </w:r>
            <w:r w:rsidR="0087722C" w:rsidRPr="00D160FB">
              <w:rPr>
                <w:lang w:val="en-GB"/>
              </w:rPr>
              <w:t>4%</w:t>
            </w:r>
            <w:r w:rsidR="007C1BB1" w:rsidRPr="00D160FB">
              <w:rPr>
                <w:lang w:val="en-GB"/>
              </w:rPr>
              <w:t xml:space="preserve"> in total year-on-year in Q4 and prices of services by </w:t>
            </w:r>
            <w:r w:rsidR="0087722C" w:rsidRPr="00D160FB">
              <w:rPr>
                <w:lang w:val="en-GB"/>
              </w:rPr>
              <w:t>12</w:t>
            </w:r>
            <w:r w:rsidR="007C1BB1" w:rsidRPr="00D160FB">
              <w:rPr>
                <w:lang w:val="en-GB"/>
              </w:rPr>
              <w:t>.</w:t>
            </w:r>
            <w:r w:rsidR="0087722C" w:rsidRPr="00D160FB">
              <w:rPr>
                <w:lang w:val="en-GB"/>
              </w:rPr>
              <w:t xml:space="preserve">9%.   </w:t>
            </w:r>
          </w:p>
        </w:tc>
      </w:tr>
      <w:tr w:rsidR="0087722C" w:rsidRPr="00D160FB" w14:paraId="19DF254E" w14:textId="77777777" w:rsidTr="00435DE8">
        <w:trPr>
          <w:trHeight w:val="145"/>
        </w:trPr>
        <w:tc>
          <w:tcPr>
            <w:tcW w:w="1804" w:type="dxa"/>
            <w:shd w:val="clear" w:color="auto" w:fill="auto"/>
            <w:tcMar>
              <w:left w:w="0" w:type="dxa"/>
            </w:tcMar>
          </w:tcPr>
          <w:p w14:paraId="3A75B294" w14:textId="18BB88C4" w:rsidR="0087722C" w:rsidRPr="00D160FB" w:rsidRDefault="00660C64" w:rsidP="00163868">
            <w:pPr>
              <w:pStyle w:val="Marginlie"/>
              <w:rPr>
                <w:spacing w:val="0"/>
                <w:lang w:val="en-GB"/>
              </w:rPr>
            </w:pPr>
            <w:r w:rsidRPr="00D160FB">
              <w:rPr>
                <w:spacing w:val="0"/>
                <w:lang w:val="en-GB"/>
              </w:rPr>
              <w:t xml:space="preserve">Year-on-year growth of prices of energies as well as </w:t>
            </w:r>
            <w:r w:rsidR="00FB1F0B">
              <w:rPr>
                <w:spacing w:val="0"/>
                <w:lang w:val="en-GB"/>
              </w:rPr>
              <w:t>imputed rentals</w:t>
            </w:r>
            <w:r w:rsidRPr="00D160FB">
              <w:rPr>
                <w:spacing w:val="0"/>
                <w:lang w:val="en-GB"/>
              </w:rPr>
              <w:t xml:space="preserve"> reduced towards the end of the year. </w:t>
            </w:r>
            <w:r w:rsidR="0087722C" w:rsidRPr="00D160FB">
              <w:rPr>
                <w:spacing w:val="0"/>
                <w:lang w:val="en-GB"/>
              </w:rPr>
              <w:t xml:space="preserve"> </w:t>
            </w:r>
          </w:p>
        </w:tc>
        <w:tc>
          <w:tcPr>
            <w:tcW w:w="224" w:type="dxa"/>
            <w:shd w:val="clear" w:color="auto" w:fill="auto"/>
            <w:tcMar>
              <w:left w:w="0" w:type="dxa"/>
            </w:tcMar>
          </w:tcPr>
          <w:p w14:paraId="5050A624"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41028CC4" w14:textId="6D7DFDF5" w:rsidR="0087722C" w:rsidRPr="00D160FB" w:rsidRDefault="00660C64" w:rsidP="00163868">
            <w:pPr>
              <w:rPr>
                <w:lang w:val="en-GB"/>
              </w:rPr>
            </w:pPr>
            <w:r w:rsidRPr="00D160FB">
              <w:rPr>
                <w:lang w:val="en-GB"/>
              </w:rPr>
              <w:t xml:space="preserve">Prices of housing and energies increased by </w:t>
            </w:r>
            <w:r w:rsidR="0087722C" w:rsidRPr="00D160FB">
              <w:rPr>
                <w:lang w:val="en-GB"/>
              </w:rPr>
              <w:t>19</w:t>
            </w:r>
            <w:r w:rsidRPr="00D160FB">
              <w:rPr>
                <w:lang w:val="en-GB"/>
              </w:rPr>
              <w:t>.</w:t>
            </w:r>
            <w:r w:rsidR="0087722C" w:rsidRPr="00D160FB">
              <w:rPr>
                <w:lang w:val="en-GB"/>
              </w:rPr>
              <w:t>0%</w:t>
            </w:r>
            <w:r w:rsidRPr="00D160FB">
              <w:rPr>
                <w:lang w:val="en-GB"/>
              </w:rPr>
              <w:t xml:space="preserve"> in year 2022</w:t>
            </w:r>
            <w:r w:rsidR="0087722C" w:rsidRPr="00D160FB">
              <w:rPr>
                <w:lang w:val="en-GB"/>
              </w:rPr>
              <w:t xml:space="preserve">. </w:t>
            </w:r>
            <w:r w:rsidRPr="00D160FB">
              <w:rPr>
                <w:lang w:val="en-GB"/>
              </w:rPr>
              <w:t xml:space="preserve">In that prices of </w:t>
            </w:r>
            <w:r w:rsidR="00FB1F0B">
              <w:rPr>
                <w:lang w:val="en-GB"/>
              </w:rPr>
              <w:t>electricity, gas and other fuels</w:t>
            </w:r>
            <w:r w:rsidRPr="00D160FB">
              <w:rPr>
                <w:lang w:val="en-GB"/>
              </w:rPr>
              <w:t xml:space="preserve"> grew the most </w:t>
            </w:r>
            <w:r w:rsidR="0087722C" w:rsidRPr="00D160FB">
              <w:rPr>
                <w:lang w:val="en-GB"/>
              </w:rPr>
              <w:t>(30</w:t>
            </w:r>
            <w:r w:rsidRPr="00D160FB">
              <w:rPr>
                <w:lang w:val="en-GB"/>
              </w:rPr>
              <w:t>.</w:t>
            </w:r>
            <w:r w:rsidR="0087722C" w:rsidRPr="00D160FB">
              <w:rPr>
                <w:lang w:val="en-GB"/>
              </w:rPr>
              <w:t>9%).</w:t>
            </w:r>
            <w:r w:rsidRPr="00D160FB">
              <w:rPr>
                <w:lang w:val="en-GB"/>
              </w:rPr>
              <w:t xml:space="preserve"> Cost of maintenance and repair</w:t>
            </w:r>
            <w:r w:rsidR="00FB1F0B">
              <w:rPr>
                <w:lang w:val="en-GB"/>
              </w:rPr>
              <w:t xml:space="preserve"> of dwelling</w:t>
            </w:r>
            <w:r w:rsidRPr="00D160FB">
              <w:rPr>
                <w:lang w:val="en-GB"/>
              </w:rPr>
              <w:t xml:space="preserve"> also sharply hiked up </w:t>
            </w:r>
            <w:r w:rsidR="0087722C" w:rsidRPr="00D160FB">
              <w:rPr>
                <w:lang w:val="en-GB"/>
              </w:rPr>
              <w:t>(19</w:t>
            </w:r>
            <w:r w:rsidRPr="00D160FB">
              <w:rPr>
                <w:lang w:val="en-GB"/>
              </w:rPr>
              <w:t>.</w:t>
            </w:r>
            <w:r w:rsidR="0087722C" w:rsidRPr="00D160FB">
              <w:rPr>
                <w:lang w:val="en-GB"/>
              </w:rPr>
              <w:t>4%) a</w:t>
            </w:r>
            <w:r w:rsidRPr="00D160FB">
              <w:rPr>
                <w:lang w:val="en-GB"/>
              </w:rPr>
              <w:t>nd the imputed rent</w:t>
            </w:r>
            <w:r w:rsidR="00FB1F0B">
              <w:rPr>
                <w:lang w:val="en-GB"/>
              </w:rPr>
              <w:t>als</w:t>
            </w:r>
            <w:r w:rsidRPr="00D160FB">
              <w:rPr>
                <w:lang w:val="en-GB"/>
              </w:rPr>
              <w:t xml:space="preserve"> also did not stay far behind</w:t>
            </w:r>
            <w:r w:rsidR="0087722C" w:rsidRPr="00D160FB">
              <w:rPr>
                <w:rStyle w:val="Znakapoznpodarou"/>
                <w:lang w:val="en-GB"/>
              </w:rPr>
              <w:footnoteReference w:id="55"/>
            </w:r>
            <w:r w:rsidR="0087722C" w:rsidRPr="00D160FB">
              <w:rPr>
                <w:lang w:val="en-GB"/>
              </w:rPr>
              <w:t xml:space="preserve"> (16</w:t>
            </w:r>
            <w:r w:rsidRPr="00D160FB">
              <w:rPr>
                <w:lang w:val="en-GB"/>
              </w:rPr>
              <w:t>.</w:t>
            </w:r>
            <w:r w:rsidR="0087722C" w:rsidRPr="00D160FB">
              <w:rPr>
                <w:lang w:val="en-GB"/>
              </w:rPr>
              <w:t xml:space="preserve">1%). </w:t>
            </w:r>
            <w:r w:rsidRPr="00D160FB">
              <w:rPr>
                <w:lang w:val="en-GB"/>
              </w:rPr>
              <w:t xml:space="preserve">Rentals for housing went up by </w:t>
            </w:r>
            <w:r w:rsidR="0087722C" w:rsidRPr="00D160FB">
              <w:rPr>
                <w:lang w:val="en-GB"/>
              </w:rPr>
              <w:t>4</w:t>
            </w:r>
            <w:r w:rsidRPr="00D160FB">
              <w:rPr>
                <w:lang w:val="en-GB"/>
              </w:rPr>
              <w:t>.</w:t>
            </w:r>
            <w:r w:rsidR="0087722C" w:rsidRPr="00D160FB">
              <w:rPr>
                <w:lang w:val="en-GB"/>
              </w:rPr>
              <w:t>9%</w:t>
            </w:r>
            <w:r w:rsidRPr="00D160FB">
              <w:rPr>
                <w:lang w:val="en-GB"/>
              </w:rPr>
              <w:t xml:space="preserve"> last year</w:t>
            </w:r>
            <w:r w:rsidR="0087722C" w:rsidRPr="00D160FB">
              <w:rPr>
                <w:lang w:val="en-GB"/>
              </w:rPr>
              <w:t>,</w:t>
            </w:r>
            <w:r w:rsidRPr="00D160FB">
              <w:rPr>
                <w:lang w:val="en-GB"/>
              </w:rPr>
              <w:t xml:space="preserve"> similarly to other services related to the dwelling</w:t>
            </w:r>
            <w:r w:rsidR="0087722C" w:rsidRPr="00D160FB">
              <w:rPr>
                <w:lang w:val="en-GB"/>
              </w:rPr>
              <w:t>.</w:t>
            </w:r>
            <w:r w:rsidRPr="00D160FB">
              <w:rPr>
                <w:lang w:val="en-GB"/>
              </w:rPr>
              <w:t xml:space="preserve"> Year-on-year growth of prices in this division culminated in Q</w:t>
            </w:r>
            <w:r w:rsidR="0087722C" w:rsidRPr="00D160FB">
              <w:rPr>
                <w:lang w:val="en-GB"/>
              </w:rPr>
              <w:t>3</w:t>
            </w:r>
            <w:r w:rsidRPr="00D160FB">
              <w:rPr>
                <w:lang w:val="en-GB"/>
              </w:rPr>
              <w:t xml:space="preserve"> and weakened to </w:t>
            </w:r>
            <w:r w:rsidR="0087722C" w:rsidRPr="00D160FB">
              <w:rPr>
                <w:lang w:val="en-GB"/>
              </w:rPr>
              <w:t>14</w:t>
            </w:r>
            <w:r w:rsidRPr="00D160FB">
              <w:rPr>
                <w:lang w:val="en-GB"/>
              </w:rPr>
              <w:t>.</w:t>
            </w:r>
            <w:r w:rsidR="0087722C" w:rsidRPr="00D160FB">
              <w:rPr>
                <w:lang w:val="en-GB"/>
              </w:rPr>
              <w:t>9%</w:t>
            </w:r>
            <w:r w:rsidRPr="00D160FB">
              <w:rPr>
                <w:lang w:val="en-GB"/>
              </w:rPr>
              <w:t xml:space="preserve"> in Q4</w:t>
            </w:r>
            <w:r w:rsidR="0087722C" w:rsidRPr="00D160FB">
              <w:rPr>
                <w:lang w:val="en-GB"/>
              </w:rPr>
              <w:t xml:space="preserve">. </w:t>
            </w:r>
            <w:r w:rsidRPr="00D160FB">
              <w:rPr>
                <w:lang w:val="en-GB"/>
              </w:rPr>
              <w:t xml:space="preserve">Prices lowered here by </w:t>
            </w:r>
            <w:r w:rsidR="0087722C" w:rsidRPr="00D160FB">
              <w:rPr>
                <w:lang w:val="en-GB"/>
              </w:rPr>
              <w:t>5</w:t>
            </w:r>
            <w:r w:rsidRPr="00D160FB">
              <w:rPr>
                <w:lang w:val="en-GB"/>
              </w:rPr>
              <w:t>.</w:t>
            </w:r>
            <w:r w:rsidR="0087722C" w:rsidRPr="00D160FB">
              <w:rPr>
                <w:lang w:val="en-GB"/>
              </w:rPr>
              <w:t>6%</w:t>
            </w:r>
            <w:r w:rsidRPr="00D160FB">
              <w:rPr>
                <w:lang w:val="en-GB"/>
              </w:rPr>
              <w:t xml:space="preserve"> quarter-on-quarter</w:t>
            </w:r>
            <w:r w:rsidR="0087722C" w:rsidRPr="00D160FB">
              <w:rPr>
                <w:lang w:val="en-GB"/>
              </w:rPr>
              <w:t xml:space="preserve">. </w:t>
            </w:r>
            <w:r w:rsidR="001D3652" w:rsidRPr="00D160FB">
              <w:rPr>
                <w:lang w:val="en-GB"/>
              </w:rPr>
              <w:t xml:space="preserve">After inclusion of the effect of the saving tariff and waiving the fee for the supported sources of energies the year-on-year growth of prices of </w:t>
            </w:r>
            <w:r w:rsidR="00FB1F0B">
              <w:rPr>
                <w:lang w:val="en-GB"/>
              </w:rPr>
              <w:t xml:space="preserve">electricity, gas and </w:t>
            </w:r>
            <w:r w:rsidR="00FB1F0B">
              <w:rPr>
                <w:lang w:val="en-GB"/>
              </w:rPr>
              <w:lastRenderedPageBreak/>
              <w:t>other fuels</w:t>
            </w:r>
            <w:r w:rsidR="001D3652" w:rsidRPr="00D160FB">
              <w:rPr>
                <w:lang w:val="en-GB"/>
              </w:rPr>
              <w:t xml:space="preserve"> slowed down to </w:t>
            </w:r>
            <w:r w:rsidR="0087722C" w:rsidRPr="00D160FB">
              <w:rPr>
                <w:lang w:val="en-GB"/>
              </w:rPr>
              <w:t>23</w:t>
            </w:r>
            <w:r w:rsidR="001D3652" w:rsidRPr="00D160FB">
              <w:rPr>
                <w:lang w:val="en-GB"/>
              </w:rPr>
              <w:t>.</w:t>
            </w:r>
            <w:r w:rsidR="0087722C" w:rsidRPr="00D160FB">
              <w:rPr>
                <w:lang w:val="en-GB"/>
              </w:rPr>
              <w:t>8%. Imput</w:t>
            </w:r>
            <w:r w:rsidR="00B20D04" w:rsidRPr="00D160FB">
              <w:rPr>
                <w:lang w:val="en-GB"/>
              </w:rPr>
              <w:t>ed rent</w:t>
            </w:r>
            <w:r w:rsidR="00FB1F0B">
              <w:rPr>
                <w:lang w:val="en-GB"/>
              </w:rPr>
              <w:t>als</w:t>
            </w:r>
            <w:r w:rsidR="00B20D04" w:rsidRPr="00D160FB">
              <w:rPr>
                <w:lang w:val="en-GB"/>
              </w:rPr>
              <w:t xml:space="preserve"> also grew slower in comparison to the preceding quarter </w:t>
            </w:r>
            <w:r w:rsidR="0087722C" w:rsidRPr="00D160FB">
              <w:rPr>
                <w:lang w:val="en-GB"/>
              </w:rPr>
              <w:t>(12</w:t>
            </w:r>
            <w:r w:rsidR="00B20D04" w:rsidRPr="00D160FB">
              <w:rPr>
                <w:lang w:val="en-GB"/>
              </w:rPr>
              <w:t>.</w:t>
            </w:r>
            <w:r w:rsidR="0087722C" w:rsidRPr="00D160FB">
              <w:rPr>
                <w:lang w:val="en-GB"/>
              </w:rPr>
              <w:t xml:space="preserve">3%). </w:t>
            </w:r>
            <w:r w:rsidR="00B20D04" w:rsidRPr="00D160FB">
              <w:rPr>
                <w:lang w:val="en-GB"/>
              </w:rPr>
              <w:t xml:space="preserve">Prices of regular maintenance and small repairs of the flat went up by </w:t>
            </w:r>
            <w:r w:rsidR="0087722C" w:rsidRPr="00D160FB">
              <w:rPr>
                <w:lang w:val="en-GB"/>
              </w:rPr>
              <w:t>20</w:t>
            </w:r>
            <w:r w:rsidR="00B20D04" w:rsidRPr="00D160FB">
              <w:rPr>
                <w:lang w:val="en-GB"/>
              </w:rPr>
              <w:t>.</w:t>
            </w:r>
            <w:r w:rsidR="0087722C" w:rsidRPr="00D160FB">
              <w:rPr>
                <w:lang w:val="en-GB"/>
              </w:rPr>
              <w:t>8%</w:t>
            </w:r>
            <w:r w:rsidR="00B20D04" w:rsidRPr="00D160FB">
              <w:rPr>
                <w:lang w:val="en-GB"/>
              </w:rPr>
              <w:t xml:space="preserve"> year-on-year</w:t>
            </w:r>
            <w:r w:rsidR="0087722C" w:rsidRPr="00D160FB">
              <w:rPr>
                <w:lang w:val="en-GB"/>
              </w:rPr>
              <w:t xml:space="preserve">, </w:t>
            </w:r>
            <w:r w:rsidR="00B20D04" w:rsidRPr="00D160FB">
              <w:rPr>
                <w:lang w:val="en-GB"/>
              </w:rPr>
              <w:t xml:space="preserve">growth of rentals for housing mildly strengthened to </w:t>
            </w:r>
            <w:r w:rsidR="0087722C" w:rsidRPr="00D160FB">
              <w:rPr>
                <w:lang w:val="en-GB"/>
              </w:rPr>
              <w:t>5</w:t>
            </w:r>
            <w:r w:rsidR="00B20D04" w:rsidRPr="00D160FB">
              <w:rPr>
                <w:lang w:val="en-GB"/>
              </w:rPr>
              <w:t>.</w:t>
            </w:r>
            <w:r w:rsidR="0087722C" w:rsidRPr="00D160FB">
              <w:rPr>
                <w:lang w:val="en-GB"/>
              </w:rPr>
              <w:t>7% a</w:t>
            </w:r>
            <w:r w:rsidR="00B20D04" w:rsidRPr="00D160FB">
              <w:rPr>
                <w:lang w:val="en-GB"/>
              </w:rPr>
              <w:t xml:space="preserve">nd prices of other services associated with housing were by </w:t>
            </w:r>
            <w:r w:rsidR="0087722C" w:rsidRPr="00D160FB">
              <w:rPr>
                <w:lang w:val="en-GB"/>
              </w:rPr>
              <w:t>5</w:t>
            </w:r>
            <w:r w:rsidR="00B20D04" w:rsidRPr="00D160FB">
              <w:rPr>
                <w:lang w:val="en-GB"/>
              </w:rPr>
              <w:t>.</w:t>
            </w:r>
            <w:r w:rsidR="0087722C" w:rsidRPr="00D160FB">
              <w:rPr>
                <w:lang w:val="en-GB"/>
              </w:rPr>
              <w:t>1%</w:t>
            </w:r>
            <w:r w:rsidR="00B20D04" w:rsidRPr="00D160FB">
              <w:rPr>
                <w:lang w:val="en-GB"/>
              </w:rPr>
              <w:t xml:space="preserve"> higher</w:t>
            </w:r>
            <w:r w:rsidR="0087722C" w:rsidRPr="00D160FB">
              <w:rPr>
                <w:lang w:val="en-GB"/>
              </w:rPr>
              <w:t xml:space="preserve">.  </w:t>
            </w:r>
          </w:p>
        </w:tc>
      </w:tr>
      <w:tr w:rsidR="0087722C" w:rsidRPr="00D160FB" w14:paraId="4E2278C0" w14:textId="77777777" w:rsidTr="00435DE8">
        <w:trPr>
          <w:trHeight w:val="145"/>
        </w:trPr>
        <w:tc>
          <w:tcPr>
            <w:tcW w:w="1804" w:type="dxa"/>
            <w:shd w:val="clear" w:color="auto" w:fill="auto"/>
            <w:tcMar>
              <w:left w:w="0" w:type="dxa"/>
            </w:tcMar>
          </w:tcPr>
          <w:p w14:paraId="20A6DC9B" w14:textId="569A7D12" w:rsidR="0087722C" w:rsidRPr="00D160FB" w:rsidRDefault="00D804C7" w:rsidP="00163868">
            <w:pPr>
              <w:pStyle w:val="Marginlie"/>
              <w:rPr>
                <w:spacing w:val="0"/>
                <w:lang w:val="en-GB"/>
              </w:rPr>
            </w:pPr>
            <w:r w:rsidRPr="00D160FB">
              <w:rPr>
                <w:spacing w:val="0"/>
                <w:lang w:val="en-GB"/>
              </w:rPr>
              <w:lastRenderedPageBreak/>
              <w:t xml:space="preserve">Year-on-year growth of prices </w:t>
            </w:r>
            <w:r w:rsidR="00312E51" w:rsidRPr="00D160FB">
              <w:rPr>
                <w:spacing w:val="0"/>
                <w:lang w:val="en-GB"/>
              </w:rPr>
              <w:t>of food</w:t>
            </w:r>
            <w:r w:rsidRPr="00D160FB">
              <w:rPr>
                <w:spacing w:val="0"/>
                <w:lang w:val="en-GB"/>
              </w:rPr>
              <w:t xml:space="preserve"> considerably strengthened during the entire year and this division also contributed the most to the total growth of consumer prices in Q4</w:t>
            </w:r>
            <w:r w:rsidR="0087722C" w:rsidRPr="00D160FB">
              <w:rPr>
                <w:spacing w:val="0"/>
                <w:lang w:val="en-GB"/>
              </w:rPr>
              <w:t>.</w:t>
            </w:r>
          </w:p>
        </w:tc>
        <w:tc>
          <w:tcPr>
            <w:tcW w:w="224" w:type="dxa"/>
            <w:shd w:val="clear" w:color="auto" w:fill="auto"/>
            <w:tcMar>
              <w:left w:w="0" w:type="dxa"/>
            </w:tcMar>
          </w:tcPr>
          <w:p w14:paraId="3C69F3C9"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47BA38D1" w14:textId="7280B084" w:rsidR="0087722C" w:rsidRPr="00D160FB" w:rsidRDefault="00D804C7" w:rsidP="00312E51">
            <w:pPr>
              <w:rPr>
                <w:lang w:val="en-GB"/>
              </w:rPr>
            </w:pPr>
            <w:r w:rsidRPr="00D160FB">
              <w:rPr>
                <w:lang w:val="en-GB"/>
              </w:rPr>
              <w:t xml:space="preserve">Prices of food and non-alcoholic beverages went up in total by </w:t>
            </w:r>
            <w:r w:rsidR="0087722C" w:rsidRPr="00D160FB">
              <w:rPr>
                <w:lang w:val="en-GB"/>
              </w:rPr>
              <w:t>16</w:t>
            </w:r>
            <w:r w:rsidRPr="00D160FB">
              <w:rPr>
                <w:lang w:val="en-GB"/>
              </w:rPr>
              <w:t>.</w:t>
            </w:r>
            <w:r w:rsidR="0087722C" w:rsidRPr="00D160FB">
              <w:rPr>
                <w:lang w:val="en-GB"/>
              </w:rPr>
              <w:t>7%</w:t>
            </w:r>
            <w:r w:rsidRPr="00D160FB">
              <w:rPr>
                <w:lang w:val="en-GB"/>
              </w:rPr>
              <w:t xml:space="preserve"> last year</w:t>
            </w:r>
            <w:r w:rsidR="0087722C" w:rsidRPr="00D160FB">
              <w:rPr>
                <w:lang w:val="en-GB"/>
              </w:rPr>
              <w:t>.</w:t>
            </w:r>
            <w:r w:rsidRPr="00D160FB">
              <w:rPr>
                <w:lang w:val="en-GB"/>
              </w:rPr>
              <w:t xml:space="preserve"> Because the fast growth of prices in the agricultural production was sensitively reflected in their development during the entire last year</w:t>
            </w:r>
            <w:r w:rsidR="0087722C" w:rsidRPr="00D160FB">
              <w:rPr>
                <w:lang w:val="en-GB"/>
              </w:rPr>
              <w:t xml:space="preserve">. </w:t>
            </w:r>
            <w:r w:rsidRPr="00D160FB">
              <w:rPr>
                <w:lang w:val="en-GB"/>
              </w:rPr>
              <w:t xml:space="preserve">The trio meat </w:t>
            </w:r>
            <w:r w:rsidR="0087722C" w:rsidRPr="00D160FB">
              <w:rPr>
                <w:lang w:val="en-GB"/>
              </w:rPr>
              <w:t>(</w:t>
            </w:r>
            <w:r w:rsidRPr="00D160FB">
              <w:rPr>
                <w:lang w:val="en-GB"/>
              </w:rPr>
              <w:t xml:space="preserve">growth of </w:t>
            </w:r>
            <w:r w:rsidR="0087722C" w:rsidRPr="00D160FB">
              <w:rPr>
                <w:lang w:val="en-GB"/>
              </w:rPr>
              <w:t>16</w:t>
            </w:r>
            <w:r w:rsidRPr="00D160FB">
              <w:rPr>
                <w:lang w:val="en-GB"/>
              </w:rPr>
              <w:t>.</w:t>
            </w:r>
            <w:r w:rsidR="0087722C" w:rsidRPr="00D160FB">
              <w:rPr>
                <w:lang w:val="en-GB"/>
              </w:rPr>
              <w:t>7%),</w:t>
            </w:r>
            <w:r w:rsidRPr="00D160FB">
              <w:rPr>
                <w:lang w:val="en-GB"/>
              </w:rPr>
              <w:t xml:space="preserve"> </w:t>
            </w:r>
            <w:r w:rsidR="00FB1F0B">
              <w:rPr>
                <w:lang w:val="en-GB"/>
              </w:rPr>
              <w:t>bread</w:t>
            </w:r>
            <w:r w:rsidRPr="00D160FB">
              <w:rPr>
                <w:lang w:val="en-GB"/>
              </w:rPr>
              <w:t xml:space="preserve"> and cereals </w:t>
            </w:r>
            <w:r w:rsidR="0087722C" w:rsidRPr="00D160FB">
              <w:rPr>
                <w:lang w:val="en-GB"/>
              </w:rPr>
              <w:t>(21</w:t>
            </w:r>
            <w:r w:rsidRPr="00D160FB">
              <w:rPr>
                <w:lang w:val="en-GB"/>
              </w:rPr>
              <w:t>.</w:t>
            </w:r>
            <w:r w:rsidR="0087722C" w:rsidRPr="00D160FB">
              <w:rPr>
                <w:lang w:val="en-GB"/>
              </w:rPr>
              <w:t>7%) a</w:t>
            </w:r>
            <w:r w:rsidRPr="00D160FB">
              <w:rPr>
                <w:lang w:val="en-GB"/>
              </w:rPr>
              <w:t>nd milk, chees</w:t>
            </w:r>
            <w:r w:rsidR="00A107F5">
              <w:rPr>
                <w:lang w:val="en-GB"/>
              </w:rPr>
              <w:t>e</w:t>
            </w:r>
            <w:r w:rsidRPr="00D160FB">
              <w:rPr>
                <w:lang w:val="en-GB"/>
              </w:rPr>
              <w:t xml:space="preserve"> and eggs </w:t>
            </w:r>
            <w:r w:rsidR="0087722C" w:rsidRPr="00D160FB">
              <w:rPr>
                <w:lang w:val="en-GB"/>
              </w:rPr>
              <w:t>(20</w:t>
            </w:r>
            <w:r w:rsidRPr="00D160FB">
              <w:rPr>
                <w:lang w:val="en-GB"/>
              </w:rPr>
              <w:t>.</w:t>
            </w:r>
            <w:r w:rsidR="0087722C" w:rsidRPr="00D160FB">
              <w:rPr>
                <w:lang w:val="en-GB"/>
              </w:rPr>
              <w:t>8%)</w:t>
            </w:r>
            <w:r w:rsidRPr="00D160FB">
              <w:rPr>
                <w:lang w:val="en-GB"/>
              </w:rPr>
              <w:t xml:space="preserve"> thus the most contributed to the total increase of the consumer prices</w:t>
            </w:r>
            <w:r w:rsidR="0087722C" w:rsidRPr="00D160FB">
              <w:rPr>
                <w:lang w:val="en-GB"/>
              </w:rPr>
              <w:t xml:space="preserve">. </w:t>
            </w:r>
            <w:r w:rsidR="00051F88" w:rsidRPr="00D160FB">
              <w:rPr>
                <w:lang w:val="en-GB"/>
              </w:rPr>
              <w:t>Prices of o</w:t>
            </w:r>
            <w:r w:rsidRPr="00D160FB">
              <w:rPr>
                <w:lang w:val="en-GB"/>
              </w:rPr>
              <w:t xml:space="preserve">ils and </w:t>
            </w:r>
            <w:r w:rsidR="00051F88" w:rsidRPr="00D160FB">
              <w:rPr>
                <w:lang w:val="en-GB"/>
              </w:rPr>
              <w:t xml:space="preserve">fats also rose steeply </w:t>
            </w:r>
            <w:r w:rsidR="0087722C" w:rsidRPr="00D160FB">
              <w:rPr>
                <w:lang w:val="en-GB"/>
              </w:rPr>
              <w:t>(38</w:t>
            </w:r>
            <w:r w:rsidR="00051F88" w:rsidRPr="00D160FB">
              <w:rPr>
                <w:lang w:val="en-GB"/>
              </w:rPr>
              <w:t>.</w:t>
            </w:r>
            <w:r w:rsidR="0087722C" w:rsidRPr="00D160FB">
              <w:rPr>
                <w:lang w:val="en-GB"/>
              </w:rPr>
              <w:t>6%).</w:t>
            </w:r>
            <w:r w:rsidR="00051F88" w:rsidRPr="00D160FB">
              <w:rPr>
                <w:lang w:val="en-GB"/>
              </w:rPr>
              <w:t xml:space="preserve"> Fast acceleration of the year-on-year pace of the growth of prices manifested for food and non-alcoholic beverages during the whole year</w:t>
            </w:r>
            <w:r w:rsidR="0087722C" w:rsidRPr="00D160FB">
              <w:rPr>
                <w:lang w:val="en-GB"/>
              </w:rPr>
              <w:t xml:space="preserve"> (6</w:t>
            </w:r>
            <w:r w:rsidR="00051F88" w:rsidRPr="00D160FB">
              <w:rPr>
                <w:lang w:val="en-GB"/>
              </w:rPr>
              <w:t>.</w:t>
            </w:r>
            <w:r w:rsidR="0087722C" w:rsidRPr="00D160FB">
              <w:rPr>
                <w:lang w:val="en-GB"/>
              </w:rPr>
              <w:t>7%, 14</w:t>
            </w:r>
            <w:r w:rsidR="00051F88" w:rsidRPr="00D160FB">
              <w:rPr>
                <w:lang w:val="en-GB"/>
              </w:rPr>
              <w:t>.</w:t>
            </w:r>
            <w:r w:rsidR="0087722C" w:rsidRPr="00D160FB">
              <w:rPr>
                <w:lang w:val="en-GB"/>
              </w:rPr>
              <w:t>6%</w:t>
            </w:r>
            <w:r w:rsidR="00051F88" w:rsidRPr="00D160FB">
              <w:rPr>
                <w:lang w:val="en-GB"/>
              </w:rPr>
              <w:t xml:space="preserve"> and </w:t>
            </w:r>
            <w:r w:rsidR="0087722C" w:rsidRPr="00D160FB">
              <w:rPr>
                <w:lang w:val="en-GB"/>
              </w:rPr>
              <w:t>20</w:t>
            </w:r>
            <w:r w:rsidR="00051F88" w:rsidRPr="00D160FB">
              <w:rPr>
                <w:lang w:val="en-GB"/>
              </w:rPr>
              <w:t>.</w:t>
            </w:r>
            <w:r w:rsidR="0087722C" w:rsidRPr="00D160FB">
              <w:rPr>
                <w:lang w:val="en-GB"/>
              </w:rPr>
              <w:t xml:space="preserve">0% </w:t>
            </w:r>
            <w:r w:rsidR="00051F88" w:rsidRPr="00D160FB">
              <w:rPr>
                <w:lang w:val="en-GB"/>
              </w:rPr>
              <w:t>in Q</w:t>
            </w:r>
            <w:r w:rsidR="0087722C" w:rsidRPr="00D160FB">
              <w:rPr>
                <w:lang w:val="en-GB"/>
              </w:rPr>
              <w:t>1</w:t>
            </w:r>
            <w:r w:rsidR="00312E51">
              <w:rPr>
                <w:lang w:val="en-GB"/>
              </w:rPr>
              <w:t>, 2</w:t>
            </w:r>
            <w:r w:rsidR="0087722C" w:rsidRPr="00D160FB">
              <w:rPr>
                <w:lang w:val="en-GB"/>
              </w:rPr>
              <w:t xml:space="preserve"> a</w:t>
            </w:r>
            <w:r w:rsidR="00051F88" w:rsidRPr="00D160FB">
              <w:rPr>
                <w:lang w:val="en-GB"/>
              </w:rPr>
              <w:t>nd</w:t>
            </w:r>
            <w:r w:rsidR="0087722C" w:rsidRPr="00D160FB">
              <w:rPr>
                <w:lang w:val="en-GB"/>
              </w:rPr>
              <w:t xml:space="preserve"> 3). </w:t>
            </w:r>
            <w:r w:rsidR="002C70C1" w:rsidRPr="00D160FB">
              <w:rPr>
                <w:lang w:val="en-GB"/>
              </w:rPr>
              <w:t xml:space="preserve">The year-on-year addition then reached </w:t>
            </w:r>
            <w:r w:rsidR="0087722C" w:rsidRPr="00D160FB">
              <w:rPr>
                <w:lang w:val="en-GB"/>
              </w:rPr>
              <w:t>25</w:t>
            </w:r>
            <w:r w:rsidR="002C70C1" w:rsidRPr="00D160FB">
              <w:rPr>
                <w:lang w:val="en-GB"/>
              </w:rPr>
              <w:t>.</w:t>
            </w:r>
            <w:r w:rsidR="0087722C" w:rsidRPr="00D160FB">
              <w:rPr>
                <w:lang w:val="en-GB"/>
              </w:rPr>
              <w:t>5%</w:t>
            </w:r>
            <w:r w:rsidR="002C70C1" w:rsidRPr="00D160FB">
              <w:rPr>
                <w:lang w:val="en-GB"/>
              </w:rPr>
              <w:t xml:space="preserve"> in Q4</w:t>
            </w:r>
            <w:r w:rsidR="0087722C" w:rsidRPr="00D160FB">
              <w:rPr>
                <w:lang w:val="en-GB"/>
              </w:rPr>
              <w:t>.</w:t>
            </w:r>
            <w:r w:rsidR="002C70C1" w:rsidRPr="00D160FB">
              <w:rPr>
                <w:lang w:val="en-GB"/>
              </w:rPr>
              <w:t xml:space="preserve"> The prices of food and non-alcoholic beverages increased by </w:t>
            </w:r>
            <w:r w:rsidR="0087722C" w:rsidRPr="00D160FB">
              <w:rPr>
                <w:lang w:val="en-GB"/>
              </w:rPr>
              <w:t>4</w:t>
            </w:r>
            <w:r w:rsidR="002C70C1" w:rsidRPr="00D160FB">
              <w:rPr>
                <w:lang w:val="en-GB"/>
              </w:rPr>
              <w:t>.</w:t>
            </w:r>
            <w:r w:rsidR="0087722C" w:rsidRPr="00D160FB">
              <w:rPr>
                <w:lang w:val="en-GB"/>
              </w:rPr>
              <w:t>7%</w:t>
            </w:r>
            <w:r w:rsidR="002C70C1" w:rsidRPr="00D160FB">
              <w:rPr>
                <w:lang w:val="en-GB"/>
              </w:rPr>
              <w:t xml:space="preserve"> </w:t>
            </w:r>
            <w:r w:rsidR="00A107F5">
              <w:rPr>
                <w:lang w:val="en-GB"/>
              </w:rPr>
              <w:t>quarter-on-quarter</w:t>
            </w:r>
            <w:r w:rsidR="0087722C" w:rsidRPr="00D160FB">
              <w:rPr>
                <w:lang w:val="en-GB"/>
              </w:rPr>
              <w:t xml:space="preserve">. </w:t>
            </w:r>
            <w:r w:rsidR="00621D46" w:rsidRPr="00D160FB">
              <w:rPr>
                <w:lang w:val="en-GB"/>
              </w:rPr>
              <w:t xml:space="preserve">The development mainly of prices of milk, cheese and eggs </w:t>
            </w:r>
            <w:r w:rsidR="0087722C" w:rsidRPr="00D160FB">
              <w:rPr>
                <w:lang w:val="en-GB"/>
              </w:rPr>
              <w:t>(</w:t>
            </w:r>
            <w:r w:rsidR="00621D46" w:rsidRPr="00D160FB">
              <w:rPr>
                <w:lang w:val="en-GB"/>
              </w:rPr>
              <w:t xml:space="preserve">growth of </w:t>
            </w:r>
            <w:r w:rsidR="0087722C" w:rsidRPr="00D160FB">
              <w:rPr>
                <w:lang w:val="en-GB"/>
              </w:rPr>
              <w:t>32</w:t>
            </w:r>
            <w:r w:rsidR="00621D46" w:rsidRPr="00D160FB">
              <w:rPr>
                <w:lang w:val="en-GB"/>
              </w:rPr>
              <w:t>.</w:t>
            </w:r>
            <w:r w:rsidR="0087722C" w:rsidRPr="00D160FB">
              <w:rPr>
                <w:lang w:val="en-GB"/>
              </w:rPr>
              <w:t>9%),</w:t>
            </w:r>
            <w:r w:rsidR="00621D46" w:rsidRPr="00D160FB">
              <w:rPr>
                <w:lang w:val="en-GB"/>
              </w:rPr>
              <w:t xml:space="preserve"> </w:t>
            </w:r>
            <w:r w:rsidR="00A107F5">
              <w:rPr>
                <w:lang w:val="en-GB"/>
              </w:rPr>
              <w:t>bread</w:t>
            </w:r>
            <w:r w:rsidR="00621D46" w:rsidRPr="00D160FB">
              <w:rPr>
                <w:lang w:val="en-GB"/>
              </w:rPr>
              <w:t xml:space="preserve"> and cereals </w:t>
            </w:r>
            <w:r w:rsidR="0087722C" w:rsidRPr="00D160FB">
              <w:rPr>
                <w:lang w:val="en-GB"/>
              </w:rPr>
              <w:t>(30</w:t>
            </w:r>
            <w:r w:rsidR="00621D46" w:rsidRPr="00D160FB">
              <w:rPr>
                <w:lang w:val="en-GB"/>
              </w:rPr>
              <w:t>.</w:t>
            </w:r>
            <w:r w:rsidR="0087722C" w:rsidRPr="00D160FB">
              <w:rPr>
                <w:lang w:val="en-GB"/>
              </w:rPr>
              <w:t>5%) a</w:t>
            </w:r>
            <w:r w:rsidR="00621D46" w:rsidRPr="00D160FB">
              <w:rPr>
                <w:lang w:val="en-GB"/>
              </w:rPr>
              <w:t xml:space="preserve">nd meat </w:t>
            </w:r>
            <w:r w:rsidR="0087722C" w:rsidRPr="00D160FB">
              <w:rPr>
                <w:lang w:val="en-GB"/>
              </w:rPr>
              <w:t>(27</w:t>
            </w:r>
            <w:r w:rsidR="00621D46" w:rsidRPr="00D160FB">
              <w:rPr>
                <w:lang w:val="en-GB"/>
              </w:rPr>
              <w:t>.</w:t>
            </w:r>
            <w:r w:rsidR="0087722C" w:rsidRPr="00D160FB">
              <w:rPr>
                <w:lang w:val="en-GB"/>
              </w:rPr>
              <w:t>4%)</w:t>
            </w:r>
            <w:r w:rsidR="00621D46" w:rsidRPr="00D160FB">
              <w:rPr>
                <w:lang w:val="en-GB"/>
              </w:rPr>
              <w:t xml:space="preserve"> contributed to the acceleration of the year-on-year growth in Q4</w:t>
            </w:r>
            <w:r w:rsidR="0087722C" w:rsidRPr="00D160FB">
              <w:rPr>
                <w:lang w:val="en-GB"/>
              </w:rPr>
              <w:t xml:space="preserve">. </w:t>
            </w:r>
            <w:r w:rsidR="00A7769C" w:rsidRPr="00D160FB">
              <w:rPr>
                <w:lang w:val="en-GB"/>
              </w:rPr>
              <w:t>Price dynamics of the majority of types of food was however accelerating. Similarly to the annual view, the prices of oils and fats also sharply increased year-on-year in Q</w:t>
            </w:r>
            <w:r w:rsidR="0087722C" w:rsidRPr="00D160FB">
              <w:rPr>
                <w:lang w:val="en-GB"/>
              </w:rPr>
              <w:t>4</w:t>
            </w:r>
            <w:r w:rsidR="00A7769C" w:rsidRPr="00D160FB">
              <w:rPr>
                <w:lang w:val="en-GB"/>
              </w:rPr>
              <w:t xml:space="preserve"> </w:t>
            </w:r>
            <w:r w:rsidR="0087722C" w:rsidRPr="00D160FB">
              <w:rPr>
                <w:lang w:val="en-GB"/>
              </w:rPr>
              <w:t>(43</w:t>
            </w:r>
            <w:r w:rsidR="00A7769C" w:rsidRPr="00D160FB">
              <w:rPr>
                <w:lang w:val="en-GB"/>
              </w:rPr>
              <w:t>.</w:t>
            </w:r>
            <w:r w:rsidR="0087722C" w:rsidRPr="00D160FB">
              <w:rPr>
                <w:lang w:val="en-GB"/>
              </w:rPr>
              <w:t xml:space="preserve">0%). </w:t>
            </w:r>
          </w:p>
        </w:tc>
      </w:tr>
      <w:tr w:rsidR="0087722C" w:rsidRPr="00D160FB" w14:paraId="39AA128C" w14:textId="77777777" w:rsidTr="00435DE8">
        <w:trPr>
          <w:trHeight w:val="170"/>
        </w:trPr>
        <w:tc>
          <w:tcPr>
            <w:tcW w:w="1804" w:type="dxa"/>
            <w:vMerge w:val="restart"/>
            <w:shd w:val="clear" w:color="auto" w:fill="auto"/>
            <w:tcMar>
              <w:left w:w="0" w:type="dxa"/>
            </w:tcMar>
          </w:tcPr>
          <w:p w14:paraId="1B7F3AE3" w14:textId="77777777" w:rsidR="0087722C" w:rsidRPr="00D160FB" w:rsidRDefault="0087722C" w:rsidP="00163868">
            <w:pPr>
              <w:pStyle w:val="Marginlie"/>
              <w:rPr>
                <w:spacing w:val="0"/>
                <w:lang w:val="en-GB"/>
              </w:rPr>
            </w:pPr>
          </w:p>
        </w:tc>
        <w:tc>
          <w:tcPr>
            <w:tcW w:w="224" w:type="dxa"/>
            <w:vMerge w:val="restart"/>
            <w:shd w:val="clear" w:color="auto" w:fill="auto"/>
            <w:tcMar>
              <w:left w:w="0" w:type="dxa"/>
            </w:tcMar>
          </w:tcPr>
          <w:p w14:paraId="7B02E7D5"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3984E09F" w14:textId="4C199956" w:rsidR="0087722C" w:rsidRPr="00D160FB" w:rsidRDefault="00E04485" w:rsidP="00163868">
            <w:pPr>
              <w:spacing w:after="0"/>
              <w:rPr>
                <w:lang w:val="en-GB"/>
              </w:rPr>
            </w:pPr>
            <w:r w:rsidRPr="00D160FB">
              <w:rPr>
                <w:rFonts w:cs="Arial"/>
                <w:b/>
                <w:bCs/>
                <w:color w:val="000000"/>
                <w:sz w:val="18"/>
                <w:szCs w:val="18"/>
                <w:lang w:val="en-GB"/>
              </w:rPr>
              <w:t>Chart</w:t>
            </w:r>
            <w:r w:rsidR="008F525A" w:rsidRPr="00D160FB">
              <w:rPr>
                <w:rFonts w:cs="Arial"/>
                <w:b/>
                <w:bCs/>
                <w:color w:val="000000"/>
                <w:sz w:val="18"/>
                <w:szCs w:val="18"/>
                <w:lang w:val="en-GB"/>
              </w:rPr>
              <w:t> 11</w:t>
            </w:r>
            <w:r w:rsidR="0087722C" w:rsidRPr="00D160FB">
              <w:rPr>
                <w:rFonts w:cs="Arial"/>
                <w:b/>
                <w:bCs/>
                <w:color w:val="000000"/>
                <w:sz w:val="18"/>
                <w:szCs w:val="18"/>
                <w:lang w:val="en-GB"/>
              </w:rPr>
              <w:t xml:space="preserve"> </w:t>
            </w:r>
            <w:r w:rsidR="002426B4" w:rsidRPr="00D160FB">
              <w:rPr>
                <w:rFonts w:cs="Arial"/>
                <w:b/>
                <w:bCs/>
                <w:color w:val="000000"/>
                <w:sz w:val="18"/>
                <w:szCs w:val="18"/>
                <w:lang w:val="en-GB"/>
              </w:rPr>
              <w:t xml:space="preserve">Prices in the selected divisions of the consumer price index </w:t>
            </w:r>
            <w:r w:rsidR="002426B4" w:rsidRPr="00D160FB">
              <w:rPr>
                <w:rFonts w:cs="Arial"/>
                <w:color w:val="000000"/>
                <w:sz w:val="18"/>
                <w:szCs w:val="18"/>
                <w:lang w:val="en-GB"/>
              </w:rPr>
              <w:t>(year-on-year in %)</w:t>
            </w:r>
          </w:p>
        </w:tc>
      </w:tr>
      <w:tr w:rsidR="0087722C" w:rsidRPr="00D160FB" w14:paraId="4559E5C7" w14:textId="77777777" w:rsidTr="00435DE8">
        <w:tblPrEx>
          <w:tblCellMar>
            <w:left w:w="70" w:type="dxa"/>
            <w:right w:w="70" w:type="dxa"/>
          </w:tblCellMar>
        </w:tblPrEx>
        <w:trPr>
          <w:trHeight w:val="170"/>
        </w:trPr>
        <w:tc>
          <w:tcPr>
            <w:tcW w:w="1804" w:type="dxa"/>
            <w:vMerge/>
          </w:tcPr>
          <w:p w14:paraId="4C965615" w14:textId="77777777" w:rsidR="0087722C" w:rsidRPr="00D160FB" w:rsidRDefault="0087722C" w:rsidP="00163868">
            <w:pPr>
              <w:pStyle w:val="Marginlie"/>
              <w:rPr>
                <w:spacing w:val="0"/>
                <w:lang w:val="en-GB"/>
              </w:rPr>
            </w:pPr>
          </w:p>
        </w:tc>
        <w:tc>
          <w:tcPr>
            <w:tcW w:w="224" w:type="dxa"/>
            <w:vMerge/>
          </w:tcPr>
          <w:p w14:paraId="3E713992" w14:textId="77777777" w:rsidR="0087722C" w:rsidRPr="00D160FB" w:rsidRDefault="0087722C" w:rsidP="00163868">
            <w:pPr>
              <w:pStyle w:val="Textpoznpodarou1"/>
              <w:jc w:val="both"/>
              <w:rPr>
                <w:lang w:val="en-GB"/>
              </w:rPr>
            </w:pPr>
          </w:p>
        </w:tc>
        <w:tc>
          <w:tcPr>
            <w:tcW w:w="7611" w:type="dxa"/>
            <w:shd w:val="clear" w:color="auto" w:fill="auto"/>
          </w:tcPr>
          <w:p w14:paraId="18BA7CFE" w14:textId="7739A498" w:rsidR="0087722C" w:rsidRPr="00D160FB" w:rsidRDefault="00C60FA1" w:rsidP="00163868">
            <w:pPr>
              <w:spacing w:after="0"/>
              <w:rPr>
                <w:lang w:val="en-GB"/>
              </w:rPr>
            </w:pPr>
            <w:r>
              <w:rPr>
                <w:noProof/>
              </w:rPr>
              <w:drawing>
                <wp:inline distT="0" distB="0" distL="0" distR="0" wp14:anchorId="796C48B0" wp14:editId="4A2D7050">
                  <wp:extent cx="4743950" cy="3381750"/>
                  <wp:effectExtent l="0" t="0" r="0" b="0"/>
                  <wp:docPr id="1736934602" name="Graf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87722C" w:rsidRPr="00D160FB" w14:paraId="55F48115" w14:textId="77777777" w:rsidTr="00435DE8">
        <w:trPr>
          <w:trHeight w:val="170"/>
        </w:trPr>
        <w:tc>
          <w:tcPr>
            <w:tcW w:w="1804" w:type="dxa"/>
            <w:vMerge/>
            <w:tcMar>
              <w:left w:w="0" w:type="dxa"/>
            </w:tcMar>
          </w:tcPr>
          <w:p w14:paraId="24D0E467" w14:textId="77777777" w:rsidR="0087722C" w:rsidRPr="00D160FB" w:rsidRDefault="0087722C" w:rsidP="00163868">
            <w:pPr>
              <w:pStyle w:val="Marginlie"/>
              <w:rPr>
                <w:spacing w:val="0"/>
                <w:lang w:val="en-GB"/>
              </w:rPr>
            </w:pPr>
          </w:p>
        </w:tc>
        <w:tc>
          <w:tcPr>
            <w:tcW w:w="224" w:type="dxa"/>
            <w:vMerge/>
            <w:tcMar>
              <w:left w:w="0" w:type="dxa"/>
            </w:tcMar>
          </w:tcPr>
          <w:p w14:paraId="7CD7067A"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602065F6" w14:textId="36DA9C11" w:rsidR="002426B4" w:rsidRPr="00D160FB" w:rsidRDefault="00E04485" w:rsidP="00C60FA1">
            <w:pPr>
              <w:rPr>
                <w:b/>
                <w:bCs/>
                <w:sz w:val="16"/>
                <w:szCs w:val="16"/>
                <w:lang w:val="en-GB"/>
              </w:rPr>
            </w:pPr>
            <w:r w:rsidRPr="00D160FB">
              <w:rPr>
                <w:sz w:val="14"/>
                <w:szCs w:val="14"/>
                <w:lang w:val="en-GB"/>
              </w:rPr>
              <w:t>Source</w:t>
            </w:r>
            <w:r w:rsidR="0087722C" w:rsidRPr="00D160FB">
              <w:rPr>
                <w:sz w:val="14"/>
                <w:szCs w:val="14"/>
                <w:lang w:val="en-GB"/>
              </w:rPr>
              <w:t xml:space="preserve">: </w:t>
            </w:r>
            <w:r w:rsidRPr="00D160FB">
              <w:rPr>
                <w:sz w:val="14"/>
                <w:szCs w:val="14"/>
                <w:lang w:val="en-GB"/>
              </w:rPr>
              <w:t>CZSO</w:t>
            </w:r>
          </w:p>
        </w:tc>
      </w:tr>
      <w:tr w:rsidR="0087722C" w:rsidRPr="00D160FB" w14:paraId="54820379" w14:textId="77777777" w:rsidTr="00435DE8">
        <w:trPr>
          <w:trHeight w:val="145"/>
        </w:trPr>
        <w:tc>
          <w:tcPr>
            <w:tcW w:w="1804" w:type="dxa"/>
            <w:shd w:val="clear" w:color="auto" w:fill="auto"/>
            <w:tcMar>
              <w:left w:w="0" w:type="dxa"/>
            </w:tcMar>
          </w:tcPr>
          <w:p w14:paraId="2008DFFE" w14:textId="7C2B7DE6" w:rsidR="0087722C" w:rsidRPr="00D160FB" w:rsidRDefault="00480AC0" w:rsidP="00163868">
            <w:pPr>
              <w:pStyle w:val="Marginlie"/>
              <w:rPr>
                <w:spacing w:val="0"/>
                <w:lang w:val="en-GB"/>
              </w:rPr>
            </w:pPr>
            <w:r w:rsidRPr="00D160FB">
              <w:rPr>
                <w:spacing w:val="0"/>
                <w:lang w:val="en-GB"/>
              </w:rPr>
              <w:t xml:space="preserve">Moderation of the growth of prices of motor fuels reduced the year-on-year increase of prices of transport. </w:t>
            </w:r>
          </w:p>
        </w:tc>
        <w:tc>
          <w:tcPr>
            <w:tcW w:w="224" w:type="dxa"/>
            <w:shd w:val="clear" w:color="auto" w:fill="auto"/>
            <w:tcMar>
              <w:left w:w="0" w:type="dxa"/>
            </w:tcMar>
          </w:tcPr>
          <w:p w14:paraId="0F85D331"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1C03AFF5" w14:textId="3B739975" w:rsidR="0087722C" w:rsidRPr="00D160FB" w:rsidRDefault="00480AC0" w:rsidP="00163868">
            <w:pPr>
              <w:rPr>
                <w:lang w:val="en-GB"/>
              </w:rPr>
            </w:pPr>
            <w:r w:rsidRPr="00D160FB">
              <w:rPr>
                <w:lang w:val="en-GB"/>
              </w:rPr>
              <w:t xml:space="preserve">Prices of transport increased by </w:t>
            </w:r>
            <w:r w:rsidR="0087722C" w:rsidRPr="00D160FB">
              <w:rPr>
                <w:lang w:val="en-GB"/>
              </w:rPr>
              <w:t>18</w:t>
            </w:r>
            <w:r w:rsidRPr="00D160FB">
              <w:rPr>
                <w:lang w:val="en-GB"/>
              </w:rPr>
              <w:t>.</w:t>
            </w:r>
            <w:r w:rsidR="0087722C" w:rsidRPr="00D160FB">
              <w:rPr>
                <w:lang w:val="en-GB"/>
              </w:rPr>
              <w:t>1%</w:t>
            </w:r>
            <w:r w:rsidRPr="00D160FB">
              <w:rPr>
                <w:lang w:val="en-GB"/>
              </w:rPr>
              <w:t xml:space="preserve"> last year</w:t>
            </w:r>
            <w:r w:rsidR="0087722C" w:rsidRPr="00D160FB">
              <w:rPr>
                <w:lang w:val="en-GB"/>
              </w:rPr>
              <w:t xml:space="preserve">. </w:t>
            </w:r>
            <w:r w:rsidR="00DA0359" w:rsidRPr="00D160FB">
              <w:rPr>
                <w:lang w:val="en-GB"/>
              </w:rPr>
              <w:t>Cost of operati</w:t>
            </w:r>
            <w:r w:rsidR="00A107F5">
              <w:rPr>
                <w:lang w:val="en-GB"/>
              </w:rPr>
              <w:t xml:space="preserve">on of </w:t>
            </w:r>
            <w:r w:rsidR="00DA0359" w:rsidRPr="00D160FB">
              <w:rPr>
                <w:lang w:val="en-GB"/>
              </w:rPr>
              <w:t xml:space="preserve">a personal transport equipment grew the most </w:t>
            </w:r>
            <w:r w:rsidR="0087722C" w:rsidRPr="00D160FB">
              <w:rPr>
                <w:lang w:val="en-GB"/>
              </w:rPr>
              <w:t>(23</w:t>
            </w:r>
            <w:r w:rsidR="00DA0359" w:rsidRPr="00D160FB">
              <w:rPr>
                <w:lang w:val="en-GB"/>
              </w:rPr>
              <w:t>.</w:t>
            </w:r>
            <w:r w:rsidR="0087722C" w:rsidRPr="00D160FB">
              <w:rPr>
                <w:lang w:val="en-GB"/>
              </w:rPr>
              <w:t>9%)</w:t>
            </w:r>
            <w:r w:rsidR="00DA0359" w:rsidRPr="00D160FB">
              <w:rPr>
                <w:lang w:val="en-GB"/>
              </w:rPr>
              <w:t xml:space="preserve"> under the influence of prices of motor fuels</w:t>
            </w:r>
            <w:r w:rsidR="0087722C" w:rsidRPr="00D160FB">
              <w:rPr>
                <w:lang w:val="en-GB"/>
              </w:rPr>
              <w:t xml:space="preserve">. </w:t>
            </w:r>
            <w:r w:rsidR="00DA0359" w:rsidRPr="00D160FB">
              <w:rPr>
                <w:lang w:val="en-GB"/>
              </w:rPr>
              <w:t xml:space="preserve">Prices of purchase of vehicles nevertheless also strongly increased </w:t>
            </w:r>
            <w:r w:rsidR="0087722C" w:rsidRPr="00D160FB">
              <w:rPr>
                <w:lang w:val="en-GB"/>
              </w:rPr>
              <w:t>(12</w:t>
            </w:r>
            <w:r w:rsidR="00DA0359" w:rsidRPr="00D160FB">
              <w:rPr>
                <w:lang w:val="en-GB"/>
              </w:rPr>
              <w:t>.</w:t>
            </w:r>
            <w:r w:rsidR="0087722C" w:rsidRPr="00D160FB">
              <w:rPr>
                <w:lang w:val="en-GB"/>
              </w:rPr>
              <w:t>9%) a</w:t>
            </w:r>
            <w:r w:rsidR="00DA0359" w:rsidRPr="00D160FB">
              <w:rPr>
                <w:lang w:val="en-GB"/>
              </w:rPr>
              <w:t>nd</w:t>
            </w:r>
            <w:r w:rsidR="0087722C" w:rsidRPr="00D160FB">
              <w:rPr>
                <w:lang w:val="en-GB"/>
              </w:rPr>
              <w:t xml:space="preserve"> </w:t>
            </w:r>
            <w:r w:rsidR="00660533" w:rsidRPr="00D160FB">
              <w:rPr>
                <w:lang w:val="en-GB"/>
              </w:rPr>
              <w:t xml:space="preserve">the abolition of reduction of prices of fares stimulated the increase of the prices of transport services </w:t>
            </w:r>
            <w:r w:rsidR="0087722C" w:rsidRPr="00D160FB">
              <w:rPr>
                <w:lang w:val="en-GB"/>
              </w:rPr>
              <w:t>(14</w:t>
            </w:r>
            <w:r w:rsidR="00660533" w:rsidRPr="00D160FB">
              <w:rPr>
                <w:lang w:val="en-GB"/>
              </w:rPr>
              <w:t>.</w:t>
            </w:r>
            <w:r w:rsidR="0087722C" w:rsidRPr="00D160FB">
              <w:rPr>
                <w:lang w:val="en-GB"/>
              </w:rPr>
              <w:t xml:space="preserve">2%). </w:t>
            </w:r>
            <w:r w:rsidR="00660533" w:rsidRPr="00D160FB">
              <w:rPr>
                <w:lang w:val="en-GB"/>
              </w:rPr>
              <w:t>Prices of transport rose the most year-on-year last year in Q</w:t>
            </w:r>
            <w:r w:rsidR="0087722C" w:rsidRPr="00D160FB">
              <w:rPr>
                <w:lang w:val="en-GB"/>
              </w:rPr>
              <w:t>2</w:t>
            </w:r>
            <w:r w:rsidR="00660533" w:rsidRPr="00D160FB">
              <w:rPr>
                <w:lang w:val="en-GB"/>
              </w:rPr>
              <w:t xml:space="preserve"> and then the dynamics started to slow down. </w:t>
            </w:r>
            <w:r w:rsidR="00520C78" w:rsidRPr="00D160FB">
              <w:rPr>
                <w:lang w:val="en-GB"/>
              </w:rPr>
              <w:t xml:space="preserve">Their year-on-year increase reached gradually in individual quarters </w:t>
            </w:r>
            <w:r w:rsidR="0087722C" w:rsidRPr="00D160FB">
              <w:rPr>
                <w:lang w:val="en-GB"/>
              </w:rPr>
              <w:t>17</w:t>
            </w:r>
            <w:r w:rsidR="00520C78" w:rsidRPr="00D160FB">
              <w:rPr>
                <w:lang w:val="en-GB"/>
              </w:rPr>
              <w:t>.</w:t>
            </w:r>
            <w:r w:rsidR="0087722C" w:rsidRPr="00D160FB">
              <w:rPr>
                <w:lang w:val="en-GB"/>
              </w:rPr>
              <w:t>2%, 22</w:t>
            </w:r>
            <w:r w:rsidR="00520C78" w:rsidRPr="00D160FB">
              <w:rPr>
                <w:lang w:val="en-GB"/>
              </w:rPr>
              <w:t>.</w:t>
            </w:r>
            <w:r w:rsidR="0087722C" w:rsidRPr="00D160FB">
              <w:rPr>
                <w:lang w:val="en-GB"/>
              </w:rPr>
              <w:t>7% a</w:t>
            </w:r>
            <w:r w:rsidR="00520C78" w:rsidRPr="00D160FB">
              <w:rPr>
                <w:lang w:val="en-GB"/>
              </w:rPr>
              <w:t>nd</w:t>
            </w:r>
            <w:r w:rsidR="0087722C" w:rsidRPr="00D160FB">
              <w:rPr>
                <w:lang w:val="en-GB"/>
              </w:rPr>
              <w:t xml:space="preserve"> 19</w:t>
            </w:r>
            <w:r w:rsidR="00520C78" w:rsidRPr="00D160FB">
              <w:rPr>
                <w:lang w:val="en-GB"/>
              </w:rPr>
              <w:t>.</w:t>
            </w:r>
            <w:r w:rsidR="0087722C" w:rsidRPr="00D160FB">
              <w:rPr>
                <w:lang w:val="en-GB"/>
              </w:rPr>
              <w:t>7%.</w:t>
            </w:r>
            <w:r w:rsidR="00520C78" w:rsidRPr="00D160FB">
              <w:rPr>
                <w:lang w:val="en-GB"/>
              </w:rPr>
              <w:t xml:space="preserve"> In Q4 </w:t>
            </w:r>
            <w:r w:rsidR="0087722C" w:rsidRPr="00D160FB">
              <w:rPr>
                <w:lang w:val="en-GB"/>
              </w:rPr>
              <w:t>2022</w:t>
            </w:r>
            <w:r w:rsidR="00520C78" w:rsidRPr="00D160FB">
              <w:rPr>
                <w:lang w:val="en-GB"/>
              </w:rPr>
              <w:t xml:space="preserve">, they were by </w:t>
            </w:r>
            <w:r w:rsidR="0087722C" w:rsidRPr="00D160FB">
              <w:rPr>
                <w:lang w:val="en-GB"/>
              </w:rPr>
              <w:t>13</w:t>
            </w:r>
            <w:r w:rsidR="00520C78" w:rsidRPr="00D160FB">
              <w:rPr>
                <w:lang w:val="en-GB"/>
              </w:rPr>
              <w:t>.</w:t>
            </w:r>
            <w:r w:rsidR="0087722C" w:rsidRPr="00D160FB">
              <w:rPr>
                <w:lang w:val="en-GB"/>
              </w:rPr>
              <w:t>1%</w:t>
            </w:r>
            <w:r w:rsidR="00520C78" w:rsidRPr="00D160FB">
              <w:rPr>
                <w:lang w:val="en-GB"/>
              </w:rPr>
              <w:t xml:space="preserve"> higher year-on-year</w:t>
            </w:r>
            <w:r w:rsidR="0087722C" w:rsidRPr="00D160FB">
              <w:rPr>
                <w:lang w:val="en-GB"/>
              </w:rPr>
              <w:t xml:space="preserve">. </w:t>
            </w:r>
            <w:r w:rsidR="00B83CBF" w:rsidRPr="00D160FB">
              <w:rPr>
                <w:lang w:val="en-GB"/>
              </w:rPr>
              <w:t>Prices of transport lowered by 1.2% compared to the previous quarter.</w:t>
            </w:r>
            <w:r w:rsidR="00687B85" w:rsidRPr="00D160FB">
              <w:rPr>
                <w:lang w:val="en-GB"/>
              </w:rPr>
              <w:t xml:space="preserve"> Together with the motor fuels, the year-on-year growth of the prices of operati</w:t>
            </w:r>
            <w:r w:rsidR="00A107F5">
              <w:rPr>
                <w:lang w:val="en-GB"/>
              </w:rPr>
              <w:t xml:space="preserve">on of </w:t>
            </w:r>
            <w:r w:rsidR="00687B85" w:rsidRPr="00D160FB">
              <w:rPr>
                <w:lang w:val="en-GB"/>
              </w:rPr>
              <w:t xml:space="preserve">a </w:t>
            </w:r>
            <w:r w:rsidR="00A107F5">
              <w:rPr>
                <w:lang w:val="en-GB"/>
              </w:rPr>
              <w:t xml:space="preserve">personal </w:t>
            </w:r>
            <w:r w:rsidR="00687B85" w:rsidRPr="00D160FB">
              <w:rPr>
                <w:lang w:val="en-GB"/>
              </w:rPr>
              <w:t xml:space="preserve">transport equipment also considerably slowed down </w:t>
            </w:r>
            <w:r w:rsidR="0087722C" w:rsidRPr="00D160FB">
              <w:rPr>
                <w:lang w:val="en-GB"/>
              </w:rPr>
              <w:t>(13</w:t>
            </w:r>
            <w:r w:rsidR="00687B85" w:rsidRPr="00D160FB">
              <w:rPr>
                <w:lang w:val="en-GB"/>
              </w:rPr>
              <w:t>.</w:t>
            </w:r>
            <w:r w:rsidR="0087722C" w:rsidRPr="00D160FB">
              <w:rPr>
                <w:lang w:val="en-GB"/>
              </w:rPr>
              <w:t>6%)</w:t>
            </w:r>
            <w:r w:rsidR="00687B85" w:rsidRPr="00D160FB">
              <w:rPr>
                <w:lang w:val="en-GB"/>
              </w:rPr>
              <w:t xml:space="preserve"> at the end of the </w:t>
            </w:r>
            <w:r w:rsidR="00687B85" w:rsidRPr="00D160FB">
              <w:rPr>
                <w:lang w:val="en-GB"/>
              </w:rPr>
              <w:lastRenderedPageBreak/>
              <w:t>year</w:t>
            </w:r>
            <w:r w:rsidR="0087722C" w:rsidRPr="00D160FB">
              <w:rPr>
                <w:lang w:val="en-GB"/>
              </w:rPr>
              <w:t xml:space="preserve">. </w:t>
            </w:r>
            <w:r w:rsidR="00687B85" w:rsidRPr="00D160FB">
              <w:rPr>
                <w:lang w:val="en-GB"/>
              </w:rPr>
              <w:t xml:space="preserve">Increase of the prices of purchase vehicles was also smaller </w:t>
            </w:r>
            <w:r w:rsidR="0087722C" w:rsidRPr="00D160FB">
              <w:rPr>
                <w:lang w:val="en-GB"/>
              </w:rPr>
              <w:t>(11</w:t>
            </w:r>
            <w:r w:rsidR="00687B85" w:rsidRPr="00D160FB">
              <w:rPr>
                <w:lang w:val="en-GB"/>
              </w:rPr>
              <w:t>.</w:t>
            </w:r>
            <w:r w:rsidR="0087722C" w:rsidRPr="00D160FB">
              <w:rPr>
                <w:lang w:val="en-GB"/>
              </w:rPr>
              <w:t xml:space="preserve">7%). </w:t>
            </w:r>
            <w:r w:rsidR="00B83CBF" w:rsidRPr="00D160FB">
              <w:rPr>
                <w:lang w:val="en-GB"/>
              </w:rPr>
              <w:t xml:space="preserve">Prices of transport services thus increased the most year-on-year </w:t>
            </w:r>
            <w:r w:rsidR="0087722C" w:rsidRPr="00D160FB">
              <w:rPr>
                <w:lang w:val="en-GB"/>
              </w:rPr>
              <w:t>(16</w:t>
            </w:r>
            <w:r w:rsidR="00B83CBF" w:rsidRPr="00D160FB">
              <w:rPr>
                <w:lang w:val="en-GB"/>
              </w:rPr>
              <w:t>.</w:t>
            </w:r>
            <w:r w:rsidR="0087722C" w:rsidRPr="00D160FB">
              <w:rPr>
                <w:lang w:val="en-GB"/>
              </w:rPr>
              <w:t>6%).</w:t>
            </w:r>
          </w:p>
        </w:tc>
      </w:tr>
      <w:tr w:rsidR="0087722C" w:rsidRPr="00D160FB" w14:paraId="72940AA2" w14:textId="77777777" w:rsidTr="00435DE8">
        <w:trPr>
          <w:trHeight w:val="145"/>
        </w:trPr>
        <w:tc>
          <w:tcPr>
            <w:tcW w:w="1804" w:type="dxa"/>
            <w:shd w:val="clear" w:color="auto" w:fill="auto"/>
            <w:tcMar>
              <w:left w:w="0" w:type="dxa"/>
            </w:tcMar>
          </w:tcPr>
          <w:p w14:paraId="1ACC1F03" w14:textId="78430BAF" w:rsidR="0087722C" w:rsidRPr="00D160FB" w:rsidRDefault="00B83CBF" w:rsidP="00163868">
            <w:pPr>
              <w:pStyle w:val="Marginlie"/>
              <w:rPr>
                <w:spacing w:val="0"/>
                <w:lang w:val="en-GB"/>
              </w:rPr>
            </w:pPr>
            <w:r w:rsidRPr="00D160FB">
              <w:rPr>
                <w:spacing w:val="0"/>
                <w:lang w:val="en-GB"/>
              </w:rPr>
              <w:lastRenderedPageBreak/>
              <w:t>Growth of prices was all encompassing</w:t>
            </w:r>
            <w:r w:rsidR="0087722C" w:rsidRPr="00D160FB">
              <w:rPr>
                <w:spacing w:val="0"/>
                <w:lang w:val="en-GB"/>
              </w:rPr>
              <w:t>.</w:t>
            </w:r>
          </w:p>
        </w:tc>
        <w:tc>
          <w:tcPr>
            <w:tcW w:w="224" w:type="dxa"/>
            <w:shd w:val="clear" w:color="auto" w:fill="auto"/>
            <w:tcMar>
              <w:left w:w="0" w:type="dxa"/>
            </w:tcMar>
          </w:tcPr>
          <w:p w14:paraId="23CE78B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42F95739" w14:textId="24E70D53" w:rsidR="0087722C" w:rsidRPr="00D160FB" w:rsidRDefault="007C2D6F" w:rsidP="00163868">
            <w:pPr>
              <w:rPr>
                <w:lang w:val="en-GB"/>
              </w:rPr>
            </w:pPr>
            <w:r w:rsidRPr="00D160FB">
              <w:rPr>
                <w:lang w:val="en-GB"/>
              </w:rPr>
              <w:t xml:space="preserve">In the view of the contribution to the total growth of consumer prices, prices of </w:t>
            </w:r>
            <w:r w:rsidR="00FB1F0B">
              <w:rPr>
                <w:lang w:val="en-GB"/>
              </w:rPr>
              <w:t>restaurants and hotels</w:t>
            </w:r>
            <w:r w:rsidRPr="00D160FB">
              <w:rPr>
                <w:lang w:val="en-GB"/>
              </w:rPr>
              <w:t xml:space="preserve">, which went up by </w:t>
            </w:r>
            <w:r w:rsidR="0087722C" w:rsidRPr="00D160FB">
              <w:rPr>
                <w:lang w:val="en-GB"/>
              </w:rPr>
              <w:t>21</w:t>
            </w:r>
            <w:r w:rsidRPr="00D160FB">
              <w:rPr>
                <w:lang w:val="en-GB"/>
              </w:rPr>
              <w:t>.</w:t>
            </w:r>
            <w:r w:rsidR="0087722C" w:rsidRPr="00D160FB">
              <w:rPr>
                <w:lang w:val="en-GB"/>
              </w:rPr>
              <w:t>0%</w:t>
            </w:r>
            <w:r w:rsidRPr="00D160FB">
              <w:rPr>
                <w:lang w:val="en-GB"/>
              </w:rPr>
              <w:t xml:space="preserve"> last year also came to the forefront</w:t>
            </w:r>
            <w:r w:rsidR="0087722C" w:rsidRPr="00D160FB">
              <w:rPr>
                <w:lang w:val="en-GB"/>
              </w:rPr>
              <w:t xml:space="preserve">. </w:t>
            </w:r>
            <w:r w:rsidR="009D2038" w:rsidRPr="00D160FB">
              <w:rPr>
                <w:lang w:val="en-GB"/>
              </w:rPr>
              <w:t>Their year-on-year growth sharply accelerated in Q</w:t>
            </w:r>
            <w:r w:rsidR="0087722C" w:rsidRPr="00D160FB">
              <w:rPr>
                <w:lang w:val="en-GB"/>
              </w:rPr>
              <w:t>2</w:t>
            </w:r>
            <w:r w:rsidR="009D2038" w:rsidRPr="00D160FB">
              <w:rPr>
                <w:lang w:val="en-GB"/>
              </w:rPr>
              <w:t xml:space="preserve"> and it was further </w:t>
            </w:r>
            <w:r w:rsidRPr="00D160FB">
              <w:rPr>
                <w:lang w:val="en-GB"/>
              </w:rPr>
              <w:t>strengthened</w:t>
            </w:r>
            <w:r w:rsidR="009D2038" w:rsidRPr="00D160FB">
              <w:rPr>
                <w:lang w:val="en-GB"/>
              </w:rPr>
              <w:t xml:space="preserve"> for the rest of the year</w:t>
            </w:r>
            <w:r w:rsidR="0087722C" w:rsidRPr="00D160FB">
              <w:rPr>
                <w:lang w:val="en-GB"/>
              </w:rPr>
              <w:t xml:space="preserve">. </w:t>
            </w:r>
            <w:r w:rsidR="009D2038" w:rsidRPr="00D160FB">
              <w:rPr>
                <w:lang w:val="en-GB"/>
              </w:rPr>
              <w:t xml:space="preserve">The prices of </w:t>
            </w:r>
            <w:r w:rsidR="00FB1F0B">
              <w:rPr>
                <w:lang w:val="en-GB"/>
              </w:rPr>
              <w:t>restaurants and hotels</w:t>
            </w:r>
            <w:r w:rsidR="009D2038" w:rsidRPr="00D160FB">
              <w:rPr>
                <w:lang w:val="en-GB"/>
              </w:rPr>
              <w:t xml:space="preserve"> increased by </w:t>
            </w:r>
            <w:r w:rsidR="0087722C" w:rsidRPr="00D160FB">
              <w:rPr>
                <w:lang w:val="en-GB"/>
              </w:rPr>
              <w:t>25</w:t>
            </w:r>
            <w:r w:rsidR="009D2038" w:rsidRPr="00D160FB">
              <w:rPr>
                <w:lang w:val="en-GB"/>
              </w:rPr>
              <w:t>.</w:t>
            </w:r>
            <w:r w:rsidR="0087722C" w:rsidRPr="00D160FB">
              <w:rPr>
                <w:lang w:val="en-GB"/>
              </w:rPr>
              <w:t>6%</w:t>
            </w:r>
            <w:r w:rsidR="009D2038" w:rsidRPr="00D160FB">
              <w:rPr>
                <w:lang w:val="en-GB"/>
              </w:rPr>
              <w:t xml:space="preserve"> year-on-year in Q4</w:t>
            </w:r>
            <w:r w:rsidR="0087722C" w:rsidRPr="00D160FB">
              <w:rPr>
                <w:lang w:val="en-GB"/>
              </w:rPr>
              <w:t xml:space="preserve">. </w:t>
            </w:r>
            <w:r w:rsidRPr="00D160FB">
              <w:rPr>
                <w:lang w:val="en-GB"/>
              </w:rPr>
              <w:t xml:space="preserve">In that prices of </w:t>
            </w:r>
            <w:r w:rsidR="00A107F5">
              <w:rPr>
                <w:lang w:val="en-GB"/>
              </w:rPr>
              <w:t>catering</w:t>
            </w:r>
            <w:r w:rsidRPr="00D160FB">
              <w:rPr>
                <w:lang w:val="en-GB"/>
              </w:rPr>
              <w:t xml:space="preserve"> service</w:t>
            </w:r>
            <w:r w:rsidR="00A107F5">
              <w:rPr>
                <w:lang w:val="en-GB"/>
              </w:rPr>
              <w:t>s</w:t>
            </w:r>
            <w:r w:rsidRPr="00D160FB">
              <w:rPr>
                <w:lang w:val="en-GB"/>
              </w:rPr>
              <w:t xml:space="preserve"> were by </w:t>
            </w:r>
            <w:r w:rsidR="0087722C" w:rsidRPr="00D160FB">
              <w:rPr>
                <w:lang w:val="en-GB"/>
              </w:rPr>
              <w:t>26</w:t>
            </w:r>
            <w:r w:rsidRPr="00D160FB">
              <w:rPr>
                <w:lang w:val="en-GB"/>
              </w:rPr>
              <w:t>.</w:t>
            </w:r>
            <w:r w:rsidR="0087722C" w:rsidRPr="00D160FB">
              <w:rPr>
                <w:lang w:val="en-GB"/>
              </w:rPr>
              <w:t>2%</w:t>
            </w:r>
            <w:r w:rsidRPr="00D160FB">
              <w:rPr>
                <w:lang w:val="en-GB"/>
              </w:rPr>
              <w:t xml:space="preserve"> higher and accommodation</w:t>
            </w:r>
            <w:r w:rsidR="00A107F5">
              <w:rPr>
                <w:lang w:val="en-GB"/>
              </w:rPr>
              <w:t xml:space="preserve"> services</w:t>
            </w:r>
            <w:r w:rsidRPr="00D160FB">
              <w:rPr>
                <w:lang w:val="en-GB"/>
              </w:rPr>
              <w:t xml:space="preserve"> by </w:t>
            </w:r>
            <w:r w:rsidR="0087722C" w:rsidRPr="00D160FB">
              <w:rPr>
                <w:lang w:val="en-GB"/>
              </w:rPr>
              <w:t>20</w:t>
            </w:r>
            <w:r w:rsidRPr="00D160FB">
              <w:rPr>
                <w:lang w:val="en-GB"/>
              </w:rPr>
              <w:t>.</w:t>
            </w:r>
            <w:r w:rsidR="0087722C" w:rsidRPr="00D160FB">
              <w:rPr>
                <w:lang w:val="en-GB"/>
              </w:rPr>
              <w:t xml:space="preserve">7%. </w:t>
            </w:r>
            <w:r w:rsidR="00A3559C" w:rsidRPr="00D160FB">
              <w:rPr>
                <w:lang w:val="en-GB"/>
              </w:rPr>
              <w:t xml:space="preserve">The year-on-year dynamics of the prices of </w:t>
            </w:r>
            <w:r w:rsidR="00A107F5">
              <w:rPr>
                <w:lang w:val="en-GB"/>
              </w:rPr>
              <w:t xml:space="preserve">catering </w:t>
            </w:r>
            <w:r w:rsidR="00A3559C" w:rsidRPr="00D160FB">
              <w:rPr>
                <w:lang w:val="en-GB"/>
              </w:rPr>
              <w:t>services was higher than accommodation throughout the whole year</w:t>
            </w:r>
            <w:r w:rsidR="0087722C" w:rsidRPr="00D160FB">
              <w:rPr>
                <w:lang w:val="en-GB"/>
              </w:rPr>
              <w:t xml:space="preserve">. </w:t>
            </w:r>
            <w:r w:rsidR="00A3559C" w:rsidRPr="00D160FB">
              <w:rPr>
                <w:lang w:val="en-GB"/>
              </w:rPr>
              <w:t xml:space="preserve">Growth of prices of recreation and culture, which were in total by </w:t>
            </w:r>
            <w:r w:rsidR="0087722C" w:rsidRPr="00D160FB">
              <w:rPr>
                <w:lang w:val="en-GB"/>
              </w:rPr>
              <w:t>11</w:t>
            </w:r>
            <w:r w:rsidR="00A3559C" w:rsidRPr="00D160FB">
              <w:rPr>
                <w:lang w:val="en-GB"/>
              </w:rPr>
              <w:t>.</w:t>
            </w:r>
            <w:r w:rsidR="0087722C" w:rsidRPr="00D160FB">
              <w:rPr>
                <w:lang w:val="en-GB"/>
              </w:rPr>
              <w:t>4%</w:t>
            </w:r>
            <w:r w:rsidR="00A3559C" w:rsidRPr="00D160FB">
              <w:rPr>
                <w:lang w:val="en-GB"/>
              </w:rPr>
              <w:t xml:space="preserve"> higher, also accelerated</w:t>
            </w:r>
            <w:r w:rsidR="0087722C" w:rsidRPr="00D160FB">
              <w:rPr>
                <w:lang w:val="en-GB"/>
              </w:rPr>
              <w:t xml:space="preserve">. </w:t>
            </w:r>
            <w:r w:rsidR="00E353D7" w:rsidRPr="00D160FB">
              <w:rPr>
                <w:lang w:val="en-GB"/>
              </w:rPr>
              <w:t xml:space="preserve">Mainly </w:t>
            </w:r>
            <w:r w:rsidR="00A107F5">
              <w:rPr>
                <w:lang w:val="en-GB"/>
              </w:rPr>
              <w:t>package holidays</w:t>
            </w:r>
            <w:r w:rsidR="00E353D7" w:rsidRPr="00D160FB">
              <w:rPr>
                <w:lang w:val="en-GB"/>
              </w:rPr>
              <w:t xml:space="preserve"> </w:t>
            </w:r>
            <w:r w:rsidR="0087722C" w:rsidRPr="00D160FB">
              <w:rPr>
                <w:lang w:val="en-GB"/>
              </w:rPr>
              <w:t>(12</w:t>
            </w:r>
            <w:r w:rsidR="00E353D7" w:rsidRPr="00D160FB">
              <w:rPr>
                <w:lang w:val="en-GB"/>
              </w:rPr>
              <w:t>.</w:t>
            </w:r>
            <w:r w:rsidR="0087722C" w:rsidRPr="00D160FB">
              <w:rPr>
                <w:lang w:val="en-GB"/>
              </w:rPr>
              <w:t>1%)</w:t>
            </w:r>
            <w:r w:rsidR="00E353D7" w:rsidRPr="00D160FB">
              <w:rPr>
                <w:lang w:val="en-GB"/>
              </w:rPr>
              <w:t xml:space="preserve"> stood behind the pace strengthening</w:t>
            </w:r>
            <w:r w:rsidR="0087722C" w:rsidRPr="00D160FB">
              <w:rPr>
                <w:lang w:val="en-GB"/>
              </w:rPr>
              <w:t>. P</w:t>
            </w:r>
            <w:r w:rsidR="00E353D7" w:rsidRPr="00D160FB">
              <w:rPr>
                <w:lang w:val="en-GB"/>
              </w:rPr>
              <w:t xml:space="preserve">rice of </w:t>
            </w:r>
            <w:r w:rsidR="00A107F5">
              <w:rPr>
                <w:lang w:val="en-GB"/>
              </w:rPr>
              <w:t>o</w:t>
            </w:r>
            <w:r w:rsidR="00A107F5" w:rsidRPr="00A107F5">
              <w:rPr>
                <w:lang w:val="en-GB"/>
              </w:rPr>
              <w:t xml:space="preserve">ther recreational items and equipment, gardens and pets </w:t>
            </w:r>
            <w:r w:rsidR="0087722C" w:rsidRPr="00D160FB">
              <w:rPr>
                <w:lang w:val="en-GB"/>
              </w:rPr>
              <w:t>(16</w:t>
            </w:r>
            <w:r w:rsidR="00E353D7" w:rsidRPr="00D160FB">
              <w:rPr>
                <w:lang w:val="en-GB"/>
              </w:rPr>
              <w:t>.</w:t>
            </w:r>
            <w:r w:rsidR="0087722C" w:rsidRPr="00D160FB">
              <w:rPr>
                <w:lang w:val="en-GB"/>
              </w:rPr>
              <w:t>7%)</w:t>
            </w:r>
            <w:r w:rsidR="00E353D7" w:rsidRPr="00D160FB">
              <w:rPr>
                <w:lang w:val="en-GB"/>
              </w:rPr>
              <w:t xml:space="preserve"> grew the most for the entire year</w:t>
            </w:r>
            <w:r w:rsidR="0087722C" w:rsidRPr="00D160FB">
              <w:rPr>
                <w:lang w:val="en-GB"/>
              </w:rPr>
              <w:t xml:space="preserve">. </w:t>
            </w:r>
            <w:r w:rsidR="00E353D7" w:rsidRPr="00D160FB">
              <w:rPr>
                <w:lang w:val="en-GB"/>
              </w:rPr>
              <w:t xml:space="preserve">Prices of recreations and culture rose by </w:t>
            </w:r>
            <w:r w:rsidR="0087722C" w:rsidRPr="00D160FB">
              <w:rPr>
                <w:lang w:val="en-GB"/>
              </w:rPr>
              <w:t>13</w:t>
            </w:r>
            <w:r w:rsidR="00E353D7" w:rsidRPr="00D160FB">
              <w:rPr>
                <w:lang w:val="en-GB"/>
              </w:rPr>
              <w:t>.</w:t>
            </w:r>
            <w:r w:rsidR="0087722C" w:rsidRPr="00D160FB">
              <w:rPr>
                <w:lang w:val="en-GB"/>
              </w:rPr>
              <w:t>2%</w:t>
            </w:r>
            <w:r w:rsidR="00E353D7" w:rsidRPr="00D160FB">
              <w:rPr>
                <w:lang w:val="en-GB"/>
              </w:rPr>
              <w:t xml:space="preserve"> year-on-year in Q4 itself</w:t>
            </w:r>
            <w:r w:rsidR="0087722C" w:rsidRPr="00D160FB">
              <w:rPr>
                <w:lang w:val="en-GB"/>
              </w:rPr>
              <w:t xml:space="preserve">. </w:t>
            </w:r>
            <w:r w:rsidR="009D2038" w:rsidRPr="00D160FB">
              <w:rPr>
                <w:lang w:val="en-GB"/>
              </w:rPr>
              <w:t xml:space="preserve">Prices however dropped by </w:t>
            </w:r>
            <w:r w:rsidR="0087722C" w:rsidRPr="00D160FB">
              <w:rPr>
                <w:lang w:val="en-GB"/>
              </w:rPr>
              <w:t>1</w:t>
            </w:r>
            <w:r w:rsidR="009D2038" w:rsidRPr="00D160FB">
              <w:rPr>
                <w:lang w:val="en-GB"/>
              </w:rPr>
              <w:t>.</w:t>
            </w:r>
            <w:r w:rsidR="0087722C" w:rsidRPr="00D160FB">
              <w:rPr>
                <w:lang w:val="en-GB"/>
              </w:rPr>
              <w:t>1%</w:t>
            </w:r>
            <w:r w:rsidR="009D2038" w:rsidRPr="00D160FB">
              <w:rPr>
                <w:lang w:val="en-GB"/>
              </w:rPr>
              <w:t xml:space="preserve"> quarter-on-quarter</w:t>
            </w:r>
            <w:r w:rsidR="0087722C" w:rsidRPr="00D160FB">
              <w:rPr>
                <w:lang w:val="en-GB"/>
              </w:rPr>
              <w:t>.</w:t>
            </w:r>
          </w:p>
        </w:tc>
      </w:tr>
      <w:tr w:rsidR="0087722C" w:rsidRPr="00D160FB" w14:paraId="40029A63" w14:textId="77777777" w:rsidTr="00435DE8">
        <w:trPr>
          <w:trHeight w:val="145"/>
        </w:trPr>
        <w:tc>
          <w:tcPr>
            <w:tcW w:w="1804" w:type="dxa"/>
            <w:shd w:val="clear" w:color="auto" w:fill="auto"/>
            <w:tcMar>
              <w:left w:w="0" w:type="dxa"/>
            </w:tcMar>
          </w:tcPr>
          <w:p w14:paraId="3468DC64" w14:textId="4D4D58E8" w:rsidR="0087722C" w:rsidRPr="00D160FB" w:rsidRDefault="00887911" w:rsidP="00163868">
            <w:pPr>
              <w:pStyle w:val="Marginlie"/>
              <w:rPr>
                <w:spacing w:val="0"/>
                <w:lang w:val="en-GB"/>
              </w:rPr>
            </w:pPr>
            <w:r w:rsidRPr="00D160FB">
              <w:rPr>
                <w:spacing w:val="0"/>
                <w:lang w:val="en-GB"/>
              </w:rPr>
              <w:t>Prices of wearing apparel, footwear and household items further strongly increased</w:t>
            </w:r>
            <w:r w:rsidR="0087722C" w:rsidRPr="00D160FB">
              <w:rPr>
                <w:spacing w:val="0"/>
                <w:lang w:val="en-GB"/>
              </w:rPr>
              <w:t>.</w:t>
            </w:r>
          </w:p>
        </w:tc>
        <w:tc>
          <w:tcPr>
            <w:tcW w:w="224" w:type="dxa"/>
            <w:shd w:val="clear" w:color="auto" w:fill="auto"/>
            <w:tcMar>
              <w:left w:w="0" w:type="dxa"/>
            </w:tcMar>
          </w:tcPr>
          <w:p w14:paraId="35DBC5C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4B3EB716" w14:textId="041C3E97" w:rsidR="0087722C" w:rsidRPr="00D160FB" w:rsidRDefault="00B405E3" w:rsidP="00163868">
            <w:pPr>
              <w:rPr>
                <w:lang w:val="en-GB"/>
              </w:rPr>
            </w:pPr>
            <w:r w:rsidRPr="00D160FB">
              <w:rPr>
                <w:lang w:val="en-GB"/>
              </w:rPr>
              <w:t xml:space="preserve">Strong growth of prices of </w:t>
            </w:r>
            <w:r w:rsidR="00A107F5">
              <w:rPr>
                <w:lang w:val="en-GB"/>
              </w:rPr>
              <w:t>clothing</w:t>
            </w:r>
            <w:r w:rsidRPr="00D160FB">
              <w:rPr>
                <w:lang w:val="en-GB"/>
              </w:rPr>
              <w:t xml:space="preserve"> and footwear, whose strengthening is obvious since the post-pandemic revival of demand combined with the disruption of the supply chains in year 2021, also continued last year. Prices of </w:t>
            </w:r>
            <w:r w:rsidR="00A107F5">
              <w:rPr>
                <w:lang w:val="en-GB"/>
              </w:rPr>
              <w:t>clothing</w:t>
            </w:r>
            <w:r w:rsidRPr="00D160FB">
              <w:rPr>
                <w:lang w:val="en-GB"/>
              </w:rPr>
              <w:t xml:space="preserve"> and footwear went up in total by </w:t>
            </w:r>
            <w:r w:rsidR="0087722C" w:rsidRPr="00D160FB">
              <w:rPr>
                <w:lang w:val="en-GB"/>
              </w:rPr>
              <w:t>18</w:t>
            </w:r>
            <w:r w:rsidRPr="00D160FB">
              <w:rPr>
                <w:lang w:val="en-GB"/>
              </w:rPr>
              <w:t>.</w:t>
            </w:r>
            <w:r w:rsidR="0087722C" w:rsidRPr="00D160FB">
              <w:rPr>
                <w:lang w:val="en-GB"/>
              </w:rPr>
              <w:t>6%</w:t>
            </w:r>
            <w:r w:rsidRPr="00D160FB">
              <w:rPr>
                <w:lang w:val="en-GB"/>
              </w:rPr>
              <w:t xml:space="preserve"> last year</w:t>
            </w:r>
            <w:r w:rsidR="0087722C" w:rsidRPr="00D160FB">
              <w:rPr>
                <w:lang w:val="en-GB"/>
              </w:rPr>
              <w:t xml:space="preserve">. </w:t>
            </w:r>
            <w:r w:rsidRPr="00D160FB">
              <w:rPr>
                <w:lang w:val="en-GB"/>
              </w:rPr>
              <w:t>Prices were by 18.2% higher year-on-year in Q4 itself</w:t>
            </w:r>
            <w:r w:rsidR="0087722C" w:rsidRPr="00D160FB">
              <w:rPr>
                <w:lang w:val="en-GB"/>
              </w:rPr>
              <w:t xml:space="preserve">. </w:t>
            </w:r>
            <w:r w:rsidR="00CF494A" w:rsidRPr="00D160FB">
              <w:rPr>
                <w:lang w:val="en-GB"/>
              </w:rPr>
              <w:t xml:space="preserve">Prices of </w:t>
            </w:r>
            <w:r w:rsidR="00A107F5">
              <w:rPr>
                <w:lang w:val="en-GB"/>
              </w:rPr>
              <w:t>clothing</w:t>
            </w:r>
            <w:r w:rsidR="00CF494A" w:rsidRPr="00D160FB">
              <w:rPr>
                <w:lang w:val="en-GB"/>
              </w:rPr>
              <w:t xml:space="preserve"> and footwear went up by 7.1% quarter-on-quarter</w:t>
            </w:r>
            <w:r w:rsidR="0087722C" w:rsidRPr="00D160FB">
              <w:rPr>
                <w:lang w:val="en-GB"/>
              </w:rPr>
              <w:t xml:space="preserve">, </w:t>
            </w:r>
            <w:r w:rsidR="003A77D8" w:rsidRPr="00D160FB">
              <w:rPr>
                <w:lang w:val="en-GB"/>
              </w:rPr>
              <w:t>the most of all divisions of the consumer basket</w:t>
            </w:r>
            <w:r w:rsidR="0087722C" w:rsidRPr="00D160FB">
              <w:rPr>
                <w:lang w:val="en-GB"/>
              </w:rPr>
              <w:t xml:space="preserve">. </w:t>
            </w:r>
            <w:r w:rsidR="00E82B16" w:rsidRPr="00D160FB">
              <w:rPr>
                <w:lang w:val="en-GB"/>
              </w:rPr>
              <w:t xml:space="preserve">The situation was similar for the </w:t>
            </w:r>
            <w:r w:rsidR="00A107F5">
              <w:rPr>
                <w:lang w:val="en-GB"/>
              </w:rPr>
              <w:t>f</w:t>
            </w:r>
            <w:r w:rsidR="00A107F5" w:rsidRPr="00A107F5">
              <w:rPr>
                <w:lang w:val="en-GB"/>
              </w:rPr>
              <w:t xml:space="preserve">urnishings, </w:t>
            </w:r>
            <w:proofErr w:type="gramStart"/>
            <w:r w:rsidR="00A107F5" w:rsidRPr="00A107F5">
              <w:rPr>
                <w:lang w:val="en-GB"/>
              </w:rPr>
              <w:t>households</w:t>
            </w:r>
            <w:proofErr w:type="gramEnd"/>
            <w:r w:rsidR="00A107F5" w:rsidRPr="00A107F5">
              <w:rPr>
                <w:lang w:val="en-GB"/>
              </w:rPr>
              <w:t xml:space="preserve"> equipment and maintenance</w:t>
            </w:r>
            <w:r w:rsidR="00E82B16" w:rsidRPr="00D160FB">
              <w:rPr>
                <w:lang w:val="en-GB"/>
              </w:rPr>
              <w:t>. T</w:t>
            </w:r>
            <w:r w:rsidR="003A77D8" w:rsidRPr="00D160FB">
              <w:rPr>
                <w:lang w:val="en-GB"/>
              </w:rPr>
              <w:t xml:space="preserve">he </w:t>
            </w:r>
            <w:r w:rsidR="00E82B16" w:rsidRPr="00D160FB">
              <w:rPr>
                <w:lang w:val="en-GB"/>
              </w:rPr>
              <w:t>disruption</w:t>
            </w:r>
            <w:r w:rsidR="003A77D8" w:rsidRPr="00D160FB">
              <w:rPr>
                <w:lang w:val="en-GB"/>
              </w:rPr>
              <w:t xml:space="preserve"> of the supply chains influenced the </w:t>
            </w:r>
            <w:r w:rsidR="00E82B16" w:rsidRPr="00D160FB">
              <w:rPr>
                <w:lang w:val="en-GB"/>
              </w:rPr>
              <w:t>acceleration</w:t>
            </w:r>
            <w:r w:rsidR="003A77D8" w:rsidRPr="00D160FB">
              <w:rPr>
                <w:lang w:val="en-GB"/>
              </w:rPr>
              <w:t xml:space="preserve"> of the growth of prices already in year </w:t>
            </w:r>
            <w:r w:rsidR="0087722C" w:rsidRPr="00D160FB">
              <w:rPr>
                <w:lang w:val="en-GB"/>
              </w:rPr>
              <w:t>2021 a</w:t>
            </w:r>
            <w:r w:rsidR="003A77D8" w:rsidRPr="00D160FB">
              <w:rPr>
                <w:lang w:val="en-GB"/>
              </w:rPr>
              <w:t xml:space="preserve">nd prices increased here in total by </w:t>
            </w:r>
            <w:r w:rsidR="0087722C" w:rsidRPr="00D160FB">
              <w:rPr>
                <w:lang w:val="en-GB"/>
              </w:rPr>
              <w:t>12</w:t>
            </w:r>
            <w:r w:rsidR="003A77D8" w:rsidRPr="00D160FB">
              <w:rPr>
                <w:lang w:val="en-GB"/>
              </w:rPr>
              <w:t>.</w:t>
            </w:r>
            <w:r w:rsidR="0087722C" w:rsidRPr="00D160FB">
              <w:rPr>
                <w:lang w:val="en-GB"/>
              </w:rPr>
              <w:t>0%</w:t>
            </w:r>
            <w:r w:rsidR="003A77D8" w:rsidRPr="00D160FB">
              <w:rPr>
                <w:lang w:val="en-GB"/>
              </w:rPr>
              <w:t xml:space="preserve"> last year</w:t>
            </w:r>
            <w:r w:rsidR="0087722C" w:rsidRPr="00D160FB">
              <w:rPr>
                <w:lang w:val="en-GB"/>
              </w:rPr>
              <w:t xml:space="preserve">. </w:t>
            </w:r>
            <w:r w:rsidR="00A107F5" w:rsidRPr="00A107F5">
              <w:rPr>
                <w:lang w:val="en-GB"/>
              </w:rPr>
              <w:t>Furniture and furnishings, carpets and other floor coverings</w:t>
            </w:r>
            <w:r w:rsidR="00213EF5" w:rsidRPr="00D160FB">
              <w:rPr>
                <w:lang w:val="en-GB"/>
              </w:rPr>
              <w:t xml:space="preserve"> </w:t>
            </w:r>
            <w:r w:rsidR="0087722C" w:rsidRPr="00D160FB">
              <w:rPr>
                <w:lang w:val="en-GB"/>
              </w:rPr>
              <w:t>(</w:t>
            </w:r>
            <w:r w:rsidR="00213EF5" w:rsidRPr="00D160FB">
              <w:rPr>
                <w:lang w:val="en-GB"/>
              </w:rPr>
              <w:t xml:space="preserve">addition of </w:t>
            </w:r>
            <w:r w:rsidR="0087722C" w:rsidRPr="00D160FB">
              <w:rPr>
                <w:lang w:val="en-GB"/>
              </w:rPr>
              <w:t>13</w:t>
            </w:r>
            <w:r w:rsidR="00213EF5" w:rsidRPr="00D160FB">
              <w:rPr>
                <w:lang w:val="en-GB"/>
              </w:rPr>
              <w:t>.</w:t>
            </w:r>
            <w:r w:rsidR="0087722C" w:rsidRPr="00D160FB">
              <w:rPr>
                <w:lang w:val="en-GB"/>
              </w:rPr>
              <w:t>4%)</w:t>
            </w:r>
            <w:r w:rsidR="00714D1E" w:rsidRPr="00D160FB">
              <w:rPr>
                <w:lang w:val="en-GB"/>
              </w:rPr>
              <w:t xml:space="preserve"> participated the most on the total growth</w:t>
            </w:r>
            <w:r w:rsidR="0087722C" w:rsidRPr="00D160FB">
              <w:rPr>
                <w:lang w:val="en-GB"/>
              </w:rPr>
              <w:t>,</w:t>
            </w:r>
            <w:r w:rsidR="00714D1E" w:rsidRPr="00D160FB">
              <w:rPr>
                <w:lang w:val="en-GB"/>
              </w:rPr>
              <w:t xml:space="preserve"> prices of </w:t>
            </w:r>
            <w:r w:rsidR="00A107F5">
              <w:rPr>
                <w:lang w:val="en-GB"/>
              </w:rPr>
              <w:t>h</w:t>
            </w:r>
            <w:r w:rsidR="00A107F5" w:rsidRPr="00A107F5">
              <w:rPr>
                <w:lang w:val="en-GB"/>
              </w:rPr>
              <w:t>ousehold textile</w:t>
            </w:r>
            <w:r w:rsidR="00A107F5">
              <w:rPr>
                <w:lang w:val="en-GB"/>
              </w:rPr>
              <w:t>s</w:t>
            </w:r>
            <w:r w:rsidR="00213EF5" w:rsidRPr="00D160FB">
              <w:rPr>
                <w:lang w:val="en-GB"/>
              </w:rPr>
              <w:t xml:space="preserve"> also grew strongly </w:t>
            </w:r>
            <w:r w:rsidR="0087722C" w:rsidRPr="00D160FB">
              <w:rPr>
                <w:lang w:val="en-GB"/>
              </w:rPr>
              <w:t>(16</w:t>
            </w:r>
            <w:r w:rsidR="00213EF5" w:rsidRPr="00D160FB">
              <w:rPr>
                <w:lang w:val="en-GB"/>
              </w:rPr>
              <w:t>.</w:t>
            </w:r>
            <w:r w:rsidR="0087722C" w:rsidRPr="00D160FB">
              <w:rPr>
                <w:lang w:val="en-GB"/>
              </w:rPr>
              <w:t xml:space="preserve">0%). </w:t>
            </w:r>
            <w:r w:rsidRPr="00D160FB">
              <w:rPr>
                <w:lang w:val="en-GB"/>
              </w:rPr>
              <w:t>In Q</w:t>
            </w:r>
            <w:r w:rsidR="0087722C" w:rsidRPr="00D160FB">
              <w:rPr>
                <w:lang w:val="en-GB"/>
              </w:rPr>
              <w:t>4</w:t>
            </w:r>
            <w:r w:rsidRPr="00D160FB">
              <w:rPr>
                <w:lang w:val="en-GB"/>
              </w:rPr>
              <w:t xml:space="preserve"> </w:t>
            </w:r>
            <w:r w:rsidR="0087722C" w:rsidRPr="00D160FB">
              <w:rPr>
                <w:lang w:val="en-GB"/>
              </w:rPr>
              <w:t>2022</w:t>
            </w:r>
            <w:r w:rsidRPr="00D160FB">
              <w:rPr>
                <w:lang w:val="en-GB"/>
              </w:rPr>
              <w:t xml:space="preserve">, the prices of </w:t>
            </w:r>
            <w:r w:rsidR="00F04869">
              <w:rPr>
                <w:lang w:val="en-GB"/>
              </w:rPr>
              <w:t>f</w:t>
            </w:r>
            <w:r w:rsidR="00F04869" w:rsidRPr="00A107F5">
              <w:rPr>
                <w:lang w:val="en-GB"/>
              </w:rPr>
              <w:t>urnishings, households equipment and maintenance</w:t>
            </w:r>
            <w:r w:rsidR="00213EF5" w:rsidRPr="00D160FB">
              <w:rPr>
                <w:lang w:val="en-GB"/>
              </w:rPr>
              <w:t xml:space="preserve"> increased by </w:t>
            </w:r>
            <w:r w:rsidR="0087722C" w:rsidRPr="00D160FB">
              <w:rPr>
                <w:lang w:val="en-GB"/>
              </w:rPr>
              <w:t>13</w:t>
            </w:r>
            <w:r w:rsidR="00213EF5" w:rsidRPr="00D160FB">
              <w:rPr>
                <w:lang w:val="en-GB"/>
              </w:rPr>
              <w:t>.</w:t>
            </w:r>
            <w:r w:rsidR="0087722C" w:rsidRPr="00D160FB">
              <w:rPr>
                <w:lang w:val="en-GB"/>
              </w:rPr>
              <w:t>3%</w:t>
            </w:r>
            <w:r w:rsidR="00213EF5" w:rsidRPr="00D160FB">
              <w:rPr>
                <w:lang w:val="en-GB"/>
              </w:rPr>
              <w:t xml:space="preserve"> year-on-year and by </w:t>
            </w:r>
            <w:r w:rsidR="0087722C" w:rsidRPr="00D160FB">
              <w:rPr>
                <w:lang w:val="en-GB"/>
              </w:rPr>
              <w:t>2</w:t>
            </w:r>
            <w:r w:rsidR="00213EF5" w:rsidRPr="00D160FB">
              <w:rPr>
                <w:lang w:val="en-GB"/>
              </w:rPr>
              <w:t>.</w:t>
            </w:r>
            <w:r w:rsidR="0087722C" w:rsidRPr="00D160FB">
              <w:rPr>
                <w:lang w:val="en-GB"/>
              </w:rPr>
              <w:t>4%</w:t>
            </w:r>
            <w:r w:rsidR="00213EF5" w:rsidRPr="00D160FB">
              <w:rPr>
                <w:lang w:val="en-GB"/>
              </w:rPr>
              <w:t xml:space="preserve"> quarter-on-quarter</w:t>
            </w:r>
            <w:r w:rsidR="0087722C" w:rsidRPr="00D160FB">
              <w:rPr>
                <w:lang w:val="en-GB"/>
              </w:rPr>
              <w:t>.</w:t>
            </w:r>
          </w:p>
        </w:tc>
      </w:tr>
      <w:tr w:rsidR="0087722C" w:rsidRPr="00D160FB" w14:paraId="3446F5DC" w14:textId="77777777" w:rsidTr="00435DE8">
        <w:trPr>
          <w:trHeight w:val="145"/>
        </w:trPr>
        <w:tc>
          <w:tcPr>
            <w:tcW w:w="1804" w:type="dxa"/>
            <w:shd w:val="clear" w:color="auto" w:fill="auto"/>
            <w:tcMar>
              <w:left w:w="0" w:type="dxa"/>
            </w:tcMar>
          </w:tcPr>
          <w:p w14:paraId="3EE9A82C" w14:textId="0CDE6D5B" w:rsidR="0087722C" w:rsidRPr="00D160FB" w:rsidRDefault="00887911" w:rsidP="00163868">
            <w:pPr>
              <w:pStyle w:val="Marginlie"/>
              <w:rPr>
                <w:spacing w:val="0"/>
                <w:lang w:val="en-GB"/>
              </w:rPr>
            </w:pPr>
            <w:r w:rsidRPr="00D160FB">
              <w:rPr>
                <w:spacing w:val="0"/>
                <w:lang w:val="en-GB"/>
              </w:rPr>
              <w:t xml:space="preserve">Prices of postal services and </w:t>
            </w:r>
            <w:r w:rsidR="00B405E3" w:rsidRPr="00D160FB">
              <w:rPr>
                <w:spacing w:val="0"/>
                <w:lang w:val="en-GB"/>
              </w:rPr>
              <w:t xml:space="preserve">telecommunication went up for the </w:t>
            </w:r>
            <w:r w:rsidR="00213EF5" w:rsidRPr="00D160FB">
              <w:rPr>
                <w:spacing w:val="0"/>
                <w:lang w:val="en-GB"/>
              </w:rPr>
              <w:t>first</w:t>
            </w:r>
            <w:r w:rsidR="00B405E3" w:rsidRPr="00D160FB">
              <w:rPr>
                <w:spacing w:val="0"/>
                <w:lang w:val="en-GB"/>
              </w:rPr>
              <w:t xml:space="preserve"> time since year 2</w:t>
            </w:r>
            <w:r w:rsidR="0087722C" w:rsidRPr="00D160FB">
              <w:rPr>
                <w:spacing w:val="0"/>
                <w:lang w:val="en-GB"/>
              </w:rPr>
              <w:t>006</w:t>
            </w:r>
            <w:r w:rsidR="00B405E3" w:rsidRPr="00D160FB">
              <w:rPr>
                <w:spacing w:val="0"/>
                <w:lang w:val="en-GB"/>
              </w:rPr>
              <w:t xml:space="preserve"> last year. </w:t>
            </w:r>
          </w:p>
        </w:tc>
        <w:tc>
          <w:tcPr>
            <w:tcW w:w="224" w:type="dxa"/>
            <w:shd w:val="clear" w:color="auto" w:fill="auto"/>
            <w:tcMar>
              <w:left w:w="0" w:type="dxa"/>
            </w:tcMar>
          </w:tcPr>
          <w:p w14:paraId="24E5828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13CCD653" w14:textId="729E58D4" w:rsidR="0087722C" w:rsidRPr="00D160FB" w:rsidRDefault="00A34C63" w:rsidP="00163868">
            <w:pPr>
              <w:rPr>
                <w:lang w:val="en-GB"/>
              </w:rPr>
            </w:pPr>
            <w:r w:rsidRPr="00D160FB">
              <w:rPr>
                <w:lang w:val="en-GB"/>
              </w:rPr>
              <w:t xml:space="preserve">The growth of prices of </w:t>
            </w:r>
            <w:r w:rsidR="00F04869">
              <w:rPr>
                <w:lang w:val="en-GB"/>
              </w:rPr>
              <w:t>m</w:t>
            </w:r>
            <w:r w:rsidR="00F04869" w:rsidRPr="00F04869">
              <w:rPr>
                <w:lang w:val="en-GB"/>
              </w:rPr>
              <w:t>iscellaneous goods and services</w:t>
            </w:r>
            <w:r w:rsidR="0087722C" w:rsidRPr="00D160FB">
              <w:rPr>
                <w:rStyle w:val="Znakapoznpodarou"/>
                <w:lang w:val="en-GB"/>
              </w:rPr>
              <w:footnoteReference w:id="56"/>
            </w:r>
            <w:r w:rsidRPr="00D160FB">
              <w:rPr>
                <w:lang w:val="en-GB"/>
              </w:rPr>
              <w:t xml:space="preserve"> accelerated under the effect of financial and personal services for the whole year</w:t>
            </w:r>
            <w:r w:rsidR="0087722C" w:rsidRPr="00D160FB">
              <w:rPr>
                <w:lang w:val="en-GB"/>
              </w:rPr>
              <w:t xml:space="preserve">. </w:t>
            </w:r>
            <w:r w:rsidRPr="00D160FB">
              <w:rPr>
                <w:lang w:val="en-GB"/>
              </w:rPr>
              <w:t xml:space="preserve">Prices increased by </w:t>
            </w:r>
            <w:r w:rsidR="0087722C" w:rsidRPr="00D160FB">
              <w:rPr>
                <w:lang w:val="en-GB"/>
              </w:rPr>
              <w:t>10</w:t>
            </w:r>
            <w:r w:rsidRPr="00D160FB">
              <w:rPr>
                <w:lang w:val="en-GB"/>
              </w:rPr>
              <w:t>.</w:t>
            </w:r>
            <w:r w:rsidR="0087722C" w:rsidRPr="00D160FB">
              <w:rPr>
                <w:lang w:val="en-GB"/>
              </w:rPr>
              <w:t>1%</w:t>
            </w:r>
            <w:r w:rsidRPr="00D160FB">
              <w:rPr>
                <w:lang w:val="en-GB"/>
              </w:rPr>
              <w:t xml:space="preserve"> here for the whole year and it was by </w:t>
            </w:r>
            <w:r w:rsidR="0087722C" w:rsidRPr="00D160FB">
              <w:rPr>
                <w:lang w:val="en-GB"/>
              </w:rPr>
              <w:t>12</w:t>
            </w:r>
            <w:r w:rsidRPr="00D160FB">
              <w:rPr>
                <w:lang w:val="en-GB"/>
              </w:rPr>
              <w:t>.</w:t>
            </w:r>
            <w:r w:rsidR="0087722C" w:rsidRPr="00D160FB">
              <w:rPr>
                <w:lang w:val="en-GB"/>
              </w:rPr>
              <w:t>7%</w:t>
            </w:r>
            <w:r w:rsidRPr="00D160FB">
              <w:rPr>
                <w:lang w:val="en-GB"/>
              </w:rPr>
              <w:t xml:space="preserve"> year-on-year in Q4 itself</w:t>
            </w:r>
            <w:r w:rsidR="0087722C" w:rsidRPr="00D160FB">
              <w:rPr>
                <w:lang w:val="en-GB"/>
              </w:rPr>
              <w:t xml:space="preserve">. </w:t>
            </w:r>
            <w:r w:rsidR="004A74EE" w:rsidRPr="00D160FB">
              <w:rPr>
                <w:lang w:val="en-GB"/>
              </w:rPr>
              <w:t xml:space="preserve">The growth of prices of alcoholic beverages and tobacco reduced </w:t>
            </w:r>
            <w:r w:rsidR="002426B4" w:rsidRPr="00D160FB">
              <w:rPr>
                <w:lang w:val="en-GB"/>
              </w:rPr>
              <w:t>in</w:t>
            </w:r>
            <w:r w:rsidR="004A74EE" w:rsidRPr="00D160FB">
              <w:rPr>
                <w:lang w:val="en-GB"/>
              </w:rPr>
              <w:t xml:space="preserve"> the last year. They were in total higher by </w:t>
            </w:r>
            <w:r w:rsidR="0087722C" w:rsidRPr="00D160FB">
              <w:rPr>
                <w:lang w:val="en-GB"/>
              </w:rPr>
              <w:t>6</w:t>
            </w:r>
            <w:r w:rsidR="004A74EE" w:rsidRPr="00D160FB">
              <w:rPr>
                <w:lang w:val="en-GB"/>
              </w:rPr>
              <w:t>.</w:t>
            </w:r>
            <w:r w:rsidR="0087722C" w:rsidRPr="00D160FB">
              <w:rPr>
                <w:lang w:val="en-GB"/>
              </w:rPr>
              <w:t xml:space="preserve">2%. </w:t>
            </w:r>
            <w:r w:rsidR="004A74EE" w:rsidRPr="00D160FB">
              <w:rPr>
                <w:lang w:val="en-GB"/>
              </w:rPr>
              <w:t xml:space="preserve">Prices of alcohol went up by </w:t>
            </w:r>
            <w:r w:rsidR="0087722C" w:rsidRPr="00D160FB">
              <w:rPr>
                <w:lang w:val="en-GB"/>
              </w:rPr>
              <w:t>3</w:t>
            </w:r>
            <w:r w:rsidR="004A74EE" w:rsidRPr="00D160FB">
              <w:rPr>
                <w:lang w:val="en-GB"/>
              </w:rPr>
              <w:t>.</w:t>
            </w:r>
            <w:r w:rsidR="0087722C" w:rsidRPr="00D160FB">
              <w:rPr>
                <w:lang w:val="en-GB"/>
              </w:rPr>
              <w:t>2%</w:t>
            </w:r>
            <w:r w:rsidR="004A74EE" w:rsidRPr="00D160FB">
              <w:rPr>
                <w:lang w:val="en-GB"/>
              </w:rPr>
              <w:t xml:space="preserve"> and tobacco by </w:t>
            </w:r>
            <w:r w:rsidR="0087722C" w:rsidRPr="00D160FB">
              <w:rPr>
                <w:lang w:val="en-GB"/>
              </w:rPr>
              <w:t>8</w:t>
            </w:r>
            <w:r w:rsidR="004A74EE" w:rsidRPr="00D160FB">
              <w:rPr>
                <w:lang w:val="en-GB"/>
              </w:rPr>
              <w:t>.</w:t>
            </w:r>
            <w:r w:rsidR="0087722C" w:rsidRPr="00D160FB">
              <w:rPr>
                <w:lang w:val="en-GB"/>
              </w:rPr>
              <w:t xml:space="preserve">2%. </w:t>
            </w:r>
            <w:r w:rsidR="004A74EE" w:rsidRPr="00D160FB">
              <w:rPr>
                <w:lang w:val="en-GB"/>
              </w:rPr>
              <w:t xml:space="preserve">Price of alcoholic beverages and tobacco were by </w:t>
            </w:r>
            <w:r w:rsidR="0087722C" w:rsidRPr="00D160FB">
              <w:rPr>
                <w:lang w:val="en-GB"/>
              </w:rPr>
              <w:t>6</w:t>
            </w:r>
            <w:r w:rsidR="004A74EE" w:rsidRPr="00D160FB">
              <w:rPr>
                <w:lang w:val="en-GB"/>
              </w:rPr>
              <w:t>.</w:t>
            </w:r>
            <w:r w:rsidR="0087722C" w:rsidRPr="00D160FB">
              <w:rPr>
                <w:lang w:val="en-GB"/>
              </w:rPr>
              <w:t>0%</w:t>
            </w:r>
            <w:r w:rsidR="004A74EE" w:rsidRPr="00D160FB">
              <w:rPr>
                <w:lang w:val="en-GB"/>
              </w:rPr>
              <w:t xml:space="preserve"> higher year-on-year and by </w:t>
            </w:r>
            <w:r w:rsidR="0087722C" w:rsidRPr="00D160FB">
              <w:rPr>
                <w:lang w:val="en-GB"/>
              </w:rPr>
              <w:t>0</w:t>
            </w:r>
            <w:r w:rsidR="004A74EE" w:rsidRPr="00D160FB">
              <w:rPr>
                <w:lang w:val="en-GB"/>
              </w:rPr>
              <w:t>.</w:t>
            </w:r>
            <w:r w:rsidR="0087722C" w:rsidRPr="00D160FB">
              <w:rPr>
                <w:lang w:val="en-GB"/>
              </w:rPr>
              <w:t>9%</w:t>
            </w:r>
            <w:r w:rsidR="004A74EE" w:rsidRPr="00D160FB">
              <w:rPr>
                <w:lang w:val="en-GB"/>
              </w:rPr>
              <w:t xml:space="preserve"> higher quarter-on-quarter in Q4. </w:t>
            </w:r>
            <w:r w:rsidR="00B41424" w:rsidRPr="00D160FB">
              <w:rPr>
                <w:lang w:val="en-GB"/>
              </w:rPr>
              <w:t xml:space="preserve">Their prices however followed a varied development during the year. The year-on-year dynamics for alcohol </w:t>
            </w:r>
            <w:r w:rsidR="0003779B" w:rsidRPr="00D160FB">
              <w:rPr>
                <w:lang w:val="en-GB"/>
              </w:rPr>
              <w:t>tended to</w:t>
            </w:r>
            <w:r w:rsidR="00B41424" w:rsidRPr="00D160FB">
              <w:rPr>
                <w:lang w:val="en-GB"/>
              </w:rPr>
              <w:t xml:space="preserve"> accelerate up to </w:t>
            </w:r>
            <w:r w:rsidR="0087722C" w:rsidRPr="00D160FB">
              <w:rPr>
                <w:lang w:val="en-GB"/>
              </w:rPr>
              <w:t>5</w:t>
            </w:r>
            <w:r w:rsidR="00B41424" w:rsidRPr="00D160FB">
              <w:rPr>
                <w:lang w:val="en-GB"/>
              </w:rPr>
              <w:t>.</w:t>
            </w:r>
            <w:r w:rsidR="0087722C" w:rsidRPr="00D160FB">
              <w:rPr>
                <w:lang w:val="en-GB"/>
              </w:rPr>
              <w:t>4%,</w:t>
            </w:r>
            <w:r w:rsidR="00B41424" w:rsidRPr="00D160FB">
              <w:rPr>
                <w:lang w:val="en-GB"/>
              </w:rPr>
              <w:t xml:space="preserve"> while for tobacco it moderated to </w:t>
            </w:r>
            <w:r w:rsidR="0087722C" w:rsidRPr="00D160FB">
              <w:rPr>
                <w:lang w:val="en-GB"/>
              </w:rPr>
              <w:t>6</w:t>
            </w:r>
            <w:r w:rsidR="00B41424" w:rsidRPr="00D160FB">
              <w:rPr>
                <w:lang w:val="en-GB"/>
              </w:rPr>
              <w:t>.</w:t>
            </w:r>
            <w:r w:rsidR="0087722C" w:rsidRPr="00D160FB">
              <w:rPr>
                <w:lang w:val="en-GB"/>
              </w:rPr>
              <w:t>5%.</w:t>
            </w:r>
            <w:r w:rsidR="0003779B" w:rsidRPr="00D160FB">
              <w:rPr>
                <w:lang w:val="en-GB"/>
              </w:rPr>
              <w:t xml:space="preserve"> Prices of health, which usually do not have more significant effect on the total index due to their weight, were raised markedly </w:t>
            </w:r>
            <w:r w:rsidR="0087722C" w:rsidRPr="00D160FB">
              <w:rPr>
                <w:lang w:val="en-GB"/>
              </w:rPr>
              <w:t>(8</w:t>
            </w:r>
            <w:r w:rsidR="0003779B" w:rsidRPr="00D160FB">
              <w:rPr>
                <w:lang w:val="en-GB"/>
              </w:rPr>
              <w:t>.</w:t>
            </w:r>
            <w:r w:rsidR="0087722C" w:rsidRPr="00D160FB">
              <w:rPr>
                <w:lang w:val="en-GB"/>
              </w:rPr>
              <w:t>5%)</w:t>
            </w:r>
            <w:r w:rsidR="0003779B" w:rsidRPr="00D160FB">
              <w:rPr>
                <w:lang w:val="en-GB"/>
              </w:rPr>
              <w:t xml:space="preserve">. Their year-on-year growth accelerated up to </w:t>
            </w:r>
            <w:r w:rsidR="0087722C" w:rsidRPr="00D160FB">
              <w:rPr>
                <w:lang w:val="en-GB"/>
              </w:rPr>
              <w:t>9</w:t>
            </w:r>
            <w:r w:rsidR="0003779B" w:rsidRPr="00D160FB">
              <w:rPr>
                <w:lang w:val="en-GB"/>
              </w:rPr>
              <w:t>.</w:t>
            </w:r>
            <w:r w:rsidR="00D95E7F" w:rsidRPr="00D160FB">
              <w:rPr>
                <w:lang w:val="en-GB"/>
              </w:rPr>
              <w:t>6</w:t>
            </w:r>
            <w:r w:rsidR="0087722C" w:rsidRPr="00D160FB">
              <w:rPr>
                <w:lang w:val="en-GB"/>
              </w:rPr>
              <w:t>%</w:t>
            </w:r>
            <w:r w:rsidR="0003779B" w:rsidRPr="00D160FB">
              <w:rPr>
                <w:lang w:val="en-GB"/>
              </w:rPr>
              <w:t xml:space="preserve"> in Q</w:t>
            </w:r>
            <w:r w:rsidR="0087722C" w:rsidRPr="00D160FB">
              <w:rPr>
                <w:lang w:val="en-GB"/>
              </w:rPr>
              <w:t>4</w:t>
            </w:r>
            <w:r w:rsidR="0003779B" w:rsidRPr="00D160FB">
              <w:rPr>
                <w:lang w:val="en-GB"/>
              </w:rPr>
              <w:t xml:space="preserve">. Prices of education increased in total by </w:t>
            </w:r>
            <w:r w:rsidR="0087722C" w:rsidRPr="00D160FB">
              <w:rPr>
                <w:lang w:val="en-GB"/>
              </w:rPr>
              <w:t>3</w:t>
            </w:r>
            <w:r w:rsidR="0003779B" w:rsidRPr="00D160FB">
              <w:rPr>
                <w:lang w:val="en-GB"/>
              </w:rPr>
              <w:t>.</w:t>
            </w:r>
            <w:r w:rsidR="0087722C" w:rsidRPr="00D160FB">
              <w:rPr>
                <w:lang w:val="en-GB"/>
              </w:rPr>
              <w:t>8%</w:t>
            </w:r>
            <w:r w:rsidR="0003779B" w:rsidRPr="00D160FB">
              <w:rPr>
                <w:lang w:val="en-GB"/>
              </w:rPr>
              <w:t xml:space="preserve"> last year</w:t>
            </w:r>
            <w:r w:rsidR="0087722C" w:rsidRPr="00D160FB">
              <w:rPr>
                <w:lang w:val="en-GB"/>
              </w:rPr>
              <w:t>,</w:t>
            </w:r>
            <w:r w:rsidR="0003779B" w:rsidRPr="00D160FB">
              <w:rPr>
                <w:lang w:val="en-GB"/>
              </w:rPr>
              <w:t xml:space="preserve"> in that they increased by </w:t>
            </w:r>
            <w:r w:rsidR="0087722C" w:rsidRPr="00D160FB">
              <w:rPr>
                <w:lang w:val="en-GB"/>
              </w:rPr>
              <w:t>7</w:t>
            </w:r>
            <w:r w:rsidR="0003779B" w:rsidRPr="00D160FB">
              <w:rPr>
                <w:lang w:val="en-GB"/>
              </w:rPr>
              <w:t>.</w:t>
            </w:r>
            <w:r w:rsidR="0087722C" w:rsidRPr="00D160FB">
              <w:rPr>
                <w:lang w:val="en-GB"/>
              </w:rPr>
              <w:t>5%</w:t>
            </w:r>
            <w:r w:rsidR="0003779B" w:rsidRPr="00D160FB">
              <w:rPr>
                <w:lang w:val="en-GB"/>
              </w:rPr>
              <w:t xml:space="preserve"> year-on-year in Q4</w:t>
            </w:r>
            <w:r w:rsidR="0087722C" w:rsidRPr="00D160FB">
              <w:rPr>
                <w:lang w:val="en-GB"/>
              </w:rPr>
              <w:t xml:space="preserve">. </w:t>
            </w:r>
            <w:r w:rsidR="00840503" w:rsidRPr="00D160FB">
              <w:rPr>
                <w:lang w:val="en-GB"/>
              </w:rPr>
              <w:t xml:space="preserve">Prices of post and telecommunication </w:t>
            </w:r>
            <w:r w:rsidR="0087722C" w:rsidRPr="00D160FB">
              <w:rPr>
                <w:lang w:val="en-GB"/>
              </w:rPr>
              <w:t>(0</w:t>
            </w:r>
            <w:r w:rsidR="00840503" w:rsidRPr="00D160FB">
              <w:rPr>
                <w:lang w:val="en-GB"/>
              </w:rPr>
              <w:t>.</w:t>
            </w:r>
            <w:r w:rsidR="0087722C" w:rsidRPr="00D160FB">
              <w:rPr>
                <w:lang w:val="en-GB"/>
              </w:rPr>
              <w:t>7%)</w:t>
            </w:r>
            <w:r w:rsidR="00C81D8E" w:rsidRPr="00D160FB">
              <w:rPr>
                <w:lang w:val="en-GB"/>
              </w:rPr>
              <w:t xml:space="preserve"> grew the slowest</w:t>
            </w:r>
            <w:r w:rsidR="00840503" w:rsidRPr="00D160FB">
              <w:rPr>
                <w:lang w:val="en-GB"/>
              </w:rPr>
              <w:t xml:space="preserve"> year-on-year last year</w:t>
            </w:r>
            <w:r w:rsidR="0087722C" w:rsidRPr="00D160FB">
              <w:rPr>
                <w:lang w:val="en-GB"/>
              </w:rPr>
              <w:t xml:space="preserve">. </w:t>
            </w:r>
            <w:r w:rsidR="00840503" w:rsidRPr="00D160FB">
              <w:rPr>
                <w:lang w:val="en-GB"/>
              </w:rPr>
              <w:t xml:space="preserve">It represented first growth since </w:t>
            </w:r>
            <w:r w:rsidR="0087722C" w:rsidRPr="00D160FB">
              <w:rPr>
                <w:lang w:val="en-GB"/>
              </w:rPr>
              <w:t>2006</w:t>
            </w:r>
            <w:r w:rsidR="00840503" w:rsidRPr="00D160FB">
              <w:rPr>
                <w:lang w:val="en-GB"/>
              </w:rPr>
              <w:t xml:space="preserve"> for them</w:t>
            </w:r>
            <w:r w:rsidR="0087722C" w:rsidRPr="00D160FB">
              <w:rPr>
                <w:lang w:val="en-GB"/>
              </w:rPr>
              <w:t xml:space="preserve">. </w:t>
            </w:r>
            <w:r w:rsidR="00C81D8E" w:rsidRPr="00D160FB">
              <w:rPr>
                <w:lang w:val="en-GB"/>
              </w:rPr>
              <w:t xml:space="preserve">Since the prices in this division are traditionally mildly falling. </w:t>
            </w:r>
            <w:r w:rsidR="00131DD8" w:rsidRPr="00D160FB">
              <w:rPr>
                <w:lang w:val="en-GB"/>
              </w:rPr>
              <w:t xml:space="preserve">The development of prices of </w:t>
            </w:r>
            <w:r w:rsidR="00F04869">
              <w:rPr>
                <w:lang w:val="en-GB"/>
              </w:rPr>
              <w:t>tele</w:t>
            </w:r>
            <w:r w:rsidR="00131DD8" w:rsidRPr="00D160FB">
              <w:rPr>
                <w:lang w:val="en-GB"/>
              </w:rPr>
              <w:t xml:space="preserve">phone and </w:t>
            </w:r>
            <w:r w:rsidR="00F04869">
              <w:rPr>
                <w:lang w:val="en-GB"/>
              </w:rPr>
              <w:t>tele</w:t>
            </w:r>
            <w:r w:rsidR="00131DD8" w:rsidRPr="00D160FB">
              <w:rPr>
                <w:lang w:val="en-GB"/>
              </w:rPr>
              <w:t xml:space="preserve">fax equipment </w:t>
            </w:r>
            <w:r w:rsidR="0087722C" w:rsidRPr="00D160FB">
              <w:rPr>
                <w:lang w:val="en-GB"/>
              </w:rPr>
              <w:t>(9</w:t>
            </w:r>
            <w:r w:rsidR="00131DD8" w:rsidRPr="00D160FB">
              <w:rPr>
                <w:lang w:val="en-GB"/>
              </w:rPr>
              <w:t>.</w:t>
            </w:r>
            <w:r w:rsidR="0087722C" w:rsidRPr="00D160FB">
              <w:rPr>
                <w:lang w:val="en-GB"/>
              </w:rPr>
              <w:t>3%)</w:t>
            </w:r>
            <w:r w:rsidR="00131DD8" w:rsidRPr="00D160FB">
              <w:rPr>
                <w:lang w:val="en-GB"/>
              </w:rPr>
              <w:t xml:space="preserve"> stood behind the price increases</w:t>
            </w:r>
            <w:r w:rsidR="0087722C" w:rsidRPr="00D160FB">
              <w:rPr>
                <w:lang w:val="en-GB"/>
              </w:rPr>
              <w:t xml:space="preserve">. </w:t>
            </w:r>
            <w:r w:rsidR="0043277C" w:rsidRPr="00D160FB">
              <w:rPr>
                <w:lang w:val="en-GB"/>
              </w:rPr>
              <w:t>Prices of post and telecommunication grew by 2.1% year-on-year in Q</w:t>
            </w:r>
            <w:r w:rsidR="0087722C" w:rsidRPr="00D160FB">
              <w:rPr>
                <w:lang w:val="en-GB"/>
              </w:rPr>
              <w:t>4</w:t>
            </w:r>
            <w:r w:rsidR="0043277C" w:rsidRPr="00D160FB">
              <w:rPr>
                <w:lang w:val="en-GB"/>
              </w:rPr>
              <w:t>, the most since Q</w:t>
            </w:r>
            <w:r w:rsidR="0087722C" w:rsidRPr="00D160FB">
              <w:rPr>
                <w:lang w:val="en-GB"/>
              </w:rPr>
              <w:t>1</w:t>
            </w:r>
            <w:r w:rsidR="0043277C" w:rsidRPr="00D160FB">
              <w:rPr>
                <w:lang w:val="en-GB"/>
              </w:rPr>
              <w:t xml:space="preserve"> </w:t>
            </w:r>
            <w:r w:rsidR="0087722C" w:rsidRPr="00D160FB">
              <w:rPr>
                <w:lang w:val="en-GB"/>
              </w:rPr>
              <w:t xml:space="preserve">2007. </w:t>
            </w:r>
            <w:r w:rsidR="00EB599C" w:rsidRPr="00D160FB">
              <w:rPr>
                <w:lang w:val="en-GB"/>
              </w:rPr>
              <w:t xml:space="preserve">Prices of </w:t>
            </w:r>
            <w:r w:rsidR="00F04869">
              <w:rPr>
                <w:lang w:val="en-GB"/>
              </w:rPr>
              <w:t>tele</w:t>
            </w:r>
            <w:r w:rsidR="00EB599C" w:rsidRPr="00D160FB">
              <w:rPr>
                <w:lang w:val="en-GB"/>
              </w:rPr>
              <w:t xml:space="preserve">phone and </w:t>
            </w:r>
            <w:r w:rsidR="00F04869">
              <w:rPr>
                <w:lang w:val="en-GB"/>
              </w:rPr>
              <w:t>tele</w:t>
            </w:r>
            <w:r w:rsidR="00EB599C" w:rsidRPr="00D160FB">
              <w:rPr>
                <w:lang w:val="en-GB"/>
              </w:rPr>
              <w:t xml:space="preserve">fax equipment were by </w:t>
            </w:r>
            <w:r w:rsidR="0087722C" w:rsidRPr="00D160FB">
              <w:rPr>
                <w:lang w:val="en-GB"/>
              </w:rPr>
              <w:t>8</w:t>
            </w:r>
            <w:r w:rsidR="00EB599C" w:rsidRPr="00D160FB">
              <w:rPr>
                <w:lang w:val="en-GB"/>
              </w:rPr>
              <w:t>.</w:t>
            </w:r>
            <w:r w:rsidR="0087722C" w:rsidRPr="00D160FB">
              <w:rPr>
                <w:lang w:val="en-GB"/>
              </w:rPr>
              <w:t>6%</w:t>
            </w:r>
            <w:r w:rsidR="00EB599C" w:rsidRPr="00D160FB">
              <w:rPr>
                <w:lang w:val="en-GB"/>
              </w:rPr>
              <w:t xml:space="preserve"> higher</w:t>
            </w:r>
            <w:r w:rsidR="0087722C" w:rsidRPr="00D160FB">
              <w:rPr>
                <w:lang w:val="en-GB"/>
              </w:rPr>
              <w:t xml:space="preserve">, </w:t>
            </w:r>
            <w:r w:rsidR="00F04869">
              <w:rPr>
                <w:lang w:val="en-GB"/>
              </w:rPr>
              <w:t>tele</w:t>
            </w:r>
            <w:r w:rsidR="00EB599C" w:rsidRPr="00D160FB">
              <w:rPr>
                <w:lang w:val="en-GB"/>
              </w:rPr>
              <w:t xml:space="preserve">phone and </w:t>
            </w:r>
            <w:r w:rsidR="00F04869">
              <w:rPr>
                <w:lang w:val="en-GB"/>
              </w:rPr>
              <w:t>tele</w:t>
            </w:r>
            <w:r w:rsidR="00EB599C" w:rsidRPr="00D160FB">
              <w:rPr>
                <w:lang w:val="en-GB"/>
              </w:rPr>
              <w:t xml:space="preserve">fax services by </w:t>
            </w:r>
            <w:r w:rsidR="0087722C" w:rsidRPr="00D160FB">
              <w:rPr>
                <w:lang w:val="en-GB"/>
              </w:rPr>
              <w:t>1</w:t>
            </w:r>
            <w:r w:rsidR="00EB599C" w:rsidRPr="00D160FB">
              <w:rPr>
                <w:lang w:val="en-GB"/>
              </w:rPr>
              <w:t>.</w:t>
            </w:r>
            <w:r w:rsidR="0087722C" w:rsidRPr="00D160FB">
              <w:rPr>
                <w:lang w:val="en-GB"/>
              </w:rPr>
              <w:t>4%</w:t>
            </w:r>
            <w:r w:rsidR="00EB599C" w:rsidRPr="00D160FB">
              <w:rPr>
                <w:lang w:val="en-GB"/>
              </w:rPr>
              <w:t xml:space="preserve"> higher and postal services by </w:t>
            </w:r>
            <w:r w:rsidR="0087722C" w:rsidRPr="00D160FB">
              <w:rPr>
                <w:lang w:val="en-GB"/>
              </w:rPr>
              <w:t>2</w:t>
            </w:r>
            <w:r w:rsidR="00EB599C" w:rsidRPr="00D160FB">
              <w:rPr>
                <w:lang w:val="en-GB"/>
              </w:rPr>
              <w:t>.</w:t>
            </w:r>
            <w:r w:rsidR="0087722C" w:rsidRPr="00D160FB">
              <w:rPr>
                <w:lang w:val="en-GB"/>
              </w:rPr>
              <w:t xml:space="preserve">7%.      </w:t>
            </w:r>
          </w:p>
        </w:tc>
      </w:tr>
      <w:tr w:rsidR="0087722C" w:rsidRPr="00D160FB" w14:paraId="6D3D6FC4" w14:textId="77777777" w:rsidTr="00435DE8">
        <w:trPr>
          <w:trHeight w:val="145"/>
        </w:trPr>
        <w:tc>
          <w:tcPr>
            <w:tcW w:w="1804" w:type="dxa"/>
            <w:shd w:val="clear" w:color="auto" w:fill="auto"/>
            <w:tcMar>
              <w:left w:w="0" w:type="dxa"/>
            </w:tcMar>
          </w:tcPr>
          <w:p w14:paraId="2152CC3F" w14:textId="17E8A758" w:rsidR="0087722C" w:rsidRPr="00D160FB" w:rsidRDefault="00205EB7" w:rsidP="00163868">
            <w:pPr>
              <w:pStyle w:val="Marginlie"/>
              <w:rPr>
                <w:spacing w:val="0"/>
                <w:lang w:val="en-GB"/>
              </w:rPr>
            </w:pPr>
            <w:r w:rsidRPr="00D160FB">
              <w:rPr>
                <w:spacing w:val="0"/>
                <w:lang w:val="en-GB"/>
              </w:rPr>
              <w:lastRenderedPageBreak/>
              <w:t xml:space="preserve">Year-on-year </w:t>
            </w:r>
            <w:r w:rsidR="009A5E32" w:rsidRPr="00D160FB">
              <w:rPr>
                <w:spacing w:val="0"/>
                <w:lang w:val="en-GB"/>
              </w:rPr>
              <w:t>growth</w:t>
            </w:r>
            <w:r w:rsidRPr="00D160FB">
              <w:rPr>
                <w:spacing w:val="0"/>
                <w:lang w:val="en-GB"/>
              </w:rPr>
              <w:t xml:space="preserve"> of the consumer prices was </w:t>
            </w:r>
            <w:r w:rsidR="00C41FC7" w:rsidRPr="00D160FB">
              <w:rPr>
                <w:spacing w:val="0"/>
                <w:lang w:val="en-GB"/>
              </w:rPr>
              <w:t xml:space="preserve">accelerating </w:t>
            </w:r>
            <w:r w:rsidR="00703F21" w:rsidRPr="00D160FB">
              <w:rPr>
                <w:spacing w:val="0"/>
                <w:lang w:val="en-GB"/>
              </w:rPr>
              <w:t xml:space="preserve">in the EU throughout the entire year. </w:t>
            </w:r>
          </w:p>
        </w:tc>
        <w:tc>
          <w:tcPr>
            <w:tcW w:w="224" w:type="dxa"/>
            <w:shd w:val="clear" w:color="auto" w:fill="auto"/>
            <w:tcMar>
              <w:left w:w="0" w:type="dxa"/>
            </w:tcMar>
          </w:tcPr>
          <w:p w14:paraId="00723FC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3A05027E" w14:textId="2684BF6F" w:rsidR="0087722C" w:rsidRPr="00D160FB" w:rsidRDefault="0087722C" w:rsidP="00163868">
            <w:pPr>
              <w:rPr>
                <w:lang w:val="en-GB"/>
              </w:rPr>
            </w:pPr>
            <w:r w:rsidRPr="00D160FB">
              <w:rPr>
                <w:lang w:val="en-GB"/>
              </w:rPr>
              <w:t>Harmoni</w:t>
            </w:r>
            <w:r w:rsidR="009A5E32" w:rsidRPr="00D160FB">
              <w:rPr>
                <w:lang w:val="en-GB"/>
              </w:rPr>
              <w:t xml:space="preserve">sed index of consumer prices </w:t>
            </w:r>
            <w:r w:rsidRPr="00D160FB">
              <w:rPr>
                <w:lang w:val="en-GB"/>
              </w:rPr>
              <w:t>(HICP)</w:t>
            </w:r>
            <w:r w:rsidRPr="00D160FB">
              <w:rPr>
                <w:rStyle w:val="Znakapoznpodarou"/>
                <w:lang w:val="en-GB"/>
              </w:rPr>
              <w:footnoteReference w:id="57"/>
            </w:r>
            <w:r w:rsidRPr="00D160FB">
              <w:rPr>
                <w:lang w:val="en-GB"/>
              </w:rPr>
              <w:t xml:space="preserve"> </w:t>
            </w:r>
            <w:r w:rsidR="00703F21" w:rsidRPr="00D160FB">
              <w:rPr>
                <w:lang w:val="en-GB"/>
              </w:rPr>
              <w:t xml:space="preserve">increased in total by </w:t>
            </w:r>
            <w:r w:rsidRPr="00D160FB">
              <w:rPr>
                <w:lang w:val="en-GB"/>
              </w:rPr>
              <w:t>9</w:t>
            </w:r>
            <w:r w:rsidR="00703F21" w:rsidRPr="00D160FB">
              <w:rPr>
                <w:lang w:val="en-GB"/>
              </w:rPr>
              <w:t>.</w:t>
            </w:r>
            <w:r w:rsidRPr="00D160FB">
              <w:rPr>
                <w:lang w:val="en-GB"/>
              </w:rPr>
              <w:t>2%</w:t>
            </w:r>
            <w:r w:rsidR="00703F21" w:rsidRPr="00D160FB">
              <w:rPr>
                <w:lang w:val="en-GB"/>
              </w:rPr>
              <w:t xml:space="preserve"> in the European Union last year</w:t>
            </w:r>
            <w:r w:rsidRPr="00D160FB">
              <w:rPr>
                <w:lang w:val="en-GB"/>
              </w:rPr>
              <w:t>.</w:t>
            </w:r>
            <w:r w:rsidR="00703F21" w:rsidRPr="00D160FB">
              <w:rPr>
                <w:lang w:val="en-GB"/>
              </w:rPr>
              <w:t xml:space="preserve"> </w:t>
            </w:r>
            <w:r w:rsidR="00534A3A" w:rsidRPr="00D160FB">
              <w:rPr>
                <w:lang w:val="en-GB"/>
              </w:rPr>
              <w:t xml:space="preserve">It presents a record increase (previous maximum was </w:t>
            </w:r>
            <w:r w:rsidRPr="00D160FB">
              <w:rPr>
                <w:lang w:val="en-GB"/>
              </w:rPr>
              <w:t>3</w:t>
            </w:r>
            <w:r w:rsidR="00534A3A" w:rsidRPr="00D160FB">
              <w:rPr>
                <w:lang w:val="en-GB"/>
              </w:rPr>
              <w:t>.</w:t>
            </w:r>
            <w:r w:rsidRPr="00D160FB">
              <w:rPr>
                <w:lang w:val="en-GB"/>
              </w:rPr>
              <w:t>7%</w:t>
            </w:r>
            <w:r w:rsidR="00534A3A" w:rsidRPr="00D160FB">
              <w:rPr>
                <w:lang w:val="en-GB"/>
              </w:rPr>
              <w:t xml:space="preserve"> from year 2008</w:t>
            </w:r>
            <w:r w:rsidRPr="00D160FB">
              <w:rPr>
                <w:lang w:val="en-GB"/>
              </w:rPr>
              <w:t xml:space="preserve">). </w:t>
            </w:r>
            <w:r w:rsidR="00887911" w:rsidRPr="00D160FB">
              <w:rPr>
                <w:lang w:val="en-GB"/>
              </w:rPr>
              <w:t xml:space="preserve">Price growth continued </w:t>
            </w:r>
            <w:r w:rsidR="00534A3A" w:rsidRPr="00D160FB">
              <w:rPr>
                <w:lang w:val="en-GB"/>
              </w:rPr>
              <w:t>across</w:t>
            </w:r>
            <w:r w:rsidR="00887911" w:rsidRPr="00D160FB">
              <w:rPr>
                <w:lang w:val="en-GB"/>
              </w:rPr>
              <w:t xml:space="preserve"> the whole consumer </w:t>
            </w:r>
            <w:r w:rsidR="00395773" w:rsidRPr="00D160FB">
              <w:rPr>
                <w:lang w:val="en-GB"/>
              </w:rPr>
              <w:t>basket, but</w:t>
            </w:r>
            <w:r w:rsidR="00A12BBD" w:rsidRPr="00D160FB">
              <w:rPr>
                <w:lang w:val="en-GB"/>
              </w:rPr>
              <w:t xml:space="preserve"> the </w:t>
            </w:r>
            <w:r w:rsidR="00395773" w:rsidRPr="00D160FB">
              <w:rPr>
                <w:lang w:val="en-GB"/>
              </w:rPr>
              <w:t>dynamics</w:t>
            </w:r>
            <w:r w:rsidR="00A12BBD" w:rsidRPr="00D160FB">
              <w:rPr>
                <w:lang w:val="en-GB"/>
              </w:rPr>
              <w:t xml:space="preserve"> acceleration was the most apparent </w:t>
            </w:r>
            <w:r w:rsidR="00395773" w:rsidRPr="00D160FB">
              <w:rPr>
                <w:lang w:val="en-GB"/>
              </w:rPr>
              <w:t xml:space="preserve">for prices of food and non-alcoholic beverages, housing and energies, transport and </w:t>
            </w:r>
            <w:r w:rsidR="00FB1F0B">
              <w:rPr>
                <w:lang w:val="en-GB"/>
              </w:rPr>
              <w:t>restaurants and hotels</w:t>
            </w:r>
            <w:r w:rsidR="00395773" w:rsidRPr="00D160FB">
              <w:rPr>
                <w:lang w:val="en-GB"/>
              </w:rPr>
              <w:t xml:space="preserve">. </w:t>
            </w:r>
            <w:r w:rsidR="00AA53CE" w:rsidRPr="00D160FB">
              <w:rPr>
                <w:lang w:val="en-GB"/>
              </w:rPr>
              <w:t xml:space="preserve">HICP grew the most in Estonia </w:t>
            </w:r>
            <w:r w:rsidRPr="00D160FB">
              <w:rPr>
                <w:lang w:val="en-GB"/>
              </w:rPr>
              <w:t>(19</w:t>
            </w:r>
            <w:r w:rsidR="00AA53CE" w:rsidRPr="00D160FB">
              <w:rPr>
                <w:lang w:val="en-GB"/>
              </w:rPr>
              <w:t>.</w:t>
            </w:r>
            <w:r w:rsidRPr="00D160FB">
              <w:rPr>
                <w:lang w:val="en-GB"/>
              </w:rPr>
              <w:t>4%), L</w:t>
            </w:r>
            <w:r w:rsidR="00BF1099" w:rsidRPr="00D160FB">
              <w:rPr>
                <w:lang w:val="en-GB"/>
              </w:rPr>
              <w:t xml:space="preserve">ithuania </w:t>
            </w:r>
            <w:r w:rsidRPr="00D160FB">
              <w:rPr>
                <w:lang w:val="en-GB"/>
              </w:rPr>
              <w:t>(18</w:t>
            </w:r>
            <w:r w:rsidR="00BF1099" w:rsidRPr="00D160FB">
              <w:rPr>
                <w:lang w:val="en-GB"/>
              </w:rPr>
              <w:t>.</w:t>
            </w:r>
            <w:r w:rsidRPr="00D160FB">
              <w:rPr>
                <w:lang w:val="en-GB"/>
              </w:rPr>
              <w:t>9%) a</w:t>
            </w:r>
            <w:r w:rsidR="00BF1099" w:rsidRPr="00D160FB">
              <w:rPr>
                <w:lang w:val="en-GB"/>
              </w:rPr>
              <w:t xml:space="preserve">nd Latvia </w:t>
            </w:r>
            <w:r w:rsidRPr="00D160FB">
              <w:rPr>
                <w:lang w:val="en-GB"/>
              </w:rPr>
              <w:t>(17</w:t>
            </w:r>
            <w:r w:rsidR="00BF1099" w:rsidRPr="00D160FB">
              <w:rPr>
                <w:lang w:val="en-GB"/>
              </w:rPr>
              <w:t>.</w:t>
            </w:r>
            <w:r w:rsidRPr="00D160FB">
              <w:rPr>
                <w:lang w:val="en-GB"/>
              </w:rPr>
              <w:t>2%)</w:t>
            </w:r>
            <w:r w:rsidR="00AA53CE" w:rsidRPr="00D160FB">
              <w:rPr>
                <w:lang w:val="en-GB"/>
              </w:rPr>
              <w:t xml:space="preserve"> last year</w:t>
            </w:r>
            <w:r w:rsidRPr="00D160FB">
              <w:rPr>
                <w:lang w:val="en-GB"/>
              </w:rPr>
              <w:t xml:space="preserve">. </w:t>
            </w:r>
            <w:r w:rsidR="00E666EA" w:rsidRPr="00D160FB">
              <w:rPr>
                <w:lang w:val="en-GB"/>
              </w:rPr>
              <w:t xml:space="preserve">The CR ranked fifth with the increase of </w:t>
            </w:r>
            <w:r w:rsidRPr="00D160FB">
              <w:rPr>
                <w:lang w:val="en-GB"/>
              </w:rPr>
              <w:t>14</w:t>
            </w:r>
            <w:r w:rsidR="00E666EA" w:rsidRPr="00D160FB">
              <w:rPr>
                <w:lang w:val="en-GB"/>
              </w:rPr>
              <w:t>.</w:t>
            </w:r>
            <w:r w:rsidRPr="00D160FB">
              <w:rPr>
                <w:lang w:val="en-GB"/>
              </w:rPr>
              <w:t>8%</w:t>
            </w:r>
            <w:r w:rsidR="00E666EA" w:rsidRPr="00D160FB">
              <w:rPr>
                <w:lang w:val="en-GB"/>
              </w:rPr>
              <w:t xml:space="preserve">. </w:t>
            </w:r>
            <w:r w:rsidR="003C7339" w:rsidRPr="00D160FB">
              <w:rPr>
                <w:lang w:val="en-GB"/>
              </w:rPr>
              <w:t>The increases w</w:t>
            </w:r>
            <w:r w:rsidR="00905D90" w:rsidRPr="00D160FB">
              <w:rPr>
                <w:lang w:val="en-GB"/>
              </w:rPr>
              <w:t>ere</w:t>
            </w:r>
            <w:r w:rsidR="003C7339" w:rsidRPr="00D160FB">
              <w:rPr>
                <w:lang w:val="en-GB"/>
              </w:rPr>
              <w:t xml:space="preserve"> very high also in</w:t>
            </w:r>
            <w:r w:rsidR="00744237" w:rsidRPr="00D160FB">
              <w:rPr>
                <w:lang w:val="en-GB"/>
              </w:rPr>
              <w:t xml:space="preserve"> </w:t>
            </w:r>
            <w:r w:rsidR="003C7339" w:rsidRPr="00D160FB">
              <w:rPr>
                <w:lang w:val="en-GB"/>
              </w:rPr>
              <w:t>case of countries with the most moderate dynamics. HICP went up by</w:t>
            </w:r>
            <w:r w:rsidR="00905D90" w:rsidRPr="00D160FB">
              <w:rPr>
                <w:lang w:val="en-GB"/>
              </w:rPr>
              <w:t xml:space="preserve"> </w:t>
            </w:r>
            <w:r w:rsidRPr="00D160FB">
              <w:rPr>
                <w:lang w:val="en-GB"/>
              </w:rPr>
              <w:t>5</w:t>
            </w:r>
            <w:r w:rsidR="00905D90" w:rsidRPr="00D160FB">
              <w:rPr>
                <w:lang w:val="en-GB"/>
              </w:rPr>
              <w:t>.</w:t>
            </w:r>
            <w:r w:rsidRPr="00D160FB">
              <w:rPr>
                <w:lang w:val="en-GB"/>
              </w:rPr>
              <w:t>9%</w:t>
            </w:r>
            <w:r w:rsidR="00905D90" w:rsidRPr="00D160FB">
              <w:rPr>
                <w:lang w:val="en-GB"/>
              </w:rPr>
              <w:t xml:space="preserve"> in France</w:t>
            </w:r>
            <w:r w:rsidRPr="00D160FB">
              <w:rPr>
                <w:lang w:val="en-GB"/>
              </w:rPr>
              <w:t>, 6</w:t>
            </w:r>
            <w:r w:rsidR="00744237" w:rsidRPr="00D160FB">
              <w:rPr>
                <w:lang w:val="en-GB"/>
              </w:rPr>
              <w:t>.</w:t>
            </w:r>
            <w:r w:rsidRPr="00D160FB">
              <w:rPr>
                <w:lang w:val="en-GB"/>
              </w:rPr>
              <w:t>1%</w:t>
            </w:r>
            <w:r w:rsidR="00744237" w:rsidRPr="00D160FB">
              <w:rPr>
                <w:lang w:val="en-GB"/>
              </w:rPr>
              <w:t xml:space="preserve"> in Malta and </w:t>
            </w:r>
            <w:r w:rsidRPr="00D160FB">
              <w:rPr>
                <w:lang w:val="en-GB"/>
              </w:rPr>
              <w:t>7</w:t>
            </w:r>
            <w:r w:rsidR="00744237" w:rsidRPr="00D160FB">
              <w:rPr>
                <w:lang w:val="en-GB"/>
              </w:rPr>
              <w:t>.</w:t>
            </w:r>
            <w:r w:rsidRPr="00D160FB">
              <w:rPr>
                <w:lang w:val="en-GB"/>
              </w:rPr>
              <w:t>2%</w:t>
            </w:r>
            <w:r w:rsidR="00744237" w:rsidRPr="00D160FB">
              <w:rPr>
                <w:lang w:val="en-GB"/>
              </w:rPr>
              <w:t xml:space="preserve"> in Finland</w:t>
            </w:r>
            <w:r w:rsidRPr="00D160FB">
              <w:rPr>
                <w:lang w:val="en-GB"/>
              </w:rPr>
              <w:t xml:space="preserve">. </w:t>
            </w:r>
            <w:r w:rsidR="00AD7B6C" w:rsidRPr="00D160FB">
              <w:rPr>
                <w:lang w:val="en-GB"/>
              </w:rPr>
              <w:t xml:space="preserve">The year-on-year dynamics of consumer prices was accelerating in the EU during the year </w:t>
            </w:r>
            <w:r w:rsidRPr="00D160FB">
              <w:rPr>
                <w:lang w:val="en-GB"/>
              </w:rPr>
              <w:t>a</w:t>
            </w:r>
            <w:r w:rsidR="00EC2177" w:rsidRPr="00D160FB">
              <w:rPr>
                <w:lang w:val="en-GB"/>
              </w:rPr>
              <w:t>nd HICP was thus higher by 1</w:t>
            </w:r>
            <w:r w:rsidR="00224CB7" w:rsidRPr="00D160FB">
              <w:rPr>
                <w:lang w:val="en-GB"/>
              </w:rPr>
              <w:t>1</w:t>
            </w:r>
            <w:r w:rsidR="00EC2177" w:rsidRPr="00D160FB">
              <w:rPr>
                <w:lang w:val="en-GB"/>
              </w:rPr>
              <w:t>.0%</w:t>
            </w:r>
            <w:r w:rsidR="00224CB7" w:rsidRPr="00D160FB">
              <w:rPr>
                <w:lang w:val="en-GB"/>
              </w:rPr>
              <w:t xml:space="preserve"> year-on-year</w:t>
            </w:r>
            <w:r w:rsidR="00EC2177" w:rsidRPr="00D160FB">
              <w:rPr>
                <w:lang w:val="en-GB"/>
              </w:rPr>
              <w:t xml:space="preserve"> in Q</w:t>
            </w:r>
            <w:r w:rsidRPr="00D160FB">
              <w:rPr>
                <w:lang w:val="en-GB"/>
              </w:rPr>
              <w:t>4.</w:t>
            </w:r>
            <w:r w:rsidR="00224CB7" w:rsidRPr="00D160FB">
              <w:rPr>
                <w:lang w:val="en-GB"/>
              </w:rPr>
              <w:t xml:space="preserve"> </w:t>
            </w:r>
            <w:r w:rsidR="00CC2AF6" w:rsidRPr="00D160FB">
              <w:rPr>
                <w:lang w:val="en-GB"/>
              </w:rPr>
              <w:t>In Q</w:t>
            </w:r>
            <w:r w:rsidRPr="00D160FB">
              <w:rPr>
                <w:lang w:val="en-GB"/>
              </w:rPr>
              <w:t>4</w:t>
            </w:r>
            <w:r w:rsidR="00CC2AF6" w:rsidRPr="00D160FB">
              <w:rPr>
                <w:lang w:val="en-GB"/>
              </w:rPr>
              <w:t xml:space="preserve">, the consumer prices grew the most year-on-year in Hungary </w:t>
            </w:r>
            <w:r w:rsidRPr="00D160FB">
              <w:rPr>
                <w:lang w:val="en-GB"/>
              </w:rPr>
              <w:t>(23</w:t>
            </w:r>
            <w:r w:rsidR="00CC2AF6" w:rsidRPr="00D160FB">
              <w:rPr>
                <w:lang w:val="en-GB"/>
              </w:rPr>
              <w:t>.</w:t>
            </w:r>
            <w:r w:rsidRPr="00D160FB">
              <w:rPr>
                <w:lang w:val="en-GB"/>
              </w:rPr>
              <w:t>3%), L</w:t>
            </w:r>
            <w:r w:rsidR="00CC2AF6" w:rsidRPr="00D160FB">
              <w:rPr>
                <w:lang w:val="en-GB"/>
              </w:rPr>
              <w:t xml:space="preserve">atvia </w:t>
            </w:r>
            <w:r w:rsidRPr="00D160FB">
              <w:rPr>
                <w:lang w:val="en-GB"/>
              </w:rPr>
              <w:t>(21</w:t>
            </w:r>
            <w:r w:rsidR="00CC2AF6" w:rsidRPr="00D160FB">
              <w:rPr>
                <w:lang w:val="en-GB"/>
              </w:rPr>
              <w:t>.</w:t>
            </w:r>
            <w:r w:rsidRPr="00D160FB">
              <w:rPr>
                <w:lang w:val="en-GB"/>
              </w:rPr>
              <w:t>4%) a</w:t>
            </w:r>
            <w:r w:rsidR="00CC2AF6" w:rsidRPr="00D160FB">
              <w:rPr>
                <w:lang w:val="en-GB"/>
              </w:rPr>
              <w:t xml:space="preserve">nd Lithuania </w:t>
            </w:r>
            <w:r w:rsidRPr="00D160FB">
              <w:rPr>
                <w:lang w:val="en-GB"/>
              </w:rPr>
              <w:t>(21</w:t>
            </w:r>
            <w:r w:rsidR="00CC2AF6" w:rsidRPr="00D160FB">
              <w:rPr>
                <w:lang w:val="en-GB"/>
              </w:rPr>
              <w:t>.</w:t>
            </w:r>
            <w:r w:rsidRPr="00D160FB">
              <w:rPr>
                <w:lang w:val="en-GB"/>
              </w:rPr>
              <w:t xml:space="preserve">2%). </w:t>
            </w:r>
            <w:r w:rsidR="004123CB" w:rsidRPr="00D160FB">
              <w:rPr>
                <w:lang w:val="en-GB"/>
              </w:rPr>
              <w:t xml:space="preserve">Estonia also crossed the twenty percentage level </w:t>
            </w:r>
            <w:r w:rsidRPr="00D160FB">
              <w:rPr>
                <w:lang w:val="en-GB"/>
              </w:rPr>
              <w:t>(20</w:t>
            </w:r>
            <w:r w:rsidR="004123CB" w:rsidRPr="00D160FB">
              <w:rPr>
                <w:lang w:val="en-GB"/>
              </w:rPr>
              <w:t>.</w:t>
            </w:r>
            <w:r w:rsidRPr="00D160FB">
              <w:rPr>
                <w:lang w:val="en-GB"/>
              </w:rPr>
              <w:t>4%) a</w:t>
            </w:r>
            <w:r w:rsidR="004123CB" w:rsidRPr="00D160FB">
              <w:rPr>
                <w:lang w:val="en-GB"/>
              </w:rPr>
              <w:t xml:space="preserve">nd the CR ranked behind only with </w:t>
            </w:r>
            <w:r w:rsidR="00B9074F" w:rsidRPr="00D160FB">
              <w:rPr>
                <w:lang w:val="en-GB"/>
              </w:rPr>
              <w:t xml:space="preserve">a distance </w:t>
            </w:r>
            <w:r w:rsidRPr="00D160FB">
              <w:rPr>
                <w:lang w:val="en-GB"/>
              </w:rPr>
              <w:t>(16</w:t>
            </w:r>
            <w:r w:rsidR="00B9074F" w:rsidRPr="00D160FB">
              <w:rPr>
                <w:lang w:val="en-GB"/>
              </w:rPr>
              <w:t>.</w:t>
            </w:r>
            <w:r w:rsidRPr="00D160FB">
              <w:rPr>
                <w:lang w:val="en-GB"/>
              </w:rPr>
              <w:t xml:space="preserve">5%). </w:t>
            </w:r>
            <w:r w:rsidR="004D6B32" w:rsidRPr="00D160FB">
              <w:rPr>
                <w:lang w:val="en-GB"/>
              </w:rPr>
              <w:t xml:space="preserve">Spain </w:t>
            </w:r>
            <w:r w:rsidRPr="00D160FB">
              <w:rPr>
                <w:lang w:val="en-GB"/>
              </w:rPr>
              <w:t>(6</w:t>
            </w:r>
            <w:r w:rsidR="004D6B32" w:rsidRPr="00D160FB">
              <w:rPr>
                <w:lang w:val="en-GB"/>
              </w:rPr>
              <w:t>.</w:t>
            </w:r>
            <w:r w:rsidRPr="00D160FB">
              <w:rPr>
                <w:lang w:val="en-GB"/>
              </w:rPr>
              <w:t>5%), Franc</w:t>
            </w:r>
            <w:r w:rsidR="004D6B32" w:rsidRPr="00D160FB">
              <w:rPr>
                <w:lang w:val="en-GB"/>
              </w:rPr>
              <w:t xml:space="preserve">e </w:t>
            </w:r>
            <w:r w:rsidRPr="00D160FB">
              <w:rPr>
                <w:lang w:val="en-GB"/>
              </w:rPr>
              <w:t>(7</w:t>
            </w:r>
            <w:r w:rsidR="004D6B32" w:rsidRPr="00D160FB">
              <w:rPr>
                <w:lang w:val="en-GB"/>
              </w:rPr>
              <w:t>.</w:t>
            </w:r>
            <w:r w:rsidRPr="00D160FB">
              <w:rPr>
                <w:lang w:val="en-GB"/>
              </w:rPr>
              <w:t>0%) a</w:t>
            </w:r>
            <w:r w:rsidR="004D6B32" w:rsidRPr="00D160FB">
              <w:rPr>
                <w:lang w:val="en-GB"/>
              </w:rPr>
              <w:t xml:space="preserve">nd Malta </w:t>
            </w:r>
            <w:r w:rsidRPr="00D160FB">
              <w:rPr>
                <w:lang w:val="en-GB"/>
              </w:rPr>
              <w:t>(7</w:t>
            </w:r>
            <w:r w:rsidR="004D6B32" w:rsidRPr="00D160FB">
              <w:rPr>
                <w:lang w:val="en-GB"/>
              </w:rPr>
              <w:t>.</w:t>
            </w:r>
            <w:r w:rsidRPr="00D160FB">
              <w:rPr>
                <w:lang w:val="en-GB"/>
              </w:rPr>
              <w:t>3%)</w:t>
            </w:r>
            <w:r w:rsidR="004D6B32" w:rsidRPr="00D160FB">
              <w:rPr>
                <w:lang w:val="en-GB"/>
              </w:rPr>
              <w:t xml:space="preserve"> recorded the smallest year-on-year increase</w:t>
            </w:r>
            <w:r w:rsidRPr="00D160FB">
              <w:rPr>
                <w:lang w:val="en-GB"/>
              </w:rPr>
              <w:t xml:space="preserve">. </w:t>
            </w:r>
            <w:r w:rsidR="004773A5" w:rsidRPr="00D160FB">
              <w:rPr>
                <w:lang w:val="en-GB"/>
              </w:rPr>
              <w:t xml:space="preserve">Consumer prices increased by </w:t>
            </w:r>
            <w:r w:rsidR="001520D7" w:rsidRPr="00D160FB">
              <w:rPr>
                <w:lang w:val="en-GB"/>
              </w:rPr>
              <w:t>2.5% in the EU compared to Q</w:t>
            </w:r>
            <w:r w:rsidRPr="00D160FB">
              <w:rPr>
                <w:lang w:val="en-GB"/>
              </w:rPr>
              <w:t>3.</w:t>
            </w:r>
            <w:r w:rsidR="001520D7" w:rsidRPr="00D160FB">
              <w:rPr>
                <w:lang w:val="en-GB"/>
              </w:rPr>
              <w:t xml:space="preserve"> They grew the most in Hungary </w:t>
            </w:r>
            <w:r w:rsidRPr="00D160FB">
              <w:rPr>
                <w:lang w:val="en-GB"/>
              </w:rPr>
              <w:t>(6</w:t>
            </w:r>
            <w:r w:rsidR="001520D7" w:rsidRPr="00D160FB">
              <w:rPr>
                <w:lang w:val="en-GB"/>
              </w:rPr>
              <w:t>.</w:t>
            </w:r>
            <w:r w:rsidRPr="00D160FB">
              <w:rPr>
                <w:lang w:val="en-GB"/>
              </w:rPr>
              <w:t>5%), It</w:t>
            </w:r>
            <w:r w:rsidR="001520D7" w:rsidRPr="00D160FB">
              <w:rPr>
                <w:lang w:val="en-GB"/>
              </w:rPr>
              <w:t xml:space="preserve">aly </w:t>
            </w:r>
            <w:r w:rsidRPr="00D160FB">
              <w:rPr>
                <w:lang w:val="en-GB"/>
              </w:rPr>
              <w:t>(5</w:t>
            </w:r>
            <w:r w:rsidR="001520D7" w:rsidRPr="00D160FB">
              <w:rPr>
                <w:lang w:val="en-GB"/>
              </w:rPr>
              <w:t>.</w:t>
            </w:r>
            <w:r w:rsidRPr="00D160FB">
              <w:rPr>
                <w:lang w:val="en-GB"/>
              </w:rPr>
              <w:t>8%) a</w:t>
            </w:r>
            <w:r w:rsidR="001520D7" w:rsidRPr="00D160FB">
              <w:rPr>
                <w:lang w:val="en-GB"/>
              </w:rPr>
              <w:t xml:space="preserve">nd Lithuania </w:t>
            </w:r>
            <w:r w:rsidRPr="00D160FB">
              <w:rPr>
                <w:lang w:val="en-GB"/>
              </w:rPr>
              <w:t>(3</w:t>
            </w:r>
            <w:r w:rsidR="001520D7" w:rsidRPr="00D160FB">
              <w:rPr>
                <w:lang w:val="en-GB"/>
              </w:rPr>
              <w:t>.</w:t>
            </w:r>
            <w:r w:rsidRPr="00D160FB">
              <w:rPr>
                <w:lang w:val="en-GB"/>
              </w:rPr>
              <w:t>7%).</w:t>
            </w:r>
            <w:r w:rsidR="001520D7" w:rsidRPr="00D160FB">
              <w:rPr>
                <w:lang w:val="en-GB"/>
              </w:rPr>
              <w:t xml:space="preserve"> In contrast the quarter-on-quarter decreases were recorded in Malta </w:t>
            </w:r>
            <w:r w:rsidRPr="00D160FB">
              <w:rPr>
                <w:lang w:val="en-GB"/>
              </w:rPr>
              <w:t>(−2</w:t>
            </w:r>
            <w:r w:rsidR="001520D7" w:rsidRPr="00D160FB">
              <w:rPr>
                <w:lang w:val="en-GB"/>
              </w:rPr>
              <w:t>.</w:t>
            </w:r>
            <w:r w:rsidRPr="00D160FB">
              <w:rPr>
                <w:lang w:val="en-GB"/>
              </w:rPr>
              <w:t xml:space="preserve">4%), </w:t>
            </w:r>
            <w:r w:rsidR="001520D7" w:rsidRPr="00D160FB">
              <w:rPr>
                <w:lang w:val="en-GB"/>
              </w:rPr>
              <w:t xml:space="preserve">Cyprus </w:t>
            </w:r>
            <w:r w:rsidRPr="00D160FB">
              <w:rPr>
                <w:lang w:val="en-GB"/>
              </w:rPr>
              <w:t>(−0</w:t>
            </w:r>
            <w:r w:rsidR="001520D7" w:rsidRPr="00D160FB">
              <w:rPr>
                <w:lang w:val="en-GB"/>
              </w:rPr>
              <w:t>.</w:t>
            </w:r>
            <w:r w:rsidRPr="00D160FB">
              <w:rPr>
                <w:lang w:val="en-GB"/>
              </w:rPr>
              <w:t xml:space="preserve">5%), </w:t>
            </w:r>
            <w:r w:rsidR="001520D7" w:rsidRPr="00D160FB">
              <w:rPr>
                <w:lang w:val="en-GB"/>
              </w:rPr>
              <w:t xml:space="preserve">Spain </w:t>
            </w:r>
            <w:r w:rsidRPr="00D160FB">
              <w:rPr>
                <w:lang w:val="en-GB"/>
              </w:rPr>
              <w:t>(−0</w:t>
            </w:r>
            <w:r w:rsidR="001520D7" w:rsidRPr="00D160FB">
              <w:rPr>
                <w:lang w:val="en-GB"/>
              </w:rPr>
              <w:t>.</w:t>
            </w:r>
            <w:r w:rsidRPr="00D160FB">
              <w:rPr>
                <w:lang w:val="en-GB"/>
              </w:rPr>
              <w:t>2%) a</w:t>
            </w:r>
            <w:r w:rsidR="001520D7" w:rsidRPr="00D160FB">
              <w:rPr>
                <w:lang w:val="en-GB"/>
              </w:rPr>
              <w:t xml:space="preserve">nd Estonia </w:t>
            </w:r>
            <w:r w:rsidRPr="00D160FB">
              <w:rPr>
                <w:lang w:val="en-GB"/>
              </w:rPr>
              <w:t>(−0</w:t>
            </w:r>
            <w:r w:rsidR="001520D7" w:rsidRPr="00D160FB">
              <w:rPr>
                <w:lang w:val="en-GB"/>
              </w:rPr>
              <w:t>.</w:t>
            </w:r>
            <w:r w:rsidRPr="00D160FB">
              <w:rPr>
                <w:lang w:val="en-GB"/>
              </w:rPr>
              <w:t>1%).</w:t>
            </w:r>
          </w:p>
        </w:tc>
      </w:tr>
      <w:tr w:rsidR="00435DE8" w:rsidRPr="00D160FB" w14:paraId="4EA84952" w14:textId="77777777" w:rsidTr="00435DE8">
        <w:trPr>
          <w:trHeight w:val="170"/>
        </w:trPr>
        <w:tc>
          <w:tcPr>
            <w:tcW w:w="1804" w:type="dxa"/>
            <w:vMerge w:val="restart"/>
            <w:shd w:val="clear" w:color="auto" w:fill="auto"/>
            <w:tcMar>
              <w:left w:w="0" w:type="dxa"/>
            </w:tcMar>
          </w:tcPr>
          <w:p w14:paraId="599BC84F" w14:textId="77777777" w:rsidR="00435DE8" w:rsidRPr="00D160FB" w:rsidRDefault="00435DE8" w:rsidP="00435DE8">
            <w:pPr>
              <w:pStyle w:val="Marginlie"/>
              <w:rPr>
                <w:spacing w:val="0"/>
                <w:lang w:val="en-GB"/>
              </w:rPr>
            </w:pPr>
          </w:p>
        </w:tc>
        <w:tc>
          <w:tcPr>
            <w:tcW w:w="224" w:type="dxa"/>
            <w:vMerge w:val="restart"/>
            <w:shd w:val="clear" w:color="auto" w:fill="auto"/>
            <w:tcMar>
              <w:left w:w="0" w:type="dxa"/>
            </w:tcMar>
          </w:tcPr>
          <w:p w14:paraId="48605C96"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3CCB0D2" w14:textId="251A46A8" w:rsidR="00435DE8" w:rsidRPr="00D160FB" w:rsidRDefault="00435DE8" w:rsidP="00435DE8">
            <w:pPr>
              <w:spacing w:after="0"/>
              <w:rPr>
                <w:lang w:val="en-GB"/>
              </w:rPr>
            </w:pPr>
            <w:r w:rsidRPr="00D160FB">
              <w:rPr>
                <w:b/>
                <w:sz w:val="18"/>
                <w:szCs w:val="18"/>
                <w:lang w:val="en-GB" w:eastAsia="en-US"/>
              </w:rPr>
              <w:t xml:space="preserve">Chart 12 Prices of real estate </w:t>
            </w:r>
            <w:r w:rsidRPr="00D160FB">
              <w:rPr>
                <w:sz w:val="18"/>
                <w:szCs w:val="18"/>
                <w:lang w:val="en-GB" w:eastAsia="en-US"/>
              </w:rPr>
              <w:t>(year-on-year change, in %)</w:t>
            </w:r>
          </w:p>
        </w:tc>
      </w:tr>
      <w:tr w:rsidR="00435DE8" w:rsidRPr="00D160FB" w14:paraId="733E560F" w14:textId="77777777" w:rsidTr="00435DE8">
        <w:tblPrEx>
          <w:tblCellMar>
            <w:left w:w="70" w:type="dxa"/>
            <w:right w:w="70" w:type="dxa"/>
          </w:tblCellMar>
        </w:tblPrEx>
        <w:trPr>
          <w:trHeight w:val="170"/>
        </w:trPr>
        <w:tc>
          <w:tcPr>
            <w:tcW w:w="1804" w:type="dxa"/>
            <w:vMerge/>
          </w:tcPr>
          <w:p w14:paraId="2911B13F" w14:textId="77777777" w:rsidR="00435DE8" w:rsidRPr="00D160FB" w:rsidRDefault="00435DE8" w:rsidP="00435DE8">
            <w:pPr>
              <w:pStyle w:val="Marginlie"/>
              <w:rPr>
                <w:spacing w:val="0"/>
                <w:lang w:val="en-GB"/>
              </w:rPr>
            </w:pPr>
          </w:p>
        </w:tc>
        <w:tc>
          <w:tcPr>
            <w:tcW w:w="224" w:type="dxa"/>
            <w:vMerge/>
          </w:tcPr>
          <w:p w14:paraId="26C98B4A" w14:textId="77777777" w:rsidR="00435DE8" w:rsidRPr="00D160FB" w:rsidRDefault="00435DE8" w:rsidP="00435DE8">
            <w:pPr>
              <w:pStyle w:val="Textpoznpodarou1"/>
              <w:jc w:val="both"/>
              <w:rPr>
                <w:lang w:val="en-GB"/>
              </w:rPr>
            </w:pPr>
          </w:p>
        </w:tc>
        <w:tc>
          <w:tcPr>
            <w:tcW w:w="7611" w:type="dxa"/>
            <w:shd w:val="clear" w:color="auto" w:fill="auto"/>
          </w:tcPr>
          <w:p w14:paraId="1CF161B6" w14:textId="2BBA5C3F" w:rsidR="00435DE8" w:rsidRPr="00D160FB" w:rsidRDefault="00435DE8" w:rsidP="00435DE8">
            <w:pPr>
              <w:spacing w:after="0"/>
              <w:rPr>
                <w:lang w:val="en-GB"/>
              </w:rPr>
            </w:pPr>
            <w:r>
              <w:rPr>
                <w:noProof/>
              </w:rPr>
              <w:drawing>
                <wp:inline distT="0" distB="0" distL="0" distR="0" wp14:anchorId="2771A44C" wp14:editId="4DB8AF0E">
                  <wp:extent cx="4734425" cy="3378575"/>
                  <wp:effectExtent l="0" t="0" r="0" b="0"/>
                  <wp:docPr id="12063689" name="Graf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35DE8" w:rsidRPr="00D160FB" w14:paraId="5984338D" w14:textId="77777777" w:rsidTr="00435DE8">
        <w:trPr>
          <w:trHeight w:val="170"/>
        </w:trPr>
        <w:tc>
          <w:tcPr>
            <w:tcW w:w="1804" w:type="dxa"/>
            <w:vMerge/>
            <w:tcMar>
              <w:left w:w="0" w:type="dxa"/>
            </w:tcMar>
          </w:tcPr>
          <w:p w14:paraId="39788093" w14:textId="77777777" w:rsidR="00435DE8" w:rsidRPr="00D160FB" w:rsidRDefault="00435DE8" w:rsidP="00435DE8">
            <w:pPr>
              <w:pStyle w:val="Marginlie"/>
              <w:rPr>
                <w:spacing w:val="0"/>
                <w:lang w:val="en-GB"/>
              </w:rPr>
            </w:pPr>
          </w:p>
        </w:tc>
        <w:tc>
          <w:tcPr>
            <w:tcW w:w="224" w:type="dxa"/>
            <w:vMerge/>
            <w:tcMar>
              <w:left w:w="0" w:type="dxa"/>
            </w:tcMar>
          </w:tcPr>
          <w:p w14:paraId="5EE95C72"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98C6179" w14:textId="33FC6D8F" w:rsidR="00435DE8" w:rsidRPr="00435DE8" w:rsidRDefault="00435DE8" w:rsidP="00435DE8">
            <w:pPr>
              <w:rPr>
                <w:sz w:val="14"/>
                <w:szCs w:val="14"/>
                <w:lang w:val="en-GB"/>
              </w:rPr>
            </w:pPr>
            <w:r w:rsidRPr="00D160FB">
              <w:rPr>
                <w:sz w:val="14"/>
                <w:szCs w:val="14"/>
                <w:lang w:val="en-GB"/>
              </w:rPr>
              <w:t>Source: CZS</w:t>
            </w:r>
            <w:r>
              <w:rPr>
                <w:sz w:val="14"/>
                <w:szCs w:val="14"/>
                <w:lang w:val="en-GB"/>
              </w:rPr>
              <w:t>O</w:t>
            </w:r>
          </w:p>
        </w:tc>
      </w:tr>
      <w:tr w:rsidR="00435DE8" w:rsidRPr="00D160FB" w14:paraId="16ED03F6" w14:textId="77777777" w:rsidTr="00435DE8">
        <w:trPr>
          <w:trHeight w:val="145"/>
        </w:trPr>
        <w:tc>
          <w:tcPr>
            <w:tcW w:w="1804" w:type="dxa"/>
            <w:shd w:val="clear" w:color="auto" w:fill="auto"/>
            <w:tcMar>
              <w:left w:w="0" w:type="dxa"/>
            </w:tcMar>
          </w:tcPr>
          <w:p w14:paraId="27ED82CF" w14:textId="30F61D43" w:rsidR="00435DE8" w:rsidRPr="00D160FB" w:rsidRDefault="00435DE8" w:rsidP="00435DE8">
            <w:pPr>
              <w:pStyle w:val="Marginlie"/>
              <w:rPr>
                <w:spacing w:val="0"/>
                <w:lang w:val="en-GB"/>
              </w:rPr>
            </w:pPr>
            <w:r w:rsidRPr="00D160FB">
              <w:rPr>
                <w:spacing w:val="0"/>
                <w:lang w:val="en-GB"/>
              </w:rPr>
              <w:t>Growth of the catalogue prices of flats slowed down at the end of the year…</w:t>
            </w:r>
          </w:p>
        </w:tc>
        <w:tc>
          <w:tcPr>
            <w:tcW w:w="224" w:type="dxa"/>
            <w:shd w:val="clear" w:color="auto" w:fill="auto"/>
            <w:tcMar>
              <w:left w:w="0" w:type="dxa"/>
            </w:tcMar>
          </w:tcPr>
          <w:p w14:paraId="5DC014C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2CE98DAD" w14:textId="6A661DE5" w:rsidR="00435DE8" w:rsidRPr="00D160FB" w:rsidRDefault="00435DE8" w:rsidP="00435DE8">
            <w:pPr>
              <w:rPr>
                <w:lang w:val="en-GB"/>
              </w:rPr>
            </w:pPr>
            <w:r w:rsidRPr="00D160FB">
              <w:rPr>
                <w:lang w:val="en-GB"/>
              </w:rPr>
              <w:t xml:space="preserve">The rapid year-on-year surge of prices of flats peaked in year 2022. The Index of the catalogue prices of flats in the CR increased by 20.7% for the whole year. Prices of flats outside Prague went up by 25.2%, while the increase reached 16.9% in Prague. Both the year-on-year and quarter-on-quarter dynamics peaked in Q2 and increases were weakening from then on. Catalogue prices of flats in the CR expanded year-on-year by 18.3% in Q4, prices outside Prague by 19.9% and by 16.9% in Prague. Quarter-on-quarter increase of the catalogue prices weakened to 0.5% in the CR in Q4. It was caused exclusively by the plunge of catalogue prices by 1.2% outside Prague, the first quarter-on-quarter decrease since Q1 2017. Catalogue prices of flats increased by 2.1% in Prague. In case of realised prices of older </w:t>
            </w:r>
            <w:r w:rsidR="00186538" w:rsidRPr="00D160FB">
              <w:rPr>
                <w:lang w:val="en-GB"/>
              </w:rPr>
              <w:t>flats,</w:t>
            </w:r>
            <w:r w:rsidRPr="00D160FB">
              <w:rPr>
                <w:lang w:val="en-GB"/>
              </w:rPr>
              <w:t xml:space="preserve"> the slump of pace was more </w:t>
            </w:r>
            <w:r w:rsidRPr="00D160FB">
              <w:rPr>
                <w:lang w:val="en-GB"/>
              </w:rPr>
              <w:lastRenderedPageBreak/>
              <w:t xml:space="preserve">pronounced at the end of the year. The realised prices of older flats went up by 22.6% in the CR year-on-year for the whole year, mainly due to the rapid surge of prices outside Prague (24.9%). </w:t>
            </w:r>
          </w:p>
        </w:tc>
      </w:tr>
      <w:tr w:rsidR="00435DE8" w:rsidRPr="00D160FB" w14:paraId="6664A9A8" w14:textId="77777777" w:rsidTr="00435DE8">
        <w:trPr>
          <w:trHeight w:val="145"/>
        </w:trPr>
        <w:tc>
          <w:tcPr>
            <w:tcW w:w="1804" w:type="dxa"/>
            <w:shd w:val="clear" w:color="auto" w:fill="auto"/>
            <w:tcMar>
              <w:left w:w="0" w:type="dxa"/>
            </w:tcMar>
          </w:tcPr>
          <w:p w14:paraId="39C07047" w14:textId="1ED6FB6A" w:rsidR="00435DE8" w:rsidRPr="00D160FB" w:rsidRDefault="00435DE8" w:rsidP="00435DE8">
            <w:pPr>
              <w:pStyle w:val="Marginlie"/>
              <w:rPr>
                <w:spacing w:val="0"/>
                <w:lang w:val="en-GB"/>
              </w:rPr>
            </w:pPr>
            <w:r w:rsidRPr="00D160FB">
              <w:rPr>
                <w:spacing w:val="0"/>
                <w:lang w:val="en-GB"/>
              </w:rPr>
              <w:lastRenderedPageBreak/>
              <w:t xml:space="preserve">…year-on-year increases of the realised prices of older flats however dived notably, which indicates cooling of the real estate market. </w:t>
            </w:r>
          </w:p>
        </w:tc>
        <w:tc>
          <w:tcPr>
            <w:tcW w:w="224" w:type="dxa"/>
            <w:shd w:val="clear" w:color="auto" w:fill="auto"/>
            <w:tcMar>
              <w:left w:w="0" w:type="dxa"/>
            </w:tcMar>
          </w:tcPr>
          <w:p w14:paraId="26A020E5"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681AC782" w14:textId="316964F6" w:rsidR="00435DE8" w:rsidRPr="00D160FB" w:rsidRDefault="00435DE8" w:rsidP="00435DE8">
            <w:pPr>
              <w:rPr>
                <w:lang w:val="en-GB"/>
              </w:rPr>
            </w:pPr>
            <w:r w:rsidRPr="00D160FB">
              <w:rPr>
                <w:lang w:val="en-GB"/>
              </w:rPr>
              <w:t xml:space="preserve">Realised prices of older flats were by 14.7% higher in Prague year-on-year last year. The year-on-year dynamics of flats outside Prague however attacked 30% mainly in the first half of the year and the increase maintained its hold high above 20% still in Q3. The realised prices of older flats in the CR however increased by 13.8%, by 15.3% outside Prague and by 8.4% in Prague in Q4 itself. Quarter-on-quarter the </w:t>
            </w:r>
            <w:r w:rsidR="00D22437">
              <w:rPr>
                <w:lang w:val="en-GB"/>
              </w:rPr>
              <w:t xml:space="preserve">realized prices of older </w:t>
            </w:r>
            <w:r w:rsidRPr="00D160FB">
              <w:rPr>
                <w:lang w:val="en-GB"/>
              </w:rPr>
              <w:t xml:space="preserve">flats in the CR recorded decrease of 1.0%, first since Q4 2013. Realised prices of older flats outside Prague were by 1.4% lower compared to Q3 (first decrease since Q3 2013). Small growth of 0.4% manifested only in case of Prague. Realised prices of new flats, which are available only for Prague, describe similar development – their year-on-year increase dived to 2.9% in Q4 and prices lowered quarter-on-quarter by 4.3%. A sharp plunge of demand can be seen from the development described above, associated with the rapid increase of price of mortgage financing. This situation again enables the buyers to negotiate regarding the price after long years. Growth of the catalogue prices did slowdown; the market reality is however mirrored more in the plunge of the realised prices. It can also be observed that the sharp hike of prices of flats outside of Prague, which was evident in the last two years, more profoundly encountered the ceiling of the financial capabilities of the buyers as well as the interest of potential investors.     </w:t>
            </w:r>
          </w:p>
        </w:tc>
      </w:tr>
      <w:tr w:rsidR="00435DE8" w:rsidRPr="00D160FB" w14:paraId="20E8557C" w14:textId="77777777" w:rsidTr="00435DE8">
        <w:trPr>
          <w:trHeight w:val="145"/>
        </w:trPr>
        <w:tc>
          <w:tcPr>
            <w:tcW w:w="1804" w:type="dxa"/>
            <w:shd w:val="clear" w:color="auto" w:fill="auto"/>
            <w:tcMar>
              <w:left w:w="0" w:type="dxa"/>
            </w:tcMar>
          </w:tcPr>
          <w:p w14:paraId="7131CE27" w14:textId="0175A7DA" w:rsidR="00435DE8" w:rsidRPr="00D160FB" w:rsidRDefault="00435DE8" w:rsidP="00435DE8">
            <w:pPr>
              <w:pStyle w:val="Marginlie"/>
              <w:rPr>
                <w:spacing w:val="0"/>
                <w:lang w:val="en-GB"/>
              </w:rPr>
            </w:pPr>
            <w:r w:rsidRPr="00D160FB">
              <w:rPr>
                <w:spacing w:val="0"/>
                <w:lang w:val="en-GB"/>
              </w:rPr>
              <w:t xml:space="preserve">Prices of industrial producers were affected by the sharp surge of prices of materials as well as energies. </w:t>
            </w:r>
          </w:p>
        </w:tc>
        <w:tc>
          <w:tcPr>
            <w:tcW w:w="224" w:type="dxa"/>
            <w:shd w:val="clear" w:color="auto" w:fill="auto"/>
            <w:tcMar>
              <w:left w:w="0" w:type="dxa"/>
            </w:tcMar>
          </w:tcPr>
          <w:p w14:paraId="1EBE9D2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19F2202" w14:textId="2C3827A6" w:rsidR="00435DE8" w:rsidRPr="00D160FB" w:rsidRDefault="00435DE8" w:rsidP="00435DE8">
            <w:pPr>
              <w:rPr>
                <w:lang w:val="en-GB"/>
              </w:rPr>
            </w:pPr>
            <w:r w:rsidRPr="00D160FB">
              <w:rPr>
                <w:lang w:val="en-GB"/>
              </w:rPr>
              <w:t xml:space="preserve">Prices of industrial producers hiked up by 24.3% last year. Very strong increase was affected by the development of prices of materials and energies, which practically hit the whole industry spectrum. Year-on-year growth of prices of industrial producers peaked in Q2 of the year and then weakened. Increases attained gradually 21.8%, 27.7% and 25.9% in individual quarters. Prices rose by 21.8% year-on-year in Q4 itself.  </w:t>
            </w:r>
          </w:p>
        </w:tc>
      </w:tr>
      <w:tr w:rsidR="00435DE8" w:rsidRPr="00D160FB" w14:paraId="193BDEE8" w14:textId="77777777" w:rsidTr="00435DE8">
        <w:trPr>
          <w:trHeight w:val="145"/>
        </w:trPr>
        <w:tc>
          <w:tcPr>
            <w:tcW w:w="1804" w:type="dxa"/>
            <w:shd w:val="clear" w:color="auto" w:fill="auto"/>
            <w:tcMar>
              <w:left w:w="0" w:type="dxa"/>
            </w:tcMar>
          </w:tcPr>
          <w:p w14:paraId="0C2436B7" w14:textId="3F4CE6EF" w:rsidR="00435DE8" w:rsidRPr="00D160FB" w:rsidRDefault="00435DE8" w:rsidP="00435DE8">
            <w:pPr>
              <w:pStyle w:val="Marginlie"/>
              <w:rPr>
                <w:spacing w:val="0"/>
                <w:lang w:val="en-GB"/>
              </w:rPr>
            </w:pPr>
            <w:r w:rsidRPr="00D160FB">
              <w:rPr>
                <w:spacing w:val="0"/>
                <w:lang w:val="en-GB"/>
              </w:rPr>
              <w:t xml:space="preserve">Increase of the prices of food products exerted the highest influence on the prices of products and services of manufacturing at the end of the year. </w:t>
            </w:r>
          </w:p>
        </w:tc>
        <w:tc>
          <w:tcPr>
            <w:tcW w:w="224" w:type="dxa"/>
            <w:shd w:val="clear" w:color="auto" w:fill="auto"/>
            <w:tcMar>
              <w:left w:w="0" w:type="dxa"/>
            </w:tcMar>
          </w:tcPr>
          <w:p w14:paraId="6453B497"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7A43E1D7" w14:textId="308435AD" w:rsidR="00435DE8" w:rsidRPr="00D160FB" w:rsidRDefault="00435DE8" w:rsidP="00435DE8">
            <w:pPr>
              <w:rPr>
                <w:lang w:val="en-GB"/>
              </w:rPr>
            </w:pPr>
            <w:r w:rsidRPr="00D160FB">
              <w:rPr>
                <w:lang w:val="en-GB"/>
              </w:rPr>
              <w:t xml:space="preserve">Prices of </w:t>
            </w:r>
            <w:r w:rsidR="00186538">
              <w:rPr>
                <w:lang w:val="en-GB"/>
              </w:rPr>
              <w:t xml:space="preserve">manufactured </w:t>
            </w:r>
            <w:r w:rsidRPr="00D160FB">
              <w:rPr>
                <w:lang w:val="en-GB"/>
              </w:rPr>
              <w:t>product</w:t>
            </w:r>
            <w:r w:rsidR="00186538">
              <w:rPr>
                <w:lang w:val="en-GB"/>
              </w:rPr>
              <w:t>s</w:t>
            </w:r>
            <w:r w:rsidRPr="00D160FB">
              <w:rPr>
                <w:lang w:val="en-GB"/>
              </w:rPr>
              <w:t xml:space="preserve"> contributed the most to the total growth last year (19.5%). These were influenced mainly by the sharp surge of prices of coke and refined </w:t>
            </w:r>
            <w:r w:rsidR="00186538">
              <w:rPr>
                <w:lang w:val="en-GB"/>
              </w:rPr>
              <w:t>petroleum</w:t>
            </w:r>
            <w:r w:rsidRPr="00D160FB">
              <w:rPr>
                <w:lang w:val="en-GB"/>
              </w:rPr>
              <w:t xml:space="preserve"> products</w:t>
            </w:r>
            <w:r w:rsidRPr="00D160FB">
              <w:rPr>
                <w:rStyle w:val="Znakapoznpodarou"/>
                <w:lang w:val="en-GB"/>
              </w:rPr>
              <w:footnoteReference w:id="58"/>
            </w:r>
            <w:r w:rsidRPr="00D160FB">
              <w:rPr>
                <w:lang w:val="en-GB"/>
              </w:rPr>
              <w:t xml:space="preserve">. Food products, beverages and tobacco (19.2%) had the second largest impact on the growth of prices of industrial producers and prices of basic metals and </w:t>
            </w:r>
            <w:r w:rsidR="00186538">
              <w:rPr>
                <w:lang w:val="en-GB"/>
              </w:rPr>
              <w:t>fabricated metal</w:t>
            </w:r>
            <w:r w:rsidRPr="00D160FB">
              <w:rPr>
                <w:lang w:val="en-GB"/>
              </w:rPr>
              <w:t xml:space="preserve"> products (22.3%), rubber and plastic products, other non-metal</w:t>
            </w:r>
            <w:r w:rsidR="00186538">
              <w:rPr>
                <w:lang w:val="en-GB"/>
              </w:rPr>
              <w:t>lic</w:t>
            </w:r>
            <w:r w:rsidRPr="00D160FB">
              <w:rPr>
                <w:lang w:val="en-GB"/>
              </w:rPr>
              <w:t xml:space="preserve"> mineral products (19.7%) and chemical</w:t>
            </w:r>
            <w:r w:rsidR="00186538">
              <w:rPr>
                <w:lang w:val="en-GB"/>
              </w:rPr>
              <w:t xml:space="preserve">s and chemical </w:t>
            </w:r>
            <w:r w:rsidRPr="00D160FB">
              <w:rPr>
                <w:lang w:val="en-GB"/>
              </w:rPr>
              <w:t>products (35.2%) also strongly contributed. Prices of wood, paper and print</w:t>
            </w:r>
            <w:r w:rsidR="00186538">
              <w:rPr>
                <w:lang w:val="en-GB"/>
              </w:rPr>
              <w:t>ing</w:t>
            </w:r>
            <w:r w:rsidRPr="00D160FB">
              <w:rPr>
                <w:lang w:val="en-GB"/>
              </w:rPr>
              <w:t xml:space="preserve"> (24.8%), textiles, </w:t>
            </w:r>
            <w:r w:rsidR="00186538">
              <w:rPr>
                <w:lang w:val="en-GB"/>
              </w:rPr>
              <w:t>clothes</w:t>
            </w:r>
            <w:r w:rsidRPr="00D160FB">
              <w:rPr>
                <w:lang w:val="en-GB"/>
              </w:rPr>
              <w:t xml:space="preserve"> and leather (13.1%) and machinery and equipment (11.6%) also grew strongly last year. Increase of prices of furniture and other </w:t>
            </w:r>
            <w:r w:rsidR="002B03C2">
              <w:rPr>
                <w:lang w:val="en-GB"/>
              </w:rPr>
              <w:t xml:space="preserve">manufactured </w:t>
            </w:r>
            <w:r w:rsidRPr="00D160FB">
              <w:rPr>
                <w:lang w:val="en-GB"/>
              </w:rPr>
              <w:t xml:space="preserve">products (8.9%), computer, electronic and optical </w:t>
            </w:r>
            <w:r w:rsidR="002B03C2">
              <w:rPr>
                <w:lang w:val="en-GB"/>
              </w:rPr>
              <w:t>products</w:t>
            </w:r>
            <w:r w:rsidRPr="00D160FB">
              <w:rPr>
                <w:lang w:val="en-GB"/>
              </w:rPr>
              <w:t xml:space="preserve"> (6.9%</w:t>
            </w:r>
            <w:r w:rsidR="00186538" w:rsidRPr="00D160FB">
              <w:rPr>
                <w:lang w:val="en-GB"/>
              </w:rPr>
              <w:t>), electrical</w:t>
            </w:r>
            <w:r w:rsidRPr="00D160FB">
              <w:rPr>
                <w:lang w:val="en-GB"/>
              </w:rPr>
              <w:t xml:space="preserve"> equipment (6.3%), basic pharmaceutical products (6.0%) were relatively milder. Prices of manufactur</w:t>
            </w:r>
            <w:r w:rsidR="002B03C2">
              <w:rPr>
                <w:lang w:val="en-GB"/>
              </w:rPr>
              <w:t>ed products</w:t>
            </w:r>
            <w:r w:rsidRPr="00D160FB">
              <w:rPr>
                <w:lang w:val="en-GB"/>
              </w:rPr>
              <w:t xml:space="preserve"> rose by 16.0% year-on-year in Q4 2022, which was the weakest increase within the last year. The strong basis from the end of year 2021, when the sharp hike of prices of materials was already apparent, also had partially effect on the weakening. Still growing increase of prices of food products, beverages and tobacco (25.7%) added the most to the growth. The influence of coke and </w:t>
            </w:r>
            <w:r w:rsidR="00186538">
              <w:rPr>
                <w:lang w:val="en-GB"/>
              </w:rPr>
              <w:t>refined petroleum</w:t>
            </w:r>
            <w:r w:rsidRPr="00D160FB">
              <w:rPr>
                <w:lang w:val="en-GB"/>
              </w:rPr>
              <w:t xml:space="preserve"> products in contrast notably weakened. Rubber and plastic products, other non-metal</w:t>
            </w:r>
            <w:r w:rsidR="002B03C2">
              <w:rPr>
                <w:lang w:val="en-GB"/>
              </w:rPr>
              <w:t>lic</w:t>
            </w:r>
            <w:r w:rsidRPr="00D160FB">
              <w:rPr>
                <w:lang w:val="en-GB"/>
              </w:rPr>
              <w:t xml:space="preserve"> mineral products (20.1%) maintained a strong effect. Similarly to the prices of </w:t>
            </w:r>
            <w:r w:rsidR="002B03C2">
              <w:rPr>
                <w:lang w:val="en-GB"/>
              </w:rPr>
              <w:t>petroleum</w:t>
            </w:r>
            <w:r w:rsidRPr="00D160FB">
              <w:rPr>
                <w:lang w:val="en-GB"/>
              </w:rPr>
              <w:t xml:space="preserve">, the year-on-year growth of prices of basic metals and </w:t>
            </w:r>
            <w:r w:rsidR="00186538">
              <w:rPr>
                <w:lang w:val="en-GB"/>
              </w:rPr>
              <w:t>fabricated metal</w:t>
            </w:r>
            <w:r w:rsidRPr="00D160FB">
              <w:rPr>
                <w:lang w:val="en-GB"/>
              </w:rPr>
              <w:t xml:space="preserve"> products weakened (13.1%).</w:t>
            </w:r>
          </w:p>
        </w:tc>
      </w:tr>
      <w:tr w:rsidR="00435DE8" w:rsidRPr="00D160FB" w14:paraId="557ED1DD" w14:textId="77777777" w:rsidTr="00435DE8">
        <w:trPr>
          <w:trHeight w:val="145"/>
        </w:trPr>
        <w:tc>
          <w:tcPr>
            <w:tcW w:w="1804" w:type="dxa"/>
            <w:shd w:val="clear" w:color="auto" w:fill="auto"/>
            <w:tcMar>
              <w:left w:w="0" w:type="dxa"/>
            </w:tcMar>
          </w:tcPr>
          <w:p w14:paraId="28E3300B" w14:textId="3BD53653" w:rsidR="00435DE8" w:rsidRPr="00D160FB" w:rsidRDefault="00435DE8" w:rsidP="00435DE8">
            <w:pPr>
              <w:pStyle w:val="Marginlie"/>
              <w:rPr>
                <w:spacing w:val="0"/>
                <w:lang w:val="en-GB"/>
              </w:rPr>
            </w:pPr>
            <w:r w:rsidRPr="00D160FB">
              <w:rPr>
                <w:spacing w:val="0"/>
                <w:lang w:val="en-GB"/>
              </w:rPr>
              <w:t xml:space="preserve">Year-on-year increase of prices of electricity mildly slowed down at the end of the year.  </w:t>
            </w:r>
          </w:p>
        </w:tc>
        <w:tc>
          <w:tcPr>
            <w:tcW w:w="224" w:type="dxa"/>
            <w:shd w:val="clear" w:color="auto" w:fill="auto"/>
            <w:tcMar>
              <w:left w:w="0" w:type="dxa"/>
            </w:tcMar>
          </w:tcPr>
          <w:p w14:paraId="2EB6CD98"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5FA1184" w14:textId="1CB3105D" w:rsidR="00435DE8" w:rsidRPr="00D160FB" w:rsidRDefault="00435DE8" w:rsidP="00435DE8">
            <w:pPr>
              <w:rPr>
                <w:lang w:val="en-GB"/>
              </w:rPr>
            </w:pPr>
            <w:r w:rsidRPr="00D160FB">
              <w:rPr>
                <w:lang w:val="en-GB"/>
              </w:rPr>
              <w:t xml:space="preserve">Prices of electricity, gas, steam and air conditioning hiked up by 50.7% last year. Year-on-year growth of prices accelerated here for the entire year until Q3. The year-on-year increase slightly slowed down to 54.3% in Q4, it was however partially the effect of </w:t>
            </w:r>
            <w:r w:rsidRPr="00D160FB">
              <w:rPr>
                <w:lang w:val="en-GB"/>
              </w:rPr>
              <w:lastRenderedPageBreak/>
              <w:t xml:space="preserve">comparative basis from the preceding year, when the acceleration dynamics of prices of electricity was already strongly evident. Prices of mining and quarrying were in total higher by 27.5% last year. It was mostly the result of the surge of prices of </w:t>
            </w:r>
            <w:r w:rsidR="002B03C2">
              <w:rPr>
                <w:lang w:val="en-GB"/>
              </w:rPr>
              <w:t>crude petroleum</w:t>
            </w:r>
            <w:r w:rsidRPr="00D160FB">
              <w:rPr>
                <w:lang w:val="en-GB"/>
              </w:rPr>
              <w:t xml:space="preserve"> and natural gas (70.4%), but prices of other materials, e.g. the building materials, which were included into other mining and quarrying</w:t>
            </w:r>
            <w:r w:rsidR="002B03C2">
              <w:rPr>
                <w:lang w:val="en-GB"/>
              </w:rPr>
              <w:t xml:space="preserve"> products</w:t>
            </w:r>
            <w:r w:rsidRPr="00D160FB">
              <w:rPr>
                <w:lang w:val="en-GB"/>
              </w:rPr>
              <w:t xml:space="preserve"> also grew strongly (17.9%). The increase weakened also for prices of mining and quarrying year-on-year in Q4 (23.3%).  </w:t>
            </w:r>
          </w:p>
        </w:tc>
      </w:tr>
      <w:tr w:rsidR="00435DE8" w:rsidRPr="00D160FB" w14:paraId="48B70D60" w14:textId="77777777" w:rsidTr="00435DE8">
        <w:trPr>
          <w:trHeight w:val="145"/>
        </w:trPr>
        <w:tc>
          <w:tcPr>
            <w:tcW w:w="1804" w:type="dxa"/>
            <w:shd w:val="clear" w:color="auto" w:fill="auto"/>
            <w:tcMar>
              <w:left w:w="0" w:type="dxa"/>
            </w:tcMar>
          </w:tcPr>
          <w:p w14:paraId="7D45EE1D" w14:textId="4C59B404" w:rsidR="00435DE8" w:rsidRPr="00D160FB" w:rsidRDefault="00435DE8" w:rsidP="00435DE8">
            <w:pPr>
              <w:pStyle w:val="Marginlie"/>
              <w:rPr>
                <w:spacing w:val="0"/>
                <w:lang w:val="en-GB"/>
              </w:rPr>
            </w:pPr>
            <w:r w:rsidRPr="00D160FB">
              <w:rPr>
                <w:spacing w:val="0"/>
                <w:lang w:val="en-GB"/>
              </w:rPr>
              <w:lastRenderedPageBreak/>
              <w:t xml:space="preserve">Prices of industrial producers went sharply up in the EU. </w:t>
            </w:r>
          </w:p>
        </w:tc>
        <w:tc>
          <w:tcPr>
            <w:tcW w:w="224" w:type="dxa"/>
            <w:shd w:val="clear" w:color="auto" w:fill="auto"/>
            <w:tcMar>
              <w:left w:w="0" w:type="dxa"/>
            </w:tcMar>
          </w:tcPr>
          <w:p w14:paraId="7ECCBEC6"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0FBFB608" w14:textId="55F0A5A8" w:rsidR="00435DE8" w:rsidRPr="00D160FB" w:rsidRDefault="00435DE8" w:rsidP="00435DE8">
            <w:pPr>
              <w:rPr>
                <w:lang w:val="en-GB"/>
              </w:rPr>
            </w:pPr>
            <w:r w:rsidRPr="00D160FB">
              <w:rPr>
                <w:lang w:val="en-GB"/>
              </w:rPr>
              <w:t>Industrial producer prices</w:t>
            </w:r>
            <w:r w:rsidRPr="00D160FB">
              <w:rPr>
                <w:rStyle w:val="Znakapoznpodarou"/>
                <w:lang w:val="en-GB"/>
              </w:rPr>
              <w:footnoteReference w:id="59"/>
            </w:r>
            <w:r w:rsidRPr="00D160FB">
              <w:rPr>
                <w:lang w:val="en-GB"/>
              </w:rPr>
              <w:t xml:space="preserve"> jumped up by 34.3% in the EU last year, while they continued in the very high increase of 12.4% from year 2021. Prices of mining and quarrying were by 69.7% higher, manufactur</w:t>
            </w:r>
            <w:r w:rsidR="00BE779C">
              <w:rPr>
                <w:lang w:val="en-GB"/>
              </w:rPr>
              <w:t>ed products</w:t>
            </w:r>
            <w:r w:rsidRPr="00D160FB">
              <w:rPr>
                <w:lang w:val="en-GB"/>
              </w:rPr>
              <w:t xml:space="preserve"> by 17.6% and electricity, gas, steam and air conditioning by 94.9%. Prices of industrial producers grew the most in Romania (58.1%), Hungary (53.1%) and Latvia (49.5%) last year. Prices in Malta (8.8%), Sweden (20.4%) and Portugal (20.6%) featured the lowest increase. The year-on-year dynamics of prices of industrial producers was strengthening until Q3 and the increase weakened to 27.9% in Q4. At the same time the prices dropped quarter-on-quarter for the first time since Q2 2020 (−0.3%). The slowdown of the year-on-year increase concerned all divisions. Prices of mining and quarrying were by 39.9% higher year-on-year, </w:t>
            </w:r>
            <w:r w:rsidR="003B7B37">
              <w:rPr>
                <w:lang w:val="en-GB"/>
              </w:rPr>
              <w:t xml:space="preserve">manufactured </w:t>
            </w:r>
            <w:r w:rsidRPr="00D160FB">
              <w:rPr>
                <w:lang w:val="en-GB"/>
              </w:rPr>
              <w:t>products</w:t>
            </w:r>
            <w:r w:rsidR="003B7B37">
              <w:rPr>
                <w:lang w:val="en-GB"/>
              </w:rPr>
              <w:t xml:space="preserve"> </w:t>
            </w:r>
            <w:r w:rsidRPr="00D160FB">
              <w:rPr>
                <w:lang w:val="en-GB"/>
              </w:rPr>
              <w:t>by 15.3% and electricity, gas, steam and air conditioning by 64.0%. Prices of industrial producers in Hungary (64.7%), Latvia (53.1%) and Romania (46.6%) grew the most year-on-year at the end of the year. In contrast, the prices fell year-on-year in Ireland (−6.1%) and the smallest increases were recorded in Malta (8.1%) and in Portugal (10.8%).</w:t>
            </w:r>
          </w:p>
        </w:tc>
      </w:tr>
      <w:tr w:rsidR="00435DE8" w:rsidRPr="00D160FB" w14:paraId="292744FD" w14:textId="77777777" w:rsidTr="00435DE8">
        <w:trPr>
          <w:trHeight w:val="170"/>
        </w:trPr>
        <w:tc>
          <w:tcPr>
            <w:tcW w:w="1804" w:type="dxa"/>
            <w:vMerge w:val="restart"/>
            <w:shd w:val="clear" w:color="auto" w:fill="auto"/>
            <w:tcMar>
              <w:left w:w="0" w:type="dxa"/>
            </w:tcMar>
          </w:tcPr>
          <w:p w14:paraId="3188E5C1" w14:textId="77777777" w:rsidR="00435DE8" w:rsidRPr="00D160FB" w:rsidRDefault="00435DE8" w:rsidP="00435DE8">
            <w:pPr>
              <w:pStyle w:val="Marginlie"/>
              <w:rPr>
                <w:spacing w:val="0"/>
                <w:lang w:val="en-GB"/>
              </w:rPr>
            </w:pPr>
          </w:p>
        </w:tc>
        <w:tc>
          <w:tcPr>
            <w:tcW w:w="224" w:type="dxa"/>
            <w:vMerge w:val="restart"/>
            <w:shd w:val="clear" w:color="auto" w:fill="auto"/>
            <w:tcMar>
              <w:left w:w="0" w:type="dxa"/>
            </w:tcMar>
          </w:tcPr>
          <w:p w14:paraId="6BE2FAB2" w14:textId="77777777" w:rsidR="00435DE8" w:rsidRPr="00D160FB" w:rsidRDefault="00435DE8" w:rsidP="00435DE8">
            <w:pPr>
              <w:pStyle w:val="Textpoznpodarou1"/>
              <w:jc w:val="both"/>
              <w:rPr>
                <w:highlight w:val="yellow"/>
                <w:lang w:val="en-GB"/>
              </w:rPr>
            </w:pPr>
          </w:p>
        </w:tc>
        <w:tc>
          <w:tcPr>
            <w:tcW w:w="7611" w:type="dxa"/>
            <w:shd w:val="clear" w:color="auto" w:fill="auto"/>
            <w:tcMar>
              <w:left w:w="0" w:type="dxa"/>
            </w:tcMar>
          </w:tcPr>
          <w:p w14:paraId="7DB879D8" w14:textId="674CE4D3" w:rsidR="00435DE8" w:rsidRPr="00D160FB" w:rsidRDefault="00435DE8" w:rsidP="00435DE8">
            <w:pPr>
              <w:spacing w:after="0"/>
              <w:rPr>
                <w:b/>
                <w:szCs w:val="20"/>
                <w:lang w:val="en-GB"/>
              </w:rPr>
            </w:pPr>
            <w:r w:rsidRPr="00D160FB">
              <w:rPr>
                <w:b/>
                <w:sz w:val="18"/>
                <w:szCs w:val="18"/>
                <w:lang w:val="en-GB"/>
              </w:rPr>
              <w:t xml:space="preserve">Chart 13 </w:t>
            </w:r>
            <w:r w:rsidRPr="00D160FB">
              <w:rPr>
                <w:b/>
                <w:szCs w:val="20"/>
                <w:lang w:val="en-GB" w:eastAsia="en-US"/>
              </w:rPr>
              <w:t xml:space="preserve">Prices of main groups of industrial producers </w:t>
            </w:r>
            <w:r w:rsidRPr="00D160FB">
              <w:rPr>
                <w:bCs/>
                <w:szCs w:val="20"/>
                <w:lang w:val="en-GB" w:eastAsia="en-US"/>
              </w:rPr>
              <w:t>(year-on-year change, in %, based on CPA classification)</w:t>
            </w:r>
            <w:r w:rsidRPr="00D160FB">
              <w:rPr>
                <w:b/>
                <w:szCs w:val="20"/>
                <w:lang w:val="en-GB" w:eastAsia="en-US"/>
              </w:rPr>
              <w:t xml:space="preserve"> </w:t>
            </w:r>
          </w:p>
        </w:tc>
      </w:tr>
      <w:tr w:rsidR="00435DE8" w:rsidRPr="00D160FB" w14:paraId="67C13DFF" w14:textId="77777777" w:rsidTr="00435DE8">
        <w:tblPrEx>
          <w:tblCellMar>
            <w:left w:w="70" w:type="dxa"/>
            <w:right w:w="70" w:type="dxa"/>
          </w:tblCellMar>
        </w:tblPrEx>
        <w:trPr>
          <w:trHeight w:val="170"/>
        </w:trPr>
        <w:tc>
          <w:tcPr>
            <w:tcW w:w="1804" w:type="dxa"/>
            <w:vMerge/>
          </w:tcPr>
          <w:p w14:paraId="628E5894" w14:textId="77777777" w:rsidR="00435DE8" w:rsidRPr="00D160FB" w:rsidRDefault="00435DE8" w:rsidP="00435DE8">
            <w:pPr>
              <w:pStyle w:val="Marginlie"/>
              <w:rPr>
                <w:spacing w:val="0"/>
                <w:lang w:val="en-GB"/>
              </w:rPr>
            </w:pPr>
          </w:p>
        </w:tc>
        <w:tc>
          <w:tcPr>
            <w:tcW w:w="224" w:type="dxa"/>
            <w:vMerge/>
          </w:tcPr>
          <w:p w14:paraId="09E9083A" w14:textId="77777777" w:rsidR="00435DE8" w:rsidRPr="00D160FB" w:rsidRDefault="00435DE8" w:rsidP="00435DE8">
            <w:pPr>
              <w:pStyle w:val="Textpoznpodarou1"/>
              <w:jc w:val="both"/>
              <w:rPr>
                <w:lang w:val="en-GB"/>
              </w:rPr>
            </w:pPr>
          </w:p>
        </w:tc>
        <w:tc>
          <w:tcPr>
            <w:tcW w:w="7611" w:type="dxa"/>
            <w:shd w:val="clear" w:color="auto" w:fill="auto"/>
          </w:tcPr>
          <w:p w14:paraId="4BED401C" w14:textId="2200B8D3" w:rsidR="00435DE8" w:rsidRPr="00D160FB" w:rsidRDefault="00435DE8" w:rsidP="00435DE8">
            <w:pPr>
              <w:spacing w:after="0"/>
              <w:rPr>
                <w:lang w:val="en-GB"/>
              </w:rPr>
            </w:pPr>
            <w:r>
              <w:rPr>
                <w:noProof/>
              </w:rPr>
              <w:drawing>
                <wp:inline distT="0" distB="0" distL="0" distR="0" wp14:anchorId="10BF4A6D" wp14:editId="1596EDEC">
                  <wp:extent cx="4743950" cy="3381750"/>
                  <wp:effectExtent l="0" t="0" r="0" b="0"/>
                  <wp:docPr id="853759090" name="Graf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435DE8" w:rsidRPr="00D160FB" w14:paraId="0D20FFE4" w14:textId="77777777" w:rsidTr="00435DE8">
        <w:trPr>
          <w:trHeight w:val="170"/>
        </w:trPr>
        <w:tc>
          <w:tcPr>
            <w:tcW w:w="1804" w:type="dxa"/>
            <w:vMerge/>
            <w:tcMar>
              <w:left w:w="0" w:type="dxa"/>
            </w:tcMar>
          </w:tcPr>
          <w:p w14:paraId="7B7458F1" w14:textId="77777777" w:rsidR="00435DE8" w:rsidRPr="00D160FB" w:rsidRDefault="00435DE8" w:rsidP="00435DE8">
            <w:pPr>
              <w:pStyle w:val="Marginlie"/>
              <w:rPr>
                <w:spacing w:val="0"/>
                <w:lang w:val="en-GB"/>
              </w:rPr>
            </w:pPr>
          </w:p>
        </w:tc>
        <w:tc>
          <w:tcPr>
            <w:tcW w:w="224" w:type="dxa"/>
            <w:vMerge/>
            <w:tcMar>
              <w:left w:w="0" w:type="dxa"/>
            </w:tcMar>
          </w:tcPr>
          <w:p w14:paraId="398518AD"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421079E4" w14:textId="233479F6" w:rsidR="00435DE8" w:rsidRPr="00D160FB" w:rsidRDefault="00435DE8" w:rsidP="00435DE8">
            <w:pPr>
              <w:rPr>
                <w:b/>
                <w:bCs/>
                <w:sz w:val="16"/>
                <w:szCs w:val="16"/>
                <w:lang w:val="en-GB"/>
              </w:rPr>
            </w:pPr>
            <w:r w:rsidRPr="00D160FB">
              <w:rPr>
                <w:sz w:val="14"/>
                <w:szCs w:val="14"/>
                <w:lang w:val="en-GB"/>
              </w:rPr>
              <w:t>Source: CZSO</w:t>
            </w:r>
          </w:p>
        </w:tc>
      </w:tr>
      <w:tr w:rsidR="00435DE8" w:rsidRPr="00D160FB" w14:paraId="55B9C3EE" w14:textId="77777777" w:rsidTr="00435DE8">
        <w:trPr>
          <w:trHeight w:val="145"/>
        </w:trPr>
        <w:tc>
          <w:tcPr>
            <w:tcW w:w="1804" w:type="dxa"/>
            <w:shd w:val="clear" w:color="auto" w:fill="auto"/>
            <w:tcMar>
              <w:left w:w="0" w:type="dxa"/>
            </w:tcMar>
          </w:tcPr>
          <w:p w14:paraId="46057C0F" w14:textId="78949843" w:rsidR="00435DE8" w:rsidRPr="00D160FB" w:rsidRDefault="00435DE8" w:rsidP="00435DE8">
            <w:pPr>
              <w:pStyle w:val="Marginlie"/>
              <w:rPr>
                <w:spacing w:val="0"/>
                <w:lang w:val="en-GB"/>
              </w:rPr>
            </w:pPr>
            <w:r w:rsidRPr="00D160FB">
              <w:rPr>
                <w:spacing w:val="0"/>
                <w:lang w:val="en-GB"/>
              </w:rPr>
              <w:t xml:space="preserve">Prices of construction works grew strongly last year. </w:t>
            </w:r>
          </w:p>
        </w:tc>
        <w:tc>
          <w:tcPr>
            <w:tcW w:w="224" w:type="dxa"/>
            <w:shd w:val="clear" w:color="auto" w:fill="auto"/>
            <w:tcMar>
              <w:left w:w="0" w:type="dxa"/>
            </w:tcMar>
          </w:tcPr>
          <w:p w14:paraId="5B75280F"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88EB4C5" w14:textId="1551FBAF" w:rsidR="00435DE8" w:rsidRPr="00D160FB" w:rsidRDefault="00435DE8" w:rsidP="00435DE8">
            <w:pPr>
              <w:rPr>
                <w:lang w:val="en-GB"/>
              </w:rPr>
            </w:pPr>
            <w:r w:rsidRPr="00D160FB">
              <w:rPr>
                <w:lang w:val="en-GB"/>
              </w:rPr>
              <w:t xml:space="preserve">Prices of construction works went up in total by 12.3% last year. In that prices of </w:t>
            </w:r>
            <w:r w:rsidR="003B7B37">
              <w:rPr>
                <w:lang w:val="en-GB"/>
              </w:rPr>
              <w:t xml:space="preserve">material inputs of construction output </w:t>
            </w:r>
            <w:r w:rsidRPr="00D160FB">
              <w:rPr>
                <w:lang w:val="en-GB"/>
              </w:rPr>
              <w:t xml:space="preserve">rose by 20.7%. Year-on-year growth of prices of construction works peaked in Q2 and then slightly weakened. Prices of construction works grew by 12.0% year-in-year and by 1.2% quarter-on-quarter in Q4. Prices of </w:t>
            </w:r>
            <w:r w:rsidR="003B7B37">
              <w:rPr>
                <w:lang w:val="en-GB"/>
              </w:rPr>
              <w:lastRenderedPageBreak/>
              <w:t xml:space="preserve">material inputs of construction output </w:t>
            </w:r>
            <w:r w:rsidRPr="00D160FB">
              <w:rPr>
                <w:lang w:val="en-GB"/>
              </w:rPr>
              <w:t xml:space="preserve">were by 16.7% higher year-on-year and stagnated quarter-on-quarter.  </w:t>
            </w:r>
          </w:p>
        </w:tc>
      </w:tr>
      <w:tr w:rsidR="00435DE8" w:rsidRPr="00D160FB" w14:paraId="6A01922F" w14:textId="77777777" w:rsidTr="00435DE8">
        <w:trPr>
          <w:trHeight w:val="145"/>
        </w:trPr>
        <w:tc>
          <w:tcPr>
            <w:tcW w:w="1804" w:type="dxa"/>
            <w:shd w:val="clear" w:color="auto" w:fill="auto"/>
            <w:tcMar>
              <w:left w:w="0" w:type="dxa"/>
            </w:tcMar>
          </w:tcPr>
          <w:p w14:paraId="529E5D8C" w14:textId="7947911B" w:rsidR="00435DE8" w:rsidRPr="00D160FB" w:rsidRDefault="00435DE8" w:rsidP="00435DE8">
            <w:pPr>
              <w:pStyle w:val="Marginlie"/>
              <w:rPr>
                <w:spacing w:val="0"/>
                <w:lang w:val="en-GB"/>
              </w:rPr>
            </w:pPr>
            <w:r w:rsidRPr="00D160FB">
              <w:rPr>
                <w:spacing w:val="0"/>
                <w:lang w:val="en-GB"/>
              </w:rPr>
              <w:lastRenderedPageBreak/>
              <w:t xml:space="preserve">Prices of market services grew strongly under the influence of </w:t>
            </w:r>
            <w:r w:rsidR="00D840AF">
              <w:rPr>
                <w:lang w:val="en-GB"/>
              </w:rPr>
              <w:t>l</w:t>
            </w:r>
            <w:r w:rsidR="00D840AF" w:rsidRPr="007E4DAA">
              <w:rPr>
                <w:lang w:val="en-GB"/>
              </w:rPr>
              <w:t>and transport services and transport services via pipelines</w:t>
            </w:r>
            <w:r w:rsidR="00D840AF" w:rsidRPr="00D160FB">
              <w:rPr>
                <w:spacing w:val="0"/>
                <w:lang w:val="en-GB"/>
              </w:rPr>
              <w:t xml:space="preserve"> </w:t>
            </w:r>
            <w:r w:rsidRPr="00D160FB">
              <w:rPr>
                <w:spacing w:val="0"/>
                <w:lang w:val="en-GB"/>
              </w:rPr>
              <w:t xml:space="preserve">and warehousing and support </w:t>
            </w:r>
            <w:r w:rsidR="00D840AF">
              <w:rPr>
                <w:spacing w:val="0"/>
                <w:lang w:val="en-GB"/>
              </w:rPr>
              <w:t>services</w:t>
            </w:r>
            <w:r w:rsidRPr="00D160FB">
              <w:rPr>
                <w:spacing w:val="0"/>
                <w:lang w:val="en-GB"/>
              </w:rPr>
              <w:t xml:space="preserve"> for transportation.  </w:t>
            </w:r>
          </w:p>
        </w:tc>
        <w:tc>
          <w:tcPr>
            <w:tcW w:w="224" w:type="dxa"/>
            <w:shd w:val="clear" w:color="auto" w:fill="auto"/>
            <w:tcMar>
              <w:left w:w="0" w:type="dxa"/>
            </w:tcMar>
          </w:tcPr>
          <w:p w14:paraId="2077A6C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29457E0D" w14:textId="483211A0" w:rsidR="00435DE8" w:rsidRPr="00D160FB" w:rsidRDefault="00435DE8" w:rsidP="00435DE8">
            <w:pPr>
              <w:rPr>
                <w:lang w:val="en-GB"/>
              </w:rPr>
            </w:pPr>
            <w:r w:rsidRPr="00D160FB">
              <w:rPr>
                <w:lang w:val="en-GB"/>
              </w:rPr>
              <w:t xml:space="preserve">Prices of market services expanded in total by 5.8% last year. The increase gained pace markedly compared to the previous year, which was mainly caused by the prices of warehousing and support </w:t>
            </w:r>
            <w:r w:rsidR="007E4DAA">
              <w:rPr>
                <w:lang w:val="en-GB"/>
              </w:rPr>
              <w:t>services</w:t>
            </w:r>
            <w:r w:rsidRPr="00D160FB">
              <w:rPr>
                <w:lang w:val="en-GB"/>
              </w:rPr>
              <w:t xml:space="preserve"> for transportation, </w:t>
            </w:r>
            <w:r w:rsidR="007E4DAA" w:rsidRPr="007E4DAA">
              <w:rPr>
                <w:lang w:val="en-GB"/>
              </w:rPr>
              <w:tab/>
            </w:r>
            <w:r w:rsidR="007E4DAA">
              <w:rPr>
                <w:lang w:val="en-GB"/>
              </w:rPr>
              <w:t>l</w:t>
            </w:r>
            <w:r w:rsidR="007E4DAA" w:rsidRPr="007E4DAA">
              <w:rPr>
                <w:lang w:val="en-GB"/>
              </w:rPr>
              <w:t xml:space="preserve">and transport services and transport services via pipelines </w:t>
            </w:r>
            <w:r w:rsidRPr="00D160FB">
              <w:rPr>
                <w:lang w:val="en-GB"/>
              </w:rPr>
              <w:t>and then advertising and market research</w:t>
            </w:r>
            <w:r w:rsidR="007E4DAA">
              <w:rPr>
                <w:lang w:val="en-GB"/>
              </w:rPr>
              <w:t xml:space="preserve"> services</w:t>
            </w:r>
            <w:r w:rsidRPr="00D160FB">
              <w:rPr>
                <w:lang w:val="en-GB"/>
              </w:rPr>
              <w:t xml:space="preserve">. Rise of prices of warehousing and support </w:t>
            </w:r>
            <w:r w:rsidR="007E4DAA">
              <w:rPr>
                <w:lang w:val="en-GB"/>
              </w:rPr>
              <w:t>services</w:t>
            </w:r>
            <w:r w:rsidRPr="00D160FB">
              <w:rPr>
                <w:lang w:val="en-GB"/>
              </w:rPr>
              <w:t xml:space="preserve"> for transportation (15.1%) contributed the most to the total increase of prices of market services. Higher prices of advertising and market research </w:t>
            </w:r>
            <w:r w:rsidR="007E4DAA" w:rsidRPr="00D160FB">
              <w:rPr>
                <w:lang w:val="en-GB"/>
              </w:rPr>
              <w:t xml:space="preserve">services </w:t>
            </w:r>
            <w:r w:rsidRPr="00D160FB">
              <w:rPr>
                <w:lang w:val="en-GB"/>
              </w:rPr>
              <w:t xml:space="preserve">by 17.4% and </w:t>
            </w:r>
            <w:r w:rsidR="007E4DAA">
              <w:rPr>
                <w:lang w:val="en-GB"/>
              </w:rPr>
              <w:t>l</w:t>
            </w:r>
            <w:r w:rsidR="007E4DAA" w:rsidRPr="007E4DAA">
              <w:rPr>
                <w:lang w:val="en-GB"/>
              </w:rPr>
              <w:t>and transport services and transport services via pipelines</w:t>
            </w:r>
            <w:r w:rsidR="007E4DAA" w:rsidRPr="00D160FB">
              <w:rPr>
                <w:lang w:val="en-GB"/>
              </w:rPr>
              <w:t xml:space="preserve"> </w:t>
            </w:r>
            <w:r w:rsidRPr="00D160FB">
              <w:rPr>
                <w:lang w:val="en-GB"/>
              </w:rPr>
              <w:t xml:space="preserve">by 6.2% was also significant. Increase of prices in the area of </w:t>
            </w:r>
            <w:r w:rsidR="007E4DAA">
              <w:rPr>
                <w:lang w:val="en-GB"/>
              </w:rPr>
              <w:t xml:space="preserve">computer </w:t>
            </w:r>
            <w:r w:rsidRPr="00D160FB">
              <w:rPr>
                <w:lang w:val="en-GB"/>
              </w:rPr>
              <w:t>programming</w:t>
            </w:r>
            <w:r w:rsidR="007E4DAA">
              <w:rPr>
                <w:lang w:val="en-GB"/>
              </w:rPr>
              <w:t xml:space="preserve">, consultancy and </w:t>
            </w:r>
            <w:r w:rsidRPr="00D160FB">
              <w:rPr>
                <w:lang w:val="en-GB"/>
              </w:rPr>
              <w:t xml:space="preserve">related </w:t>
            </w:r>
            <w:r w:rsidR="007E4DAA">
              <w:rPr>
                <w:lang w:val="en-GB"/>
              </w:rPr>
              <w:t>services</w:t>
            </w:r>
            <w:r w:rsidRPr="00D160FB">
              <w:rPr>
                <w:lang w:val="en-GB"/>
              </w:rPr>
              <w:t xml:space="preserve"> (5.1%), </w:t>
            </w:r>
            <w:r w:rsidR="007E4DAA">
              <w:rPr>
                <w:lang w:val="en-GB"/>
              </w:rPr>
              <w:t xml:space="preserve">employment </w:t>
            </w:r>
            <w:r w:rsidRPr="00D160FB">
              <w:rPr>
                <w:lang w:val="en-GB"/>
              </w:rPr>
              <w:t>services (15.1%), real estate</w:t>
            </w:r>
            <w:r w:rsidR="007E4DAA">
              <w:rPr>
                <w:lang w:val="en-GB"/>
              </w:rPr>
              <w:t xml:space="preserve"> services</w:t>
            </w:r>
            <w:r w:rsidRPr="00D160FB">
              <w:rPr>
                <w:lang w:val="en-GB"/>
              </w:rPr>
              <w:t xml:space="preserve"> (3.1%), architectural and engineering services and technical testing and analysis (4.2%), rental and leasing </w:t>
            </w:r>
            <w:r w:rsidR="007E4DAA">
              <w:rPr>
                <w:lang w:val="en-GB"/>
              </w:rPr>
              <w:t>services</w:t>
            </w:r>
            <w:r w:rsidRPr="00D160FB">
              <w:rPr>
                <w:lang w:val="en-GB"/>
              </w:rPr>
              <w:t xml:space="preserve"> (8.7%) or legal and accounting services (5.5%) also had an effect. The growth of prices was strengthening nearly in all areas and only prices of telecommunication services decreased (−0.7%). </w:t>
            </w:r>
          </w:p>
        </w:tc>
      </w:tr>
      <w:tr w:rsidR="00435DE8" w:rsidRPr="00D160FB" w14:paraId="4670B16A" w14:textId="77777777" w:rsidTr="00435DE8">
        <w:trPr>
          <w:trHeight w:val="145"/>
        </w:trPr>
        <w:tc>
          <w:tcPr>
            <w:tcW w:w="1804" w:type="dxa"/>
            <w:shd w:val="clear" w:color="auto" w:fill="auto"/>
            <w:tcMar>
              <w:left w:w="0" w:type="dxa"/>
            </w:tcMar>
          </w:tcPr>
          <w:p w14:paraId="595210A1" w14:textId="45620E64" w:rsidR="00435DE8" w:rsidRPr="00D160FB" w:rsidRDefault="00435DE8" w:rsidP="00435DE8">
            <w:pPr>
              <w:pStyle w:val="Marginlie"/>
              <w:rPr>
                <w:spacing w:val="0"/>
                <w:lang w:val="en-GB"/>
              </w:rPr>
            </w:pPr>
            <w:r w:rsidRPr="00D160FB">
              <w:rPr>
                <w:spacing w:val="0"/>
                <w:lang w:val="en-GB"/>
              </w:rPr>
              <w:t xml:space="preserve">Acceleration of price dynamics continued for market services in Q4. </w:t>
            </w:r>
          </w:p>
        </w:tc>
        <w:tc>
          <w:tcPr>
            <w:tcW w:w="224" w:type="dxa"/>
            <w:shd w:val="clear" w:color="auto" w:fill="auto"/>
            <w:tcMar>
              <w:left w:w="0" w:type="dxa"/>
            </w:tcMar>
          </w:tcPr>
          <w:p w14:paraId="3C54DE7C"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EE80767" w14:textId="709359AC" w:rsidR="00435DE8" w:rsidRPr="00D160FB" w:rsidRDefault="00435DE8" w:rsidP="00435DE8">
            <w:pPr>
              <w:rPr>
                <w:lang w:val="en-GB"/>
              </w:rPr>
            </w:pPr>
            <w:r w:rsidRPr="00D160FB">
              <w:rPr>
                <w:lang w:val="en-GB"/>
              </w:rPr>
              <w:t xml:space="preserve">The year-on-year increases of prices of market services accelerated during the year and the increase reached 6.7% in Q4. Prices of </w:t>
            </w:r>
            <w:r w:rsidR="007E4DAA">
              <w:rPr>
                <w:lang w:val="en-GB"/>
              </w:rPr>
              <w:t>l</w:t>
            </w:r>
            <w:r w:rsidR="007E4DAA" w:rsidRPr="007E4DAA">
              <w:rPr>
                <w:lang w:val="en-GB"/>
              </w:rPr>
              <w:t>and transport services and transport services via pipelines</w:t>
            </w:r>
            <w:r w:rsidR="007E4DAA" w:rsidRPr="00D160FB">
              <w:rPr>
                <w:lang w:val="en-GB"/>
              </w:rPr>
              <w:t xml:space="preserve"> </w:t>
            </w:r>
            <w:r w:rsidRPr="00D160FB">
              <w:rPr>
                <w:lang w:val="en-GB"/>
              </w:rPr>
              <w:t xml:space="preserve">(7.7%) and warehousing and support </w:t>
            </w:r>
            <w:r w:rsidR="007E4DAA">
              <w:rPr>
                <w:lang w:val="en-GB"/>
              </w:rPr>
              <w:t>services</w:t>
            </w:r>
            <w:r w:rsidRPr="00D160FB">
              <w:rPr>
                <w:lang w:val="en-GB"/>
              </w:rPr>
              <w:t xml:space="preserve"> for transportation (15.2%), advertising and market research </w:t>
            </w:r>
            <w:r w:rsidR="007E4DAA" w:rsidRPr="00D160FB">
              <w:rPr>
                <w:lang w:val="en-GB"/>
              </w:rPr>
              <w:t xml:space="preserve">services </w:t>
            </w:r>
            <w:r w:rsidRPr="00D160FB">
              <w:rPr>
                <w:lang w:val="en-GB"/>
              </w:rPr>
              <w:t xml:space="preserve">(15.0%) and services in the area of </w:t>
            </w:r>
            <w:r w:rsidR="007E4DAA">
              <w:rPr>
                <w:lang w:val="en-GB"/>
              </w:rPr>
              <w:t xml:space="preserve">computer </w:t>
            </w:r>
            <w:r w:rsidRPr="00D160FB">
              <w:rPr>
                <w:lang w:val="en-GB"/>
              </w:rPr>
              <w:t xml:space="preserve">programming and related consultancy (7.7%) provided the largest influence on the total year-on-year growth. Among other areas, prices of </w:t>
            </w:r>
            <w:r w:rsidR="007E4DAA">
              <w:rPr>
                <w:lang w:val="en-GB"/>
              </w:rPr>
              <w:t xml:space="preserve">employment </w:t>
            </w:r>
            <w:r w:rsidRPr="00D160FB">
              <w:rPr>
                <w:lang w:val="en-GB"/>
              </w:rPr>
              <w:t>services</w:t>
            </w:r>
            <w:r w:rsidR="007E4DAA">
              <w:rPr>
                <w:lang w:val="en-GB"/>
              </w:rPr>
              <w:t xml:space="preserve"> </w:t>
            </w:r>
            <w:r w:rsidRPr="00D160FB">
              <w:rPr>
                <w:lang w:val="en-GB"/>
              </w:rPr>
              <w:t>(18.5%), architectural and engineering services and technical testing and analysis (5.6%) or real estate</w:t>
            </w:r>
            <w:r w:rsidR="007E4DAA">
              <w:rPr>
                <w:lang w:val="en-GB"/>
              </w:rPr>
              <w:t xml:space="preserve"> services</w:t>
            </w:r>
            <w:r w:rsidRPr="00D160FB">
              <w:rPr>
                <w:lang w:val="en-GB"/>
              </w:rPr>
              <w:t xml:space="preserve"> (3.2%) also contributed significantly.</w:t>
            </w:r>
          </w:p>
        </w:tc>
      </w:tr>
      <w:tr w:rsidR="00435DE8" w:rsidRPr="00D160FB" w14:paraId="56F0F3FF" w14:textId="77777777" w:rsidTr="00435DE8">
        <w:trPr>
          <w:trHeight w:val="145"/>
        </w:trPr>
        <w:tc>
          <w:tcPr>
            <w:tcW w:w="1804" w:type="dxa"/>
            <w:shd w:val="clear" w:color="auto" w:fill="auto"/>
            <w:tcMar>
              <w:left w:w="0" w:type="dxa"/>
            </w:tcMar>
          </w:tcPr>
          <w:p w14:paraId="6C5315C8" w14:textId="1EE2F978" w:rsidR="00435DE8" w:rsidRPr="00D160FB" w:rsidRDefault="00435DE8" w:rsidP="00435DE8">
            <w:pPr>
              <w:pStyle w:val="Marginlie"/>
              <w:rPr>
                <w:spacing w:val="0"/>
                <w:lang w:val="en-GB"/>
              </w:rPr>
            </w:pPr>
            <w:r w:rsidRPr="00D160FB">
              <w:rPr>
                <w:spacing w:val="0"/>
                <w:lang w:val="en-GB"/>
              </w:rPr>
              <w:t>Prices of agricultural product</w:t>
            </w:r>
            <w:r w:rsidR="00D840AF">
              <w:rPr>
                <w:spacing w:val="0"/>
                <w:lang w:val="en-GB"/>
              </w:rPr>
              <w:t>s</w:t>
            </w:r>
            <w:r w:rsidRPr="00D160FB">
              <w:rPr>
                <w:spacing w:val="0"/>
                <w:lang w:val="en-GB"/>
              </w:rPr>
              <w:t xml:space="preserve"> grew rapidly last year. </w:t>
            </w:r>
          </w:p>
        </w:tc>
        <w:tc>
          <w:tcPr>
            <w:tcW w:w="224" w:type="dxa"/>
            <w:shd w:val="clear" w:color="auto" w:fill="auto"/>
            <w:tcMar>
              <w:left w:w="0" w:type="dxa"/>
            </w:tcMar>
          </w:tcPr>
          <w:p w14:paraId="4A779789"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68FD429A" w14:textId="6820642D" w:rsidR="00435DE8" w:rsidRPr="00D160FB" w:rsidRDefault="00435DE8" w:rsidP="00435DE8">
            <w:pPr>
              <w:rPr>
                <w:spacing w:val="-2"/>
                <w:lang w:val="en-GB"/>
              </w:rPr>
            </w:pPr>
            <w:r w:rsidRPr="00D160FB">
              <w:rPr>
                <w:spacing w:val="-2"/>
                <w:lang w:val="en-GB"/>
              </w:rPr>
              <w:t>Prices of agricultural product</w:t>
            </w:r>
            <w:r w:rsidR="004D17A2">
              <w:rPr>
                <w:spacing w:val="-2"/>
                <w:lang w:val="en-GB"/>
              </w:rPr>
              <w:t>s</w:t>
            </w:r>
            <w:r w:rsidRPr="00D160FB">
              <w:rPr>
                <w:spacing w:val="-2"/>
                <w:lang w:val="en-GB"/>
              </w:rPr>
              <w:t xml:space="preserve"> including fish</w:t>
            </w:r>
            <w:r w:rsidR="004D17A2">
              <w:rPr>
                <w:spacing w:val="-2"/>
                <w:lang w:val="en-GB"/>
              </w:rPr>
              <w:t>es</w:t>
            </w:r>
            <w:r w:rsidRPr="00D160FB">
              <w:rPr>
                <w:spacing w:val="-2"/>
                <w:lang w:val="en-GB"/>
              </w:rPr>
              <w:t xml:space="preserve"> hiked up by 31.8%. Very strong growth was the result of large surge of costs on energies, fuels or also the prices of fertilisers. Owing to the geopolitical situation, considerable growth of prices of some agricultural commodities also occurred on the world markets. The year-on-year growth of prices peaked in Q2 and then weakened also in case of the </w:t>
            </w:r>
            <w:r w:rsidR="004D17A2">
              <w:rPr>
                <w:spacing w:val="-2"/>
                <w:lang w:val="en-GB"/>
              </w:rPr>
              <w:t>crop</w:t>
            </w:r>
            <w:r w:rsidRPr="00D160FB">
              <w:rPr>
                <w:spacing w:val="-2"/>
                <w:lang w:val="en-GB"/>
              </w:rPr>
              <w:t xml:space="preserve"> product</w:t>
            </w:r>
            <w:r w:rsidR="004D17A2">
              <w:rPr>
                <w:spacing w:val="-2"/>
                <w:lang w:val="en-GB"/>
              </w:rPr>
              <w:t>s</w:t>
            </w:r>
            <w:r w:rsidRPr="00D160FB">
              <w:rPr>
                <w:spacing w:val="-2"/>
                <w:lang w:val="en-GB"/>
              </w:rPr>
              <w:t>. Prices grew here by 28.0% year-on-year in Q4.</w:t>
            </w:r>
          </w:p>
        </w:tc>
      </w:tr>
      <w:tr w:rsidR="00435DE8" w:rsidRPr="00D160FB" w14:paraId="764C89F0" w14:textId="77777777" w:rsidTr="00435DE8">
        <w:trPr>
          <w:trHeight w:val="145"/>
        </w:trPr>
        <w:tc>
          <w:tcPr>
            <w:tcW w:w="1804" w:type="dxa"/>
            <w:shd w:val="clear" w:color="auto" w:fill="auto"/>
            <w:tcMar>
              <w:left w:w="0" w:type="dxa"/>
            </w:tcMar>
          </w:tcPr>
          <w:p w14:paraId="74CD669C" w14:textId="752F8099" w:rsidR="00435DE8" w:rsidRPr="00D160FB" w:rsidRDefault="00435DE8" w:rsidP="00435DE8">
            <w:pPr>
              <w:pStyle w:val="Marginlie"/>
              <w:rPr>
                <w:spacing w:val="0"/>
                <w:lang w:val="en-GB"/>
              </w:rPr>
            </w:pPr>
            <w:r w:rsidRPr="00D160FB">
              <w:rPr>
                <w:spacing w:val="0"/>
                <w:lang w:val="en-GB"/>
              </w:rPr>
              <w:t xml:space="preserve">Year-on-year dynamics moderated for the </w:t>
            </w:r>
            <w:r w:rsidR="00D840AF">
              <w:rPr>
                <w:spacing w:val="0"/>
                <w:lang w:val="en-GB"/>
              </w:rPr>
              <w:t>crop</w:t>
            </w:r>
            <w:r w:rsidRPr="00D160FB">
              <w:rPr>
                <w:spacing w:val="0"/>
                <w:lang w:val="en-GB"/>
              </w:rPr>
              <w:t xml:space="preserve"> production at the end of the year. </w:t>
            </w:r>
          </w:p>
        </w:tc>
        <w:tc>
          <w:tcPr>
            <w:tcW w:w="224" w:type="dxa"/>
            <w:shd w:val="clear" w:color="auto" w:fill="auto"/>
            <w:tcMar>
              <w:left w:w="0" w:type="dxa"/>
            </w:tcMar>
          </w:tcPr>
          <w:p w14:paraId="06E65ADF"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4E38DB94" w14:textId="037E5A4D" w:rsidR="00435DE8" w:rsidRPr="00D160FB" w:rsidRDefault="00435DE8" w:rsidP="00435DE8">
            <w:pPr>
              <w:rPr>
                <w:spacing w:val="-2"/>
                <w:lang w:val="en-GB"/>
              </w:rPr>
            </w:pPr>
            <w:r w:rsidRPr="00D160FB">
              <w:rPr>
                <w:spacing w:val="-2"/>
                <w:lang w:val="en-GB"/>
              </w:rPr>
              <w:t xml:space="preserve">Prices of </w:t>
            </w:r>
            <w:r w:rsidR="004D17A2">
              <w:rPr>
                <w:spacing w:val="-2"/>
                <w:lang w:val="en-GB"/>
              </w:rPr>
              <w:t>crop</w:t>
            </w:r>
            <w:r w:rsidR="004D17A2" w:rsidRPr="00D160FB">
              <w:rPr>
                <w:spacing w:val="-2"/>
                <w:lang w:val="en-GB"/>
              </w:rPr>
              <w:t xml:space="preserve"> product</w:t>
            </w:r>
            <w:r w:rsidR="004D17A2">
              <w:rPr>
                <w:spacing w:val="-2"/>
                <w:lang w:val="en-GB"/>
              </w:rPr>
              <w:t>s</w:t>
            </w:r>
            <w:r w:rsidRPr="00D160FB">
              <w:rPr>
                <w:spacing w:val="-2"/>
                <w:lang w:val="en-GB"/>
              </w:rPr>
              <w:t xml:space="preserve"> were by 37.1% higher last year. Prices of cereals went up by 48.9%, in those prices of </w:t>
            </w:r>
            <w:r w:rsidR="004D17A2">
              <w:rPr>
                <w:spacing w:val="-2"/>
                <w:lang w:val="en-GB"/>
              </w:rPr>
              <w:t xml:space="preserve">soft </w:t>
            </w:r>
            <w:r w:rsidRPr="00D160FB">
              <w:rPr>
                <w:spacing w:val="-2"/>
                <w:lang w:val="en-GB"/>
              </w:rPr>
              <w:t>wheat by 50.8%, rye by 67.8%, barley by 46.7% and grain maize by 38.8%. Prices of industrial crop</w:t>
            </w:r>
            <w:r w:rsidR="004D17A2">
              <w:rPr>
                <w:spacing w:val="-2"/>
                <w:lang w:val="en-GB"/>
              </w:rPr>
              <w:t>s</w:t>
            </w:r>
            <w:r w:rsidRPr="00D160FB">
              <w:rPr>
                <w:spacing w:val="-2"/>
                <w:lang w:val="en-GB"/>
              </w:rPr>
              <w:t xml:space="preserve"> also surged rapidly (33.0%), especially due to the effect of prices of oil </w:t>
            </w:r>
            <w:r w:rsidR="004D17A2">
              <w:rPr>
                <w:spacing w:val="-2"/>
                <w:lang w:val="en-GB"/>
              </w:rPr>
              <w:t>seeds</w:t>
            </w:r>
            <w:r w:rsidRPr="00D160FB">
              <w:rPr>
                <w:spacing w:val="-2"/>
                <w:lang w:val="en-GB"/>
              </w:rPr>
              <w:t xml:space="preserve"> (40.2%). Prices of forage plants rose by 7.7%, vegetables and </w:t>
            </w:r>
            <w:r w:rsidR="004D17A2">
              <w:rPr>
                <w:spacing w:val="-2"/>
                <w:lang w:val="en-GB"/>
              </w:rPr>
              <w:t>horticultural</w:t>
            </w:r>
            <w:r w:rsidRPr="00D160FB">
              <w:rPr>
                <w:spacing w:val="-2"/>
                <w:lang w:val="en-GB"/>
              </w:rPr>
              <w:t xml:space="preserve"> products by 19.0% and potatoes by 28.4%. On the contrary prices of fruit</w:t>
            </w:r>
            <w:r w:rsidR="004D17A2">
              <w:rPr>
                <w:spacing w:val="-2"/>
                <w:lang w:val="en-GB"/>
              </w:rPr>
              <w:t>s</w:t>
            </w:r>
            <w:r w:rsidRPr="00D160FB">
              <w:rPr>
                <w:spacing w:val="-2"/>
                <w:lang w:val="en-GB"/>
              </w:rPr>
              <w:t xml:space="preserve"> (−2.4%) as well as </w:t>
            </w:r>
            <w:r w:rsidR="004D17A2">
              <w:rPr>
                <w:spacing w:val="-2"/>
                <w:lang w:val="en-GB"/>
              </w:rPr>
              <w:t>wine</w:t>
            </w:r>
            <w:r w:rsidRPr="00D160FB">
              <w:rPr>
                <w:spacing w:val="-2"/>
                <w:lang w:val="en-GB"/>
              </w:rPr>
              <w:t xml:space="preserve"> (−1.0%) fell. The year-on-year price growth of the </w:t>
            </w:r>
            <w:r w:rsidR="004D17A2">
              <w:rPr>
                <w:spacing w:val="-2"/>
                <w:lang w:val="en-GB"/>
              </w:rPr>
              <w:t>crop</w:t>
            </w:r>
            <w:r w:rsidR="004D17A2" w:rsidRPr="00D160FB">
              <w:rPr>
                <w:spacing w:val="-2"/>
                <w:lang w:val="en-GB"/>
              </w:rPr>
              <w:t xml:space="preserve"> product</w:t>
            </w:r>
            <w:r w:rsidR="004D17A2">
              <w:rPr>
                <w:spacing w:val="-2"/>
                <w:lang w:val="en-GB"/>
              </w:rPr>
              <w:t>s</w:t>
            </w:r>
            <w:r w:rsidR="004D17A2" w:rsidRPr="00D160FB">
              <w:rPr>
                <w:spacing w:val="-2"/>
                <w:lang w:val="en-GB"/>
              </w:rPr>
              <w:t xml:space="preserve"> </w:t>
            </w:r>
            <w:r w:rsidRPr="00D160FB">
              <w:rPr>
                <w:spacing w:val="-2"/>
                <w:lang w:val="en-GB"/>
              </w:rPr>
              <w:t xml:space="preserve">reached the highest level in Q2 and then slowed down. Prices swelled by 23.5% here year-on-year in Q4. Prices of cereals jumped up by 41.8%, in that </w:t>
            </w:r>
            <w:r w:rsidR="004D17A2">
              <w:rPr>
                <w:spacing w:val="-2"/>
                <w:lang w:val="en-GB"/>
              </w:rPr>
              <w:t xml:space="preserve">soft </w:t>
            </w:r>
            <w:r w:rsidRPr="00D160FB">
              <w:rPr>
                <w:spacing w:val="-2"/>
                <w:lang w:val="en-GB"/>
              </w:rPr>
              <w:t>wheat by 41.6%, rye by 61.1%, barley by 43.6% and corn by 36.0%. Year-on-year dynamics moderated to a large extent for the industrial crop</w:t>
            </w:r>
            <w:r w:rsidR="004D17A2">
              <w:rPr>
                <w:spacing w:val="-2"/>
                <w:lang w:val="en-GB"/>
              </w:rPr>
              <w:t>s</w:t>
            </w:r>
            <w:r w:rsidRPr="00D160FB">
              <w:rPr>
                <w:spacing w:val="-2"/>
                <w:lang w:val="en-GB"/>
              </w:rPr>
              <w:t xml:space="preserve"> (11.4%), mostly under the effect of the development of prices of oil </w:t>
            </w:r>
            <w:r w:rsidR="004D17A2">
              <w:rPr>
                <w:spacing w:val="-2"/>
                <w:lang w:val="en-GB"/>
              </w:rPr>
              <w:t>seeds</w:t>
            </w:r>
            <w:r w:rsidRPr="00D160FB">
              <w:rPr>
                <w:spacing w:val="-2"/>
                <w:lang w:val="en-GB"/>
              </w:rPr>
              <w:t xml:space="preserve"> (17.4%). Growth of prices of the forage plants slowed down to 3.1%. Prices of vegetables and </w:t>
            </w:r>
            <w:r w:rsidR="004D17A2">
              <w:rPr>
                <w:spacing w:val="-2"/>
                <w:lang w:val="en-GB"/>
              </w:rPr>
              <w:t>horticultural</w:t>
            </w:r>
            <w:r w:rsidRPr="00D160FB">
              <w:rPr>
                <w:spacing w:val="-2"/>
                <w:lang w:val="en-GB"/>
              </w:rPr>
              <w:t xml:space="preserve"> products rose by 18.6% year-on-year and potatoes by 30.6%. Prices of fruit</w:t>
            </w:r>
            <w:r w:rsidR="004D17A2">
              <w:rPr>
                <w:spacing w:val="-2"/>
                <w:lang w:val="en-GB"/>
              </w:rPr>
              <w:t>s</w:t>
            </w:r>
            <w:r w:rsidRPr="00D160FB">
              <w:rPr>
                <w:spacing w:val="-2"/>
                <w:lang w:val="en-GB"/>
              </w:rPr>
              <w:t xml:space="preserve"> on the contrary considerably fell (−12.8%) and prices of </w:t>
            </w:r>
            <w:r w:rsidR="004D17A2">
              <w:rPr>
                <w:spacing w:val="-2"/>
                <w:lang w:val="en-GB"/>
              </w:rPr>
              <w:t>wine</w:t>
            </w:r>
            <w:r w:rsidRPr="00D160FB">
              <w:rPr>
                <w:spacing w:val="-2"/>
                <w:lang w:val="en-GB"/>
              </w:rPr>
              <w:t xml:space="preserve"> were also lower (−4.3%).</w:t>
            </w:r>
          </w:p>
        </w:tc>
      </w:tr>
      <w:tr w:rsidR="00435DE8" w:rsidRPr="00D160FB" w14:paraId="3C6EBCA4" w14:textId="77777777" w:rsidTr="00435DE8">
        <w:trPr>
          <w:trHeight w:val="145"/>
        </w:trPr>
        <w:tc>
          <w:tcPr>
            <w:tcW w:w="1804" w:type="dxa"/>
            <w:shd w:val="clear" w:color="auto" w:fill="auto"/>
            <w:tcMar>
              <w:left w:w="0" w:type="dxa"/>
            </w:tcMar>
          </w:tcPr>
          <w:p w14:paraId="7154BFD5" w14:textId="60F01BDE" w:rsidR="00435DE8" w:rsidRPr="00D160FB" w:rsidRDefault="00435DE8" w:rsidP="00435DE8">
            <w:pPr>
              <w:pStyle w:val="Marginlie"/>
              <w:rPr>
                <w:spacing w:val="0"/>
                <w:lang w:val="en-GB"/>
              </w:rPr>
            </w:pPr>
            <w:r w:rsidRPr="00D160FB">
              <w:rPr>
                <w:spacing w:val="0"/>
                <w:lang w:val="en-GB"/>
              </w:rPr>
              <w:t>Year-on-year growth of the prices of animal product</w:t>
            </w:r>
            <w:r w:rsidR="00D840AF">
              <w:rPr>
                <w:spacing w:val="0"/>
                <w:lang w:val="en-GB"/>
              </w:rPr>
              <w:t>s</w:t>
            </w:r>
            <w:r w:rsidRPr="00D160FB">
              <w:rPr>
                <w:spacing w:val="0"/>
                <w:lang w:val="en-GB"/>
              </w:rPr>
              <w:t xml:space="preserve"> accelerated during the year. </w:t>
            </w:r>
          </w:p>
        </w:tc>
        <w:tc>
          <w:tcPr>
            <w:tcW w:w="224" w:type="dxa"/>
            <w:shd w:val="clear" w:color="auto" w:fill="auto"/>
            <w:tcMar>
              <w:left w:w="0" w:type="dxa"/>
            </w:tcMar>
          </w:tcPr>
          <w:p w14:paraId="5B505420"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3B8324E" w14:textId="46C3A61E" w:rsidR="00435DE8" w:rsidRPr="00D160FB" w:rsidRDefault="00435DE8" w:rsidP="00435DE8">
            <w:pPr>
              <w:rPr>
                <w:spacing w:val="-2"/>
                <w:lang w:val="en-GB"/>
              </w:rPr>
            </w:pPr>
            <w:r w:rsidRPr="00D160FB">
              <w:rPr>
                <w:spacing w:val="-2"/>
                <w:lang w:val="en-GB"/>
              </w:rPr>
              <w:t xml:space="preserve">Prices of </w:t>
            </w:r>
            <w:r w:rsidR="004D17A2">
              <w:rPr>
                <w:spacing w:val="-2"/>
                <w:lang w:val="en-GB"/>
              </w:rPr>
              <w:t>a</w:t>
            </w:r>
            <w:r w:rsidR="004D17A2" w:rsidRPr="004D17A2">
              <w:rPr>
                <w:spacing w:val="-2"/>
                <w:lang w:val="en-GB"/>
              </w:rPr>
              <w:t xml:space="preserve">nimals and animal products </w:t>
            </w:r>
            <w:r w:rsidRPr="00D160FB">
              <w:rPr>
                <w:spacing w:val="-2"/>
                <w:lang w:val="en-GB"/>
              </w:rPr>
              <w:t xml:space="preserve">swelled by 24.4% last year. Strong growth struck the whole category. Prices of animals increased by 22.8%, in that they grew by 23.5% for cattle, by 24.4% for pigs and piglets and prices of poultry were by 19.5% higher. Prices of animal products increased by 25.7% last year. Prices of milk went up by 25.4% and eggs by 28.2%. Year-on-year growth of the prices of </w:t>
            </w:r>
            <w:r w:rsidR="002B0EDA">
              <w:rPr>
                <w:spacing w:val="-2"/>
                <w:lang w:val="en-GB"/>
              </w:rPr>
              <w:t>a</w:t>
            </w:r>
            <w:r w:rsidR="002B0EDA" w:rsidRPr="004D17A2">
              <w:rPr>
                <w:spacing w:val="-2"/>
                <w:lang w:val="en-GB"/>
              </w:rPr>
              <w:t xml:space="preserve">nimals and animal products </w:t>
            </w:r>
            <w:r w:rsidRPr="00D160FB">
              <w:rPr>
                <w:spacing w:val="-2"/>
                <w:lang w:val="en-GB"/>
              </w:rPr>
              <w:t xml:space="preserve">was </w:t>
            </w:r>
            <w:r w:rsidRPr="00D160FB">
              <w:rPr>
                <w:spacing w:val="-2"/>
                <w:lang w:val="en-GB"/>
              </w:rPr>
              <w:lastRenderedPageBreak/>
              <w:t>accelerating for the entire year up to 36.6% in Q4. Prices of animals were 35.8% higher year-on-year at the end of the year, in that price of cattle by 21.7%, pigs and piglets by 49.4% and poultry by 33.7%. Prices of animal products jumped by 37.3% year-on-year in Q4. Prices of milk hiked up by 35.5% and eggs by 58.1%.</w:t>
            </w:r>
          </w:p>
        </w:tc>
      </w:tr>
      <w:tr w:rsidR="00435DE8" w:rsidRPr="00D160FB" w14:paraId="425852F3" w14:textId="77777777" w:rsidTr="00435DE8">
        <w:trPr>
          <w:trHeight w:val="145"/>
        </w:trPr>
        <w:tc>
          <w:tcPr>
            <w:tcW w:w="1804" w:type="dxa"/>
            <w:shd w:val="clear" w:color="auto" w:fill="auto"/>
            <w:tcMar>
              <w:left w:w="0" w:type="dxa"/>
            </w:tcMar>
          </w:tcPr>
          <w:p w14:paraId="7F47C567" w14:textId="5938C61B" w:rsidR="00435DE8" w:rsidRPr="00D160FB" w:rsidRDefault="00435DE8" w:rsidP="00435DE8">
            <w:pPr>
              <w:pStyle w:val="Marginlie"/>
              <w:rPr>
                <w:spacing w:val="0"/>
                <w:lang w:val="en-GB"/>
              </w:rPr>
            </w:pPr>
            <w:r w:rsidRPr="00D160FB">
              <w:rPr>
                <w:spacing w:val="0"/>
                <w:lang w:val="en-GB"/>
              </w:rPr>
              <w:lastRenderedPageBreak/>
              <w:t xml:space="preserve">Prices of export strongly grew year-on-year throughout the whole year. </w:t>
            </w:r>
          </w:p>
        </w:tc>
        <w:tc>
          <w:tcPr>
            <w:tcW w:w="224" w:type="dxa"/>
            <w:shd w:val="clear" w:color="auto" w:fill="auto"/>
            <w:tcMar>
              <w:left w:w="0" w:type="dxa"/>
            </w:tcMar>
          </w:tcPr>
          <w:p w14:paraId="7F6CFAD9"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2E04F8B" w14:textId="4DCD78D0" w:rsidR="00435DE8" w:rsidRPr="00D160FB" w:rsidRDefault="00435DE8" w:rsidP="00435DE8">
            <w:pPr>
              <w:rPr>
                <w:lang w:val="en-GB"/>
              </w:rPr>
            </w:pPr>
            <w:r w:rsidRPr="00D160FB">
              <w:rPr>
                <w:lang w:val="en-GB"/>
              </w:rPr>
              <w:t>Prices of export of goods increased in total by 12.7% last year. The exchange rate forces hampered the year-on-year growth of prices of export throughout the entire year because the koruna foreign exchange per euro appreciated year-on-year</w:t>
            </w:r>
            <w:r w:rsidRPr="00D160FB">
              <w:rPr>
                <w:rStyle w:val="Znakapoznpodarou"/>
                <w:lang w:val="en-GB"/>
              </w:rPr>
              <w:footnoteReference w:id="60"/>
            </w:r>
            <w:r w:rsidRPr="00D160FB">
              <w:rPr>
                <w:lang w:val="en-GB"/>
              </w:rPr>
              <w:t>. Prices of mineral fuels and lubricants strengthened the most on average for the entire year 2022 (120.1%), followed by food and live animals (21.3%), semi-finished products</w:t>
            </w:r>
            <w:r w:rsidRPr="00D160FB">
              <w:rPr>
                <w:rStyle w:val="Znakapoznpodarou"/>
                <w:lang w:val="en-GB"/>
              </w:rPr>
              <w:footnoteReference w:id="61"/>
            </w:r>
            <w:r w:rsidRPr="00D160FB">
              <w:rPr>
                <w:lang w:val="en-GB"/>
              </w:rPr>
              <w:t xml:space="preserve"> (18.9%) and other materials</w:t>
            </w:r>
            <w:r w:rsidRPr="00D160FB">
              <w:rPr>
                <w:rStyle w:val="Znakapoznpodarou"/>
                <w:lang w:val="en-GB"/>
              </w:rPr>
              <w:footnoteReference w:id="62"/>
            </w:r>
            <w:r w:rsidRPr="00D160FB">
              <w:rPr>
                <w:lang w:val="en-GB"/>
              </w:rPr>
              <w:t xml:space="preserve"> (18.0%). The year-on-year dynamics of prices of export peaked in Q2 and the increase shrank to 9.8% in Q4. Prices of mineral fuels surged the most in Q4 (64.3%), increase for food and live animals (20.8%), semi-finished products (14.0%), chemical</w:t>
            </w:r>
            <w:r w:rsidR="002B0EDA">
              <w:rPr>
                <w:lang w:val="en-GB"/>
              </w:rPr>
              <w:t>s and related</w:t>
            </w:r>
            <w:r w:rsidRPr="00D160FB">
              <w:rPr>
                <w:lang w:val="en-GB"/>
              </w:rPr>
              <w:t xml:space="preserve"> products (12.1%) and beverages and tobacco (11.3%) was strong. Prices of </w:t>
            </w:r>
            <w:r w:rsidR="002B0EDA">
              <w:rPr>
                <w:lang w:val="en-GB"/>
              </w:rPr>
              <w:t>m</w:t>
            </w:r>
            <w:r w:rsidR="002B0EDA" w:rsidRPr="002B0EDA">
              <w:rPr>
                <w:lang w:val="en-GB"/>
              </w:rPr>
              <w:t>iscellaneous manufactured articles</w:t>
            </w:r>
            <w:r w:rsidRPr="00D160FB">
              <w:rPr>
                <w:lang w:val="en-GB"/>
              </w:rPr>
              <w:t xml:space="preserve"> (4.3%) and machinery and transport equipment (2.3%) were higher. Prices of other materials were falling year-on-year (−1.6%).  </w:t>
            </w:r>
          </w:p>
        </w:tc>
      </w:tr>
      <w:tr w:rsidR="00435DE8" w:rsidRPr="00D160FB" w14:paraId="46C3D910" w14:textId="77777777" w:rsidTr="00435DE8">
        <w:trPr>
          <w:trHeight w:val="145"/>
        </w:trPr>
        <w:tc>
          <w:tcPr>
            <w:tcW w:w="1804" w:type="dxa"/>
            <w:shd w:val="clear" w:color="auto" w:fill="auto"/>
            <w:tcMar>
              <w:left w:w="0" w:type="dxa"/>
            </w:tcMar>
          </w:tcPr>
          <w:p w14:paraId="51730ABE" w14:textId="507E21D3" w:rsidR="00435DE8" w:rsidRPr="00D160FB" w:rsidRDefault="00435DE8" w:rsidP="00435DE8">
            <w:pPr>
              <w:pStyle w:val="Marginlie"/>
              <w:rPr>
                <w:spacing w:val="0"/>
                <w:lang w:val="en-GB"/>
              </w:rPr>
            </w:pPr>
            <w:r w:rsidRPr="00D160FB">
              <w:rPr>
                <w:spacing w:val="0"/>
                <w:lang w:val="en-GB"/>
              </w:rPr>
              <w:t xml:space="preserve">The terms of trade were negative for the whole year. </w:t>
            </w:r>
          </w:p>
        </w:tc>
        <w:tc>
          <w:tcPr>
            <w:tcW w:w="224" w:type="dxa"/>
            <w:shd w:val="clear" w:color="auto" w:fill="auto"/>
            <w:tcMar>
              <w:left w:w="0" w:type="dxa"/>
            </w:tcMar>
          </w:tcPr>
          <w:p w14:paraId="45700C6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76982B58" w14:textId="32337CCA" w:rsidR="00435DE8" w:rsidRPr="00D160FB" w:rsidRDefault="00435DE8" w:rsidP="00435DE8">
            <w:pPr>
              <w:rPr>
                <w:lang w:val="en-GB"/>
              </w:rPr>
            </w:pPr>
            <w:r w:rsidRPr="00D160FB">
              <w:rPr>
                <w:lang w:val="en-GB"/>
              </w:rPr>
              <w:t xml:space="preserve">Import prices increased by 17.2% last year. Prices of import of mineral fuels and lubricants (104.4%) surged the most, followed by beverages and tobacco (16.6%) and semi-finished products (16.6%). Prices of food and live animals (14.7%), </w:t>
            </w:r>
            <w:r w:rsidR="002B0EDA" w:rsidRPr="00D160FB">
              <w:rPr>
                <w:lang w:val="en-GB"/>
              </w:rPr>
              <w:t>chemical</w:t>
            </w:r>
            <w:r w:rsidR="002B0EDA">
              <w:rPr>
                <w:lang w:val="en-GB"/>
              </w:rPr>
              <w:t>s and related</w:t>
            </w:r>
            <w:r w:rsidR="002B0EDA" w:rsidRPr="00D160FB">
              <w:rPr>
                <w:lang w:val="en-GB"/>
              </w:rPr>
              <w:t xml:space="preserve"> products</w:t>
            </w:r>
            <w:r w:rsidRPr="00D160FB">
              <w:rPr>
                <w:lang w:val="en-GB"/>
              </w:rPr>
              <w:t xml:space="preserve"> (12.3%) and other materials (10.8%) also featured a </w:t>
            </w:r>
            <w:r w:rsidR="002B0EDA" w:rsidRPr="00D160FB">
              <w:rPr>
                <w:lang w:val="en-GB"/>
              </w:rPr>
              <w:t>double-digit</w:t>
            </w:r>
            <w:r w:rsidRPr="00D160FB">
              <w:rPr>
                <w:lang w:val="en-GB"/>
              </w:rPr>
              <w:t xml:space="preserve"> increase. Year-on-year dynamics of prices of import strengthened until Q3. The increase then moderated to 11.8% in Q4. Prices of mineral fuels (46.8%) and further food and live animals (21.5%), beverages and tobacco (20.6%), </w:t>
            </w:r>
            <w:r w:rsidR="002B0EDA">
              <w:rPr>
                <w:lang w:val="en-GB"/>
              </w:rPr>
              <w:t>m</w:t>
            </w:r>
            <w:r w:rsidR="002B0EDA" w:rsidRPr="002B0EDA">
              <w:rPr>
                <w:lang w:val="en-GB"/>
              </w:rPr>
              <w:t>iscellaneous manufactured articles</w:t>
            </w:r>
            <w:r w:rsidR="002B0EDA" w:rsidRPr="00D160FB">
              <w:rPr>
                <w:lang w:val="en-GB"/>
              </w:rPr>
              <w:t xml:space="preserve"> </w:t>
            </w:r>
            <w:r w:rsidRPr="00D160FB">
              <w:rPr>
                <w:lang w:val="en-GB"/>
              </w:rPr>
              <w:t xml:space="preserve">(11.6%) and semi-finished products (10.0%) grew the most year-on-year in Q4. Increase for other materials (6.6%) and </w:t>
            </w:r>
            <w:r w:rsidR="002B0EDA" w:rsidRPr="00D160FB">
              <w:rPr>
                <w:lang w:val="en-GB"/>
              </w:rPr>
              <w:t>chemical</w:t>
            </w:r>
            <w:r w:rsidR="002B0EDA">
              <w:rPr>
                <w:lang w:val="en-GB"/>
              </w:rPr>
              <w:t>s and related</w:t>
            </w:r>
            <w:r w:rsidR="002B0EDA" w:rsidRPr="00D160FB">
              <w:rPr>
                <w:lang w:val="en-GB"/>
              </w:rPr>
              <w:t xml:space="preserve"> products </w:t>
            </w:r>
            <w:r w:rsidRPr="00D160FB">
              <w:rPr>
                <w:lang w:val="en-GB"/>
              </w:rPr>
              <w:t xml:space="preserve">(5.9%) was also large and prices of machinery and transport equipment were also slightly higher (2.4%). Terms of trade of the foreign trade with goods were markedly negative last year and arrived at 96.2%. Terms of trade with beverages and tobacco (91.0%) and </w:t>
            </w:r>
            <w:r w:rsidR="002B0EDA">
              <w:rPr>
                <w:lang w:val="en-GB"/>
              </w:rPr>
              <w:t>m</w:t>
            </w:r>
            <w:r w:rsidR="002B0EDA" w:rsidRPr="002B0EDA">
              <w:rPr>
                <w:lang w:val="en-GB"/>
              </w:rPr>
              <w:t>iscellaneous manufactured articles</w:t>
            </w:r>
            <w:r w:rsidRPr="00D160FB">
              <w:rPr>
                <w:lang w:val="en-GB"/>
              </w:rPr>
              <w:t xml:space="preserve"> (96.7%) were markedly negative last year. In contrast they were strongly positive for mineral fuels (107.7%), other materials (106.5%) and food and live animals (105.8%). The terms of trade attained 98.2% in Q4 itself. Terms of trade were negative for trade with beverages and tobacco (92.3%), other materials (92.3%), </w:t>
            </w:r>
            <w:r w:rsidR="002B0EDA">
              <w:rPr>
                <w:lang w:val="en-GB"/>
              </w:rPr>
              <w:t>m</w:t>
            </w:r>
            <w:r w:rsidR="002B0EDA" w:rsidRPr="002B0EDA">
              <w:rPr>
                <w:lang w:val="en-GB"/>
              </w:rPr>
              <w:t>iscellaneous manufactured articles</w:t>
            </w:r>
            <w:r w:rsidR="002B0EDA" w:rsidRPr="00D160FB">
              <w:rPr>
                <w:lang w:val="en-GB"/>
              </w:rPr>
              <w:t xml:space="preserve"> </w:t>
            </w:r>
            <w:r w:rsidRPr="00D160FB">
              <w:rPr>
                <w:lang w:val="en-GB"/>
              </w:rPr>
              <w:t xml:space="preserve">(93.5%), food and live animals (99.4%) and machinery and transport equipment (99.9%). On the contrary the terms of trade were positive in case of mineral fuels (111.9%), </w:t>
            </w:r>
            <w:r w:rsidR="002B0EDA" w:rsidRPr="00D160FB">
              <w:rPr>
                <w:lang w:val="en-GB"/>
              </w:rPr>
              <w:t>chemical</w:t>
            </w:r>
            <w:r w:rsidR="002B0EDA">
              <w:rPr>
                <w:lang w:val="en-GB"/>
              </w:rPr>
              <w:t>s and related</w:t>
            </w:r>
            <w:r w:rsidR="002B0EDA" w:rsidRPr="00D160FB">
              <w:rPr>
                <w:lang w:val="en-GB"/>
              </w:rPr>
              <w:t xml:space="preserve"> products </w:t>
            </w:r>
            <w:r w:rsidRPr="00D160FB">
              <w:rPr>
                <w:lang w:val="en-GB"/>
              </w:rPr>
              <w:t xml:space="preserve">(105.9%) and semi-finished products (103.6%).   </w:t>
            </w:r>
          </w:p>
        </w:tc>
      </w:tr>
    </w:tbl>
    <w:p w14:paraId="626B0BA9" w14:textId="77777777" w:rsidR="0087722C" w:rsidRPr="00D160FB" w:rsidRDefault="0087722C" w:rsidP="0087722C">
      <w:pPr>
        <w:pStyle w:val="Nadpis11"/>
        <w:rPr>
          <w:b w:val="0"/>
          <w:sz w:val="2"/>
          <w:szCs w:val="2"/>
          <w:lang w:val="en-GB"/>
        </w:rPr>
      </w:pPr>
    </w:p>
    <w:p w14:paraId="24BE6C1E" w14:textId="77777777" w:rsidR="0087722C" w:rsidRPr="00D160FB" w:rsidRDefault="0087722C" w:rsidP="0087722C">
      <w:pPr>
        <w:pStyle w:val="Nadpis11"/>
        <w:spacing w:after="0"/>
        <w:rPr>
          <w:b w:val="0"/>
          <w:sz w:val="2"/>
          <w:szCs w:val="2"/>
          <w:lang w:val="en-GB"/>
        </w:rPr>
      </w:pPr>
    </w:p>
    <w:p w14:paraId="38468288" w14:textId="77777777" w:rsidR="0087722C" w:rsidRPr="00D160FB" w:rsidRDefault="0087722C" w:rsidP="0087722C">
      <w:pPr>
        <w:pStyle w:val="Nadpis11"/>
        <w:rPr>
          <w:b w:val="0"/>
          <w:sz w:val="2"/>
          <w:szCs w:val="2"/>
          <w:lang w:val="en-GB"/>
        </w:rPr>
      </w:pPr>
    </w:p>
    <w:p w14:paraId="6F53A4E4" w14:textId="77777777" w:rsidR="0087722C" w:rsidRPr="00D160FB" w:rsidRDefault="0087722C">
      <w:pPr>
        <w:spacing w:after="0" w:line="240" w:lineRule="auto"/>
        <w:jc w:val="left"/>
        <w:rPr>
          <w:rFonts w:eastAsia="MS Gothic"/>
          <w:b/>
          <w:bCs/>
          <w:color w:val="71818C"/>
          <w:sz w:val="32"/>
          <w:szCs w:val="28"/>
          <w:lang w:val="en-GB"/>
        </w:rPr>
      </w:pPr>
      <w:r w:rsidRPr="00D160FB">
        <w:rPr>
          <w:lang w:val="en-GB"/>
        </w:rPr>
        <w:br w:type="page"/>
      </w:r>
    </w:p>
    <w:p w14:paraId="13C60D3C" w14:textId="61D233B7" w:rsidR="009908AF" w:rsidRPr="00D160FB" w:rsidRDefault="009908AF" w:rsidP="009908AF">
      <w:pPr>
        <w:pStyle w:val="Nadpis11"/>
        <w:spacing w:after="120"/>
        <w:rPr>
          <w:lang w:val="en-GB"/>
        </w:rPr>
      </w:pPr>
      <w:bookmarkStart w:id="34" w:name="_Toc132874250"/>
      <w:bookmarkEnd w:id="32"/>
      <w:r w:rsidRPr="00D160FB">
        <w:rPr>
          <w:lang w:val="en-GB"/>
        </w:rPr>
        <w:lastRenderedPageBreak/>
        <w:t>6. </w:t>
      </w:r>
      <w:r w:rsidR="00767FEB" w:rsidRPr="00D160FB">
        <w:rPr>
          <w:lang w:val="en-GB"/>
        </w:rPr>
        <w:t>Labour Market</w:t>
      </w:r>
      <w:bookmarkEnd w:id="34"/>
    </w:p>
    <w:tbl>
      <w:tblPr>
        <w:tblW w:w="9674" w:type="dxa"/>
        <w:tblInd w:w="-35" w:type="dxa"/>
        <w:tblCellMar>
          <w:left w:w="0" w:type="dxa"/>
          <w:right w:w="0" w:type="dxa"/>
        </w:tblCellMar>
        <w:tblLook w:val="00A0" w:firstRow="1" w:lastRow="0" w:firstColumn="1" w:lastColumn="0" w:noHBand="0" w:noVBand="0"/>
      </w:tblPr>
      <w:tblGrid>
        <w:gridCol w:w="1722"/>
        <w:gridCol w:w="202"/>
        <w:gridCol w:w="7750"/>
      </w:tblGrid>
      <w:tr w:rsidR="00B646BC" w:rsidRPr="00D160FB" w14:paraId="3D9A95BD" w14:textId="77777777" w:rsidTr="003D13A6">
        <w:trPr>
          <w:trHeight w:val="155"/>
        </w:trPr>
        <w:tc>
          <w:tcPr>
            <w:tcW w:w="1722" w:type="dxa"/>
            <w:shd w:val="clear" w:color="auto" w:fill="auto"/>
            <w:tcMar>
              <w:left w:w="0" w:type="dxa"/>
            </w:tcMar>
          </w:tcPr>
          <w:p w14:paraId="6485E18E" w14:textId="4F5D4E54" w:rsidR="001C3855" w:rsidRPr="00D160FB" w:rsidRDefault="00497F7C" w:rsidP="00C8019E">
            <w:pPr>
              <w:pStyle w:val="Marginlie"/>
              <w:spacing w:after="120"/>
              <w:rPr>
                <w:color w:val="0D0D0D" w:themeColor="text1" w:themeTint="F2"/>
                <w:spacing w:val="-4"/>
                <w:lang w:val="en-GB"/>
              </w:rPr>
            </w:pPr>
            <w:r w:rsidRPr="00D160FB">
              <w:rPr>
                <w:color w:val="0D0D0D" w:themeColor="text1" w:themeTint="F2"/>
                <w:spacing w:val="-4"/>
                <w:lang w:val="en-GB"/>
              </w:rPr>
              <w:t>Clear signs of cooling related to the cyclical economic downturn started to appear on the CR labour market in H2 2022.</w:t>
            </w:r>
          </w:p>
        </w:tc>
        <w:tc>
          <w:tcPr>
            <w:tcW w:w="202" w:type="dxa"/>
            <w:shd w:val="clear" w:color="auto" w:fill="auto"/>
            <w:tcMar>
              <w:left w:w="0" w:type="dxa"/>
            </w:tcMar>
          </w:tcPr>
          <w:p w14:paraId="7F2AE265"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2B3C266B" w14:textId="2C643A33" w:rsidR="001C3855" w:rsidRPr="00D160FB" w:rsidRDefault="00D717A1" w:rsidP="00E37C1C">
            <w:pPr>
              <w:rPr>
                <w:color w:val="0D0D0D" w:themeColor="text1" w:themeTint="F2"/>
                <w:spacing w:val="-4"/>
                <w:lang w:val="en-GB"/>
              </w:rPr>
            </w:pPr>
            <w:r w:rsidRPr="00D160FB">
              <w:rPr>
                <w:color w:val="0D0D0D" w:themeColor="text1" w:themeTint="F2"/>
                <w:spacing w:val="-4"/>
                <w:lang w:val="en-GB"/>
              </w:rPr>
              <w:t>Domestic labour market,</w:t>
            </w:r>
            <w:r w:rsidR="00497F7C" w:rsidRPr="00D160FB">
              <w:rPr>
                <w:color w:val="0D0D0D" w:themeColor="text1" w:themeTint="F2"/>
                <w:spacing w:val="-4"/>
                <w:lang w:val="en-GB"/>
              </w:rPr>
              <w:t xml:space="preserve"> which </w:t>
            </w:r>
            <w:r w:rsidR="000B31E1" w:rsidRPr="00D160FB">
              <w:rPr>
                <w:color w:val="0D0D0D" w:themeColor="text1" w:themeTint="F2"/>
                <w:spacing w:val="-4"/>
                <w:lang w:val="en-GB"/>
              </w:rPr>
              <w:t xml:space="preserve">resumed development following the abatement of impacts of counter pandemic restrictions, experienced gradual cooling in the second half of the last year. </w:t>
            </w:r>
            <w:r w:rsidRPr="00D160FB">
              <w:rPr>
                <w:color w:val="0D0D0D" w:themeColor="text1" w:themeTint="F2"/>
                <w:spacing w:val="-4"/>
                <w:lang w:val="en-GB"/>
              </w:rPr>
              <w:t>While the growth of employment</w:t>
            </w:r>
            <w:r w:rsidR="001C3855" w:rsidRPr="00D160FB">
              <w:rPr>
                <w:color w:val="0D0D0D" w:themeColor="text1" w:themeTint="F2"/>
                <w:spacing w:val="-4"/>
                <w:vertAlign w:val="superscript"/>
                <w:lang w:val="en-GB"/>
              </w:rPr>
              <w:footnoteReference w:id="63"/>
            </w:r>
            <w:r w:rsidR="001C3855" w:rsidRPr="00D160FB">
              <w:rPr>
                <w:color w:val="0D0D0D" w:themeColor="text1" w:themeTint="F2"/>
                <w:spacing w:val="-4"/>
                <w:lang w:val="en-GB"/>
              </w:rPr>
              <w:t xml:space="preserve"> </w:t>
            </w:r>
            <w:r w:rsidR="000B31E1" w:rsidRPr="00D160FB">
              <w:rPr>
                <w:color w:val="0D0D0D" w:themeColor="text1" w:themeTint="F2"/>
                <w:spacing w:val="-4"/>
                <w:lang w:val="en-GB"/>
              </w:rPr>
              <w:t>attained strong 1.5% in the quarter-on-quarter expression still in Q</w:t>
            </w:r>
            <w:r w:rsidR="001C3855" w:rsidRPr="00D160FB">
              <w:rPr>
                <w:color w:val="0D0D0D" w:themeColor="text1" w:themeTint="F2"/>
                <w:spacing w:val="-4"/>
                <w:lang w:val="en-GB"/>
              </w:rPr>
              <w:t>2</w:t>
            </w:r>
            <w:r w:rsidR="000B31E1" w:rsidRPr="00D160FB">
              <w:rPr>
                <w:color w:val="0D0D0D" w:themeColor="text1" w:themeTint="F2"/>
                <w:spacing w:val="-4"/>
                <w:lang w:val="en-GB"/>
              </w:rPr>
              <w:t xml:space="preserve"> </w:t>
            </w:r>
            <w:r w:rsidR="001C3855" w:rsidRPr="00D160FB">
              <w:rPr>
                <w:color w:val="0D0D0D" w:themeColor="text1" w:themeTint="F2"/>
                <w:spacing w:val="-4"/>
                <w:lang w:val="en-GB"/>
              </w:rPr>
              <w:t>2022</w:t>
            </w:r>
            <w:r w:rsidR="000B31E1" w:rsidRPr="00D160FB">
              <w:rPr>
                <w:color w:val="0D0D0D" w:themeColor="text1" w:themeTint="F2"/>
                <w:spacing w:val="-4"/>
                <w:lang w:val="en-GB"/>
              </w:rPr>
              <w:t xml:space="preserve"> </w:t>
            </w:r>
            <w:r w:rsidR="001C3855" w:rsidRPr="00D160FB">
              <w:rPr>
                <w:color w:val="0D0D0D" w:themeColor="text1" w:themeTint="F2"/>
                <w:spacing w:val="-4"/>
                <w:lang w:val="en-GB"/>
              </w:rPr>
              <w:t>(</w:t>
            </w:r>
            <w:r w:rsidR="00ED05B0" w:rsidRPr="00D160FB">
              <w:rPr>
                <w:color w:val="0D0D0D" w:themeColor="text1" w:themeTint="F2"/>
                <w:spacing w:val="-4"/>
                <w:lang w:val="en-GB"/>
              </w:rPr>
              <w:t xml:space="preserve">and the number of workers slightly exceeded the record level from the peak of the pre-pandemic boom for the first time </w:t>
            </w:r>
            <w:r w:rsidR="001C3855" w:rsidRPr="00D160FB">
              <w:rPr>
                <w:color w:val="0D0D0D" w:themeColor="text1" w:themeTint="F2"/>
                <w:spacing w:val="-4"/>
                <w:lang w:val="en-GB"/>
              </w:rPr>
              <w:t>– 5</w:t>
            </w:r>
            <w:r w:rsidR="00ED05B0" w:rsidRPr="00D160FB">
              <w:rPr>
                <w:color w:val="0D0D0D" w:themeColor="text1" w:themeTint="F2"/>
                <w:spacing w:val="-4"/>
                <w:lang w:val="en-GB"/>
              </w:rPr>
              <w:t>.</w:t>
            </w:r>
            <w:r w:rsidR="001C3855" w:rsidRPr="00D160FB">
              <w:rPr>
                <w:color w:val="0D0D0D" w:themeColor="text1" w:themeTint="F2"/>
                <w:spacing w:val="-4"/>
                <w:lang w:val="en-GB"/>
              </w:rPr>
              <w:t xml:space="preserve">45 </w:t>
            </w:r>
            <w:r w:rsidR="00ED05B0" w:rsidRPr="00D160FB">
              <w:rPr>
                <w:color w:val="0D0D0D" w:themeColor="text1" w:themeTint="F2"/>
                <w:spacing w:val="-4"/>
                <w:lang w:val="en-GB"/>
              </w:rPr>
              <w:t>mil persons</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the </w:t>
            </w:r>
            <w:r w:rsidR="006F348F" w:rsidRPr="00D160FB">
              <w:rPr>
                <w:color w:val="0D0D0D" w:themeColor="text1" w:themeTint="F2"/>
                <w:spacing w:val="-4"/>
                <w:lang w:val="en-GB"/>
              </w:rPr>
              <w:t xml:space="preserve">quantity of workers already slightly reduced in the subsequent part of the year </w:t>
            </w:r>
            <w:r w:rsidR="001C3855" w:rsidRPr="00D160FB">
              <w:rPr>
                <w:color w:val="0D0D0D" w:themeColor="text1" w:themeTint="F2"/>
                <w:spacing w:val="-4"/>
                <w:lang w:val="en-GB"/>
              </w:rPr>
              <w:t>(</w:t>
            </w:r>
            <w:r w:rsidR="006F348F" w:rsidRPr="00D160FB">
              <w:rPr>
                <w:color w:val="0D0D0D" w:themeColor="text1" w:themeTint="F2"/>
                <w:spacing w:val="-4"/>
                <w:lang w:val="en-GB"/>
              </w:rPr>
              <w:t xml:space="preserve">by </w:t>
            </w:r>
            <w:r w:rsidR="001C3855" w:rsidRPr="00D160FB">
              <w:rPr>
                <w:color w:val="0D0D0D" w:themeColor="text1" w:themeTint="F2"/>
                <w:spacing w:val="-4"/>
                <w:lang w:val="en-GB"/>
              </w:rPr>
              <w:t>27 t</w:t>
            </w:r>
            <w:r w:rsidR="006F348F" w:rsidRPr="00D160FB">
              <w:rPr>
                <w:color w:val="0D0D0D" w:themeColor="text1" w:themeTint="F2"/>
                <w:spacing w:val="-4"/>
                <w:lang w:val="en-GB"/>
              </w:rPr>
              <w:t>housand</w:t>
            </w:r>
            <w:r w:rsidR="001C3855" w:rsidRPr="00D160FB">
              <w:rPr>
                <w:color w:val="0D0D0D" w:themeColor="text1" w:themeTint="F2"/>
                <w:spacing w:val="-4"/>
                <w:lang w:val="en-GB"/>
              </w:rPr>
              <w:t>, 0</w:t>
            </w:r>
            <w:r w:rsidR="006F348F" w:rsidRPr="00D160FB">
              <w:rPr>
                <w:color w:val="0D0D0D" w:themeColor="text1" w:themeTint="F2"/>
                <w:spacing w:val="-4"/>
                <w:lang w:val="en-GB"/>
              </w:rPr>
              <w:t>.</w:t>
            </w:r>
            <w:r w:rsidR="001C3855" w:rsidRPr="00D160FB">
              <w:rPr>
                <w:color w:val="0D0D0D" w:themeColor="text1" w:themeTint="F2"/>
                <w:spacing w:val="-4"/>
                <w:lang w:val="en-GB"/>
              </w:rPr>
              <w:t>5%</w:t>
            </w:r>
            <w:r w:rsidR="006F348F" w:rsidRPr="00D160FB">
              <w:rPr>
                <w:color w:val="0D0D0D" w:themeColor="text1" w:themeTint="F2"/>
                <w:spacing w:val="-4"/>
                <w:lang w:val="en-GB"/>
              </w:rPr>
              <w:t xml:space="preserve"> </w:t>
            </w:r>
            <w:r w:rsidR="00C133BB" w:rsidRPr="00D160FB">
              <w:rPr>
                <w:color w:val="0D0D0D" w:themeColor="text1" w:themeTint="F2"/>
                <w:spacing w:val="-4"/>
                <w:lang w:val="en-GB"/>
              </w:rPr>
              <w:t xml:space="preserve">resp. </w:t>
            </w:r>
            <w:r w:rsidR="006F348F" w:rsidRPr="00D160FB">
              <w:rPr>
                <w:color w:val="0D0D0D" w:themeColor="text1" w:themeTint="F2"/>
                <w:spacing w:val="-4"/>
                <w:lang w:val="en-GB"/>
              </w:rPr>
              <w:t>in total for the whole</w:t>
            </w:r>
            <w:r w:rsidR="00E37C1C">
              <w:rPr>
                <w:color w:val="0D0D0D" w:themeColor="text1" w:themeTint="F2"/>
                <w:spacing w:val="-4"/>
                <w:lang w:val="en-GB"/>
              </w:rPr>
              <w:t xml:space="preserve"> H2</w:t>
            </w:r>
            <w:r w:rsidR="001C3855" w:rsidRPr="00D160FB">
              <w:rPr>
                <w:color w:val="0D0D0D" w:themeColor="text1" w:themeTint="F2"/>
                <w:spacing w:val="-4"/>
                <w:lang w:val="en-GB"/>
              </w:rPr>
              <w:t xml:space="preserve">). </w:t>
            </w:r>
            <w:r w:rsidR="003D6E19" w:rsidRPr="00D160FB">
              <w:rPr>
                <w:color w:val="0D0D0D" w:themeColor="text1" w:themeTint="F2"/>
                <w:spacing w:val="-4"/>
                <w:lang w:val="en-GB"/>
              </w:rPr>
              <w:t>The decline of job vacancies or worsening of short-term expectations of businesses in the area of employment, which manifested across the main branches also completed the picture of falling demand for labour force</w:t>
            </w:r>
            <w:r w:rsidR="001C3855" w:rsidRPr="00D160FB">
              <w:rPr>
                <w:color w:val="0D0D0D" w:themeColor="text1" w:themeTint="F2"/>
                <w:spacing w:val="-4"/>
                <w:lang w:val="en-GB"/>
              </w:rPr>
              <w:t>.</w:t>
            </w:r>
            <w:r w:rsidR="003D6E19" w:rsidRPr="00D160FB">
              <w:rPr>
                <w:color w:val="0D0D0D" w:themeColor="text1" w:themeTint="F2"/>
                <w:spacing w:val="-4"/>
                <w:lang w:val="en-GB"/>
              </w:rPr>
              <w:t xml:space="preserve"> Together with the decrease of GDP </w:t>
            </w:r>
            <w:r w:rsidR="00C47996" w:rsidRPr="00D160FB">
              <w:rPr>
                <w:color w:val="0D0D0D" w:themeColor="text1" w:themeTint="F2"/>
                <w:spacing w:val="-4"/>
                <w:lang w:val="en-GB"/>
              </w:rPr>
              <w:t xml:space="preserve">it accented the fact, that the Czech economy was impacted by recession. </w:t>
            </w:r>
            <w:r w:rsidR="00A80F81" w:rsidRPr="00D160FB">
              <w:rPr>
                <w:color w:val="0D0D0D" w:themeColor="text1" w:themeTint="F2"/>
                <w:spacing w:val="-4"/>
                <w:lang w:val="en-GB"/>
              </w:rPr>
              <w:t>It is not surprising with the view to the nature of the economic down</w:t>
            </w:r>
            <w:r w:rsidR="00E37C1C">
              <w:rPr>
                <w:color w:val="0D0D0D" w:themeColor="text1" w:themeTint="F2"/>
                <w:spacing w:val="-4"/>
                <w:lang w:val="en-GB"/>
              </w:rPr>
              <w:t>turn, that mainly the division T</w:t>
            </w:r>
            <w:r w:rsidR="00A80F81" w:rsidRPr="00D160FB">
              <w:rPr>
                <w:color w:val="0D0D0D" w:themeColor="text1" w:themeTint="F2"/>
                <w:spacing w:val="-4"/>
                <w:lang w:val="en-GB"/>
              </w:rPr>
              <w:t xml:space="preserve">rade, transport, accommodation and restaurants </w:t>
            </w:r>
            <w:r w:rsidR="001C3855" w:rsidRPr="00D160FB">
              <w:rPr>
                <w:color w:val="0D0D0D" w:themeColor="text1" w:themeTint="F2"/>
                <w:spacing w:val="-6"/>
                <w:lang w:val="en-GB"/>
              </w:rPr>
              <w:t>(−28 t</w:t>
            </w:r>
            <w:r w:rsidR="00A80F81" w:rsidRPr="00D160FB">
              <w:rPr>
                <w:color w:val="0D0D0D" w:themeColor="text1" w:themeTint="F2"/>
                <w:spacing w:val="-6"/>
                <w:lang w:val="en-GB"/>
              </w:rPr>
              <w:t>housand persons</w:t>
            </w:r>
            <w:r w:rsidR="001C3855" w:rsidRPr="00D160FB">
              <w:rPr>
                <w:color w:val="0D0D0D" w:themeColor="text1" w:themeTint="F2"/>
                <w:spacing w:val="-6"/>
                <w:lang w:val="en-GB"/>
              </w:rPr>
              <w:t>)</w:t>
            </w:r>
            <w:r w:rsidR="00A80F81" w:rsidRPr="00D160FB">
              <w:rPr>
                <w:color w:val="0D0D0D" w:themeColor="text1" w:themeTint="F2"/>
                <w:spacing w:val="-6"/>
                <w:lang w:val="en-GB"/>
              </w:rPr>
              <w:t xml:space="preserve"> was losing job positions during H2</w:t>
            </w:r>
            <w:r w:rsidR="001C3855" w:rsidRPr="00D160FB">
              <w:rPr>
                <w:color w:val="0D0D0D" w:themeColor="text1" w:themeTint="F2"/>
                <w:spacing w:val="-6"/>
                <w:lang w:val="en-GB"/>
              </w:rPr>
              <w:t>.</w:t>
            </w:r>
            <w:r w:rsidR="001C3855" w:rsidRPr="00D160FB">
              <w:rPr>
                <w:color w:val="0D0D0D" w:themeColor="text1" w:themeTint="F2"/>
                <w:spacing w:val="-4"/>
                <w:lang w:val="en-GB"/>
              </w:rPr>
              <w:t xml:space="preserve"> </w:t>
            </w:r>
            <w:r w:rsidR="00A80F81" w:rsidRPr="00D160FB">
              <w:rPr>
                <w:color w:val="0D0D0D" w:themeColor="text1" w:themeTint="F2"/>
                <w:spacing w:val="-4"/>
                <w:lang w:val="en-GB"/>
              </w:rPr>
              <w:t xml:space="preserve">Weight dominant branch </w:t>
            </w:r>
            <w:r w:rsidR="001C3855" w:rsidRPr="00D160FB">
              <w:rPr>
                <w:color w:val="0D0D0D" w:themeColor="text1" w:themeTint="F2"/>
                <w:spacing w:val="-4"/>
                <w:lang w:val="en-GB"/>
              </w:rPr>
              <w:t xml:space="preserve">– </w:t>
            </w:r>
            <w:r w:rsidR="00A80F81" w:rsidRPr="00D160FB">
              <w:rPr>
                <w:color w:val="0D0D0D" w:themeColor="text1" w:themeTint="F2"/>
                <w:spacing w:val="-4"/>
                <w:lang w:val="en-GB"/>
              </w:rPr>
              <w:t xml:space="preserve">manufacturing also experienced a decline </w:t>
            </w:r>
            <w:r w:rsidR="001C3855" w:rsidRPr="00D160FB">
              <w:rPr>
                <w:color w:val="0D0D0D" w:themeColor="text1" w:themeTint="F2"/>
                <w:spacing w:val="-4"/>
                <w:lang w:val="en-GB"/>
              </w:rPr>
              <w:t>(−15 tis</w:t>
            </w:r>
            <w:r w:rsidR="00A80F81" w:rsidRPr="00D160FB">
              <w:rPr>
                <w:color w:val="0D0D0D" w:themeColor="text1" w:themeTint="F2"/>
                <w:spacing w:val="-4"/>
                <w:lang w:val="en-GB"/>
              </w:rPr>
              <w:t xml:space="preserve"> persons</w:t>
            </w:r>
            <w:r w:rsidR="001C3855" w:rsidRPr="00D160FB">
              <w:rPr>
                <w:color w:val="0D0D0D" w:themeColor="text1" w:themeTint="F2"/>
                <w:spacing w:val="-4"/>
                <w:lang w:val="en-GB"/>
              </w:rPr>
              <w:t xml:space="preserve">). </w:t>
            </w:r>
            <w:r w:rsidR="00C47996" w:rsidRPr="00D160FB">
              <w:rPr>
                <w:color w:val="0D0D0D" w:themeColor="text1" w:themeTint="F2"/>
                <w:spacing w:val="-4"/>
                <w:lang w:val="en-GB"/>
              </w:rPr>
              <w:t>The long-time growing demand for workers in the area of public services and also in information and communication on the contrary acted the most against deeper reduction of employment in the economy.</w:t>
            </w:r>
          </w:p>
        </w:tc>
      </w:tr>
      <w:tr w:rsidR="00B646BC" w:rsidRPr="00D160FB" w14:paraId="2C6EB655" w14:textId="77777777" w:rsidTr="003D13A6">
        <w:trPr>
          <w:trHeight w:val="155"/>
        </w:trPr>
        <w:tc>
          <w:tcPr>
            <w:tcW w:w="1722" w:type="dxa"/>
            <w:shd w:val="clear" w:color="auto" w:fill="auto"/>
            <w:tcMar>
              <w:left w:w="0" w:type="dxa"/>
            </w:tcMar>
          </w:tcPr>
          <w:p w14:paraId="6E6F3658" w14:textId="2C88E957" w:rsidR="001C3855" w:rsidRPr="00D160FB" w:rsidRDefault="00B91136"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Effect of the post-pandemic revival still prevailed in the annual view. Services contributed from nearly three quarters to the employment growth. </w:t>
            </w:r>
          </w:p>
          <w:p w14:paraId="3B84C122" w14:textId="77777777" w:rsidR="001C3855" w:rsidRPr="00D160FB" w:rsidRDefault="001C3855" w:rsidP="00C8019E">
            <w:pPr>
              <w:pStyle w:val="Marginlie"/>
              <w:spacing w:after="120"/>
              <w:rPr>
                <w:color w:val="0D0D0D" w:themeColor="text1" w:themeTint="F2"/>
                <w:spacing w:val="-4"/>
                <w:lang w:val="en-GB"/>
              </w:rPr>
            </w:pPr>
          </w:p>
          <w:p w14:paraId="6EF2163B" w14:textId="77777777" w:rsidR="001C3855" w:rsidRPr="00D160FB" w:rsidRDefault="001C3855" w:rsidP="00C8019E">
            <w:pPr>
              <w:pStyle w:val="Marginlie"/>
              <w:spacing w:after="120"/>
              <w:rPr>
                <w:color w:val="0D0D0D" w:themeColor="text1" w:themeTint="F2"/>
                <w:spacing w:val="-4"/>
                <w:lang w:val="en-GB"/>
              </w:rPr>
            </w:pPr>
          </w:p>
          <w:p w14:paraId="584BD051" w14:textId="77777777" w:rsidR="001C3855" w:rsidRPr="00D160FB" w:rsidRDefault="001C3855" w:rsidP="00C8019E">
            <w:pPr>
              <w:pStyle w:val="Marginlie"/>
              <w:spacing w:after="120"/>
              <w:rPr>
                <w:color w:val="0D0D0D" w:themeColor="text1" w:themeTint="F2"/>
                <w:spacing w:val="-4"/>
                <w:lang w:val="en-GB"/>
              </w:rPr>
            </w:pPr>
          </w:p>
          <w:p w14:paraId="6F838911" w14:textId="77777777" w:rsidR="001C3855" w:rsidRPr="00D160FB" w:rsidRDefault="001C3855" w:rsidP="00C8019E">
            <w:pPr>
              <w:pStyle w:val="Marginlie"/>
              <w:spacing w:after="120"/>
              <w:rPr>
                <w:color w:val="0D0D0D" w:themeColor="text1" w:themeTint="F2"/>
                <w:spacing w:val="-4"/>
                <w:lang w:val="en-GB"/>
              </w:rPr>
            </w:pPr>
          </w:p>
          <w:p w14:paraId="242E429F" w14:textId="6ED57FB6" w:rsidR="001C3855" w:rsidRPr="00D160FB" w:rsidRDefault="00B91136"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Industrial businesses proceeded with caution to creation of new job positions. </w:t>
            </w:r>
          </w:p>
        </w:tc>
        <w:tc>
          <w:tcPr>
            <w:tcW w:w="202" w:type="dxa"/>
            <w:shd w:val="clear" w:color="auto" w:fill="auto"/>
            <w:tcMar>
              <w:left w:w="0" w:type="dxa"/>
            </w:tcMar>
          </w:tcPr>
          <w:p w14:paraId="1DBE818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307C5251" w14:textId="2D8AD412" w:rsidR="001C3855" w:rsidRPr="00D160FB" w:rsidRDefault="005C00F6" w:rsidP="00C8019E">
            <w:pPr>
              <w:rPr>
                <w:color w:val="0D0D0D" w:themeColor="text1" w:themeTint="F2"/>
                <w:spacing w:val="-5"/>
                <w:lang w:val="en-GB"/>
              </w:rPr>
            </w:pPr>
            <w:r w:rsidRPr="00D160FB">
              <w:rPr>
                <w:color w:val="0D0D0D" w:themeColor="text1" w:themeTint="F2"/>
                <w:spacing w:val="-5"/>
                <w:lang w:val="en-GB"/>
              </w:rPr>
              <w:t xml:space="preserve">In total for the last year however the total employment still grew briskly </w:t>
            </w:r>
            <w:r w:rsidR="001C3855" w:rsidRPr="00D160FB">
              <w:rPr>
                <w:color w:val="0D0D0D" w:themeColor="text1" w:themeTint="F2"/>
                <w:spacing w:val="-5"/>
                <w:lang w:val="en-GB"/>
              </w:rPr>
              <w:t>(+1</w:t>
            </w:r>
            <w:r w:rsidRPr="00D160FB">
              <w:rPr>
                <w:color w:val="0D0D0D" w:themeColor="text1" w:themeTint="F2"/>
                <w:spacing w:val="-5"/>
                <w:lang w:val="en-GB"/>
              </w:rPr>
              <w:t>.</w:t>
            </w:r>
            <w:r w:rsidR="001C3855" w:rsidRPr="00D160FB">
              <w:rPr>
                <w:color w:val="0D0D0D" w:themeColor="text1" w:themeTint="F2"/>
                <w:spacing w:val="-5"/>
                <w:lang w:val="en-GB"/>
              </w:rPr>
              <w:t>7%,</w:t>
            </w:r>
            <w:r w:rsidRPr="00D160FB">
              <w:rPr>
                <w:color w:val="0D0D0D" w:themeColor="text1" w:themeTint="F2"/>
                <w:spacing w:val="-5"/>
                <w:lang w:val="en-GB"/>
              </w:rPr>
              <w:t xml:space="preserve"> the most after year </w:t>
            </w:r>
            <w:r w:rsidR="001C3855" w:rsidRPr="00D160FB">
              <w:rPr>
                <w:color w:val="0D0D0D" w:themeColor="text1" w:themeTint="F2"/>
                <w:spacing w:val="-5"/>
                <w:lang w:val="en-GB"/>
              </w:rPr>
              <w:t xml:space="preserve">2008). </w:t>
            </w:r>
            <w:r w:rsidRPr="00D160FB">
              <w:rPr>
                <w:color w:val="0D0D0D" w:themeColor="text1" w:themeTint="F2"/>
                <w:spacing w:val="-5"/>
                <w:lang w:val="en-GB"/>
              </w:rPr>
              <w:t>The lower comparative basis stood primarily behind it, since the domestic labour market was still significantly affected by the impacts of the counter pandemic restrictions in year 2</w:t>
            </w:r>
            <w:r w:rsidR="001C3855" w:rsidRPr="00D160FB">
              <w:rPr>
                <w:color w:val="0D0D0D" w:themeColor="text1" w:themeTint="F2"/>
                <w:spacing w:val="-5"/>
                <w:lang w:val="en-GB"/>
              </w:rPr>
              <w:t>021</w:t>
            </w:r>
            <w:r w:rsidRPr="00D160FB">
              <w:rPr>
                <w:color w:val="0D0D0D" w:themeColor="text1" w:themeTint="F2"/>
                <w:spacing w:val="-5"/>
                <w:lang w:val="en-GB"/>
              </w:rPr>
              <w:t xml:space="preserve"> and the number of workers was thus not growing in number of key branches. </w:t>
            </w:r>
            <w:r w:rsidR="00712913" w:rsidRPr="00D160FB">
              <w:rPr>
                <w:color w:val="0D0D0D" w:themeColor="text1" w:themeTint="F2"/>
                <w:spacing w:val="-5"/>
                <w:lang w:val="en-GB"/>
              </w:rPr>
              <w:t>Employees alone essentially contributed to the growth of total employment last year (+93 thousand persons), since the number of self-employed persons was in fact stagnating</w:t>
            </w:r>
            <w:r w:rsidR="001C3855" w:rsidRPr="00D160FB">
              <w:rPr>
                <w:rStyle w:val="Znakapoznpodarou"/>
                <w:spacing w:val="-5"/>
                <w:lang w:val="en-GB"/>
              </w:rPr>
              <w:footnoteReference w:id="64"/>
            </w:r>
            <w:r w:rsidR="001C3855" w:rsidRPr="00D160FB">
              <w:rPr>
                <w:spacing w:val="-5"/>
                <w:lang w:val="en-GB"/>
              </w:rPr>
              <w:t xml:space="preserve">. </w:t>
            </w:r>
            <w:r w:rsidR="00712913" w:rsidRPr="00D160FB">
              <w:rPr>
                <w:spacing w:val="-5"/>
                <w:lang w:val="en-GB"/>
              </w:rPr>
              <w:t xml:space="preserve">If the increase for employees had rather </w:t>
            </w:r>
            <w:r w:rsidR="006B3B67" w:rsidRPr="00D160FB">
              <w:rPr>
                <w:spacing w:val="-5"/>
                <w:lang w:val="en-GB"/>
              </w:rPr>
              <w:t>all pervasive character</w:t>
            </w:r>
            <w:r w:rsidR="001C3855" w:rsidRPr="00D160FB">
              <w:rPr>
                <w:spacing w:val="-5"/>
                <w:lang w:val="en-GB"/>
              </w:rPr>
              <w:t xml:space="preserve">, </w:t>
            </w:r>
            <w:r w:rsidR="00712913" w:rsidRPr="00D160FB">
              <w:rPr>
                <w:spacing w:val="-5"/>
                <w:lang w:val="en-GB"/>
              </w:rPr>
              <w:t xml:space="preserve">small entrepreneurs still faced weaker demand in some branches </w:t>
            </w:r>
            <w:r w:rsidR="001C3855" w:rsidRPr="00D160FB">
              <w:rPr>
                <w:spacing w:val="-5"/>
                <w:lang w:val="en-GB"/>
              </w:rPr>
              <w:t>(</w:t>
            </w:r>
            <w:r w:rsidR="00712913" w:rsidRPr="00D160FB">
              <w:rPr>
                <w:spacing w:val="-5"/>
                <w:lang w:val="en-GB"/>
              </w:rPr>
              <w:t xml:space="preserve">manufacturing, professional, scientific, technical and </w:t>
            </w:r>
            <w:r w:rsidR="006B3B67" w:rsidRPr="00D160FB">
              <w:rPr>
                <w:spacing w:val="-5"/>
                <w:lang w:val="en-GB"/>
              </w:rPr>
              <w:t>administrative</w:t>
            </w:r>
            <w:r w:rsidR="00712913" w:rsidRPr="00D160FB">
              <w:rPr>
                <w:spacing w:val="-5"/>
                <w:lang w:val="en-GB"/>
              </w:rPr>
              <w:t xml:space="preserve"> activities</w:t>
            </w:r>
            <w:r w:rsidR="001C3855" w:rsidRPr="00D160FB">
              <w:rPr>
                <w:spacing w:val="-5"/>
                <w:lang w:val="en-GB"/>
              </w:rPr>
              <w:t>).</w:t>
            </w:r>
            <w:r w:rsidR="00712913" w:rsidRPr="00D160FB">
              <w:rPr>
                <w:spacing w:val="-5"/>
                <w:lang w:val="en-GB"/>
              </w:rPr>
              <w:t xml:space="preserve"> </w:t>
            </w:r>
            <w:r w:rsidR="006B3B67" w:rsidRPr="00D160FB">
              <w:rPr>
                <w:spacing w:val="-5"/>
                <w:lang w:val="en-GB"/>
              </w:rPr>
              <w:t>Growth of</w:t>
            </w:r>
            <w:r w:rsidR="00712913" w:rsidRPr="00D160FB">
              <w:rPr>
                <w:spacing w:val="-5"/>
                <w:lang w:val="en-GB"/>
              </w:rPr>
              <w:t xml:space="preserve"> total number of workers was </w:t>
            </w:r>
            <w:r w:rsidR="006B3B67" w:rsidRPr="00D160FB">
              <w:rPr>
                <w:spacing w:val="-5"/>
                <w:lang w:val="en-GB"/>
              </w:rPr>
              <w:t xml:space="preserve">from nearly three quarters driven by the services sector. </w:t>
            </w:r>
            <w:r w:rsidR="00C4729B" w:rsidRPr="00D160FB">
              <w:rPr>
                <w:spacing w:val="-5"/>
                <w:lang w:val="en-GB"/>
              </w:rPr>
              <w:t>It was</w:t>
            </w:r>
            <w:r w:rsidR="003862C0">
              <w:rPr>
                <w:spacing w:val="-5"/>
                <w:lang w:val="en-GB"/>
              </w:rPr>
              <w:t xml:space="preserve"> in the first instance division T</w:t>
            </w:r>
            <w:r w:rsidR="00C4729B" w:rsidRPr="00D160FB">
              <w:rPr>
                <w:spacing w:val="-5"/>
                <w:lang w:val="en-GB"/>
              </w:rPr>
              <w:t xml:space="preserve">rade, transport, accommodation and restaurants </w:t>
            </w:r>
            <w:r w:rsidR="001C3855" w:rsidRPr="00D160FB">
              <w:rPr>
                <w:spacing w:val="-5"/>
                <w:lang w:val="en-GB"/>
              </w:rPr>
              <w:t>(+26 t</w:t>
            </w:r>
            <w:r w:rsidR="00C4729B" w:rsidRPr="00D160FB">
              <w:rPr>
                <w:spacing w:val="-5"/>
                <w:lang w:val="en-GB"/>
              </w:rPr>
              <w:t>housand</w:t>
            </w:r>
            <w:r w:rsidR="001C3855" w:rsidRPr="00D160FB">
              <w:rPr>
                <w:spacing w:val="-5"/>
                <w:lang w:val="en-GB"/>
              </w:rPr>
              <w:t>) a</w:t>
            </w:r>
            <w:r w:rsidR="00C4729B" w:rsidRPr="00D160FB">
              <w:rPr>
                <w:spacing w:val="-5"/>
                <w:lang w:val="en-GB"/>
              </w:rPr>
              <w:t>nd public services</w:t>
            </w:r>
            <w:r w:rsidR="001C3855" w:rsidRPr="00D160FB">
              <w:rPr>
                <w:rStyle w:val="Znakapoznpodarou"/>
                <w:spacing w:val="-4"/>
                <w:lang w:val="en-GB"/>
              </w:rPr>
              <w:footnoteReference w:id="65"/>
            </w:r>
            <w:r w:rsidR="001C3855" w:rsidRPr="00D160FB">
              <w:rPr>
                <w:spacing w:val="-4"/>
                <w:lang w:val="en-GB"/>
              </w:rPr>
              <w:t xml:space="preserve"> (+24 t</w:t>
            </w:r>
            <w:r w:rsidR="00C4729B" w:rsidRPr="00D160FB">
              <w:rPr>
                <w:spacing w:val="-4"/>
                <w:lang w:val="en-GB"/>
              </w:rPr>
              <w:t>housand</w:t>
            </w:r>
            <w:r w:rsidR="001C3855" w:rsidRPr="00D160FB">
              <w:rPr>
                <w:spacing w:val="-4"/>
                <w:lang w:val="en-GB"/>
              </w:rPr>
              <w:t>),</w:t>
            </w:r>
            <w:r w:rsidR="00C4729B" w:rsidRPr="00D160FB">
              <w:rPr>
                <w:spacing w:val="-4"/>
                <w:lang w:val="en-GB"/>
              </w:rPr>
              <w:t xml:space="preserve"> where the state responded to the heightened demand mainly in the area of education and both health and social care similarly to the previous years. </w:t>
            </w:r>
            <w:r w:rsidR="00BD672C" w:rsidRPr="00D160FB">
              <w:rPr>
                <w:spacing w:val="-4"/>
                <w:lang w:val="en-GB"/>
              </w:rPr>
              <w:t xml:space="preserve">At least mild employment growth however manifested in all main branches of services last year. </w:t>
            </w:r>
            <w:r w:rsidR="00217F53" w:rsidRPr="00D160FB">
              <w:rPr>
                <w:spacing w:val="-4"/>
                <w:lang w:val="en-GB"/>
              </w:rPr>
              <w:t xml:space="preserve">Beyond the tertiary sphere construction expanded the job positions the most </w:t>
            </w:r>
            <w:r w:rsidR="001C3855" w:rsidRPr="00D160FB">
              <w:rPr>
                <w:color w:val="0D0D0D" w:themeColor="text1" w:themeTint="F2"/>
                <w:spacing w:val="-4"/>
                <w:lang w:val="en-GB"/>
              </w:rPr>
              <w:t>(+14 t</w:t>
            </w:r>
            <w:r w:rsidR="00217F53" w:rsidRPr="00D160FB">
              <w:rPr>
                <w:color w:val="0D0D0D" w:themeColor="text1" w:themeTint="F2"/>
                <w:spacing w:val="-4"/>
                <w:lang w:val="en-GB"/>
              </w:rPr>
              <w:t>housand of persons</w:t>
            </w:r>
            <w:r w:rsidR="001C3855" w:rsidRPr="00D160FB">
              <w:rPr>
                <w:color w:val="0D0D0D" w:themeColor="text1" w:themeTint="F2"/>
                <w:spacing w:val="-4"/>
                <w:lang w:val="en-GB"/>
              </w:rPr>
              <w:t xml:space="preserve">), </w:t>
            </w:r>
            <w:r w:rsidR="00217F53" w:rsidRPr="00D160FB">
              <w:rPr>
                <w:color w:val="0D0D0D" w:themeColor="text1" w:themeTint="F2"/>
                <w:spacing w:val="-4"/>
                <w:lang w:val="en-GB"/>
              </w:rPr>
              <w:t xml:space="preserve">since it benefited from the sound dynamics of the public investment on transportation structures towards the end of the EU programme period. </w:t>
            </w:r>
            <w:r w:rsidR="00BD672C" w:rsidRPr="00D160FB">
              <w:rPr>
                <w:color w:val="0D0D0D" w:themeColor="text1" w:themeTint="F2"/>
                <w:spacing w:val="-4"/>
                <w:lang w:val="en-GB"/>
              </w:rPr>
              <w:t>Employment in industry expanded slower</w:t>
            </w:r>
            <w:r w:rsidR="003862C0">
              <w:rPr>
                <w:color w:val="0D0D0D" w:themeColor="text1" w:themeTint="F2"/>
                <w:spacing w:val="-4"/>
                <w:lang w:val="en-GB"/>
              </w:rPr>
              <w:t xml:space="preserve"> </w:t>
            </w:r>
            <w:r w:rsidR="003862C0" w:rsidRPr="00D160FB">
              <w:rPr>
                <w:color w:val="0D0D0D" w:themeColor="text1" w:themeTint="F2"/>
                <w:spacing w:val="-4"/>
                <w:lang w:val="en-GB"/>
              </w:rPr>
              <w:t>(+0.</w:t>
            </w:r>
            <w:r w:rsidR="003862C0">
              <w:rPr>
                <w:color w:val="0D0D0D" w:themeColor="text1" w:themeTint="F2"/>
                <w:spacing w:val="-4"/>
                <w:lang w:val="en-GB"/>
              </w:rPr>
              <w:t>7%)</w:t>
            </w:r>
            <w:r w:rsidR="00BD672C" w:rsidRPr="00D160FB">
              <w:rPr>
                <w:color w:val="0D0D0D" w:themeColor="text1" w:themeTint="F2"/>
                <w:spacing w:val="-4"/>
                <w:lang w:val="en-GB"/>
              </w:rPr>
              <w:t xml:space="preserve"> under the influence of persisting difficulties with the supply chains as well as the strong cost pressures arising from the ra</w:t>
            </w:r>
            <w:r w:rsidR="003862C0">
              <w:rPr>
                <w:color w:val="0D0D0D" w:themeColor="text1" w:themeTint="F2"/>
                <w:spacing w:val="-4"/>
                <w:lang w:val="en-GB"/>
              </w:rPr>
              <w:t>pid surge of prices of energies</w:t>
            </w:r>
            <w:r w:rsidR="001C3855" w:rsidRPr="00D160FB">
              <w:rPr>
                <w:color w:val="0D0D0D" w:themeColor="text1" w:themeTint="F2"/>
                <w:spacing w:val="-4"/>
                <w:lang w:val="en-GB"/>
              </w:rPr>
              <w:t>,</w:t>
            </w:r>
            <w:r w:rsidR="00BD672C" w:rsidRPr="00D160FB">
              <w:rPr>
                <w:color w:val="0D0D0D" w:themeColor="text1" w:themeTint="F2"/>
                <w:spacing w:val="-4"/>
                <w:lang w:val="en-GB"/>
              </w:rPr>
              <w:t xml:space="preserve"> in that it stagnated in total in non-manufacturing segment of mining and energy industry </w:t>
            </w:r>
            <w:r w:rsidR="001C3855" w:rsidRPr="00D160FB">
              <w:rPr>
                <w:color w:val="0D0D0D" w:themeColor="text1" w:themeTint="F2"/>
                <w:spacing w:val="-4"/>
                <w:lang w:val="en-GB"/>
              </w:rPr>
              <w:t>(</w:t>
            </w:r>
            <w:r w:rsidR="00B91136" w:rsidRPr="00D160FB">
              <w:rPr>
                <w:color w:val="0D0D0D" w:themeColor="text1" w:themeTint="F2"/>
                <w:spacing w:val="-4"/>
                <w:lang w:val="en-GB"/>
              </w:rPr>
              <w:t>similarly to the majority of the past decade</w:t>
            </w:r>
            <w:r w:rsidR="001C3855" w:rsidRPr="00D160FB">
              <w:rPr>
                <w:color w:val="0D0D0D" w:themeColor="text1" w:themeTint="F2"/>
                <w:spacing w:val="-4"/>
                <w:lang w:val="en-GB"/>
              </w:rPr>
              <w:t xml:space="preserve">). </w:t>
            </w:r>
          </w:p>
        </w:tc>
      </w:tr>
      <w:tr w:rsidR="00B646BC" w:rsidRPr="00D160FB" w14:paraId="097337D3" w14:textId="77777777" w:rsidTr="003D13A6">
        <w:trPr>
          <w:trHeight w:val="155"/>
        </w:trPr>
        <w:tc>
          <w:tcPr>
            <w:tcW w:w="1722" w:type="dxa"/>
            <w:shd w:val="clear" w:color="auto" w:fill="auto"/>
            <w:tcMar>
              <w:left w:w="0" w:type="dxa"/>
            </w:tcMar>
          </w:tcPr>
          <w:p w14:paraId="2E55AA9B" w14:textId="46B3447C" w:rsidR="001C3855" w:rsidRPr="00D160FB" w:rsidRDefault="00A26F2A"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Employment grew relative the most in ICT areas at the end of the </w:t>
            </w:r>
            <w:r w:rsidR="003862C0">
              <w:rPr>
                <w:color w:val="0D0D0D" w:themeColor="text1" w:themeTint="F2"/>
                <w:spacing w:val="-4"/>
                <w:lang w:val="en-GB"/>
              </w:rPr>
              <w:t xml:space="preserve">last </w:t>
            </w:r>
            <w:r w:rsidRPr="00D160FB">
              <w:rPr>
                <w:color w:val="0D0D0D" w:themeColor="text1" w:themeTint="F2"/>
                <w:spacing w:val="-4"/>
                <w:lang w:val="en-GB"/>
              </w:rPr>
              <w:t xml:space="preserve">year. </w:t>
            </w:r>
            <w:r w:rsidR="003862C0">
              <w:rPr>
                <w:color w:val="0D0D0D" w:themeColor="text1" w:themeTint="F2"/>
                <w:spacing w:val="-4"/>
                <w:lang w:val="en-GB"/>
              </w:rPr>
              <w:t>So called O</w:t>
            </w:r>
            <w:r w:rsidR="001A593A" w:rsidRPr="00D160FB">
              <w:rPr>
                <w:color w:val="0D0D0D" w:themeColor="text1" w:themeTint="F2"/>
                <w:spacing w:val="-4"/>
                <w:lang w:val="en-GB"/>
              </w:rPr>
              <w:t xml:space="preserve">ther services recorded decline. </w:t>
            </w:r>
          </w:p>
        </w:tc>
        <w:tc>
          <w:tcPr>
            <w:tcW w:w="202" w:type="dxa"/>
            <w:shd w:val="clear" w:color="auto" w:fill="auto"/>
            <w:tcMar>
              <w:left w:w="0" w:type="dxa"/>
            </w:tcMar>
          </w:tcPr>
          <w:p w14:paraId="277EB9F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43B1721A" w14:textId="427D962D" w:rsidR="001C3855" w:rsidRPr="00D160FB" w:rsidRDefault="00A26F2A" w:rsidP="00C8019E">
            <w:pPr>
              <w:rPr>
                <w:spacing w:val="-5"/>
                <w:lang w:val="en-GB"/>
              </w:rPr>
            </w:pPr>
            <w:r w:rsidRPr="00D160FB">
              <w:rPr>
                <w:spacing w:val="-5"/>
                <w:lang w:val="en-GB"/>
              </w:rPr>
              <w:t>Total employment grew by 1.3% year-on-year in Q</w:t>
            </w:r>
            <w:r w:rsidR="001C3855" w:rsidRPr="00D160FB">
              <w:rPr>
                <w:spacing w:val="-5"/>
                <w:lang w:val="en-GB"/>
              </w:rPr>
              <w:t>4</w:t>
            </w:r>
            <w:r w:rsidR="003862C0">
              <w:rPr>
                <w:spacing w:val="-5"/>
                <w:lang w:val="en-GB"/>
              </w:rPr>
              <w:t xml:space="preserve"> 2022</w:t>
            </w:r>
            <w:r w:rsidRPr="00D160FB">
              <w:rPr>
                <w:spacing w:val="-5"/>
                <w:lang w:val="en-GB"/>
              </w:rPr>
              <w:t xml:space="preserve">, mostly thanks to public services. </w:t>
            </w:r>
            <w:r w:rsidR="00547E33" w:rsidRPr="00D160FB">
              <w:rPr>
                <w:spacing w:val="-5"/>
                <w:lang w:val="en-GB"/>
              </w:rPr>
              <w:t xml:space="preserve">The number of workers increased relatively the most in information and communication </w:t>
            </w:r>
            <w:r w:rsidR="001C3855" w:rsidRPr="00D160FB">
              <w:rPr>
                <w:spacing w:val="-5"/>
                <w:lang w:val="en-GB"/>
              </w:rPr>
              <w:t>(+5</w:t>
            </w:r>
            <w:r w:rsidR="00547E33" w:rsidRPr="00D160FB">
              <w:rPr>
                <w:spacing w:val="-5"/>
                <w:lang w:val="en-GB"/>
              </w:rPr>
              <w:t>.</w:t>
            </w:r>
            <w:r w:rsidR="001C3855" w:rsidRPr="00D160FB">
              <w:rPr>
                <w:spacing w:val="-5"/>
                <w:lang w:val="en-GB"/>
              </w:rPr>
              <w:t xml:space="preserve">5%), </w:t>
            </w:r>
            <w:r w:rsidR="00547E33" w:rsidRPr="00D160FB">
              <w:rPr>
                <w:spacing w:val="-5"/>
                <w:lang w:val="en-GB"/>
              </w:rPr>
              <w:t xml:space="preserve">real estate area also fared well </w:t>
            </w:r>
            <w:r w:rsidR="001C3855" w:rsidRPr="00D160FB">
              <w:rPr>
                <w:spacing w:val="-5"/>
                <w:lang w:val="en-GB"/>
              </w:rPr>
              <w:t>(+2</w:t>
            </w:r>
            <w:r w:rsidR="00547E33" w:rsidRPr="00D160FB">
              <w:rPr>
                <w:spacing w:val="-5"/>
                <w:lang w:val="en-GB"/>
              </w:rPr>
              <w:t>.</w:t>
            </w:r>
            <w:r w:rsidR="001C3855" w:rsidRPr="00D160FB">
              <w:rPr>
                <w:spacing w:val="-5"/>
                <w:lang w:val="en-GB"/>
              </w:rPr>
              <w:t xml:space="preserve">1%). </w:t>
            </w:r>
            <w:r w:rsidR="003862C0">
              <w:rPr>
                <w:spacing w:val="-5"/>
                <w:lang w:val="en-GB"/>
              </w:rPr>
              <w:t>In contrast so called O</w:t>
            </w:r>
            <w:r w:rsidR="00547E33" w:rsidRPr="00D160FB">
              <w:rPr>
                <w:spacing w:val="-5"/>
                <w:lang w:val="en-GB"/>
              </w:rPr>
              <w:t>ther services</w:t>
            </w:r>
            <w:r w:rsidR="001C3855" w:rsidRPr="00D160FB">
              <w:rPr>
                <w:rStyle w:val="Znakapoznpodarou"/>
                <w:spacing w:val="-4"/>
                <w:lang w:val="en-GB"/>
              </w:rPr>
              <w:footnoteReference w:id="66"/>
            </w:r>
            <w:r w:rsidR="00547E33" w:rsidRPr="00D160FB">
              <w:rPr>
                <w:spacing w:val="-5"/>
                <w:lang w:val="en-GB"/>
              </w:rPr>
              <w:t xml:space="preserve"> </w:t>
            </w:r>
            <w:r w:rsidR="001C3855" w:rsidRPr="00D160FB">
              <w:rPr>
                <w:spacing w:val="-4"/>
                <w:lang w:val="en-GB"/>
              </w:rPr>
              <w:t xml:space="preserve"> </w:t>
            </w:r>
            <w:r w:rsidR="00547E33" w:rsidRPr="00D160FB">
              <w:rPr>
                <w:spacing w:val="-4"/>
                <w:lang w:val="en-GB"/>
              </w:rPr>
              <w:t xml:space="preserve">detected nearly </w:t>
            </w:r>
            <w:r w:rsidR="001C3855" w:rsidRPr="00D160FB">
              <w:rPr>
                <w:spacing w:val="-4"/>
                <w:lang w:val="en-GB"/>
              </w:rPr>
              <w:t xml:space="preserve">2% </w:t>
            </w:r>
            <w:r w:rsidR="00547E33" w:rsidRPr="00D160FB">
              <w:rPr>
                <w:spacing w:val="-4"/>
                <w:lang w:val="en-GB"/>
              </w:rPr>
              <w:t>decrease</w:t>
            </w:r>
            <w:r w:rsidR="001C3855" w:rsidRPr="00D160FB">
              <w:rPr>
                <w:spacing w:val="-4"/>
                <w:lang w:val="en-GB"/>
              </w:rPr>
              <w:t>.</w:t>
            </w:r>
            <w:r w:rsidR="00547E33" w:rsidRPr="00D160FB">
              <w:rPr>
                <w:spacing w:val="-4"/>
                <w:lang w:val="en-GB"/>
              </w:rPr>
              <w:t xml:space="preserve"> It could have been related to the limitation of expenditures of households on the “non-essential” services. </w:t>
            </w:r>
            <w:r w:rsidR="009C4275" w:rsidRPr="00D160FB">
              <w:rPr>
                <w:spacing w:val="-4"/>
                <w:lang w:val="en-GB"/>
              </w:rPr>
              <w:t xml:space="preserve">There were </w:t>
            </w:r>
            <w:r w:rsidR="001C3855" w:rsidRPr="00D160FB">
              <w:rPr>
                <w:spacing w:val="-4"/>
                <w:lang w:val="en-GB"/>
              </w:rPr>
              <w:t xml:space="preserve">7% </w:t>
            </w:r>
            <w:r w:rsidR="009C4275" w:rsidRPr="00D160FB">
              <w:rPr>
                <w:spacing w:val="-4"/>
                <w:lang w:val="en-GB"/>
              </w:rPr>
              <w:t xml:space="preserve">of workers less in this branch </w:t>
            </w:r>
            <w:r w:rsidR="009C4275" w:rsidRPr="00D160FB">
              <w:rPr>
                <w:spacing w:val="-4"/>
                <w:lang w:val="en-GB"/>
              </w:rPr>
              <w:lastRenderedPageBreak/>
              <w:t>compared to the peak of the pre-pandemic boom (period 2015 to 2019)</w:t>
            </w:r>
            <w:r w:rsidR="001C3855" w:rsidRPr="00D160FB">
              <w:rPr>
                <w:spacing w:val="-4"/>
                <w:lang w:val="en-GB"/>
              </w:rPr>
              <w:t xml:space="preserve">, </w:t>
            </w:r>
            <w:r w:rsidR="009C4275" w:rsidRPr="00D160FB">
              <w:rPr>
                <w:spacing w:val="-4"/>
                <w:lang w:val="en-GB"/>
              </w:rPr>
              <w:t xml:space="preserve">even </w:t>
            </w:r>
            <w:r w:rsidR="001C3855" w:rsidRPr="00D160FB">
              <w:rPr>
                <w:spacing w:val="-4"/>
                <w:lang w:val="en-GB"/>
              </w:rPr>
              <w:t>13%</w:t>
            </w:r>
            <w:r w:rsidR="009C4275" w:rsidRPr="00D160FB">
              <w:rPr>
                <w:spacing w:val="-4"/>
                <w:lang w:val="en-GB"/>
              </w:rPr>
              <w:t xml:space="preserve"> less in the branch financial and insurance activities</w:t>
            </w:r>
            <w:r w:rsidR="001C3855" w:rsidRPr="00D160FB">
              <w:rPr>
                <w:spacing w:val="-4"/>
                <w:lang w:val="en-GB"/>
              </w:rPr>
              <w:t xml:space="preserve"> (</w:t>
            </w:r>
            <w:r w:rsidR="001B10F0" w:rsidRPr="00D160FB">
              <w:rPr>
                <w:spacing w:val="-4"/>
                <w:lang w:val="en-GB"/>
              </w:rPr>
              <w:t>here however small businesses were for the most part behind the decrease</w:t>
            </w:r>
            <w:r w:rsidR="001C3855" w:rsidRPr="00D160FB">
              <w:rPr>
                <w:spacing w:val="-4"/>
                <w:lang w:val="en-GB"/>
              </w:rPr>
              <w:t>).</w:t>
            </w:r>
            <w:r w:rsidR="003862C0">
              <w:rPr>
                <w:spacing w:val="-4"/>
                <w:lang w:val="en-GB"/>
              </w:rPr>
              <w:t xml:space="preserve"> Employment in i</w:t>
            </w:r>
            <w:r w:rsidR="00160A1E" w:rsidRPr="00D160FB">
              <w:rPr>
                <w:spacing w:val="-4"/>
                <w:lang w:val="en-GB"/>
              </w:rPr>
              <w:t xml:space="preserve">ndustry </w:t>
            </w:r>
            <w:r w:rsidR="001C3855" w:rsidRPr="00D160FB">
              <w:rPr>
                <w:spacing w:val="-4"/>
                <w:lang w:val="en-GB"/>
              </w:rPr>
              <w:t>(</w:t>
            </w:r>
            <w:r w:rsidR="00160A1E" w:rsidRPr="00D160FB">
              <w:rPr>
                <w:spacing w:val="-4"/>
                <w:lang w:val="en-GB"/>
              </w:rPr>
              <w:t xml:space="preserve">by </w:t>
            </w:r>
            <w:r w:rsidR="001C3855" w:rsidRPr="00D160FB">
              <w:rPr>
                <w:spacing w:val="-4"/>
                <w:lang w:val="en-GB"/>
              </w:rPr>
              <w:t xml:space="preserve">4%) </w:t>
            </w:r>
            <w:r w:rsidR="00160A1E" w:rsidRPr="00D160FB">
              <w:rPr>
                <w:spacing w:val="-4"/>
                <w:lang w:val="en-GB"/>
              </w:rPr>
              <w:t xml:space="preserve">or </w:t>
            </w:r>
            <w:r w:rsidR="003862C0">
              <w:rPr>
                <w:spacing w:val="-4"/>
                <w:lang w:val="en-GB"/>
              </w:rPr>
              <w:t>in branch of A</w:t>
            </w:r>
            <w:r w:rsidR="00160A1E" w:rsidRPr="00D160FB">
              <w:rPr>
                <w:spacing w:val="-4"/>
                <w:lang w:val="en-GB"/>
              </w:rPr>
              <w:t xml:space="preserve">griculture and forestry </w:t>
            </w:r>
            <w:r w:rsidR="001C3855" w:rsidRPr="00D160FB">
              <w:rPr>
                <w:spacing w:val="-4"/>
                <w:lang w:val="en-GB"/>
              </w:rPr>
              <w:t>(5</w:t>
            </w:r>
            <w:r w:rsidR="00160A1E" w:rsidRPr="00D160FB">
              <w:rPr>
                <w:spacing w:val="-4"/>
                <w:lang w:val="en-GB"/>
              </w:rPr>
              <w:t>.</w:t>
            </w:r>
            <w:r w:rsidR="001C3855" w:rsidRPr="00D160FB">
              <w:rPr>
                <w:spacing w:val="-4"/>
                <w:lang w:val="en-GB"/>
              </w:rPr>
              <w:t>5%)</w:t>
            </w:r>
            <w:r w:rsidR="001B10F0" w:rsidRPr="00D160FB">
              <w:rPr>
                <w:spacing w:val="-4"/>
                <w:lang w:val="en-GB"/>
              </w:rPr>
              <w:t xml:space="preserve"> also stayed behind the pre-pandemic level at the end of the last year</w:t>
            </w:r>
            <w:r w:rsidR="001C3855" w:rsidRPr="00D160FB">
              <w:rPr>
                <w:spacing w:val="-4"/>
                <w:lang w:val="en-GB"/>
              </w:rPr>
              <w:t>,</w:t>
            </w:r>
            <w:r w:rsidR="001B10F0" w:rsidRPr="00D160FB">
              <w:rPr>
                <w:spacing w:val="-4"/>
                <w:lang w:val="en-GB"/>
              </w:rPr>
              <w:t xml:space="preserve"> on the contrary it clearly exceeded this level in the areas of ICT, real estate or public services </w:t>
            </w:r>
            <w:r w:rsidR="001C3855" w:rsidRPr="00D160FB">
              <w:rPr>
                <w:spacing w:val="-4"/>
                <w:lang w:val="en-GB"/>
              </w:rPr>
              <w:t>(</w:t>
            </w:r>
            <w:r w:rsidR="001B10F0" w:rsidRPr="00D160FB">
              <w:rPr>
                <w:spacing w:val="-4"/>
                <w:lang w:val="en-GB"/>
              </w:rPr>
              <w:t xml:space="preserve">by </w:t>
            </w:r>
            <w:r w:rsidR="001C3855" w:rsidRPr="00D160FB">
              <w:rPr>
                <w:spacing w:val="-4"/>
                <w:lang w:val="en-GB"/>
              </w:rPr>
              <w:t xml:space="preserve">6 </w:t>
            </w:r>
            <w:r w:rsidR="001B10F0" w:rsidRPr="00D160FB">
              <w:rPr>
                <w:spacing w:val="-4"/>
                <w:lang w:val="en-GB"/>
              </w:rPr>
              <w:t xml:space="preserve">to </w:t>
            </w:r>
            <w:r w:rsidR="001C3855" w:rsidRPr="00D160FB">
              <w:rPr>
                <w:spacing w:val="-4"/>
                <w:lang w:val="en-GB"/>
              </w:rPr>
              <w:t xml:space="preserve">9%). </w:t>
            </w:r>
          </w:p>
        </w:tc>
      </w:tr>
      <w:tr w:rsidR="00B646BC" w:rsidRPr="00D160FB" w14:paraId="587897E1" w14:textId="77777777" w:rsidTr="003D13A6">
        <w:trPr>
          <w:trHeight w:val="155"/>
        </w:trPr>
        <w:tc>
          <w:tcPr>
            <w:tcW w:w="1722" w:type="dxa"/>
            <w:shd w:val="clear" w:color="auto" w:fill="auto"/>
            <w:tcMar>
              <w:left w:w="0" w:type="dxa"/>
            </w:tcMar>
          </w:tcPr>
          <w:p w14:paraId="24314E1B" w14:textId="079C990E" w:rsidR="001C3855" w:rsidRPr="00D160FB" w:rsidRDefault="00535333" w:rsidP="00C8019E">
            <w:pPr>
              <w:pStyle w:val="Marginlie"/>
              <w:spacing w:after="120"/>
              <w:rPr>
                <w:color w:val="0D0D0D" w:themeColor="text1" w:themeTint="F2"/>
                <w:spacing w:val="-4"/>
                <w:lang w:val="en-GB"/>
              </w:rPr>
            </w:pPr>
            <w:r w:rsidRPr="00D160FB">
              <w:rPr>
                <w:spacing w:val="-5"/>
                <w:lang w:val="en-GB"/>
              </w:rPr>
              <w:lastRenderedPageBreak/>
              <w:t>Growth of the number of foreigners working in</w:t>
            </w:r>
            <w:r w:rsidR="003862C0">
              <w:rPr>
                <w:spacing w:val="-5"/>
                <w:lang w:val="en-GB"/>
              </w:rPr>
              <w:t xml:space="preserve"> the CR accelerated. It was mainly</w:t>
            </w:r>
            <w:r w:rsidRPr="00D160FB">
              <w:rPr>
                <w:spacing w:val="-5"/>
                <w:lang w:val="en-GB"/>
              </w:rPr>
              <w:t xml:space="preserve"> aided by the beginning integration of refugees from Ukraine. </w:t>
            </w:r>
          </w:p>
        </w:tc>
        <w:tc>
          <w:tcPr>
            <w:tcW w:w="202" w:type="dxa"/>
            <w:shd w:val="clear" w:color="auto" w:fill="auto"/>
            <w:tcMar>
              <w:left w:w="0" w:type="dxa"/>
            </w:tcMar>
          </w:tcPr>
          <w:p w14:paraId="128E1AFB"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70ADD95C" w14:textId="39E485A2" w:rsidR="001C3855" w:rsidRPr="00D160FB" w:rsidRDefault="00041DC8" w:rsidP="00C8019E">
            <w:pPr>
              <w:spacing w:after="200"/>
              <w:rPr>
                <w:color w:val="0D0D0D" w:themeColor="text1" w:themeTint="F2"/>
                <w:spacing w:val="-4"/>
                <w:lang w:val="en-GB"/>
              </w:rPr>
            </w:pPr>
            <w:r w:rsidRPr="00D160FB">
              <w:rPr>
                <w:color w:val="0D0D0D" w:themeColor="text1" w:themeTint="F2"/>
                <w:spacing w:val="-4"/>
                <w:lang w:val="en-GB"/>
              </w:rPr>
              <w:t xml:space="preserve">Also in year </w:t>
            </w:r>
            <w:r w:rsidR="001C3855" w:rsidRPr="00D160FB">
              <w:rPr>
                <w:color w:val="0D0D0D" w:themeColor="text1" w:themeTint="F2"/>
                <w:spacing w:val="-4"/>
                <w:lang w:val="en-GB"/>
              </w:rPr>
              <w:t>2022</w:t>
            </w:r>
            <w:r w:rsidRPr="00D160FB">
              <w:rPr>
                <w:color w:val="0D0D0D" w:themeColor="text1" w:themeTint="F2"/>
                <w:spacing w:val="-4"/>
                <w:lang w:val="en-GB"/>
              </w:rPr>
              <w:t xml:space="preserve"> businesses filled </w:t>
            </w:r>
            <w:r w:rsidR="001C3855" w:rsidRPr="00D160FB">
              <w:rPr>
                <w:color w:val="0D0D0D" w:themeColor="text1" w:themeTint="F2"/>
                <w:spacing w:val="-4"/>
                <w:lang w:val="en-GB"/>
              </w:rPr>
              <w:t>(</w:t>
            </w:r>
            <w:r w:rsidRPr="00D160FB">
              <w:rPr>
                <w:color w:val="0D0D0D" w:themeColor="text1" w:themeTint="F2"/>
                <w:spacing w:val="-4"/>
                <w:lang w:val="en-GB"/>
              </w:rPr>
              <w:t xml:space="preserve">mainly in industry, construction as well as some </w:t>
            </w:r>
            <w:r w:rsidR="001C3855" w:rsidRPr="00D160FB">
              <w:rPr>
                <w:color w:val="0D0D0D" w:themeColor="text1" w:themeTint="F2"/>
                <w:spacing w:val="-4"/>
                <w:lang w:val="en-GB"/>
              </w:rPr>
              <w:t>„</w:t>
            </w:r>
            <w:r w:rsidRPr="00D160FB">
              <w:rPr>
                <w:color w:val="0D0D0D" w:themeColor="text1" w:themeTint="F2"/>
                <w:spacing w:val="-4"/>
                <w:lang w:val="en-GB"/>
              </w:rPr>
              <w:t>low-income</w:t>
            </w:r>
            <w:r w:rsidR="001C3855" w:rsidRPr="00D160FB">
              <w:rPr>
                <w:color w:val="0D0D0D" w:themeColor="text1" w:themeTint="F2"/>
                <w:spacing w:val="-4"/>
                <w:lang w:val="en-GB"/>
              </w:rPr>
              <w:t xml:space="preserve">“ </w:t>
            </w:r>
            <w:r w:rsidRPr="00D160FB">
              <w:rPr>
                <w:color w:val="0D0D0D" w:themeColor="text1" w:themeTint="F2"/>
                <w:spacing w:val="-4"/>
                <w:lang w:val="en-GB"/>
              </w:rPr>
              <w:t>branches of services</w:t>
            </w:r>
            <w:r w:rsidR="001C3855" w:rsidRPr="00D160FB">
              <w:rPr>
                <w:color w:val="0D0D0D" w:themeColor="text1" w:themeTint="F2"/>
                <w:spacing w:val="-4"/>
                <w:lang w:val="en-GB"/>
              </w:rPr>
              <w:t xml:space="preserve">) </w:t>
            </w:r>
            <w:r w:rsidRPr="00D160FB">
              <w:rPr>
                <w:color w:val="0D0D0D" w:themeColor="text1" w:themeTint="F2"/>
                <w:spacing w:val="-4"/>
                <w:lang w:val="en-GB"/>
              </w:rPr>
              <w:t>to a significant extent the demand for free labour force via recruitment from abroad</w:t>
            </w:r>
            <w:r w:rsidR="003862C0">
              <w:rPr>
                <w:color w:val="0D0D0D" w:themeColor="text1" w:themeTint="F2"/>
                <w:spacing w:val="-4"/>
                <w:lang w:val="en-GB"/>
              </w:rPr>
              <w:t>,</w:t>
            </w:r>
            <w:r w:rsidRPr="00D160FB">
              <w:rPr>
                <w:color w:val="0D0D0D" w:themeColor="text1" w:themeTint="F2"/>
                <w:spacing w:val="-4"/>
                <w:lang w:val="en-GB"/>
              </w:rPr>
              <w:t xml:space="preserve"> since the source of the potential domestic labour force became nearly exhausted in the last years</w:t>
            </w:r>
            <w:r w:rsidR="001C3855" w:rsidRPr="00D160FB">
              <w:rPr>
                <w:rStyle w:val="Znakapoznpodarou"/>
                <w:color w:val="0D0D0D" w:themeColor="text1" w:themeTint="F2"/>
                <w:spacing w:val="-4"/>
                <w:lang w:val="en-GB"/>
              </w:rPr>
              <w:footnoteReference w:id="67"/>
            </w:r>
            <w:r w:rsidR="001C3855" w:rsidRPr="00D160FB">
              <w:rPr>
                <w:color w:val="0D0D0D" w:themeColor="text1" w:themeTint="F2"/>
                <w:spacing w:val="-4"/>
                <w:lang w:val="en-GB"/>
              </w:rPr>
              <w:t xml:space="preserve">. </w:t>
            </w:r>
            <w:r w:rsidRPr="00D160FB">
              <w:rPr>
                <w:color w:val="0D0D0D" w:themeColor="text1" w:themeTint="F2"/>
                <w:spacing w:val="-4"/>
                <w:lang w:val="en-GB"/>
              </w:rPr>
              <w:t>The growth of the number of foreigners working in the CR considerably gained pace last year, it reached record 800 thousand for employees in November</w:t>
            </w:r>
            <w:r w:rsidR="003862C0">
              <w:rPr>
                <w:color w:val="0D0D0D" w:themeColor="text1" w:themeTint="F2"/>
                <w:spacing w:val="-4"/>
                <w:lang w:val="en-GB"/>
              </w:rPr>
              <w:t xml:space="preserve"> 2022</w:t>
            </w:r>
            <w:r w:rsidR="001C3855" w:rsidRPr="00D160FB">
              <w:rPr>
                <w:rStyle w:val="Znakapoznpodarou"/>
                <w:color w:val="0D0D0D" w:themeColor="text1" w:themeTint="F2"/>
                <w:spacing w:val="-4"/>
                <w:lang w:val="en-GB"/>
              </w:rPr>
              <w:footnoteReference w:id="68"/>
            </w:r>
            <w:r w:rsidR="001C3855" w:rsidRPr="00D160FB">
              <w:rPr>
                <w:spacing w:val="-4"/>
                <w:lang w:val="en-GB"/>
              </w:rPr>
              <w:t xml:space="preserve">. </w:t>
            </w:r>
            <w:r w:rsidR="00DA2080" w:rsidRPr="00D160FB">
              <w:rPr>
                <w:spacing w:val="-4"/>
                <w:lang w:val="en-GB"/>
              </w:rPr>
              <w:t>The beginning integration of refugees from Ukraine was evident here</w:t>
            </w:r>
            <w:r w:rsidR="001C3855" w:rsidRPr="00D160FB">
              <w:rPr>
                <w:rStyle w:val="Znakapoznpodarou"/>
                <w:spacing w:val="-4"/>
                <w:lang w:val="en-GB"/>
              </w:rPr>
              <w:footnoteReference w:id="69"/>
            </w:r>
            <w:r w:rsidR="001C3855" w:rsidRPr="00D160FB">
              <w:rPr>
                <w:spacing w:val="-4"/>
                <w:lang w:val="en-GB"/>
              </w:rPr>
              <w:t xml:space="preserve">, </w:t>
            </w:r>
            <w:r w:rsidR="00DA2080" w:rsidRPr="00D160FB">
              <w:rPr>
                <w:spacing w:val="-4"/>
                <w:lang w:val="en-GB"/>
              </w:rPr>
              <w:t xml:space="preserve">ongoing migration from economically weaker regions of the EU as well as states outside the EU had an effect in much smaller order. </w:t>
            </w:r>
          </w:p>
        </w:tc>
      </w:tr>
      <w:tr w:rsidR="00B646BC" w:rsidRPr="00D160FB" w14:paraId="3560C851" w14:textId="77777777" w:rsidTr="003D13A6">
        <w:trPr>
          <w:trHeight w:val="155"/>
        </w:trPr>
        <w:tc>
          <w:tcPr>
            <w:tcW w:w="1722" w:type="dxa"/>
            <w:shd w:val="clear" w:color="auto" w:fill="auto"/>
            <w:tcMar>
              <w:left w:w="0" w:type="dxa"/>
            </w:tcMar>
          </w:tcPr>
          <w:p w14:paraId="25677D83" w14:textId="3CC041BD" w:rsidR="001C3855" w:rsidRPr="00D160FB" w:rsidRDefault="000F0B07" w:rsidP="00C8019E">
            <w:pPr>
              <w:pStyle w:val="Marginlie"/>
              <w:spacing w:after="120"/>
              <w:rPr>
                <w:color w:val="0D0D0D" w:themeColor="text1" w:themeTint="F2"/>
                <w:spacing w:val="-4"/>
                <w:lang w:val="en-GB"/>
              </w:rPr>
            </w:pPr>
            <w:r w:rsidRPr="00D160FB">
              <w:rPr>
                <w:color w:val="0D0D0D" w:themeColor="text1" w:themeTint="F2"/>
                <w:spacing w:val="-4"/>
                <w:lang w:val="en-GB"/>
              </w:rPr>
              <w:t xml:space="preserve">Growth of the labour productivity per hour worked halted last year. Productivity per worker however mildly increased and approached the level </w:t>
            </w:r>
            <w:r w:rsidR="0087616B" w:rsidRPr="00D160FB">
              <w:rPr>
                <w:color w:val="0D0D0D" w:themeColor="text1" w:themeTint="F2"/>
                <w:spacing w:val="-4"/>
                <w:lang w:val="en-GB"/>
              </w:rPr>
              <w:t>f</w:t>
            </w:r>
            <w:r w:rsidRPr="00D160FB">
              <w:rPr>
                <w:color w:val="0D0D0D" w:themeColor="text1" w:themeTint="F2"/>
                <w:spacing w:val="-4"/>
                <w:lang w:val="en-GB"/>
              </w:rPr>
              <w:t xml:space="preserve">rom year 2019. </w:t>
            </w:r>
          </w:p>
        </w:tc>
        <w:tc>
          <w:tcPr>
            <w:tcW w:w="202" w:type="dxa"/>
            <w:shd w:val="clear" w:color="auto" w:fill="auto"/>
            <w:tcMar>
              <w:left w:w="0" w:type="dxa"/>
            </w:tcMar>
          </w:tcPr>
          <w:p w14:paraId="0E46DE37"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4FC78C5E" w14:textId="6B32032F" w:rsidR="001C3855" w:rsidRPr="00D160FB" w:rsidRDefault="000F0B07" w:rsidP="00C8019E">
            <w:pPr>
              <w:spacing w:after="220"/>
              <w:rPr>
                <w:color w:val="0D0D0D" w:themeColor="text1" w:themeTint="F2"/>
                <w:spacing w:val="-5"/>
                <w:lang w:val="en-GB"/>
              </w:rPr>
            </w:pPr>
            <w:r w:rsidRPr="00D160FB">
              <w:rPr>
                <w:color w:val="0D0D0D" w:themeColor="text1" w:themeTint="F2"/>
                <w:spacing w:val="-5"/>
                <w:lang w:val="en-GB"/>
              </w:rPr>
              <w:t>The labo</w:t>
            </w:r>
            <w:r w:rsidR="00C32290">
              <w:rPr>
                <w:color w:val="0D0D0D" w:themeColor="text1" w:themeTint="F2"/>
                <w:spacing w:val="-5"/>
                <w:lang w:val="en-GB"/>
              </w:rPr>
              <w:t>ur productivity expressed</w:t>
            </w:r>
            <w:r w:rsidRPr="00D160FB">
              <w:rPr>
                <w:color w:val="0D0D0D" w:themeColor="text1" w:themeTint="F2"/>
                <w:spacing w:val="-5"/>
                <w:lang w:val="en-GB"/>
              </w:rPr>
              <w:t xml:space="preserve"> by the real size of the created gross value added per one employee slightly increased year-on-year last year </w:t>
            </w:r>
            <w:r w:rsidR="001C3855" w:rsidRPr="00D160FB">
              <w:rPr>
                <w:color w:val="0D0D0D" w:themeColor="text1" w:themeTint="F2"/>
                <w:spacing w:val="-5"/>
                <w:lang w:val="en-GB"/>
              </w:rPr>
              <w:t>(</w:t>
            </w:r>
            <w:r w:rsidRPr="00D160FB">
              <w:rPr>
                <w:color w:val="0D0D0D" w:themeColor="text1" w:themeTint="F2"/>
                <w:spacing w:val="-5"/>
                <w:lang w:val="en-GB"/>
              </w:rPr>
              <w:t xml:space="preserve">by </w:t>
            </w:r>
            <w:r w:rsidR="001C3855" w:rsidRPr="00D160FB">
              <w:rPr>
                <w:color w:val="0D0D0D" w:themeColor="text1" w:themeTint="F2"/>
                <w:spacing w:val="-5"/>
                <w:lang w:val="en-GB"/>
              </w:rPr>
              <w:t>0</w:t>
            </w:r>
            <w:r w:rsidRPr="00D160FB">
              <w:rPr>
                <w:color w:val="0D0D0D" w:themeColor="text1" w:themeTint="F2"/>
                <w:spacing w:val="-5"/>
                <w:lang w:val="en-GB"/>
              </w:rPr>
              <w:t>.</w:t>
            </w:r>
            <w:r w:rsidR="001C3855" w:rsidRPr="00D160FB">
              <w:rPr>
                <w:color w:val="0D0D0D" w:themeColor="text1" w:themeTint="F2"/>
                <w:spacing w:val="-5"/>
                <w:lang w:val="en-GB"/>
              </w:rPr>
              <w:t>7%) a</w:t>
            </w:r>
            <w:r w:rsidRPr="00D160FB">
              <w:rPr>
                <w:color w:val="0D0D0D" w:themeColor="text1" w:themeTint="F2"/>
                <w:spacing w:val="-5"/>
                <w:lang w:val="en-GB"/>
              </w:rPr>
              <w:t xml:space="preserve">nd nearly reached the level from year </w:t>
            </w:r>
            <w:r w:rsidR="001C3855" w:rsidRPr="00D160FB">
              <w:rPr>
                <w:color w:val="0D0D0D" w:themeColor="text1" w:themeTint="F2"/>
                <w:spacing w:val="-5"/>
                <w:lang w:val="en-GB"/>
              </w:rPr>
              <w:t xml:space="preserve">2019. </w:t>
            </w:r>
            <w:r w:rsidR="00A356C1" w:rsidRPr="00D160FB">
              <w:rPr>
                <w:color w:val="0D0D0D" w:themeColor="text1" w:themeTint="F2"/>
                <w:spacing w:val="-5"/>
                <w:lang w:val="en-GB"/>
              </w:rPr>
              <w:t xml:space="preserve">From the position of the whole economy, manufacturing was key driver of higher productivity last year </w:t>
            </w:r>
            <w:r w:rsidR="001C3855" w:rsidRPr="00D160FB">
              <w:rPr>
                <w:color w:val="0D0D0D" w:themeColor="text1" w:themeTint="F2"/>
                <w:spacing w:val="-5"/>
                <w:lang w:val="en-GB"/>
              </w:rPr>
              <w:t>(</w:t>
            </w:r>
            <w:r w:rsidR="00A356C1" w:rsidRPr="00D160FB">
              <w:rPr>
                <w:color w:val="0D0D0D" w:themeColor="text1" w:themeTint="F2"/>
                <w:spacing w:val="-5"/>
                <w:lang w:val="en-GB"/>
              </w:rPr>
              <w:t xml:space="preserve">even though it still did not fully catch up on the slump from year </w:t>
            </w:r>
            <w:r w:rsidR="001C3855" w:rsidRPr="00D160FB">
              <w:rPr>
                <w:color w:val="0D0D0D" w:themeColor="text1" w:themeTint="F2"/>
                <w:spacing w:val="-5"/>
                <w:lang w:val="en-GB"/>
              </w:rPr>
              <w:t xml:space="preserve">2020), </w:t>
            </w:r>
            <w:r w:rsidR="00A356C1" w:rsidRPr="00D160FB">
              <w:rPr>
                <w:color w:val="0D0D0D" w:themeColor="text1" w:themeTint="F2"/>
                <w:spacing w:val="-5"/>
                <w:lang w:val="en-GB"/>
              </w:rPr>
              <w:t xml:space="preserve">from the longer term view then rather the financial activities. </w:t>
            </w:r>
            <w:r w:rsidR="00001065" w:rsidRPr="00D160FB">
              <w:rPr>
                <w:color w:val="0D0D0D" w:themeColor="text1" w:themeTint="F2"/>
                <w:spacing w:val="-5"/>
                <w:lang w:val="en-GB"/>
              </w:rPr>
              <w:t xml:space="preserve">Productivity per hour worked of the national economy decreased by 1.1% in real terms last year and fell for the first time in the last six years. </w:t>
            </w:r>
            <w:r w:rsidR="001C3855" w:rsidRPr="00D160FB">
              <w:rPr>
                <w:color w:val="0D0D0D" w:themeColor="text1" w:themeTint="F2"/>
                <w:spacing w:val="-5"/>
                <w:lang w:val="en-GB"/>
              </w:rPr>
              <w:t>L</w:t>
            </w:r>
            <w:r w:rsidR="00BA62B5" w:rsidRPr="00D160FB">
              <w:rPr>
                <w:color w:val="0D0D0D" w:themeColor="text1" w:themeTint="F2"/>
                <w:spacing w:val="-5"/>
                <w:lang w:val="en-GB"/>
              </w:rPr>
              <w:t>ast year’s result was adversely a</w:t>
            </w:r>
            <w:r w:rsidR="00C32290">
              <w:rPr>
                <w:color w:val="0D0D0D" w:themeColor="text1" w:themeTint="F2"/>
                <w:spacing w:val="-5"/>
                <w:lang w:val="en-GB"/>
              </w:rPr>
              <w:t>ffected mainly by the division of T</w:t>
            </w:r>
            <w:r w:rsidR="00BA62B5" w:rsidRPr="00D160FB">
              <w:rPr>
                <w:color w:val="0D0D0D" w:themeColor="text1" w:themeTint="F2"/>
                <w:spacing w:val="-5"/>
                <w:lang w:val="en-GB"/>
              </w:rPr>
              <w:t>rade, transport, accommod</w:t>
            </w:r>
            <w:r w:rsidR="00C32290">
              <w:rPr>
                <w:color w:val="0D0D0D" w:themeColor="text1" w:themeTint="F2"/>
                <w:spacing w:val="-5"/>
                <w:lang w:val="en-GB"/>
              </w:rPr>
              <w:t>ation and restaurants and also P</w:t>
            </w:r>
            <w:r w:rsidR="00BA62B5" w:rsidRPr="00D160FB">
              <w:rPr>
                <w:color w:val="0D0D0D" w:themeColor="text1" w:themeTint="F2"/>
                <w:spacing w:val="-5"/>
                <w:lang w:val="en-GB"/>
              </w:rPr>
              <w:t xml:space="preserve">ublic services, where the workload </w:t>
            </w:r>
            <w:r w:rsidR="001C3855" w:rsidRPr="00D160FB">
              <w:rPr>
                <w:color w:val="0D0D0D" w:themeColor="text1" w:themeTint="F2"/>
                <w:spacing w:val="-5"/>
                <w:lang w:val="en-GB"/>
              </w:rPr>
              <w:t>(</w:t>
            </w:r>
            <w:r w:rsidR="00BA62B5" w:rsidRPr="00D160FB">
              <w:rPr>
                <w:color w:val="0D0D0D" w:themeColor="text1" w:themeTint="F2"/>
                <w:spacing w:val="-5"/>
                <w:lang w:val="en-GB"/>
              </w:rPr>
              <w:t>from the view of the average hours worked</w:t>
            </w:r>
            <w:r w:rsidR="001C3855" w:rsidRPr="00D160FB">
              <w:rPr>
                <w:color w:val="0D0D0D" w:themeColor="text1" w:themeTint="F2"/>
                <w:spacing w:val="-5"/>
                <w:lang w:val="en-GB"/>
              </w:rPr>
              <w:t>)</w:t>
            </w:r>
            <w:r w:rsidR="00BA62B5" w:rsidRPr="00D160FB">
              <w:rPr>
                <w:color w:val="0D0D0D" w:themeColor="text1" w:themeTint="F2"/>
                <w:spacing w:val="-5"/>
                <w:lang w:val="en-GB"/>
              </w:rPr>
              <w:t xml:space="preserve"> in some of its segment shrank since the </w:t>
            </w:r>
            <w:r w:rsidR="009630EB" w:rsidRPr="00D160FB">
              <w:rPr>
                <w:color w:val="0D0D0D" w:themeColor="text1" w:themeTint="F2"/>
                <w:spacing w:val="-5"/>
                <w:lang w:val="en-GB"/>
              </w:rPr>
              <w:t xml:space="preserve">retreat of the pandemics. </w:t>
            </w:r>
            <w:r w:rsidR="008C5128" w:rsidRPr="00D160FB">
              <w:rPr>
                <w:color w:val="0D0D0D" w:themeColor="text1" w:themeTint="F2"/>
                <w:spacing w:val="-5"/>
                <w:lang w:val="en-GB"/>
              </w:rPr>
              <w:t xml:space="preserve">The productivity per hour </w:t>
            </w:r>
            <w:r w:rsidR="00C32290">
              <w:rPr>
                <w:color w:val="0D0D0D" w:themeColor="text1" w:themeTint="F2"/>
                <w:spacing w:val="-5"/>
                <w:lang w:val="en-GB"/>
              </w:rPr>
              <w:t xml:space="preserve">however </w:t>
            </w:r>
            <w:r w:rsidR="008C5128" w:rsidRPr="00D160FB">
              <w:rPr>
                <w:color w:val="0D0D0D" w:themeColor="text1" w:themeTint="F2"/>
                <w:spacing w:val="-5"/>
                <w:lang w:val="en-GB"/>
              </w:rPr>
              <w:t>increased by nearly 5% here compared to year 2019</w:t>
            </w:r>
            <w:r w:rsidR="001C3855" w:rsidRPr="00D160FB">
              <w:rPr>
                <w:color w:val="0D0D0D" w:themeColor="text1" w:themeTint="F2"/>
                <w:spacing w:val="-5"/>
                <w:lang w:val="en-GB"/>
              </w:rPr>
              <w:t>,</w:t>
            </w:r>
            <w:r w:rsidR="00553E69" w:rsidRPr="00D160FB">
              <w:rPr>
                <w:color w:val="0D0D0D" w:themeColor="text1" w:themeTint="F2"/>
                <w:spacing w:val="-5"/>
                <w:lang w:val="en-GB"/>
              </w:rPr>
              <w:t xml:space="preserve"> it was also higher in the majority of other main branches of services </w:t>
            </w:r>
            <w:r w:rsidR="001C3855" w:rsidRPr="00D160FB">
              <w:rPr>
                <w:color w:val="0D0D0D" w:themeColor="text1" w:themeTint="F2"/>
                <w:spacing w:val="-5"/>
                <w:lang w:val="en-GB"/>
              </w:rPr>
              <w:t>(</w:t>
            </w:r>
            <w:r w:rsidR="009630EB" w:rsidRPr="00D160FB">
              <w:rPr>
                <w:color w:val="0D0D0D" w:themeColor="text1" w:themeTint="F2"/>
                <w:spacing w:val="-5"/>
                <w:lang w:val="en-GB"/>
              </w:rPr>
              <w:t xml:space="preserve">apart </w:t>
            </w:r>
            <w:r w:rsidR="00553E69" w:rsidRPr="00D160FB">
              <w:rPr>
                <w:color w:val="0D0D0D" w:themeColor="text1" w:themeTint="F2"/>
                <w:spacing w:val="-5"/>
                <w:lang w:val="en-GB"/>
              </w:rPr>
              <w:t>from</w:t>
            </w:r>
            <w:r w:rsidR="009630EB" w:rsidRPr="00D160FB">
              <w:rPr>
                <w:color w:val="0D0D0D" w:themeColor="text1" w:themeTint="F2"/>
                <w:spacing w:val="-5"/>
                <w:lang w:val="en-GB"/>
              </w:rPr>
              <w:t xml:space="preserve"> activities in the real estate area, where it lagged by more than one tenth behind the pre-crisis level</w:t>
            </w:r>
            <w:r w:rsidR="001C3855" w:rsidRPr="00D160FB">
              <w:rPr>
                <w:color w:val="0D0D0D" w:themeColor="text1" w:themeTint="F2"/>
                <w:spacing w:val="-5"/>
                <w:lang w:val="en-GB"/>
              </w:rPr>
              <w:t xml:space="preserve">). </w:t>
            </w:r>
            <w:r w:rsidR="00705D62" w:rsidRPr="00D160FB">
              <w:rPr>
                <w:color w:val="0D0D0D" w:themeColor="text1" w:themeTint="F2"/>
                <w:spacing w:val="-5"/>
                <w:lang w:val="en-GB"/>
              </w:rPr>
              <w:t xml:space="preserve">Construction also had a similar distance last year </w:t>
            </w:r>
            <w:r w:rsidR="001C3855" w:rsidRPr="00D160FB">
              <w:rPr>
                <w:color w:val="0D0D0D" w:themeColor="text1" w:themeTint="F2"/>
                <w:spacing w:val="-5"/>
                <w:lang w:val="en-GB"/>
              </w:rPr>
              <w:t xml:space="preserve">(−12%). </w:t>
            </w:r>
            <w:r w:rsidR="00705D62" w:rsidRPr="00D160FB">
              <w:rPr>
                <w:color w:val="0D0D0D" w:themeColor="text1" w:themeTint="F2"/>
                <w:spacing w:val="-5"/>
                <w:lang w:val="en-GB"/>
              </w:rPr>
              <w:t xml:space="preserve">On the contrary, the productivity in industry accomplished the level from year </w:t>
            </w:r>
            <w:r w:rsidR="001C3855" w:rsidRPr="00D160FB">
              <w:rPr>
                <w:color w:val="0D0D0D" w:themeColor="text1" w:themeTint="F2"/>
                <w:spacing w:val="-5"/>
                <w:lang w:val="en-GB"/>
              </w:rPr>
              <w:t xml:space="preserve">2019, </w:t>
            </w:r>
            <w:r w:rsidR="00705D62" w:rsidRPr="00D160FB">
              <w:rPr>
                <w:color w:val="0D0D0D" w:themeColor="text1" w:themeTint="F2"/>
                <w:spacing w:val="-5"/>
                <w:lang w:val="en-GB"/>
              </w:rPr>
              <w:t xml:space="preserve">exclusively thanks to manufacturing branches </w:t>
            </w:r>
            <w:r w:rsidR="001C3855" w:rsidRPr="00D160FB">
              <w:rPr>
                <w:color w:val="0D0D0D" w:themeColor="text1" w:themeTint="F2"/>
                <w:spacing w:val="-5"/>
                <w:lang w:val="en-GB"/>
              </w:rPr>
              <w:t>(+0</w:t>
            </w:r>
            <w:r w:rsidR="00705D62" w:rsidRPr="00D160FB">
              <w:rPr>
                <w:color w:val="0D0D0D" w:themeColor="text1" w:themeTint="F2"/>
                <w:spacing w:val="-5"/>
                <w:lang w:val="en-GB"/>
              </w:rPr>
              <w:t>.</w:t>
            </w:r>
            <w:r w:rsidR="001C3855" w:rsidRPr="00D160FB">
              <w:rPr>
                <w:color w:val="0D0D0D" w:themeColor="text1" w:themeTint="F2"/>
                <w:spacing w:val="-5"/>
                <w:lang w:val="en-GB"/>
              </w:rPr>
              <w:t>7%</w:t>
            </w:r>
            <w:r w:rsidR="00683C4F" w:rsidRPr="00D160FB">
              <w:rPr>
                <w:color w:val="0D0D0D" w:themeColor="text1" w:themeTint="F2"/>
                <w:spacing w:val="-5"/>
                <w:lang w:val="en-GB"/>
              </w:rPr>
              <w:t>) since</w:t>
            </w:r>
            <w:r w:rsidR="00705D62" w:rsidRPr="00D160FB">
              <w:rPr>
                <w:color w:val="0D0D0D" w:themeColor="text1" w:themeTint="F2"/>
                <w:spacing w:val="-5"/>
                <w:lang w:val="en-GB"/>
              </w:rPr>
              <w:t xml:space="preserve"> it still considerably stayed behind the pre-pandemic level in mining as well as energy industry. </w:t>
            </w:r>
          </w:p>
        </w:tc>
      </w:tr>
      <w:tr w:rsidR="00B646BC" w:rsidRPr="00D160FB" w14:paraId="365D755F" w14:textId="77777777" w:rsidTr="003D13A6">
        <w:trPr>
          <w:trHeight w:val="155"/>
        </w:trPr>
        <w:tc>
          <w:tcPr>
            <w:tcW w:w="1722" w:type="dxa"/>
            <w:shd w:val="clear" w:color="auto" w:fill="auto"/>
            <w:tcMar>
              <w:left w:w="0" w:type="dxa"/>
            </w:tcMar>
          </w:tcPr>
          <w:p w14:paraId="5CF1A0EB" w14:textId="08653058" w:rsidR="001C3855" w:rsidRPr="00D160FB" w:rsidRDefault="00553E69" w:rsidP="00C8019E">
            <w:pPr>
              <w:pStyle w:val="Marginlie"/>
              <w:rPr>
                <w:color w:val="0D0D0D" w:themeColor="text1" w:themeTint="F2"/>
                <w:spacing w:val="-4"/>
                <w:lang w:val="en-GB"/>
              </w:rPr>
            </w:pPr>
            <w:r w:rsidRPr="00D160FB">
              <w:rPr>
                <w:color w:val="0D0D0D" w:themeColor="text1" w:themeTint="F2"/>
                <w:spacing w:val="-4"/>
                <w:lang w:val="en-GB"/>
              </w:rPr>
              <w:t>Expectations of businesses in the area</w:t>
            </w:r>
            <w:r w:rsidR="00A51A85" w:rsidRPr="00D160FB">
              <w:rPr>
                <w:color w:val="0D0D0D" w:themeColor="text1" w:themeTint="F2"/>
                <w:spacing w:val="-4"/>
                <w:lang w:val="en-GB"/>
              </w:rPr>
              <w:t xml:space="preserve"> </w:t>
            </w:r>
            <w:r w:rsidR="00DB3FD0" w:rsidRPr="00D160FB">
              <w:rPr>
                <w:color w:val="0D0D0D" w:themeColor="text1" w:themeTint="F2"/>
                <w:spacing w:val="-4"/>
                <w:lang w:val="en-GB"/>
              </w:rPr>
              <w:t>of employment</w:t>
            </w:r>
            <w:r w:rsidRPr="00D160FB">
              <w:rPr>
                <w:color w:val="0D0D0D" w:themeColor="text1" w:themeTint="F2"/>
                <w:spacing w:val="-4"/>
                <w:lang w:val="en-GB"/>
              </w:rPr>
              <w:t xml:space="preserve"> gradually deteriorated last year. Traders still maintained mild optimism. </w:t>
            </w:r>
            <w:r w:rsidR="001C3855" w:rsidRPr="00D160FB">
              <w:rPr>
                <w:color w:val="0D0D0D" w:themeColor="text1" w:themeTint="F2"/>
                <w:spacing w:val="-4"/>
                <w:lang w:val="en-GB"/>
              </w:rPr>
              <w:t xml:space="preserve"> </w:t>
            </w:r>
          </w:p>
          <w:p w14:paraId="3CB73AE0" w14:textId="77777777" w:rsidR="001C3855" w:rsidRPr="00D160FB" w:rsidRDefault="001C3855" w:rsidP="00C8019E">
            <w:pPr>
              <w:pStyle w:val="Marginlie"/>
              <w:rPr>
                <w:color w:val="0D0D0D" w:themeColor="text1" w:themeTint="F2"/>
                <w:spacing w:val="-4"/>
                <w:lang w:val="en-GB"/>
              </w:rPr>
            </w:pPr>
          </w:p>
          <w:p w14:paraId="5C5A859B" w14:textId="77777777" w:rsidR="001C3855" w:rsidRPr="00D160FB" w:rsidRDefault="001C3855" w:rsidP="00C8019E">
            <w:pPr>
              <w:pStyle w:val="Marginlie"/>
              <w:rPr>
                <w:color w:val="0D0D0D" w:themeColor="text1" w:themeTint="F2"/>
                <w:spacing w:val="-4"/>
                <w:lang w:val="en-GB"/>
              </w:rPr>
            </w:pPr>
          </w:p>
          <w:p w14:paraId="17C46A2C" w14:textId="77777777" w:rsidR="001C3855" w:rsidRPr="00D160FB" w:rsidRDefault="001C3855" w:rsidP="00C8019E">
            <w:pPr>
              <w:pStyle w:val="Marginlie"/>
              <w:rPr>
                <w:color w:val="0D0D0D" w:themeColor="text1" w:themeTint="F2"/>
                <w:spacing w:val="-4"/>
                <w:lang w:val="en-GB"/>
              </w:rPr>
            </w:pPr>
          </w:p>
          <w:p w14:paraId="6529CBCF" w14:textId="77777777" w:rsidR="001C3855" w:rsidRPr="00D160FB" w:rsidRDefault="001C3855" w:rsidP="00C8019E">
            <w:pPr>
              <w:pStyle w:val="Marginlie"/>
              <w:rPr>
                <w:color w:val="0D0D0D" w:themeColor="text1" w:themeTint="F2"/>
                <w:spacing w:val="-4"/>
                <w:lang w:val="en-GB"/>
              </w:rPr>
            </w:pPr>
          </w:p>
          <w:p w14:paraId="0F7CBC63" w14:textId="59F1D079" w:rsidR="001C3855" w:rsidRDefault="001C3855" w:rsidP="00C8019E">
            <w:pPr>
              <w:pStyle w:val="Marginlie"/>
              <w:rPr>
                <w:color w:val="0D0D0D" w:themeColor="text1" w:themeTint="F2"/>
                <w:spacing w:val="-4"/>
                <w:lang w:val="en-GB"/>
              </w:rPr>
            </w:pPr>
          </w:p>
          <w:p w14:paraId="2CD7AA25" w14:textId="5E3F6E1C" w:rsidR="00B647F4" w:rsidRDefault="00B647F4" w:rsidP="00C8019E">
            <w:pPr>
              <w:pStyle w:val="Marginlie"/>
              <w:rPr>
                <w:color w:val="0D0D0D" w:themeColor="text1" w:themeTint="F2"/>
                <w:spacing w:val="-4"/>
                <w:lang w:val="en-GB"/>
              </w:rPr>
            </w:pPr>
          </w:p>
          <w:p w14:paraId="427008AE" w14:textId="77777777" w:rsidR="00B647F4" w:rsidRPr="00D160FB" w:rsidRDefault="00B647F4" w:rsidP="00C8019E">
            <w:pPr>
              <w:pStyle w:val="Marginlie"/>
              <w:rPr>
                <w:color w:val="0D0D0D" w:themeColor="text1" w:themeTint="F2"/>
                <w:spacing w:val="-4"/>
                <w:lang w:val="en-GB"/>
              </w:rPr>
            </w:pPr>
          </w:p>
          <w:p w14:paraId="3F53E2EE" w14:textId="7F9C1A19" w:rsidR="001C3855" w:rsidRPr="00D160FB" w:rsidRDefault="00A356C1" w:rsidP="00C8019E">
            <w:pPr>
              <w:pStyle w:val="Marginlie"/>
              <w:rPr>
                <w:color w:val="0D0D0D" w:themeColor="text1" w:themeTint="F2"/>
                <w:spacing w:val="-4"/>
                <w:lang w:val="en-GB"/>
              </w:rPr>
            </w:pPr>
            <w:r w:rsidRPr="00D160FB">
              <w:rPr>
                <w:color w:val="0D0D0D" w:themeColor="text1" w:themeTint="F2"/>
                <w:spacing w:val="-4"/>
                <w:lang w:val="en-GB"/>
              </w:rPr>
              <w:lastRenderedPageBreak/>
              <w:t>Shor</w:t>
            </w:r>
            <w:r w:rsidR="00BA62B5" w:rsidRPr="00D160FB">
              <w:rPr>
                <w:color w:val="0D0D0D" w:themeColor="text1" w:themeTint="F2"/>
                <w:spacing w:val="-4"/>
                <w:lang w:val="en-GB"/>
              </w:rPr>
              <w:t>tage</w:t>
            </w:r>
            <w:r w:rsidRPr="00D160FB">
              <w:rPr>
                <w:color w:val="0D0D0D" w:themeColor="text1" w:themeTint="F2"/>
                <w:spacing w:val="-4"/>
                <w:lang w:val="en-GB"/>
              </w:rPr>
              <w:t xml:space="preserve"> of labour force remains the main growth barrier in construction, its role rather weakened elsewhere. </w:t>
            </w:r>
          </w:p>
          <w:p w14:paraId="10358A72" w14:textId="77777777" w:rsidR="001C3855" w:rsidRPr="00D160FB" w:rsidRDefault="001C3855" w:rsidP="00C8019E">
            <w:pPr>
              <w:pStyle w:val="Marginlie"/>
              <w:spacing w:after="120"/>
              <w:rPr>
                <w:color w:val="0D0D0D" w:themeColor="text1" w:themeTint="F2"/>
                <w:spacing w:val="-4"/>
                <w:lang w:val="en-GB"/>
              </w:rPr>
            </w:pPr>
          </w:p>
        </w:tc>
        <w:tc>
          <w:tcPr>
            <w:tcW w:w="202" w:type="dxa"/>
            <w:shd w:val="clear" w:color="auto" w:fill="auto"/>
            <w:tcMar>
              <w:left w:w="0" w:type="dxa"/>
            </w:tcMar>
          </w:tcPr>
          <w:p w14:paraId="710D03E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1B5C134F" w14:textId="0E6C7568" w:rsidR="001C3855" w:rsidRPr="00D160FB" w:rsidRDefault="00234F2B" w:rsidP="00C8019E">
            <w:pPr>
              <w:spacing w:after="200"/>
              <w:rPr>
                <w:color w:val="0D0D0D" w:themeColor="text1" w:themeTint="F2"/>
                <w:spacing w:val="-4"/>
                <w:lang w:val="en-GB"/>
              </w:rPr>
            </w:pPr>
            <w:r w:rsidRPr="00D160FB">
              <w:rPr>
                <w:color w:val="0D0D0D" w:themeColor="text1" w:themeTint="F2"/>
                <w:spacing w:val="-4"/>
                <w:lang w:val="en-GB"/>
              </w:rPr>
              <w:t xml:space="preserve">Short term expectations of businesses in the whole economy in the area of employment following the optimistic outlooks from the beginning of the last year </w:t>
            </w:r>
            <w:r w:rsidR="001C3855" w:rsidRPr="00D160FB">
              <w:rPr>
                <w:color w:val="0D0D0D" w:themeColor="text1" w:themeTint="F2"/>
                <w:spacing w:val="-4"/>
                <w:lang w:val="en-GB"/>
              </w:rPr>
              <w:t>(</w:t>
            </w:r>
            <w:r w:rsidRPr="00D160FB">
              <w:rPr>
                <w:color w:val="0D0D0D" w:themeColor="text1" w:themeTint="F2"/>
                <w:spacing w:val="-4"/>
                <w:lang w:val="en-GB"/>
              </w:rPr>
              <w:t xml:space="preserve">when it was the most favourable since summer </w:t>
            </w:r>
            <w:r w:rsidR="001C3855" w:rsidRPr="00D160FB">
              <w:rPr>
                <w:color w:val="0D0D0D" w:themeColor="text1" w:themeTint="F2"/>
                <w:spacing w:val="-4"/>
                <w:lang w:val="en-GB"/>
              </w:rPr>
              <w:t xml:space="preserve">2019) </w:t>
            </w:r>
            <w:r w:rsidRPr="00D160FB">
              <w:rPr>
                <w:color w:val="0D0D0D" w:themeColor="text1" w:themeTint="F2"/>
                <w:spacing w:val="-4"/>
                <w:lang w:val="en-GB"/>
              </w:rPr>
              <w:t xml:space="preserve">gradually slightly worsened. </w:t>
            </w:r>
            <w:r w:rsidR="00971CDA" w:rsidRPr="00D160FB">
              <w:rPr>
                <w:color w:val="0D0D0D" w:themeColor="text1" w:themeTint="F2"/>
                <w:spacing w:val="-4"/>
                <w:lang w:val="en-GB"/>
              </w:rPr>
              <w:t xml:space="preserve">In February </w:t>
            </w:r>
            <w:r w:rsidR="001C3855" w:rsidRPr="00D160FB">
              <w:rPr>
                <w:color w:val="0D0D0D" w:themeColor="text1" w:themeTint="F2"/>
                <w:spacing w:val="-4"/>
                <w:lang w:val="en-GB"/>
              </w:rPr>
              <w:t>2023</w:t>
            </w:r>
            <w:r w:rsidR="00971CDA" w:rsidRPr="00D160FB">
              <w:rPr>
                <w:color w:val="0D0D0D" w:themeColor="text1" w:themeTint="F2"/>
                <w:spacing w:val="-4"/>
                <w:lang w:val="en-GB"/>
              </w:rPr>
              <w:t xml:space="preserve">, it descended to the lowest level since March </w:t>
            </w:r>
            <w:r w:rsidR="001C3855" w:rsidRPr="00D160FB">
              <w:rPr>
                <w:color w:val="0D0D0D" w:themeColor="text1" w:themeTint="F2"/>
                <w:spacing w:val="-4"/>
                <w:lang w:val="en-GB"/>
              </w:rPr>
              <w:t>2021 (</w:t>
            </w:r>
            <w:r w:rsidR="00C32290">
              <w:rPr>
                <w:color w:val="0D0D0D" w:themeColor="text1" w:themeTint="F2"/>
                <w:spacing w:val="-4"/>
                <w:lang w:val="en-GB"/>
              </w:rPr>
              <w:t>when the counter-</w:t>
            </w:r>
            <w:r w:rsidR="00971CDA" w:rsidRPr="00D160FB">
              <w:rPr>
                <w:color w:val="0D0D0D" w:themeColor="text1" w:themeTint="F2"/>
                <w:spacing w:val="-4"/>
                <w:lang w:val="en-GB"/>
              </w:rPr>
              <w:t>pandemic measures peaked</w:t>
            </w:r>
            <w:r w:rsidR="001C3855" w:rsidRPr="00D160FB">
              <w:rPr>
                <w:color w:val="0D0D0D" w:themeColor="text1" w:themeTint="F2"/>
                <w:spacing w:val="-4"/>
                <w:lang w:val="en-GB"/>
              </w:rPr>
              <w:t>).</w:t>
            </w:r>
            <w:r w:rsidR="00971CDA" w:rsidRPr="00D160FB">
              <w:rPr>
                <w:color w:val="0D0D0D" w:themeColor="text1" w:themeTint="F2"/>
                <w:spacing w:val="-4"/>
                <w:lang w:val="en-GB"/>
              </w:rPr>
              <w:t xml:space="preserve"> The negative tendencies were evidence</w:t>
            </w:r>
            <w:r w:rsidR="00C32290">
              <w:rPr>
                <w:color w:val="0D0D0D" w:themeColor="text1" w:themeTint="F2"/>
                <w:spacing w:val="-4"/>
                <w:lang w:val="en-GB"/>
              </w:rPr>
              <w:t>d</w:t>
            </w:r>
            <w:r w:rsidR="00971CDA" w:rsidRPr="00D160FB">
              <w:rPr>
                <w:color w:val="0D0D0D" w:themeColor="text1" w:themeTint="F2"/>
                <w:spacing w:val="-4"/>
                <w:lang w:val="en-GB"/>
              </w:rPr>
              <w:t xml:space="preserve"> mainly in industry and construction. The employment outlooks in retail as well as services did not change much for the majority of the last year</w:t>
            </w:r>
            <w:r w:rsidR="001C3855" w:rsidRPr="00D160FB">
              <w:rPr>
                <w:color w:val="0D0D0D" w:themeColor="text1" w:themeTint="F2"/>
                <w:spacing w:val="-4"/>
                <w:lang w:val="en-GB"/>
              </w:rPr>
              <w:t xml:space="preserve">, </w:t>
            </w:r>
            <w:r w:rsidR="00971CDA" w:rsidRPr="00D160FB">
              <w:rPr>
                <w:color w:val="0D0D0D" w:themeColor="text1" w:themeTint="F2"/>
                <w:spacing w:val="-4"/>
                <w:lang w:val="en-GB"/>
              </w:rPr>
              <w:t xml:space="preserve">at the turn of years </w:t>
            </w:r>
            <w:r w:rsidR="001C3855" w:rsidRPr="00D160FB">
              <w:rPr>
                <w:color w:val="0D0D0D" w:themeColor="text1" w:themeTint="F2"/>
                <w:spacing w:val="-4"/>
                <w:lang w:val="en-GB"/>
              </w:rPr>
              <w:t>2022 a</w:t>
            </w:r>
            <w:r w:rsidR="00971CDA" w:rsidRPr="00D160FB">
              <w:rPr>
                <w:color w:val="0D0D0D" w:themeColor="text1" w:themeTint="F2"/>
                <w:spacing w:val="-4"/>
                <w:lang w:val="en-GB"/>
              </w:rPr>
              <w:t>nd</w:t>
            </w:r>
            <w:r w:rsidR="001C3855" w:rsidRPr="00D160FB">
              <w:rPr>
                <w:color w:val="0D0D0D" w:themeColor="text1" w:themeTint="F2"/>
                <w:spacing w:val="-4"/>
                <w:lang w:val="en-GB"/>
              </w:rPr>
              <w:t xml:space="preserve"> 2023</w:t>
            </w:r>
            <w:r w:rsidR="00971CDA" w:rsidRPr="00D160FB">
              <w:rPr>
                <w:color w:val="0D0D0D" w:themeColor="text1" w:themeTint="F2"/>
                <w:spacing w:val="-4"/>
                <w:lang w:val="en-GB"/>
              </w:rPr>
              <w:t xml:space="preserve"> however the worsening manifested also here. </w:t>
            </w:r>
            <w:r w:rsidR="00025428" w:rsidRPr="00D160FB">
              <w:rPr>
                <w:color w:val="0D0D0D" w:themeColor="text1" w:themeTint="F2"/>
                <w:spacing w:val="-4"/>
                <w:lang w:val="en-GB"/>
              </w:rPr>
              <w:t>Only businesses in trade preserved mild optimism</w:t>
            </w:r>
            <w:r w:rsidR="001C3855" w:rsidRPr="00D160FB">
              <w:rPr>
                <w:color w:val="0D0D0D" w:themeColor="text1" w:themeTint="F2"/>
                <w:spacing w:val="-4"/>
                <w:lang w:val="en-GB"/>
              </w:rPr>
              <w:t xml:space="preserve">, </w:t>
            </w:r>
            <w:r w:rsidR="00025428" w:rsidRPr="00D160FB">
              <w:rPr>
                <w:color w:val="0D0D0D" w:themeColor="text1" w:themeTint="F2"/>
                <w:spacing w:val="-4"/>
                <w:lang w:val="en-GB"/>
              </w:rPr>
              <w:t xml:space="preserve">which contrasted with very low consumer confidence. 10% of firms planned reduction of the level of employees (in the </w:t>
            </w:r>
            <w:r w:rsidR="00C32290">
              <w:rPr>
                <w:color w:val="0D0D0D" w:themeColor="text1" w:themeTint="F2"/>
                <w:spacing w:val="-4"/>
                <w:lang w:val="en-GB"/>
              </w:rPr>
              <w:t xml:space="preserve">nearest three months) </w:t>
            </w:r>
            <w:r w:rsidR="00025428" w:rsidRPr="00D160FB">
              <w:rPr>
                <w:color w:val="0D0D0D" w:themeColor="text1" w:themeTint="F2"/>
                <w:spacing w:val="-4"/>
                <w:lang w:val="en-GB"/>
              </w:rPr>
              <w:t>in January</w:t>
            </w:r>
            <w:r w:rsidR="00C32290">
              <w:rPr>
                <w:color w:val="0D0D0D" w:themeColor="text1" w:themeTint="F2"/>
                <w:spacing w:val="-4"/>
                <w:lang w:val="en-GB"/>
              </w:rPr>
              <w:t xml:space="preserve"> 2023</w:t>
            </w:r>
            <w:r w:rsidR="00025428" w:rsidRPr="00D160FB">
              <w:rPr>
                <w:color w:val="0D0D0D" w:themeColor="text1" w:themeTint="F2"/>
                <w:spacing w:val="-4"/>
                <w:lang w:val="en-GB"/>
              </w:rPr>
              <w:t xml:space="preserve"> (similar proportion presumed in contrast to create new positions), </w:t>
            </w:r>
            <w:r w:rsidR="00025428" w:rsidRPr="00D160FB">
              <w:rPr>
                <w:color w:val="0D0D0D" w:themeColor="text1" w:themeTint="F2"/>
                <w:spacing w:val="-4"/>
                <w:lang w:val="en-GB"/>
              </w:rPr>
              <w:lastRenderedPageBreak/>
              <w:t xml:space="preserve">13% in industry, 18% in construction and </w:t>
            </w:r>
            <w:r w:rsidR="001C3855" w:rsidRPr="00D160FB">
              <w:rPr>
                <w:color w:val="0D0D0D" w:themeColor="text1" w:themeTint="F2"/>
                <w:spacing w:val="-4"/>
                <w:lang w:val="en-GB"/>
              </w:rPr>
              <w:t>21%</w:t>
            </w:r>
            <w:r w:rsidR="001C3855" w:rsidRPr="00D160FB">
              <w:rPr>
                <w:rStyle w:val="Znakapoznpodarou"/>
                <w:color w:val="0D0D0D" w:themeColor="text1" w:themeTint="F2"/>
                <w:spacing w:val="-4"/>
                <w:lang w:val="en-GB"/>
              </w:rPr>
              <w:footnoteReference w:id="70"/>
            </w:r>
            <w:r w:rsidR="00025428" w:rsidRPr="00D160FB">
              <w:rPr>
                <w:color w:val="0D0D0D" w:themeColor="text1" w:themeTint="F2"/>
                <w:spacing w:val="-4"/>
                <w:lang w:val="en-GB"/>
              </w:rPr>
              <w:t xml:space="preserve"> in services</w:t>
            </w:r>
            <w:r w:rsidR="001C3855" w:rsidRPr="00D160FB">
              <w:rPr>
                <w:color w:val="0D0D0D" w:themeColor="text1" w:themeTint="F2"/>
                <w:spacing w:val="-4"/>
                <w:lang w:val="en-GB"/>
              </w:rPr>
              <w:t xml:space="preserve">. </w:t>
            </w:r>
            <w:r w:rsidR="00971CDA" w:rsidRPr="00D160FB">
              <w:rPr>
                <w:color w:val="0D0D0D" w:themeColor="text1" w:themeTint="F2"/>
                <w:spacing w:val="-4"/>
                <w:lang w:val="en-GB"/>
              </w:rPr>
              <w:t xml:space="preserve">It cannot be omitted, that the situation </w:t>
            </w:r>
            <w:r w:rsidR="00025428" w:rsidRPr="00D160FB">
              <w:rPr>
                <w:color w:val="0D0D0D" w:themeColor="text1" w:themeTint="F2"/>
                <w:spacing w:val="-4"/>
                <w:lang w:val="en-GB"/>
              </w:rPr>
              <w:t>differed at the level of subbranches within industry as well as services</w:t>
            </w:r>
            <w:r w:rsidR="001C3855" w:rsidRPr="00D160FB">
              <w:rPr>
                <w:rStyle w:val="Znakapoznpodarou"/>
                <w:color w:val="0D0D0D" w:themeColor="text1" w:themeTint="F2"/>
                <w:spacing w:val="-4"/>
                <w:lang w:val="en-GB"/>
              </w:rPr>
              <w:footnoteReference w:id="71"/>
            </w:r>
            <w:r w:rsidR="001C3855" w:rsidRPr="00D160FB">
              <w:rPr>
                <w:color w:val="0D0D0D" w:themeColor="text1" w:themeTint="F2"/>
                <w:spacing w:val="-4"/>
                <w:lang w:val="en-GB"/>
              </w:rPr>
              <w:t>.</w:t>
            </w:r>
            <w:r w:rsidR="00AB7E01" w:rsidRPr="00D160FB">
              <w:rPr>
                <w:color w:val="0D0D0D" w:themeColor="text1" w:themeTint="F2"/>
                <w:spacing w:val="-4"/>
                <w:lang w:val="en-GB"/>
              </w:rPr>
              <w:t xml:space="preserve"> </w:t>
            </w:r>
            <w:r w:rsidR="001C3855" w:rsidRPr="00D160FB">
              <w:rPr>
                <w:color w:val="0D0D0D" w:themeColor="text1" w:themeTint="F2"/>
                <w:spacing w:val="-4"/>
                <w:lang w:val="en-GB"/>
              </w:rPr>
              <w:t xml:space="preserve"> </w:t>
            </w:r>
            <w:r w:rsidR="00EF6A17" w:rsidRPr="00D160FB">
              <w:rPr>
                <w:color w:val="0D0D0D" w:themeColor="text1" w:themeTint="F2"/>
                <w:spacing w:val="-4"/>
                <w:lang w:val="en-GB"/>
              </w:rPr>
              <w:t xml:space="preserve">Due to the effect of deterioration of the overall economic outlooks as well as unexpectedly larger inflow of persons form Ukraine to the domestic labour market, the share of businesses which consider the shortage of labour force </w:t>
            </w:r>
            <w:r w:rsidR="00B647F4">
              <w:rPr>
                <w:color w:val="0D0D0D" w:themeColor="text1" w:themeTint="F2"/>
                <w:spacing w:val="-4"/>
                <w:lang w:val="en-GB"/>
              </w:rPr>
              <w:t xml:space="preserve">as a </w:t>
            </w:r>
            <w:r w:rsidR="00EF6A17" w:rsidRPr="00D160FB">
              <w:rPr>
                <w:color w:val="0D0D0D" w:themeColor="text1" w:themeTint="F2"/>
                <w:spacing w:val="-4"/>
                <w:lang w:val="en-GB"/>
              </w:rPr>
              <w:t>one of the significant growth barriers, dropped during the last year in the majority of the main branches</w:t>
            </w:r>
            <w:r w:rsidR="001C3855" w:rsidRPr="00D160FB">
              <w:rPr>
                <w:color w:val="0D0D0D" w:themeColor="text1" w:themeTint="F2"/>
                <w:spacing w:val="-4"/>
                <w:lang w:val="en-GB"/>
              </w:rPr>
              <w:t xml:space="preserve"> (</w:t>
            </w:r>
            <w:r w:rsidR="00AB7E01" w:rsidRPr="00D160FB">
              <w:rPr>
                <w:color w:val="0D0D0D" w:themeColor="text1" w:themeTint="F2"/>
                <w:spacing w:val="-4"/>
                <w:lang w:val="en-GB"/>
              </w:rPr>
              <w:t xml:space="preserve">e.g. 20% of businesses marked this </w:t>
            </w:r>
            <w:r w:rsidR="00B647F4">
              <w:rPr>
                <w:color w:val="0D0D0D" w:themeColor="text1" w:themeTint="F2"/>
                <w:spacing w:val="-4"/>
                <w:lang w:val="en-GB"/>
              </w:rPr>
              <w:t>barrier in services in January 2022</w:t>
            </w:r>
            <w:r w:rsidR="001C3855" w:rsidRPr="00D160FB">
              <w:rPr>
                <w:color w:val="0D0D0D" w:themeColor="text1" w:themeTint="F2"/>
                <w:spacing w:val="-4"/>
                <w:lang w:val="en-GB"/>
              </w:rPr>
              <w:t xml:space="preserve">, </w:t>
            </w:r>
            <w:r w:rsidR="00AB7E01" w:rsidRPr="00D160FB">
              <w:rPr>
                <w:color w:val="0D0D0D" w:themeColor="text1" w:themeTint="F2"/>
                <w:spacing w:val="-4"/>
                <w:lang w:val="en-GB"/>
              </w:rPr>
              <w:t>only 9% one year later</w:t>
            </w:r>
            <w:r w:rsidR="001C3855" w:rsidRPr="00D160FB">
              <w:rPr>
                <w:color w:val="0D0D0D" w:themeColor="text1" w:themeTint="F2"/>
                <w:spacing w:val="-4"/>
                <w:lang w:val="en-GB"/>
              </w:rPr>
              <w:t xml:space="preserve">). </w:t>
            </w:r>
            <w:r w:rsidR="00EF6A17" w:rsidRPr="00D160FB">
              <w:rPr>
                <w:color w:val="0D0D0D" w:themeColor="text1" w:themeTint="F2"/>
                <w:spacing w:val="-4"/>
                <w:lang w:val="en-GB"/>
              </w:rPr>
              <w:t xml:space="preserve">This issue however still remained pressing in construction, </w:t>
            </w:r>
            <w:r w:rsidR="00AB7E01" w:rsidRPr="00D160FB">
              <w:rPr>
                <w:color w:val="0D0D0D" w:themeColor="text1" w:themeTint="F2"/>
                <w:spacing w:val="-4"/>
                <w:lang w:val="en-GB"/>
              </w:rPr>
              <w:t xml:space="preserve">because it limited more than 40% of businesses at the beginning of year </w:t>
            </w:r>
            <w:r w:rsidR="00EF6A17" w:rsidRPr="00D160FB">
              <w:rPr>
                <w:color w:val="0D0D0D" w:themeColor="text1" w:themeTint="F2"/>
                <w:spacing w:val="-4"/>
                <w:lang w:val="en-GB"/>
              </w:rPr>
              <w:t>2</w:t>
            </w:r>
            <w:r w:rsidR="00AB7E01" w:rsidRPr="00D160FB">
              <w:rPr>
                <w:color w:val="0D0D0D" w:themeColor="text1" w:themeTint="F2"/>
                <w:spacing w:val="-4"/>
                <w:lang w:val="en-GB"/>
              </w:rPr>
              <w:t xml:space="preserve">023 and still constituted a key growth barrier. </w:t>
            </w:r>
          </w:p>
        </w:tc>
      </w:tr>
      <w:tr w:rsidR="00B646BC" w:rsidRPr="00D160FB" w14:paraId="0275EC1B" w14:textId="77777777" w:rsidTr="003D13A6">
        <w:trPr>
          <w:trHeight w:val="155"/>
        </w:trPr>
        <w:tc>
          <w:tcPr>
            <w:tcW w:w="1722" w:type="dxa"/>
            <w:vMerge w:val="restart"/>
            <w:shd w:val="clear" w:color="auto" w:fill="auto"/>
            <w:tcMar>
              <w:left w:w="0" w:type="dxa"/>
            </w:tcMar>
          </w:tcPr>
          <w:p w14:paraId="3A6C95C7" w14:textId="77777777" w:rsidR="001C3855" w:rsidRPr="00D160FB" w:rsidRDefault="001C3855" w:rsidP="00C8019E">
            <w:pPr>
              <w:pStyle w:val="Marginlie"/>
              <w:spacing w:after="120"/>
              <w:rPr>
                <w:spacing w:val="-4"/>
                <w:lang w:val="en-GB"/>
              </w:rPr>
            </w:pPr>
          </w:p>
        </w:tc>
        <w:tc>
          <w:tcPr>
            <w:tcW w:w="202" w:type="dxa"/>
            <w:vMerge w:val="restart"/>
            <w:shd w:val="clear" w:color="auto" w:fill="auto"/>
            <w:tcMar>
              <w:left w:w="0" w:type="dxa"/>
            </w:tcMar>
          </w:tcPr>
          <w:p w14:paraId="72BACC15"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033424D7" w14:textId="51D18DEC" w:rsidR="001C3855" w:rsidRPr="00D160FB" w:rsidRDefault="00163885" w:rsidP="00C8019E">
            <w:pPr>
              <w:spacing w:after="0"/>
              <w:rPr>
                <w:spacing w:val="-2"/>
                <w:lang w:val="en-GB"/>
              </w:rPr>
            </w:pPr>
            <w:r w:rsidRPr="00D160FB">
              <w:rPr>
                <w:rFonts w:cs="Arial"/>
                <w:b/>
                <w:bCs/>
                <w:color w:val="000000"/>
                <w:szCs w:val="20"/>
                <w:lang w:val="en-GB"/>
              </w:rPr>
              <w:t xml:space="preserve">Chart </w:t>
            </w:r>
            <w:r w:rsidR="008F525A" w:rsidRPr="00D160FB">
              <w:rPr>
                <w:rFonts w:cs="Arial"/>
                <w:b/>
                <w:bCs/>
                <w:color w:val="000000"/>
                <w:szCs w:val="20"/>
                <w:lang w:val="en-GB"/>
              </w:rPr>
              <w:t>14</w:t>
            </w:r>
            <w:r w:rsidR="001C3855" w:rsidRPr="00D160FB">
              <w:rPr>
                <w:rFonts w:cs="Arial"/>
                <w:b/>
                <w:bCs/>
                <w:color w:val="000000"/>
                <w:sz w:val="18"/>
                <w:szCs w:val="18"/>
                <w:lang w:val="en-GB"/>
              </w:rPr>
              <w:t xml:space="preserve"> </w:t>
            </w:r>
            <w:r w:rsidR="00A51A85" w:rsidRPr="00D160FB">
              <w:rPr>
                <w:rFonts w:cs="Arial"/>
                <w:b/>
                <w:bCs/>
                <w:color w:val="000000"/>
                <w:spacing w:val="-3"/>
                <w:szCs w:val="20"/>
                <w:lang w:val="en-GB"/>
              </w:rPr>
              <w:t xml:space="preserve">Total employment </w:t>
            </w:r>
            <w:r w:rsidR="00A51A85" w:rsidRPr="00D160FB">
              <w:rPr>
                <w:rFonts w:cs="Arial"/>
                <w:color w:val="000000"/>
                <w:spacing w:val="-3"/>
                <w:szCs w:val="20"/>
                <w:lang w:val="en-GB"/>
              </w:rPr>
              <w:t>(year-on-year in %),</w:t>
            </w:r>
            <w:r w:rsidR="00A51A85" w:rsidRPr="00D160FB">
              <w:rPr>
                <w:rFonts w:cs="Arial"/>
                <w:b/>
                <w:bCs/>
                <w:color w:val="000000"/>
                <w:spacing w:val="-3"/>
                <w:szCs w:val="20"/>
                <w:lang w:val="en-GB"/>
              </w:rPr>
              <w:t xml:space="preserve"> contributions of branches to year-on-year change of employment </w:t>
            </w:r>
            <w:r w:rsidR="00A51A85" w:rsidRPr="00D160FB">
              <w:rPr>
                <w:rFonts w:cs="Arial"/>
                <w:color w:val="000000"/>
                <w:spacing w:val="-3"/>
                <w:szCs w:val="20"/>
                <w:lang w:val="en-GB"/>
              </w:rPr>
              <w:t>(in p.p.)</w:t>
            </w:r>
            <w:r w:rsidR="00A51A85" w:rsidRPr="00D160FB">
              <w:rPr>
                <w:rFonts w:cs="Arial"/>
                <w:b/>
                <w:bCs/>
                <w:color w:val="000000"/>
                <w:spacing w:val="-3"/>
                <w:szCs w:val="20"/>
                <w:lang w:val="en-GB"/>
              </w:rPr>
              <w:t xml:space="preserve"> and expectations of employment development</w:t>
            </w:r>
            <w:r w:rsidR="00A51A85" w:rsidRPr="00D160FB">
              <w:rPr>
                <w:rFonts w:cs="Arial"/>
                <w:color w:val="000000"/>
                <w:spacing w:val="-3"/>
                <w:szCs w:val="20"/>
                <w:lang w:val="en-GB"/>
              </w:rPr>
              <w:t xml:space="preserve"> (balance in p. p.) </w:t>
            </w:r>
          </w:p>
        </w:tc>
      </w:tr>
      <w:tr w:rsidR="00B646BC" w:rsidRPr="00D160FB" w14:paraId="4DD0CFB9" w14:textId="77777777" w:rsidTr="003D13A6">
        <w:tblPrEx>
          <w:tblCellMar>
            <w:left w:w="70" w:type="dxa"/>
            <w:right w:w="70" w:type="dxa"/>
          </w:tblCellMar>
        </w:tblPrEx>
        <w:trPr>
          <w:trHeight w:val="155"/>
        </w:trPr>
        <w:tc>
          <w:tcPr>
            <w:tcW w:w="1722" w:type="dxa"/>
            <w:vMerge/>
          </w:tcPr>
          <w:p w14:paraId="00EF6A6F" w14:textId="77777777" w:rsidR="001C3855" w:rsidRPr="00D160FB" w:rsidRDefault="001C3855" w:rsidP="00C8019E">
            <w:pPr>
              <w:pStyle w:val="Marginlie"/>
              <w:spacing w:after="120"/>
              <w:rPr>
                <w:spacing w:val="-4"/>
                <w:lang w:val="en-GB"/>
              </w:rPr>
            </w:pPr>
          </w:p>
        </w:tc>
        <w:tc>
          <w:tcPr>
            <w:tcW w:w="202" w:type="dxa"/>
            <w:vMerge/>
          </w:tcPr>
          <w:p w14:paraId="7BD2C549" w14:textId="77777777" w:rsidR="001C3855" w:rsidRPr="00D160FB" w:rsidRDefault="001C3855" w:rsidP="00C8019E">
            <w:pPr>
              <w:pStyle w:val="Textpoznpodarou"/>
              <w:spacing w:after="120"/>
              <w:jc w:val="both"/>
              <w:rPr>
                <w:spacing w:val="-4"/>
                <w:lang w:val="en-GB"/>
              </w:rPr>
            </w:pPr>
          </w:p>
        </w:tc>
        <w:tc>
          <w:tcPr>
            <w:tcW w:w="7750" w:type="dxa"/>
            <w:shd w:val="clear" w:color="auto" w:fill="auto"/>
          </w:tcPr>
          <w:p w14:paraId="5FE77718" w14:textId="523701E9" w:rsidR="001C3855" w:rsidRPr="00D160FB" w:rsidRDefault="00D328E1" w:rsidP="00D328E1">
            <w:pPr>
              <w:spacing w:after="0"/>
              <w:rPr>
                <w:lang w:val="en-GB"/>
              </w:rPr>
            </w:pPr>
            <w:r>
              <w:rPr>
                <w:noProof/>
              </w:rPr>
              <w:drawing>
                <wp:inline distT="0" distB="0" distL="0" distR="0" wp14:anchorId="235130FF" wp14:editId="2957CFF9">
                  <wp:extent cx="4664075" cy="3895725"/>
                  <wp:effectExtent l="0" t="0" r="3175"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B646BC" w:rsidRPr="00D160FB" w14:paraId="2E7971A5" w14:textId="77777777" w:rsidTr="003D13A6">
        <w:trPr>
          <w:trHeight w:val="671"/>
        </w:trPr>
        <w:tc>
          <w:tcPr>
            <w:tcW w:w="1722" w:type="dxa"/>
            <w:vMerge/>
            <w:tcMar>
              <w:left w:w="0" w:type="dxa"/>
            </w:tcMar>
          </w:tcPr>
          <w:p w14:paraId="5EBDDDA6" w14:textId="77777777" w:rsidR="001C3855" w:rsidRPr="00D160FB" w:rsidRDefault="001C3855" w:rsidP="00C8019E">
            <w:pPr>
              <w:pStyle w:val="Marginlie"/>
              <w:spacing w:after="120"/>
              <w:rPr>
                <w:spacing w:val="-4"/>
                <w:lang w:val="en-GB"/>
              </w:rPr>
            </w:pPr>
          </w:p>
        </w:tc>
        <w:tc>
          <w:tcPr>
            <w:tcW w:w="202" w:type="dxa"/>
            <w:vMerge/>
            <w:tcMar>
              <w:left w:w="0" w:type="dxa"/>
            </w:tcMar>
          </w:tcPr>
          <w:p w14:paraId="34ED034B"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1887B0EA" w14:textId="7F99E51A" w:rsidR="00AD4876" w:rsidRPr="00D160FB" w:rsidRDefault="00AD4876" w:rsidP="00D328E1">
            <w:pPr>
              <w:spacing w:after="0"/>
              <w:rPr>
                <w:rFonts w:cs="Arial"/>
                <w:sz w:val="14"/>
                <w:szCs w:val="14"/>
                <w:lang w:val="en-GB"/>
              </w:rPr>
            </w:pPr>
            <w:r w:rsidRPr="00D160FB">
              <w:rPr>
                <w:rFonts w:cs="Arial"/>
                <w:color w:val="0D0D0D" w:themeColor="text1" w:themeTint="F2"/>
                <w:spacing w:val="-2"/>
                <w:sz w:val="14"/>
                <w:szCs w:val="14"/>
                <w:lang w:val="en-GB"/>
              </w:rPr>
              <w:t>*</w:t>
            </w:r>
            <w:r w:rsidRPr="00D160FB">
              <w:rPr>
                <w:rFonts w:cs="Arial"/>
                <w:sz w:val="14"/>
                <w:szCs w:val="14"/>
                <w:lang w:val="en-GB"/>
              </w:rPr>
              <w:t xml:space="preserve"> Mining and energetics; Financial and insurance activities; Real estate activities; Arts, entertainment and recreation activities. </w:t>
            </w:r>
          </w:p>
          <w:p w14:paraId="289AD2E8" w14:textId="77777777" w:rsidR="00AD4876" w:rsidRPr="00D160FB" w:rsidRDefault="00AD4876" w:rsidP="00D328E1">
            <w:pPr>
              <w:spacing w:after="0"/>
              <w:rPr>
                <w:rFonts w:cs="Arial"/>
                <w:sz w:val="14"/>
                <w:szCs w:val="14"/>
                <w:lang w:val="en-GB"/>
              </w:rPr>
            </w:pPr>
            <w:r w:rsidRPr="00D160FB">
              <w:rPr>
                <w:rFonts w:cs="Arial"/>
                <w:sz w:val="14"/>
                <w:szCs w:val="14"/>
                <w:lang w:val="en-GB"/>
              </w:rPr>
              <w:t xml:space="preserve">Note: Balance of expectations expresses the difference in p.p. between categories growth vs. decrease of employment in the nearest three months. Data are seasonally adjusted and relate to the second month of the given quarter. </w:t>
            </w:r>
          </w:p>
          <w:p w14:paraId="59573FD2" w14:textId="2BE659A0" w:rsidR="00AD4876" w:rsidRPr="00D160FB" w:rsidRDefault="00AD4876" w:rsidP="00D328E1">
            <w:pPr>
              <w:spacing w:after="0"/>
              <w:rPr>
                <w:rFonts w:cs="Arial"/>
                <w:sz w:val="14"/>
                <w:szCs w:val="14"/>
                <w:lang w:val="en-GB"/>
              </w:rPr>
            </w:pPr>
            <w:r w:rsidRPr="00D160FB">
              <w:rPr>
                <w:rFonts w:cs="Arial"/>
                <w:sz w:val="14"/>
                <w:szCs w:val="14"/>
                <w:lang w:val="en-GB"/>
              </w:rPr>
              <w:t>Source: CZSO, Eurostat (national accounts, business cycle surveys)</w:t>
            </w:r>
          </w:p>
          <w:p w14:paraId="635AD3BA" w14:textId="200D2004" w:rsidR="00A51A85" w:rsidRPr="00D160FB" w:rsidRDefault="00A51A85" w:rsidP="00D328E1">
            <w:pPr>
              <w:spacing w:after="0"/>
              <w:rPr>
                <w:rFonts w:cs="Arial"/>
                <w:b/>
                <w:bCs/>
                <w:color w:val="0D0D0D" w:themeColor="text1" w:themeTint="F2"/>
                <w:spacing w:val="-2"/>
                <w:sz w:val="16"/>
                <w:szCs w:val="16"/>
                <w:lang w:val="en-GB"/>
              </w:rPr>
            </w:pPr>
          </w:p>
        </w:tc>
      </w:tr>
      <w:tr w:rsidR="00B646BC" w:rsidRPr="00D160FB" w14:paraId="6D9A12E6" w14:textId="77777777" w:rsidTr="003D13A6">
        <w:trPr>
          <w:trHeight w:val="145"/>
        </w:trPr>
        <w:tc>
          <w:tcPr>
            <w:tcW w:w="1722" w:type="dxa"/>
            <w:shd w:val="clear" w:color="auto" w:fill="auto"/>
            <w:tcMar>
              <w:left w:w="0" w:type="dxa"/>
            </w:tcMar>
          </w:tcPr>
          <w:p w14:paraId="04099013" w14:textId="5181B1F1" w:rsidR="001C3855" w:rsidRPr="00D160FB" w:rsidRDefault="004C08DE" w:rsidP="00C8019E">
            <w:pPr>
              <w:pStyle w:val="Marginlie"/>
              <w:rPr>
                <w:color w:val="0D0D0D" w:themeColor="text1" w:themeTint="F2"/>
                <w:spacing w:val="-5"/>
                <w:lang w:val="en-GB"/>
              </w:rPr>
            </w:pPr>
            <w:r w:rsidRPr="00D160FB">
              <w:rPr>
                <w:color w:val="0D0D0D" w:themeColor="text1" w:themeTint="F2"/>
                <w:spacing w:val="-5"/>
                <w:lang w:val="en-GB"/>
              </w:rPr>
              <w:t xml:space="preserve">General unemployment rate slightly fluctuated near historical minimum last year. Number of long-term unemployed kept falling. </w:t>
            </w:r>
          </w:p>
          <w:p w14:paraId="091CC381" w14:textId="2C9871F5" w:rsidR="001C3855" w:rsidRPr="00D160FB" w:rsidRDefault="00A032E2" w:rsidP="00C8019E">
            <w:pPr>
              <w:pStyle w:val="Marginlie"/>
              <w:rPr>
                <w:color w:val="0D0D0D" w:themeColor="text1" w:themeTint="F2"/>
                <w:spacing w:val="-5"/>
                <w:lang w:val="en-GB"/>
              </w:rPr>
            </w:pPr>
            <w:r w:rsidRPr="00D160FB">
              <w:rPr>
                <w:color w:val="0D0D0D" w:themeColor="text1" w:themeTint="F2"/>
                <w:spacing w:val="-5"/>
                <w:lang w:val="en-GB"/>
              </w:rPr>
              <w:lastRenderedPageBreak/>
              <w:t xml:space="preserve">Concerns of people regarding the growth of unemployment were rising for the most part of the last year. </w:t>
            </w:r>
          </w:p>
        </w:tc>
        <w:tc>
          <w:tcPr>
            <w:tcW w:w="202" w:type="dxa"/>
            <w:shd w:val="clear" w:color="auto" w:fill="auto"/>
            <w:tcMar>
              <w:left w:w="0" w:type="dxa"/>
            </w:tcMar>
          </w:tcPr>
          <w:p w14:paraId="2F84DCCB"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171722AD" w14:textId="04686022" w:rsidR="001C3855" w:rsidRPr="00D160FB" w:rsidRDefault="004C08DE" w:rsidP="00C8019E">
            <w:pPr>
              <w:spacing w:after="200"/>
              <w:rPr>
                <w:color w:val="0D0D0D" w:themeColor="text1" w:themeTint="F2"/>
                <w:spacing w:val="-4"/>
                <w:lang w:val="en-GB"/>
              </w:rPr>
            </w:pPr>
            <w:r w:rsidRPr="00D160FB">
              <w:rPr>
                <w:color w:val="0D0D0D" w:themeColor="text1" w:themeTint="F2"/>
                <w:spacing w:val="-4"/>
                <w:lang w:val="en-GB"/>
              </w:rPr>
              <w:t>Decline of the general unemployment rate</w:t>
            </w:r>
            <w:r w:rsidR="001C3855" w:rsidRPr="00D160FB">
              <w:rPr>
                <w:rStyle w:val="Znakapoznpodarou"/>
                <w:color w:val="0D0D0D" w:themeColor="text1" w:themeTint="F2"/>
                <w:spacing w:val="-4"/>
                <w:lang w:val="en-GB"/>
              </w:rPr>
              <w:footnoteReference w:id="72"/>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persons aged </w:t>
            </w:r>
            <w:r w:rsidR="001C3855" w:rsidRPr="00D160FB">
              <w:rPr>
                <w:color w:val="0D0D0D" w:themeColor="text1" w:themeTint="F2"/>
                <w:spacing w:val="-4"/>
                <w:lang w:val="en-GB"/>
              </w:rPr>
              <w:t>15</w:t>
            </w:r>
            <w:r w:rsidRPr="00D160FB">
              <w:rPr>
                <w:color w:val="0D0D0D" w:themeColor="text1" w:themeTint="F2"/>
                <w:spacing w:val="-4"/>
                <w:lang w:val="en-GB"/>
              </w:rPr>
              <w:t xml:space="preserve"> to </w:t>
            </w:r>
            <w:r w:rsidR="001C3855" w:rsidRPr="00D160FB">
              <w:rPr>
                <w:color w:val="0D0D0D" w:themeColor="text1" w:themeTint="F2"/>
                <w:spacing w:val="-4"/>
                <w:lang w:val="en-GB"/>
              </w:rPr>
              <w:t>64 </w:t>
            </w:r>
            <w:r w:rsidRPr="00D160FB">
              <w:rPr>
                <w:color w:val="0D0D0D" w:themeColor="text1" w:themeTint="F2"/>
                <w:spacing w:val="-4"/>
                <w:lang w:val="en-GB"/>
              </w:rPr>
              <w:t>years</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halted in the CR already at the beginning of year </w:t>
            </w:r>
            <w:r w:rsidR="001C3855" w:rsidRPr="00D160FB">
              <w:rPr>
                <w:color w:val="0D0D0D" w:themeColor="text1" w:themeTint="F2"/>
                <w:spacing w:val="-4"/>
                <w:lang w:val="en-GB"/>
              </w:rPr>
              <w:t xml:space="preserve">2022. </w:t>
            </w:r>
            <w:r w:rsidR="00350F0C" w:rsidRPr="00D160FB">
              <w:rPr>
                <w:color w:val="0D0D0D" w:themeColor="text1" w:themeTint="F2"/>
                <w:spacing w:val="-4"/>
                <w:lang w:val="en-GB"/>
              </w:rPr>
              <w:t xml:space="preserve">However neither a trend of its rising was apparent in the subsequent period. The data regarding the job applicants registered at labour offices (LO) also corresponded with this development, their course </w:t>
            </w:r>
            <w:r w:rsidR="00601191" w:rsidRPr="00D160FB">
              <w:rPr>
                <w:color w:val="0D0D0D" w:themeColor="text1" w:themeTint="F2"/>
                <w:spacing w:val="-4"/>
                <w:lang w:val="en-GB"/>
              </w:rPr>
              <w:t xml:space="preserve">matched the common seasonal </w:t>
            </w:r>
            <w:r w:rsidR="00601191" w:rsidRPr="00D160FB">
              <w:rPr>
                <w:color w:val="0D0D0D" w:themeColor="text1" w:themeTint="F2"/>
                <w:spacing w:val="-4"/>
                <w:lang w:val="en-GB"/>
              </w:rPr>
              <w:lastRenderedPageBreak/>
              <w:t>influences</w:t>
            </w:r>
            <w:r w:rsidR="001C3855" w:rsidRPr="00D160FB">
              <w:rPr>
                <w:rStyle w:val="Znakapoznpodarou"/>
                <w:color w:val="0D0D0D" w:themeColor="text1" w:themeTint="F2"/>
                <w:spacing w:val="-4"/>
                <w:lang w:val="en-GB"/>
              </w:rPr>
              <w:footnoteReference w:id="73"/>
            </w:r>
            <w:r w:rsidR="001C3855" w:rsidRPr="00D160FB">
              <w:rPr>
                <w:color w:val="0D0D0D" w:themeColor="text1" w:themeTint="F2"/>
                <w:spacing w:val="-4"/>
                <w:lang w:val="en-GB"/>
              </w:rPr>
              <w:t xml:space="preserve">. </w:t>
            </w:r>
            <w:r w:rsidR="00704210" w:rsidRPr="00D160FB">
              <w:rPr>
                <w:color w:val="0D0D0D" w:themeColor="text1" w:themeTint="F2"/>
                <w:spacing w:val="-4"/>
                <w:lang w:val="en-GB"/>
              </w:rPr>
              <w:t xml:space="preserve">General unemployment rate attained </w:t>
            </w:r>
            <w:r w:rsidR="001C3855" w:rsidRPr="00D160FB">
              <w:rPr>
                <w:color w:val="0D0D0D" w:themeColor="text1" w:themeTint="F2"/>
                <w:spacing w:val="-4"/>
                <w:lang w:val="en-GB"/>
              </w:rPr>
              <w:t>1</w:t>
            </w:r>
            <w:r w:rsidR="00704210" w:rsidRPr="00D160FB">
              <w:rPr>
                <w:color w:val="0D0D0D" w:themeColor="text1" w:themeTint="F2"/>
                <w:spacing w:val="-4"/>
                <w:lang w:val="en-GB"/>
              </w:rPr>
              <w:t>.</w:t>
            </w:r>
            <w:r w:rsidR="001C3855" w:rsidRPr="00D160FB">
              <w:rPr>
                <w:color w:val="0D0D0D" w:themeColor="text1" w:themeTint="F2"/>
                <w:spacing w:val="-4"/>
                <w:lang w:val="en-GB"/>
              </w:rPr>
              <w:t>8%</w:t>
            </w:r>
            <w:r w:rsidR="00704210" w:rsidRPr="00D160FB">
              <w:rPr>
                <w:color w:val="0D0D0D" w:themeColor="text1" w:themeTint="F2"/>
                <w:spacing w:val="-4"/>
                <w:lang w:val="en-GB"/>
              </w:rPr>
              <w:t xml:space="preserve"> for ma</w:t>
            </w:r>
            <w:r w:rsidR="00B647F4">
              <w:rPr>
                <w:color w:val="0D0D0D" w:themeColor="text1" w:themeTint="F2"/>
                <w:spacing w:val="-4"/>
                <w:lang w:val="en-GB"/>
              </w:rPr>
              <w:t>les in December 2022</w:t>
            </w:r>
            <w:r w:rsidR="001C3855" w:rsidRPr="00D160FB">
              <w:rPr>
                <w:color w:val="0D0D0D" w:themeColor="text1" w:themeTint="F2"/>
                <w:spacing w:val="-4"/>
                <w:lang w:val="en-GB"/>
              </w:rPr>
              <w:t xml:space="preserve"> a</w:t>
            </w:r>
            <w:r w:rsidR="00704210" w:rsidRPr="00D160FB">
              <w:rPr>
                <w:color w:val="0D0D0D" w:themeColor="text1" w:themeTint="F2"/>
                <w:spacing w:val="-4"/>
                <w:lang w:val="en-GB"/>
              </w:rPr>
              <w:t xml:space="preserve">nd </w:t>
            </w:r>
            <w:r w:rsidR="001C3855" w:rsidRPr="00D160FB">
              <w:rPr>
                <w:color w:val="0D0D0D" w:themeColor="text1" w:themeTint="F2"/>
                <w:spacing w:val="-4"/>
                <w:lang w:val="en-GB"/>
              </w:rPr>
              <w:t>2</w:t>
            </w:r>
            <w:r w:rsidR="00704210" w:rsidRPr="00D160FB">
              <w:rPr>
                <w:color w:val="0D0D0D" w:themeColor="text1" w:themeTint="F2"/>
                <w:spacing w:val="-4"/>
                <w:lang w:val="en-GB"/>
              </w:rPr>
              <w:t>.</w:t>
            </w:r>
            <w:r w:rsidR="001C3855" w:rsidRPr="00D160FB">
              <w:rPr>
                <w:color w:val="0D0D0D" w:themeColor="text1" w:themeTint="F2"/>
                <w:spacing w:val="-4"/>
                <w:lang w:val="en-GB"/>
              </w:rPr>
              <w:t>5%</w:t>
            </w:r>
            <w:r w:rsidR="00704210" w:rsidRPr="00D160FB">
              <w:rPr>
                <w:color w:val="0D0D0D" w:themeColor="text1" w:themeTint="F2"/>
                <w:spacing w:val="-4"/>
                <w:lang w:val="en-GB"/>
              </w:rPr>
              <w:t xml:space="preserve"> for females and thus stayed near its historical minimum. </w:t>
            </w:r>
            <w:r w:rsidR="00A331E0" w:rsidRPr="00D160FB">
              <w:rPr>
                <w:color w:val="0D0D0D" w:themeColor="text1" w:themeTint="F2"/>
                <w:spacing w:val="-4"/>
                <w:lang w:val="en-GB"/>
              </w:rPr>
              <w:t>A positive fact is that the number of long-term unemployment lowered year-on-year in H</w:t>
            </w:r>
            <w:r w:rsidR="001C3855" w:rsidRPr="00D160FB">
              <w:rPr>
                <w:color w:val="0D0D0D" w:themeColor="text1" w:themeTint="F2"/>
                <w:spacing w:val="-4"/>
                <w:lang w:val="en-GB"/>
              </w:rPr>
              <w:t>2</w:t>
            </w:r>
            <w:r w:rsidR="00A331E0" w:rsidRPr="00D160FB">
              <w:rPr>
                <w:color w:val="0D0D0D" w:themeColor="text1" w:themeTint="F2"/>
                <w:spacing w:val="-4"/>
                <w:lang w:val="en-GB"/>
              </w:rPr>
              <w:t xml:space="preserve"> </w:t>
            </w:r>
            <w:r w:rsidR="001C3855" w:rsidRPr="00D160FB">
              <w:rPr>
                <w:color w:val="0D0D0D" w:themeColor="text1" w:themeTint="F2"/>
                <w:spacing w:val="-4"/>
                <w:lang w:val="en-GB"/>
              </w:rPr>
              <w:t>2022</w:t>
            </w:r>
            <w:r w:rsidR="00A331E0" w:rsidRPr="00D160FB">
              <w:rPr>
                <w:color w:val="0D0D0D" w:themeColor="text1" w:themeTint="F2"/>
                <w:spacing w:val="-4"/>
                <w:lang w:val="en-GB"/>
              </w:rPr>
              <w:t xml:space="preserve">. </w:t>
            </w:r>
            <w:r w:rsidR="00727A7C" w:rsidRPr="00D160FB">
              <w:rPr>
                <w:color w:val="0D0D0D" w:themeColor="text1" w:themeTint="F2"/>
                <w:spacing w:val="-4"/>
                <w:lang w:val="en-GB"/>
              </w:rPr>
              <w:t xml:space="preserve">Based on the LFSS it slightly exceeded </w:t>
            </w:r>
            <w:r w:rsidR="001C3855" w:rsidRPr="00D160FB">
              <w:rPr>
                <w:color w:val="0D0D0D" w:themeColor="text1" w:themeTint="F2"/>
                <w:spacing w:val="-4"/>
                <w:lang w:val="en-GB"/>
              </w:rPr>
              <w:t>30 t</w:t>
            </w:r>
            <w:r w:rsidR="00727A7C" w:rsidRPr="00D160FB">
              <w:rPr>
                <w:color w:val="0D0D0D" w:themeColor="text1" w:themeTint="F2"/>
                <w:spacing w:val="-4"/>
                <w:lang w:val="en-GB"/>
              </w:rPr>
              <w:t xml:space="preserve">housand in Q4 and composed only one quarter of all unemployed (similar proportion as in the last </w:t>
            </w:r>
            <w:r w:rsidR="001C3855" w:rsidRPr="00D160FB">
              <w:rPr>
                <w:color w:val="1D1B11" w:themeColor="background2" w:themeShade="1A"/>
                <w:spacing w:val="-4"/>
                <w:lang w:val="en-GB"/>
              </w:rPr>
              <w:t>„</w:t>
            </w:r>
            <w:r w:rsidR="00727A7C" w:rsidRPr="00D160FB">
              <w:rPr>
                <w:color w:val="1D1B11" w:themeColor="background2" w:themeShade="1A"/>
                <w:spacing w:val="-4"/>
                <w:lang w:val="en-GB"/>
              </w:rPr>
              <w:t>pre-</w:t>
            </w:r>
            <w:proofErr w:type="gramStart"/>
            <w:r w:rsidR="00727A7C" w:rsidRPr="00D160FB">
              <w:rPr>
                <w:color w:val="1D1B11" w:themeColor="background2" w:themeShade="1A"/>
                <w:spacing w:val="-4"/>
                <w:lang w:val="en-GB"/>
              </w:rPr>
              <w:t>pandemic</w:t>
            </w:r>
            <w:r w:rsidR="001C3855" w:rsidRPr="00D160FB">
              <w:rPr>
                <w:color w:val="1D1B11" w:themeColor="background2" w:themeShade="1A"/>
                <w:spacing w:val="-4"/>
                <w:lang w:val="en-GB"/>
              </w:rPr>
              <w:t xml:space="preserve">“ </w:t>
            </w:r>
            <w:r w:rsidR="00727A7C" w:rsidRPr="00D160FB">
              <w:rPr>
                <w:color w:val="1D1B11" w:themeColor="background2" w:themeShade="1A"/>
                <w:spacing w:val="-4"/>
                <w:lang w:val="en-GB"/>
              </w:rPr>
              <w:t>year</w:t>
            </w:r>
            <w:proofErr w:type="gramEnd"/>
            <w:r w:rsidR="001C3855" w:rsidRPr="00D160FB">
              <w:rPr>
                <w:color w:val="1D1B11" w:themeColor="background2" w:themeShade="1A"/>
                <w:spacing w:val="-4"/>
                <w:lang w:val="en-GB"/>
              </w:rPr>
              <w:t xml:space="preserve">). </w:t>
            </w:r>
            <w:r w:rsidR="00A032E2" w:rsidRPr="00D160FB">
              <w:rPr>
                <w:color w:val="1D1B11" w:themeColor="background2" w:themeShade="1A"/>
                <w:spacing w:val="-4"/>
                <w:lang w:val="en-GB"/>
              </w:rPr>
              <w:t xml:space="preserve">It is related to the still high stock of job vacancies and proves, that significant part of the local unemployment still has frictional </w:t>
            </w:r>
            <w:r w:rsidR="00EC53D0" w:rsidRPr="00D160FB">
              <w:rPr>
                <w:color w:val="1D1B11" w:themeColor="background2" w:themeShade="1A"/>
                <w:spacing w:val="-4"/>
                <w:lang w:val="en-GB"/>
              </w:rPr>
              <w:t xml:space="preserve">character. </w:t>
            </w:r>
            <w:r w:rsidR="00727A7C" w:rsidRPr="00D160FB">
              <w:rPr>
                <w:color w:val="1D1B11" w:themeColor="background2" w:themeShade="1A"/>
                <w:spacing w:val="-4"/>
                <w:lang w:val="en-GB"/>
              </w:rPr>
              <w:t xml:space="preserve">Concerns of people regarding the rise of unemployment grew for the majority of the last year, which was connected to their negative perception of the overall economic situation in the CR as well as worsened expectations of own financial situation of households. </w:t>
            </w:r>
            <w:r w:rsidR="00F70CC7" w:rsidRPr="00D160FB">
              <w:rPr>
                <w:color w:val="1D1B11" w:themeColor="background2" w:themeShade="1A"/>
                <w:spacing w:val="-4"/>
                <w:lang w:val="en-GB"/>
              </w:rPr>
              <w:t xml:space="preserve">Unemployment worries however have not fully reached the intensity from the period of culminating pandemics yet or e.g. the period of recession in year </w:t>
            </w:r>
            <w:r w:rsidR="001C3855" w:rsidRPr="00D160FB">
              <w:rPr>
                <w:color w:val="0D0D0D" w:themeColor="text1" w:themeTint="F2"/>
                <w:spacing w:val="-4"/>
                <w:lang w:val="en-GB"/>
              </w:rPr>
              <w:t xml:space="preserve">2012 </w:t>
            </w:r>
            <w:r w:rsidR="00F70CC7" w:rsidRPr="00D160FB">
              <w:rPr>
                <w:color w:val="0D0D0D" w:themeColor="text1" w:themeTint="F2"/>
                <w:spacing w:val="-4"/>
                <w:lang w:val="en-GB"/>
              </w:rPr>
              <w:t xml:space="preserve">to </w:t>
            </w:r>
            <w:r w:rsidR="001C3855" w:rsidRPr="00D160FB">
              <w:rPr>
                <w:color w:val="0D0D0D" w:themeColor="text1" w:themeTint="F2"/>
                <w:spacing w:val="-4"/>
                <w:lang w:val="en-GB"/>
              </w:rPr>
              <w:t xml:space="preserve">2013. </w:t>
            </w:r>
            <w:r w:rsidR="00844C3B" w:rsidRPr="00D160FB">
              <w:rPr>
                <w:color w:val="0D0D0D" w:themeColor="text1" w:themeTint="F2"/>
                <w:spacing w:val="-4"/>
                <w:lang w:val="en-GB"/>
              </w:rPr>
              <w:t xml:space="preserve">In addition the beginning of year </w:t>
            </w:r>
            <w:r w:rsidR="001C3855" w:rsidRPr="00D160FB">
              <w:rPr>
                <w:color w:val="0D0D0D" w:themeColor="text1" w:themeTint="F2"/>
                <w:spacing w:val="-4"/>
                <w:lang w:val="en-GB"/>
              </w:rPr>
              <w:t>2023</w:t>
            </w:r>
            <w:r w:rsidR="00844C3B" w:rsidRPr="00D160FB">
              <w:rPr>
                <w:color w:val="0D0D0D" w:themeColor="text1" w:themeTint="F2"/>
                <w:spacing w:val="-4"/>
                <w:lang w:val="en-GB"/>
              </w:rPr>
              <w:t xml:space="preserve"> saw a sign of mild decrease of the household concerns. </w:t>
            </w:r>
          </w:p>
        </w:tc>
      </w:tr>
      <w:tr w:rsidR="00B646BC" w:rsidRPr="00D160FB" w14:paraId="0E9363C5" w14:textId="77777777" w:rsidTr="003D13A6">
        <w:trPr>
          <w:trHeight w:val="145"/>
        </w:trPr>
        <w:tc>
          <w:tcPr>
            <w:tcW w:w="1722" w:type="dxa"/>
            <w:shd w:val="clear" w:color="auto" w:fill="auto"/>
            <w:tcMar>
              <w:left w:w="0" w:type="dxa"/>
            </w:tcMar>
          </w:tcPr>
          <w:p w14:paraId="082228C6" w14:textId="4F76A1DF" w:rsidR="001C3855" w:rsidRPr="00D160FB" w:rsidRDefault="00844C3B" w:rsidP="00C8019E">
            <w:pPr>
              <w:pStyle w:val="Marginlie"/>
              <w:rPr>
                <w:color w:val="0D0D0D" w:themeColor="text1" w:themeTint="F2"/>
                <w:spacing w:val="-5"/>
                <w:lang w:val="en-GB"/>
              </w:rPr>
            </w:pPr>
            <w:r w:rsidRPr="00D160FB">
              <w:rPr>
                <w:color w:val="0D0D0D" w:themeColor="text1" w:themeTint="F2"/>
                <w:spacing w:val="-5"/>
                <w:lang w:val="en-GB"/>
              </w:rPr>
              <w:lastRenderedPageBreak/>
              <w:t xml:space="preserve">Offer of job </w:t>
            </w:r>
            <w:r w:rsidR="00E93E65" w:rsidRPr="00D160FB">
              <w:rPr>
                <w:color w:val="0D0D0D" w:themeColor="text1" w:themeTint="F2"/>
                <w:spacing w:val="-5"/>
                <w:lang w:val="en-GB"/>
              </w:rPr>
              <w:t>vacancies</w:t>
            </w:r>
            <w:r w:rsidRPr="00D160FB">
              <w:rPr>
                <w:color w:val="0D0D0D" w:themeColor="text1" w:themeTint="F2"/>
                <w:spacing w:val="-5"/>
                <w:lang w:val="en-GB"/>
              </w:rPr>
              <w:t xml:space="preserve"> at LO was continuously falling since Spring last year and it was lower than the num</w:t>
            </w:r>
            <w:r w:rsidR="000F34A8">
              <w:rPr>
                <w:color w:val="0D0D0D" w:themeColor="text1" w:themeTint="F2"/>
                <w:spacing w:val="-5"/>
                <w:lang w:val="en-GB"/>
              </w:rPr>
              <w:t>ber of job applicants in January</w:t>
            </w:r>
            <w:r w:rsidRPr="00D160FB">
              <w:rPr>
                <w:color w:val="0D0D0D" w:themeColor="text1" w:themeTint="F2"/>
                <w:spacing w:val="-5"/>
                <w:lang w:val="en-GB"/>
              </w:rPr>
              <w:t xml:space="preserve"> this year.  </w:t>
            </w:r>
          </w:p>
        </w:tc>
        <w:tc>
          <w:tcPr>
            <w:tcW w:w="202" w:type="dxa"/>
            <w:shd w:val="clear" w:color="auto" w:fill="auto"/>
            <w:tcMar>
              <w:left w:w="0" w:type="dxa"/>
            </w:tcMar>
          </w:tcPr>
          <w:p w14:paraId="2182ECBA" w14:textId="77777777" w:rsidR="001C3855" w:rsidRPr="00D160FB" w:rsidRDefault="001C3855" w:rsidP="00C8019E">
            <w:pPr>
              <w:pStyle w:val="Textpoznpodarou"/>
              <w:spacing w:after="120"/>
              <w:jc w:val="both"/>
              <w:rPr>
                <w:color w:val="0D0D0D" w:themeColor="text1" w:themeTint="F2"/>
                <w:spacing w:val="-4"/>
                <w:lang w:val="en-GB"/>
              </w:rPr>
            </w:pPr>
          </w:p>
        </w:tc>
        <w:tc>
          <w:tcPr>
            <w:tcW w:w="7750" w:type="dxa"/>
            <w:shd w:val="clear" w:color="auto" w:fill="auto"/>
            <w:tcMar>
              <w:left w:w="0" w:type="dxa"/>
            </w:tcMar>
          </w:tcPr>
          <w:p w14:paraId="36C06946" w14:textId="581D366C" w:rsidR="001C3855" w:rsidRPr="00D160FB" w:rsidRDefault="00AF72B7" w:rsidP="003D13A6">
            <w:pPr>
              <w:spacing w:after="200"/>
              <w:rPr>
                <w:color w:val="0D0D0D" w:themeColor="text1" w:themeTint="F2"/>
                <w:spacing w:val="-4"/>
                <w:lang w:val="en-GB"/>
              </w:rPr>
            </w:pPr>
            <w:r w:rsidRPr="00D160FB">
              <w:rPr>
                <w:color w:val="0D0D0D" w:themeColor="text1" w:themeTint="F2"/>
                <w:spacing w:val="-4"/>
                <w:lang w:val="en-GB"/>
              </w:rPr>
              <w:t xml:space="preserve">If in year </w:t>
            </w:r>
            <w:r w:rsidR="001C3855" w:rsidRPr="00D160FB">
              <w:rPr>
                <w:color w:val="0D0D0D" w:themeColor="text1" w:themeTint="F2"/>
                <w:spacing w:val="-4"/>
                <w:lang w:val="en-GB"/>
              </w:rPr>
              <w:t>2021</w:t>
            </w:r>
            <w:r w:rsidRPr="00D160FB">
              <w:rPr>
                <w:color w:val="0D0D0D" w:themeColor="text1" w:themeTint="F2"/>
                <w:spacing w:val="-4"/>
                <w:lang w:val="en-GB"/>
              </w:rPr>
              <w:t xml:space="preserve"> the number of job vacancies offered by LO depicted typical seasonal course, the total supply of vacancies was shrinking even in times of peaking seasonal jobs last year. Number of vacancies was falling continuously month-on-months since March</w:t>
            </w:r>
            <w:r w:rsidR="000F34A8">
              <w:rPr>
                <w:color w:val="0D0D0D" w:themeColor="text1" w:themeTint="F2"/>
                <w:spacing w:val="-4"/>
                <w:lang w:val="en-GB"/>
              </w:rPr>
              <w:t xml:space="preserve"> 2022</w:t>
            </w:r>
            <w:r w:rsidRPr="00D160FB">
              <w:rPr>
                <w:color w:val="0D0D0D" w:themeColor="text1" w:themeTint="F2"/>
                <w:spacing w:val="-4"/>
                <w:lang w:val="en-GB"/>
              </w:rPr>
              <w:t xml:space="preserve"> </w:t>
            </w:r>
            <w:r w:rsidR="001C3855" w:rsidRPr="00D160FB">
              <w:rPr>
                <w:color w:val="0D0D0D" w:themeColor="text1" w:themeTint="F2"/>
                <w:spacing w:val="-4"/>
                <w:lang w:val="en-GB"/>
              </w:rPr>
              <w:t>(</w:t>
            </w:r>
            <w:r w:rsidRPr="00D160FB">
              <w:rPr>
                <w:color w:val="0D0D0D" w:themeColor="text1" w:themeTint="F2"/>
                <w:spacing w:val="-4"/>
                <w:lang w:val="en-GB"/>
              </w:rPr>
              <w:t xml:space="preserve">from </w:t>
            </w:r>
            <w:r w:rsidR="001C3855" w:rsidRPr="00D160FB">
              <w:rPr>
                <w:color w:val="0D0D0D" w:themeColor="text1" w:themeTint="F2"/>
                <w:spacing w:val="-4"/>
                <w:lang w:val="en-GB"/>
              </w:rPr>
              <w:t>360 t</w:t>
            </w:r>
            <w:r w:rsidRPr="00D160FB">
              <w:rPr>
                <w:color w:val="0D0D0D" w:themeColor="text1" w:themeTint="F2"/>
                <w:spacing w:val="-4"/>
                <w:lang w:val="en-GB"/>
              </w:rPr>
              <w:t>housand</w:t>
            </w:r>
            <w:r w:rsidR="001C3855" w:rsidRPr="00D160FB">
              <w:rPr>
                <w:color w:val="0D0D0D" w:themeColor="text1" w:themeTint="F2"/>
                <w:spacing w:val="-4"/>
                <w:lang w:val="en-GB"/>
              </w:rPr>
              <w:t>)</w:t>
            </w:r>
            <w:r w:rsidRPr="00D160FB">
              <w:rPr>
                <w:color w:val="0D0D0D" w:themeColor="text1" w:themeTint="F2"/>
                <w:spacing w:val="-4"/>
                <w:lang w:val="en-GB"/>
              </w:rPr>
              <w:t xml:space="preserve"> till December </w:t>
            </w:r>
            <w:r w:rsidR="001C3855" w:rsidRPr="00D160FB">
              <w:rPr>
                <w:color w:val="0D0D0D" w:themeColor="text1" w:themeTint="F2"/>
                <w:spacing w:val="-4"/>
                <w:lang w:val="en-GB"/>
              </w:rPr>
              <w:t>(</w:t>
            </w:r>
            <w:r w:rsidRPr="00D160FB">
              <w:rPr>
                <w:color w:val="0D0D0D" w:themeColor="text1" w:themeTint="F2"/>
                <w:spacing w:val="-4"/>
                <w:lang w:val="en-GB"/>
              </w:rPr>
              <w:t xml:space="preserve">to </w:t>
            </w:r>
            <w:r w:rsidR="001C3855" w:rsidRPr="00D160FB">
              <w:rPr>
                <w:color w:val="0D0D0D" w:themeColor="text1" w:themeTint="F2"/>
                <w:spacing w:val="-4"/>
                <w:lang w:val="en-GB"/>
              </w:rPr>
              <w:t>289 t</w:t>
            </w:r>
            <w:r w:rsidRPr="00D160FB">
              <w:rPr>
                <w:color w:val="0D0D0D" w:themeColor="text1" w:themeTint="F2"/>
                <w:spacing w:val="-4"/>
                <w:lang w:val="en-GB"/>
              </w:rPr>
              <w:t>housand</w:t>
            </w:r>
            <w:r w:rsidR="001C3855" w:rsidRPr="00D160FB">
              <w:rPr>
                <w:color w:val="0D0D0D" w:themeColor="text1" w:themeTint="F2"/>
                <w:spacing w:val="-4"/>
                <w:lang w:val="en-GB"/>
              </w:rPr>
              <w:t>.)</w:t>
            </w:r>
            <w:r w:rsidR="001C3855" w:rsidRPr="00D160FB">
              <w:rPr>
                <w:rStyle w:val="Znakapoznpodarou"/>
                <w:color w:val="0D0D0D" w:themeColor="text1" w:themeTint="F2"/>
                <w:spacing w:val="-4"/>
                <w:lang w:val="en-GB"/>
              </w:rPr>
              <w:footnoteReference w:id="74"/>
            </w:r>
            <w:r w:rsidR="001C3855" w:rsidRPr="00D160FB">
              <w:rPr>
                <w:color w:val="0D0D0D" w:themeColor="text1" w:themeTint="F2"/>
                <w:spacing w:val="-4"/>
                <w:lang w:val="en-GB"/>
              </w:rPr>
              <w:t>. T</w:t>
            </w:r>
            <w:r w:rsidRPr="00D160FB">
              <w:rPr>
                <w:color w:val="0D0D0D" w:themeColor="text1" w:themeTint="F2"/>
                <w:spacing w:val="-4"/>
                <w:lang w:val="en-GB"/>
              </w:rPr>
              <w:t xml:space="preserve">his trend </w:t>
            </w:r>
            <w:r w:rsidR="000F34A8">
              <w:rPr>
                <w:color w:val="0D0D0D" w:themeColor="text1" w:themeTint="F2"/>
                <w:spacing w:val="-4"/>
                <w:lang w:val="en-GB"/>
              </w:rPr>
              <w:t xml:space="preserve">was also </w:t>
            </w:r>
            <w:proofErr w:type="gramStart"/>
            <w:r w:rsidR="000F34A8">
              <w:rPr>
                <w:color w:val="0D0D0D" w:themeColor="text1" w:themeTint="F2"/>
                <w:spacing w:val="-4"/>
                <w:lang w:val="en-GB"/>
              </w:rPr>
              <w:t>confirmed  in</w:t>
            </w:r>
            <w:proofErr w:type="gramEnd"/>
            <w:r w:rsidR="000F34A8">
              <w:rPr>
                <w:color w:val="0D0D0D" w:themeColor="text1" w:themeTint="F2"/>
                <w:spacing w:val="-4"/>
                <w:lang w:val="en-GB"/>
              </w:rPr>
              <w:t xml:space="preserve"> </w:t>
            </w:r>
            <w:r w:rsidR="00D81578" w:rsidRPr="00D160FB">
              <w:rPr>
                <w:color w:val="0D0D0D" w:themeColor="text1" w:themeTint="F2"/>
                <w:spacing w:val="-4"/>
                <w:lang w:val="en-GB"/>
              </w:rPr>
              <w:t>January</w:t>
            </w:r>
            <w:r w:rsidR="000F34A8">
              <w:rPr>
                <w:color w:val="0D0D0D" w:themeColor="text1" w:themeTint="F2"/>
                <w:spacing w:val="-4"/>
                <w:lang w:val="en-GB"/>
              </w:rPr>
              <w:t xml:space="preserve"> 2023</w:t>
            </w:r>
            <w:r w:rsidR="00D81578" w:rsidRPr="00D160FB">
              <w:rPr>
                <w:color w:val="0D0D0D" w:themeColor="text1" w:themeTint="F2"/>
                <w:spacing w:val="-4"/>
                <w:lang w:val="en-GB"/>
              </w:rPr>
              <w:t xml:space="preserve">, when the supply of vacancies </w:t>
            </w:r>
            <w:r w:rsidR="001C3855" w:rsidRPr="00D160FB">
              <w:rPr>
                <w:color w:val="0D0D0D" w:themeColor="text1" w:themeTint="F2"/>
                <w:spacing w:val="-4"/>
                <w:lang w:val="en-GB"/>
              </w:rPr>
              <w:t>(281 t</w:t>
            </w:r>
            <w:r w:rsidR="00D81578" w:rsidRPr="00D160FB">
              <w:rPr>
                <w:color w:val="0D0D0D" w:themeColor="text1" w:themeTint="F2"/>
                <w:spacing w:val="-4"/>
                <w:lang w:val="en-GB"/>
              </w:rPr>
              <w:t>housand</w:t>
            </w:r>
            <w:r w:rsidR="001C3855" w:rsidRPr="00D160FB">
              <w:rPr>
                <w:color w:val="0D0D0D" w:themeColor="text1" w:themeTint="F2"/>
                <w:spacing w:val="-4"/>
                <w:lang w:val="en-GB"/>
              </w:rPr>
              <w:t>)</w:t>
            </w:r>
            <w:r w:rsidR="00D81578" w:rsidRPr="00D160FB">
              <w:rPr>
                <w:color w:val="0D0D0D" w:themeColor="text1" w:themeTint="F2"/>
                <w:spacing w:val="-4"/>
                <w:lang w:val="en-GB"/>
              </w:rPr>
              <w:t xml:space="preserve"> reduced nearly to five year minimum and it was </w:t>
            </w:r>
            <w:r w:rsidR="000F34A8">
              <w:rPr>
                <w:color w:val="0D0D0D" w:themeColor="text1" w:themeTint="F2"/>
                <w:spacing w:val="-4"/>
                <w:lang w:val="en-GB"/>
              </w:rPr>
              <w:t xml:space="preserve">even </w:t>
            </w:r>
            <w:r w:rsidR="00D81578" w:rsidRPr="00D160FB">
              <w:rPr>
                <w:color w:val="0D0D0D" w:themeColor="text1" w:themeTint="F2"/>
                <w:spacing w:val="-4"/>
                <w:lang w:val="en-GB"/>
              </w:rPr>
              <w:t xml:space="preserve">lower than the number of all job applicants for the first time since April 2018 </w:t>
            </w:r>
            <w:r w:rsidR="001C3855" w:rsidRPr="00D160FB">
              <w:rPr>
                <w:color w:val="0D0D0D" w:themeColor="text1" w:themeTint="F2"/>
                <w:spacing w:val="-4"/>
                <w:lang w:val="en-GB"/>
              </w:rPr>
              <w:t>(283 t</w:t>
            </w:r>
            <w:r w:rsidR="00D81578" w:rsidRPr="00D160FB">
              <w:rPr>
                <w:color w:val="0D0D0D" w:themeColor="text1" w:themeTint="F2"/>
                <w:spacing w:val="-4"/>
                <w:lang w:val="en-GB"/>
              </w:rPr>
              <w:t>housand</w:t>
            </w:r>
            <w:r w:rsidR="001C3855" w:rsidRPr="00D160FB">
              <w:rPr>
                <w:color w:val="0D0D0D" w:themeColor="text1" w:themeTint="F2"/>
                <w:spacing w:val="-4"/>
                <w:lang w:val="en-GB"/>
              </w:rPr>
              <w:t xml:space="preserve">). </w:t>
            </w:r>
            <w:r w:rsidR="001221B9" w:rsidRPr="00D160FB">
              <w:rPr>
                <w:color w:val="0D0D0D" w:themeColor="text1" w:themeTint="F2"/>
                <w:spacing w:val="-4"/>
                <w:lang w:val="en-GB"/>
              </w:rPr>
              <w:t xml:space="preserve">The impact of the cyclical economic downturn manifested here, when the businesses started to limit the creation of new job positions and at the same time, </w:t>
            </w:r>
            <w:r w:rsidR="008112A0" w:rsidRPr="00D160FB">
              <w:rPr>
                <w:color w:val="0D0D0D" w:themeColor="text1" w:themeTint="F2"/>
                <w:spacing w:val="-4"/>
                <w:lang w:val="en-GB"/>
              </w:rPr>
              <w:t xml:space="preserve">more frequently laid off workers </w:t>
            </w:r>
            <w:r w:rsidR="001C3855" w:rsidRPr="00D160FB">
              <w:rPr>
                <w:color w:val="0D0D0D" w:themeColor="text1" w:themeTint="F2"/>
                <w:spacing w:val="-4"/>
                <w:lang w:val="en-GB"/>
              </w:rPr>
              <w:t>(</w:t>
            </w:r>
            <w:r w:rsidR="008112A0" w:rsidRPr="00D160FB">
              <w:rPr>
                <w:color w:val="0D0D0D" w:themeColor="text1" w:themeTint="F2"/>
                <w:spacing w:val="-4"/>
                <w:lang w:val="en-GB"/>
              </w:rPr>
              <w:t>even though not usually on a mass scale so far</w:t>
            </w:r>
            <w:r w:rsidR="001C3855" w:rsidRPr="00D160FB">
              <w:rPr>
                <w:color w:val="0D0D0D" w:themeColor="text1" w:themeTint="F2"/>
                <w:spacing w:val="-4"/>
                <w:lang w:val="en-GB"/>
              </w:rPr>
              <w:t xml:space="preserve">). </w:t>
            </w:r>
          </w:p>
        </w:tc>
      </w:tr>
      <w:tr w:rsidR="00B646BC" w:rsidRPr="00D160FB" w14:paraId="09696C5F" w14:textId="77777777" w:rsidTr="003D13A6">
        <w:trPr>
          <w:trHeight w:val="155"/>
        </w:trPr>
        <w:tc>
          <w:tcPr>
            <w:tcW w:w="1722" w:type="dxa"/>
            <w:vMerge w:val="restart"/>
            <w:shd w:val="clear" w:color="auto" w:fill="auto"/>
            <w:tcMar>
              <w:left w:w="0" w:type="dxa"/>
            </w:tcMar>
          </w:tcPr>
          <w:p w14:paraId="47673F07" w14:textId="77777777" w:rsidR="001C3855" w:rsidRPr="00D160FB" w:rsidRDefault="001C3855" w:rsidP="00C8019E">
            <w:pPr>
              <w:pStyle w:val="Marginlie"/>
              <w:spacing w:after="120"/>
              <w:rPr>
                <w:spacing w:val="-4"/>
                <w:lang w:val="en-GB"/>
              </w:rPr>
            </w:pPr>
          </w:p>
        </w:tc>
        <w:tc>
          <w:tcPr>
            <w:tcW w:w="202" w:type="dxa"/>
            <w:vMerge w:val="restart"/>
            <w:shd w:val="clear" w:color="auto" w:fill="auto"/>
            <w:tcMar>
              <w:left w:w="0" w:type="dxa"/>
            </w:tcMar>
          </w:tcPr>
          <w:p w14:paraId="5EE9CDCD" w14:textId="77777777" w:rsidR="001C3855" w:rsidRPr="00D160FB" w:rsidRDefault="001C3855" w:rsidP="00C8019E">
            <w:pPr>
              <w:pStyle w:val="Textpoznpodarou"/>
              <w:spacing w:after="120"/>
              <w:jc w:val="both"/>
              <w:rPr>
                <w:spacing w:val="-4"/>
                <w:lang w:val="en-GB"/>
              </w:rPr>
            </w:pPr>
          </w:p>
        </w:tc>
        <w:tc>
          <w:tcPr>
            <w:tcW w:w="7750" w:type="dxa"/>
            <w:shd w:val="clear" w:color="auto" w:fill="auto"/>
            <w:tcMar>
              <w:left w:w="0" w:type="dxa"/>
            </w:tcMar>
          </w:tcPr>
          <w:p w14:paraId="4A891EA5" w14:textId="5642FA47" w:rsidR="001C3855" w:rsidRPr="00D160FB" w:rsidRDefault="00886032" w:rsidP="00C8019E">
            <w:pPr>
              <w:spacing w:after="0"/>
              <w:rPr>
                <w:b/>
                <w:spacing w:val="-4"/>
                <w:lang w:val="en-GB"/>
              </w:rPr>
            </w:pPr>
            <w:r w:rsidRPr="00D160FB">
              <w:rPr>
                <w:b/>
                <w:spacing w:val="-4"/>
                <w:lang w:val="en-GB"/>
              </w:rPr>
              <w:t xml:space="preserve">Chart </w:t>
            </w:r>
            <w:r w:rsidR="008F525A" w:rsidRPr="00D160FB">
              <w:rPr>
                <w:b/>
                <w:spacing w:val="-4"/>
                <w:lang w:val="en-GB"/>
              </w:rPr>
              <w:t>15</w:t>
            </w:r>
            <w:r w:rsidR="001C3855" w:rsidRPr="00D160FB">
              <w:rPr>
                <w:b/>
                <w:spacing w:val="-4"/>
                <w:lang w:val="en-GB"/>
              </w:rPr>
              <w:t xml:space="preserve"> </w:t>
            </w:r>
            <w:r w:rsidR="00312C83" w:rsidRPr="00D160FB">
              <w:rPr>
                <w:rFonts w:cs="Arial"/>
                <w:b/>
                <w:spacing w:val="-3"/>
                <w:lang w:val="en-GB"/>
              </w:rPr>
              <w:t xml:space="preserve">General unemployment rate </w:t>
            </w:r>
            <w:r w:rsidR="00312C83" w:rsidRPr="00D160FB">
              <w:rPr>
                <w:rFonts w:cs="Arial"/>
                <w:bCs/>
                <w:spacing w:val="-3"/>
                <w:lang w:val="en-GB"/>
              </w:rPr>
              <w:t>(in %, age 15 to 64 years)</w:t>
            </w:r>
            <w:r w:rsidR="00312C83" w:rsidRPr="00D160FB">
              <w:rPr>
                <w:rFonts w:cs="Arial"/>
                <w:b/>
                <w:spacing w:val="-3"/>
                <w:lang w:val="en-GB"/>
              </w:rPr>
              <w:t xml:space="preserve">, rate of economic activity </w:t>
            </w:r>
            <w:r w:rsidR="00312C83" w:rsidRPr="00D160FB">
              <w:rPr>
                <w:rFonts w:cs="Arial"/>
                <w:bCs/>
                <w:spacing w:val="-3"/>
                <w:lang w:val="en-GB"/>
              </w:rPr>
              <w:t>(in %, age 15 to 64 years)</w:t>
            </w:r>
            <w:r w:rsidR="00312C83" w:rsidRPr="00D160FB">
              <w:rPr>
                <w:rFonts w:cs="Arial"/>
                <w:b/>
                <w:spacing w:val="-3"/>
                <w:lang w:val="en-GB"/>
              </w:rPr>
              <w:t xml:space="preserve">, economically inactive willing to work </w:t>
            </w:r>
            <w:r w:rsidR="00312C83" w:rsidRPr="00D160FB">
              <w:rPr>
                <w:rFonts w:cs="Arial"/>
                <w:bCs/>
                <w:spacing w:val="-3"/>
                <w:lang w:val="en-GB"/>
              </w:rPr>
              <w:t>(in thousand persons)</w:t>
            </w:r>
            <w:r w:rsidR="00312C83" w:rsidRPr="00D160FB">
              <w:rPr>
                <w:rFonts w:cs="Arial"/>
                <w:bCs/>
                <w:spacing w:val="-4"/>
                <w:lang w:val="en-GB"/>
              </w:rPr>
              <w:t>*,</w:t>
            </w:r>
            <w:r w:rsidR="00312C83" w:rsidRPr="00D160FB">
              <w:rPr>
                <w:rFonts w:cs="Arial"/>
                <w:b/>
                <w:spacing w:val="-3"/>
                <w:lang w:val="en-GB"/>
              </w:rPr>
              <w:t xml:space="preserve"> job vacancies </w:t>
            </w:r>
            <w:r w:rsidR="00312C83" w:rsidRPr="00D160FB">
              <w:rPr>
                <w:rFonts w:cs="Arial"/>
                <w:bCs/>
                <w:spacing w:val="-3"/>
                <w:lang w:val="en-GB"/>
              </w:rPr>
              <w:t>(in thousand)</w:t>
            </w:r>
            <w:r w:rsidR="00312C83" w:rsidRPr="00D160FB">
              <w:rPr>
                <w:rFonts w:cs="Arial"/>
                <w:b/>
                <w:spacing w:val="-3"/>
                <w:lang w:val="en-GB"/>
              </w:rPr>
              <w:t xml:space="preserve"> and unemployment expectations of households </w:t>
            </w:r>
            <w:r w:rsidR="00312C83" w:rsidRPr="00D160FB">
              <w:rPr>
                <w:rFonts w:cs="Arial"/>
                <w:bCs/>
                <w:spacing w:val="-4"/>
                <w:lang w:val="en-GB"/>
              </w:rPr>
              <w:t>(in p. p.)**</w:t>
            </w:r>
          </w:p>
        </w:tc>
      </w:tr>
      <w:tr w:rsidR="00B646BC" w:rsidRPr="00D160FB" w14:paraId="79F99BED" w14:textId="77777777" w:rsidTr="000F34A8">
        <w:tblPrEx>
          <w:tblCellMar>
            <w:left w:w="70" w:type="dxa"/>
            <w:right w:w="70" w:type="dxa"/>
          </w:tblCellMar>
        </w:tblPrEx>
        <w:trPr>
          <w:trHeight w:val="155"/>
        </w:trPr>
        <w:tc>
          <w:tcPr>
            <w:tcW w:w="1722" w:type="dxa"/>
            <w:vMerge/>
          </w:tcPr>
          <w:p w14:paraId="2C6F367B" w14:textId="77777777" w:rsidR="001C3855" w:rsidRPr="00D160FB" w:rsidRDefault="001C3855" w:rsidP="00C8019E">
            <w:pPr>
              <w:pStyle w:val="Marginlie"/>
              <w:spacing w:after="120"/>
              <w:rPr>
                <w:spacing w:val="-4"/>
                <w:lang w:val="en-GB"/>
              </w:rPr>
            </w:pPr>
          </w:p>
        </w:tc>
        <w:tc>
          <w:tcPr>
            <w:tcW w:w="202" w:type="dxa"/>
            <w:vMerge/>
          </w:tcPr>
          <w:p w14:paraId="4189C87A" w14:textId="77777777" w:rsidR="001C3855" w:rsidRPr="00D160FB" w:rsidRDefault="001C3855" w:rsidP="00C8019E">
            <w:pPr>
              <w:pStyle w:val="Textpoznpodarou"/>
              <w:spacing w:after="120"/>
              <w:jc w:val="both"/>
              <w:rPr>
                <w:spacing w:val="-4"/>
                <w:lang w:val="en-GB"/>
              </w:rPr>
            </w:pPr>
          </w:p>
        </w:tc>
        <w:tc>
          <w:tcPr>
            <w:tcW w:w="7750" w:type="dxa"/>
            <w:shd w:val="clear" w:color="auto" w:fill="auto"/>
          </w:tcPr>
          <w:p w14:paraId="5DDCC836" w14:textId="620FCBBD" w:rsidR="001C3855" w:rsidRPr="00D160FB" w:rsidRDefault="000F34A8" w:rsidP="0024233F">
            <w:pPr>
              <w:spacing w:after="0"/>
              <w:rPr>
                <w:lang w:val="en-GB"/>
              </w:rPr>
            </w:pPr>
            <w:r>
              <w:rPr>
                <w:noProof/>
              </w:rPr>
              <w:drawing>
                <wp:inline distT="0" distB="0" distL="0" distR="0" wp14:anchorId="1307F9AA" wp14:editId="7D58C95C">
                  <wp:extent cx="4691636" cy="3343833"/>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B646BC" w:rsidRPr="00D160FB" w14:paraId="555143BE" w14:textId="77777777" w:rsidTr="003D13A6">
        <w:trPr>
          <w:trHeight w:val="132"/>
        </w:trPr>
        <w:tc>
          <w:tcPr>
            <w:tcW w:w="1722" w:type="dxa"/>
            <w:vMerge/>
            <w:tcMar>
              <w:left w:w="0" w:type="dxa"/>
            </w:tcMar>
          </w:tcPr>
          <w:p w14:paraId="77DFCAE8" w14:textId="77777777" w:rsidR="001C3855" w:rsidRPr="00D160FB" w:rsidRDefault="001C3855" w:rsidP="00C8019E">
            <w:pPr>
              <w:pStyle w:val="Marginlie"/>
              <w:rPr>
                <w:spacing w:val="-4"/>
                <w:lang w:val="en-GB"/>
              </w:rPr>
            </w:pPr>
          </w:p>
        </w:tc>
        <w:tc>
          <w:tcPr>
            <w:tcW w:w="202" w:type="dxa"/>
            <w:vMerge/>
            <w:tcMar>
              <w:left w:w="0" w:type="dxa"/>
            </w:tcMar>
          </w:tcPr>
          <w:p w14:paraId="5F781134"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29650085" w14:textId="34715A4C" w:rsidR="00312C83" w:rsidRPr="00D160FB" w:rsidRDefault="00312C83" w:rsidP="0024233F">
            <w:pPr>
              <w:spacing w:after="0"/>
              <w:rPr>
                <w:rFonts w:cs="Arial"/>
                <w:color w:val="0D0D0D" w:themeColor="text1" w:themeTint="F2"/>
                <w:sz w:val="14"/>
                <w:szCs w:val="14"/>
                <w:lang w:val="en-GB"/>
              </w:rPr>
            </w:pPr>
            <w:r w:rsidRPr="00D160FB">
              <w:rPr>
                <w:rFonts w:cs="Arial"/>
                <w:color w:val="0D0D0D" w:themeColor="text1" w:themeTint="F2"/>
                <w:sz w:val="14"/>
                <w:szCs w:val="14"/>
                <w:lang w:val="en-GB"/>
              </w:rPr>
              <w:t>Note: Figures regarding the unemployment rate as well as economic activity are seasonally adjusted. JV = job vacancies (state at the end of quarter)</w:t>
            </w:r>
          </w:p>
          <w:p w14:paraId="22D1C755" w14:textId="77777777" w:rsidR="00312C83" w:rsidRPr="00D160FB" w:rsidRDefault="00312C83" w:rsidP="0024233F">
            <w:pPr>
              <w:spacing w:after="0"/>
              <w:rPr>
                <w:rFonts w:cs="Arial"/>
                <w:bCs/>
                <w:color w:val="0D0D0D" w:themeColor="text1" w:themeTint="F2"/>
                <w:sz w:val="14"/>
                <w:szCs w:val="14"/>
                <w:lang w:val="en-GB"/>
              </w:rPr>
            </w:pPr>
            <w:r w:rsidRPr="00D160FB">
              <w:rPr>
                <w:rFonts w:cs="Arial"/>
                <w:bCs/>
                <w:color w:val="0D0D0D" w:themeColor="text1" w:themeTint="F2"/>
                <w:sz w:val="14"/>
                <w:szCs w:val="14"/>
                <w:lang w:val="en-GB"/>
              </w:rPr>
              <w:lastRenderedPageBreak/>
              <w:t xml:space="preserve">*Persons not in employment, not seeking work, but expressing the willingness to work. </w:t>
            </w:r>
          </w:p>
          <w:p w14:paraId="64D8D9A0" w14:textId="54B68508" w:rsidR="00312C83" w:rsidRPr="0024233F" w:rsidRDefault="00312C83" w:rsidP="0024233F">
            <w:pPr>
              <w:spacing w:after="0"/>
              <w:rPr>
                <w:rFonts w:cs="Arial"/>
                <w:color w:val="0D0D0D" w:themeColor="text1" w:themeTint="F2"/>
                <w:spacing w:val="-4"/>
                <w:sz w:val="14"/>
                <w:szCs w:val="14"/>
                <w:lang w:val="en-GB"/>
              </w:rPr>
            </w:pPr>
            <w:r w:rsidRPr="0024233F">
              <w:rPr>
                <w:rFonts w:cs="Arial"/>
                <w:color w:val="0D0D0D" w:themeColor="text1" w:themeTint="F2"/>
                <w:spacing w:val="-4"/>
                <w:sz w:val="14"/>
                <w:szCs w:val="14"/>
                <w:lang w:val="en-GB"/>
              </w:rPr>
              <w:t xml:space="preserve">**Seasonally adjusted balance of expectations of unemployment in the next 12 months (difference between percentage frequency of answers of households, growth and decrease expressed in percentage points). Data relates to the middle month of the given quarter. </w:t>
            </w:r>
          </w:p>
          <w:p w14:paraId="791A5427" w14:textId="3603C837" w:rsidR="00AE4122" w:rsidRDefault="00AE4122" w:rsidP="0024233F">
            <w:pPr>
              <w:spacing w:after="0"/>
              <w:rPr>
                <w:rFonts w:cs="Arial"/>
                <w:color w:val="0D0D0D" w:themeColor="text1" w:themeTint="F2"/>
                <w:spacing w:val="-2"/>
                <w:sz w:val="14"/>
                <w:szCs w:val="14"/>
                <w:lang w:val="en-GB"/>
              </w:rPr>
            </w:pPr>
            <w:r>
              <w:rPr>
                <w:rFonts w:cs="Arial"/>
                <w:color w:val="0D0D0D" w:themeColor="text1" w:themeTint="F2"/>
                <w:spacing w:val="-2"/>
                <w:sz w:val="14"/>
                <w:szCs w:val="14"/>
                <w:lang w:val="en-GB"/>
              </w:rPr>
              <w:t>***</w:t>
            </w:r>
            <w:r>
              <w:t xml:space="preserve"> </w:t>
            </w:r>
            <w:r w:rsidR="0024233F" w:rsidRPr="0024233F">
              <w:rPr>
                <w:rFonts w:cs="Arial"/>
                <w:color w:val="0D0D0D" w:themeColor="text1" w:themeTint="F2"/>
                <w:spacing w:val="-2"/>
                <w:sz w:val="14"/>
                <w:szCs w:val="14"/>
                <w:lang w:val="en-GB"/>
              </w:rPr>
              <w:t xml:space="preserve">Job vacancies for apprentices </w:t>
            </w:r>
            <w:r w:rsidR="0024233F">
              <w:rPr>
                <w:rFonts w:cs="Arial"/>
                <w:color w:val="0D0D0D" w:themeColor="text1" w:themeTint="F2"/>
                <w:spacing w:val="-2"/>
                <w:sz w:val="14"/>
                <w:szCs w:val="14"/>
                <w:lang w:val="en-GB"/>
              </w:rPr>
              <w:t>ant people</w:t>
            </w:r>
            <w:r w:rsidR="0024233F" w:rsidRPr="0024233F">
              <w:rPr>
                <w:rFonts w:cs="Arial"/>
                <w:color w:val="0D0D0D" w:themeColor="text1" w:themeTint="F2"/>
                <w:spacing w:val="-2"/>
                <w:sz w:val="14"/>
                <w:szCs w:val="14"/>
                <w:lang w:val="en-GB"/>
              </w:rPr>
              <w:t xml:space="preserve"> with </w:t>
            </w:r>
            <w:r w:rsidR="0024233F">
              <w:rPr>
                <w:rFonts w:cs="Arial"/>
                <w:color w:val="0D0D0D" w:themeColor="text1" w:themeTint="F2"/>
                <w:spacing w:val="-2"/>
                <w:sz w:val="14"/>
                <w:szCs w:val="14"/>
                <w:lang w:val="en-GB"/>
              </w:rPr>
              <w:t xml:space="preserve">secondary education </w:t>
            </w:r>
            <w:r w:rsidRPr="00AE4122">
              <w:rPr>
                <w:rFonts w:cs="Arial"/>
                <w:color w:val="0D0D0D" w:themeColor="text1" w:themeTint="F2"/>
                <w:spacing w:val="-2"/>
                <w:sz w:val="14"/>
                <w:szCs w:val="14"/>
                <w:lang w:val="en-GB"/>
              </w:rPr>
              <w:t>without A-level examination</w:t>
            </w:r>
          </w:p>
          <w:p w14:paraId="08B6BDD9" w14:textId="2D37F374" w:rsidR="0024233F" w:rsidRPr="00D160FB" w:rsidRDefault="0024233F" w:rsidP="0024233F">
            <w:pPr>
              <w:spacing w:after="0"/>
              <w:rPr>
                <w:rFonts w:cs="Arial"/>
                <w:color w:val="0D0D0D" w:themeColor="text1" w:themeTint="F2"/>
                <w:spacing w:val="-2"/>
                <w:sz w:val="14"/>
                <w:szCs w:val="14"/>
                <w:lang w:val="en-GB"/>
              </w:rPr>
            </w:pPr>
            <w:r>
              <w:rPr>
                <w:rFonts w:cs="Arial"/>
                <w:color w:val="0D0D0D" w:themeColor="text1" w:themeTint="F2"/>
                <w:spacing w:val="-2"/>
                <w:sz w:val="14"/>
                <w:szCs w:val="14"/>
                <w:lang w:val="en-GB"/>
              </w:rPr>
              <w:t xml:space="preserve">**** </w:t>
            </w:r>
            <w:r w:rsidRPr="0024233F">
              <w:rPr>
                <w:rFonts w:cs="Arial"/>
                <w:color w:val="0D0D0D" w:themeColor="text1" w:themeTint="F2"/>
                <w:spacing w:val="-2"/>
                <w:sz w:val="14"/>
                <w:szCs w:val="14"/>
                <w:lang w:val="en-GB"/>
              </w:rPr>
              <w:t>Job vacancies for</w:t>
            </w:r>
            <w:r>
              <w:rPr>
                <w:rFonts w:cs="Arial"/>
                <w:color w:val="0D0D0D" w:themeColor="text1" w:themeTint="F2"/>
                <w:spacing w:val="-2"/>
                <w:sz w:val="14"/>
                <w:szCs w:val="14"/>
                <w:lang w:val="en-GB"/>
              </w:rPr>
              <w:t xml:space="preserve"> people with secondary education</w:t>
            </w:r>
            <w:r w:rsidRPr="0024233F">
              <w:rPr>
                <w:rFonts w:cs="Arial"/>
                <w:color w:val="0D0D0D" w:themeColor="text1" w:themeTint="F2"/>
                <w:spacing w:val="-2"/>
                <w:sz w:val="14"/>
                <w:szCs w:val="14"/>
                <w:lang w:val="en-GB"/>
              </w:rPr>
              <w:t xml:space="preserve"> with A-level examination</w:t>
            </w:r>
            <w:r>
              <w:rPr>
                <w:rFonts w:cs="Arial"/>
                <w:color w:val="0D0D0D" w:themeColor="text1" w:themeTint="F2"/>
                <w:spacing w:val="-2"/>
                <w:sz w:val="14"/>
                <w:szCs w:val="14"/>
                <w:lang w:val="en-GB"/>
              </w:rPr>
              <w:t xml:space="preserve">, and higher (tertiary) education </w:t>
            </w:r>
          </w:p>
          <w:p w14:paraId="6E21AF7B" w14:textId="5B234339" w:rsidR="00312C83" w:rsidRPr="00D160FB" w:rsidRDefault="00312C83" w:rsidP="0024233F">
            <w:pPr>
              <w:spacing w:after="0"/>
              <w:rPr>
                <w:rFonts w:cs="Arial"/>
                <w:color w:val="0D0D0D" w:themeColor="text1" w:themeTint="F2"/>
                <w:sz w:val="14"/>
                <w:szCs w:val="14"/>
                <w:lang w:val="en-GB"/>
              </w:rPr>
            </w:pPr>
            <w:r w:rsidRPr="00D160FB">
              <w:rPr>
                <w:rFonts w:cs="Arial"/>
                <w:color w:val="0D0D0D" w:themeColor="text1" w:themeTint="F2"/>
                <w:sz w:val="14"/>
                <w:szCs w:val="14"/>
                <w:lang w:val="en-GB"/>
              </w:rPr>
              <w:t>Source: CZSO (LFSS, business cycle surveys), MLSA (job vacancies registered at labour offices in the CR)</w:t>
            </w:r>
          </w:p>
          <w:p w14:paraId="3F450157" w14:textId="20CC9519" w:rsidR="00312C83" w:rsidRPr="00D160FB" w:rsidRDefault="00312C83" w:rsidP="0024233F">
            <w:pPr>
              <w:spacing w:after="0"/>
              <w:rPr>
                <w:rFonts w:cs="Arial"/>
                <w:b/>
                <w:bCs/>
                <w:color w:val="0D0D0D" w:themeColor="text1" w:themeTint="F2"/>
                <w:spacing w:val="-2"/>
                <w:sz w:val="16"/>
                <w:szCs w:val="16"/>
                <w:lang w:val="en-GB"/>
              </w:rPr>
            </w:pPr>
          </w:p>
        </w:tc>
      </w:tr>
      <w:tr w:rsidR="003D13A6" w:rsidRPr="00D160FB" w14:paraId="55E42A98" w14:textId="77777777" w:rsidTr="003D13A6">
        <w:trPr>
          <w:trHeight w:val="132"/>
        </w:trPr>
        <w:tc>
          <w:tcPr>
            <w:tcW w:w="1722" w:type="dxa"/>
            <w:shd w:val="clear" w:color="auto" w:fill="auto"/>
            <w:tcMar>
              <w:left w:w="0" w:type="dxa"/>
            </w:tcMar>
          </w:tcPr>
          <w:p w14:paraId="1F98E712" w14:textId="544335DF" w:rsidR="003D13A6" w:rsidRPr="00D160FB" w:rsidRDefault="003D13A6" w:rsidP="003D13A6">
            <w:pPr>
              <w:pStyle w:val="Marginlie"/>
              <w:rPr>
                <w:color w:val="0D0D0D" w:themeColor="text1" w:themeTint="F2"/>
                <w:spacing w:val="-5"/>
                <w:lang w:val="en-GB"/>
              </w:rPr>
            </w:pPr>
            <w:r w:rsidRPr="00D160FB">
              <w:rPr>
                <w:color w:val="0D0D0D" w:themeColor="text1" w:themeTint="F2"/>
                <w:spacing w:val="-5"/>
                <w:lang w:val="en-GB"/>
              </w:rPr>
              <w:lastRenderedPageBreak/>
              <w:t>D</w:t>
            </w:r>
            <w:r>
              <w:rPr>
                <w:color w:val="0D0D0D" w:themeColor="text1" w:themeTint="F2"/>
                <w:spacing w:val="-5"/>
                <w:lang w:val="en-GB"/>
              </w:rPr>
              <w:t>ecline of job vacancies was all-</w:t>
            </w:r>
            <w:r w:rsidRPr="00D160FB">
              <w:rPr>
                <w:color w:val="0D0D0D" w:themeColor="text1" w:themeTint="F2"/>
                <w:spacing w:val="-5"/>
                <w:lang w:val="en-GB"/>
              </w:rPr>
              <w:t xml:space="preserve">encompassing, the supply for persons with minimal qualification shrank the most. </w:t>
            </w:r>
          </w:p>
          <w:p w14:paraId="47E550F1" w14:textId="77777777" w:rsidR="003D13A6" w:rsidRPr="00D160FB" w:rsidRDefault="003D13A6" w:rsidP="003D13A6">
            <w:pPr>
              <w:pStyle w:val="Marginlie"/>
              <w:rPr>
                <w:color w:val="0D0D0D" w:themeColor="text1" w:themeTint="F2"/>
                <w:spacing w:val="-5"/>
                <w:lang w:val="en-GB"/>
              </w:rPr>
            </w:pPr>
          </w:p>
          <w:p w14:paraId="435EF841" w14:textId="77777777" w:rsidR="003D13A6" w:rsidRPr="00D160FB" w:rsidRDefault="003D13A6" w:rsidP="003D13A6">
            <w:pPr>
              <w:pStyle w:val="Marginlie"/>
              <w:rPr>
                <w:color w:val="0D0D0D" w:themeColor="text1" w:themeTint="F2"/>
                <w:spacing w:val="-5"/>
                <w:lang w:val="en-GB"/>
              </w:rPr>
            </w:pPr>
          </w:p>
          <w:p w14:paraId="2D66B320" w14:textId="77777777" w:rsidR="003D13A6" w:rsidRPr="00D160FB" w:rsidRDefault="003D13A6" w:rsidP="003D13A6">
            <w:pPr>
              <w:pStyle w:val="Marginlie"/>
              <w:rPr>
                <w:color w:val="0D0D0D" w:themeColor="text1" w:themeTint="F2"/>
                <w:spacing w:val="-5"/>
                <w:lang w:val="en-GB"/>
              </w:rPr>
            </w:pPr>
          </w:p>
          <w:p w14:paraId="57F2A079" w14:textId="77777777" w:rsidR="003D13A6" w:rsidRPr="00D160FB" w:rsidRDefault="003D13A6" w:rsidP="003D13A6">
            <w:pPr>
              <w:pStyle w:val="Marginlie"/>
              <w:rPr>
                <w:color w:val="0D0D0D" w:themeColor="text1" w:themeTint="F2"/>
                <w:spacing w:val="-5"/>
                <w:lang w:val="en-GB"/>
              </w:rPr>
            </w:pPr>
          </w:p>
          <w:p w14:paraId="60BE5429" w14:textId="75E0AC41" w:rsidR="003D13A6" w:rsidRPr="00D160FB" w:rsidRDefault="000F34A8" w:rsidP="003D13A6">
            <w:pPr>
              <w:pStyle w:val="Marginlie"/>
              <w:rPr>
                <w:spacing w:val="-4"/>
                <w:lang w:val="en-GB"/>
              </w:rPr>
            </w:pPr>
            <w:r>
              <w:rPr>
                <w:color w:val="0D0D0D" w:themeColor="text1" w:themeTint="F2"/>
                <w:spacing w:val="-5"/>
                <w:lang w:val="en-GB"/>
              </w:rPr>
              <w:t>Five</w:t>
            </w:r>
            <w:r w:rsidR="003D13A6" w:rsidRPr="00D160FB">
              <w:rPr>
                <w:color w:val="0D0D0D" w:themeColor="text1" w:themeTint="F2"/>
                <w:spacing w:val="-5"/>
                <w:lang w:val="en-GB"/>
              </w:rPr>
              <w:t xml:space="preserve"> regions of the CR registered excess supply of vacancies over numbers of job</w:t>
            </w:r>
            <w:r>
              <w:rPr>
                <w:color w:val="0D0D0D" w:themeColor="text1" w:themeTint="F2"/>
                <w:spacing w:val="-5"/>
                <w:lang w:val="en-GB"/>
              </w:rPr>
              <w:t xml:space="preserve"> applicants in January 2023</w:t>
            </w:r>
            <w:r w:rsidR="003D13A6" w:rsidRPr="00D160FB">
              <w:rPr>
                <w:color w:val="0D0D0D" w:themeColor="text1" w:themeTint="F2"/>
                <w:spacing w:val="-5"/>
                <w:lang w:val="en-GB"/>
              </w:rPr>
              <w:t>.</w:t>
            </w:r>
          </w:p>
        </w:tc>
        <w:tc>
          <w:tcPr>
            <w:tcW w:w="202" w:type="dxa"/>
            <w:shd w:val="clear" w:color="auto" w:fill="auto"/>
            <w:tcMar>
              <w:left w:w="0" w:type="dxa"/>
            </w:tcMar>
          </w:tcPr>
          <w:p w14:paraId="00AFA38E" w14:textId="77777777" w:rsidR="003D13A6" w:rsidRPr="00D160FB" w:rsidRDefault="003D13A6" w:rsidP="00C8019E">
            <w:pPr>
              <w:pStyle w:val="Textpoznpodarou"/>
              <w:jc w:val="both"/>
              <w:rPr>
                <w:spacing w:val="-4"/>
                <w:lang w:val="en-GB"/>
              </w:rPr>
            </w:pPr>
          </w:p>
        </w:tc>
        <w:tc>
          <w:tcPr>
            <w:tcW w:w="7750" w:type="dxa"/>
            <w:shd w:val="clear" w:color="auto" w:fill="auto"/>
            <w:tcMar>
              <w:left w:w="0" w:type="dxa"/>
            </w:tcMar>
          </w:tcPr>
          <w:p w14:paraId="6D223F52" w14:textId="1BF91D87" w:rsidR="003D13A6" w:rsidRPr="00D160FB" w:rsidRDefault="003D13A6" w:rsidP="003D13A6">
            <w:pPr>
              <w:spacing w:after="200"/>
              <w:rPr>
                <w:color w:val="0D0D0D" w:themeColor="text1" w:themeTint="F2"/>
                <w:spacing w:val="-4"/>
                <w:lang w:val="en-GB"/>
              </w:rPr>
            </w:pPr>
            <w:r w:rsidRPr="00D160FB">
              <w:rPr>
                <w:color w:val="0D0D0D" w:themeColor="text1" w:themeTint="F2"/>
                <w:spacing w:val="-4"/>
                <w:lang w:val="en-GB"/>
              </w:rPr>
              <w:t>Job vacancies requiring minimum qualification (maximum primary education) decreased relatively the most year-on-year, by 23% compared to January 2022 (to 202 thousand). It can be assumed, that part of the less qualified positions could have been filled by the refugees from Ukraine. The supply of positions for secondary school leavers without certificate decreased, specifically by 13.9% (to 43 thousand), for persons with higher education then by 8.5% (to 37 thousand.). The excess of the entire supply of job vacancies over the number of registered job applicants occurred in five regions</w:t>
            </w:r>
            <w:r w:rsidR="000F34A8">
              <w:rPr>
                <w:color w:val="0D0D0D" w:themeColor="text1" w:themeTint="F2"/>
                <w:spacing w:val="-4"/>
                <w:lang w:val="en-GB"/>
              </w:rPr>
              <w:t xml:space="preserve"> (</w:t>
            </w:r>
            <w:proofErr w:type="spellStart"/>
            <w:r w:rsidR="000F34A8" w:rsidRPr="000F34A8">
              <w:rPr>
                <w:i/>
                <w:color w:val="0D0D0D" w:themeColor="text1" w:themeTint="F2"/>
                <w:spacing w:val="-4"/>
                <w:lang w:val="en-GB"/>
              </w:rPr>
              <w:t>Kraje</w:t>
            </w:r>
            <w:proofErr w:type="spellEnd"/>
            <w:r w:rsidR="000F34A8">
              <w:rPr>
                <w:color w:val="0D0D0D" w:themeColor="text1" w:themeTint="F2"/>
                <w:spacing w:val="-4"/>
                <w:lang w:val="en-GB"/>
              </w:rPr>
              <w:t>)</w:t>
            </w:r>
            <w:r w:rsidRPr="00D160FB">
              <w:rPr>
                <w:color w:val="0D0D0D" w:themeColor="text1" w:themeTint="F2"/>
                <w:spacing w:val="-4"/>
                <w:lang w:val="en-GB"/>
              </w:rPr>
              <w:t xml:space="preserve"> of the CR in October an</w:t>
            </w:r>
            <w:r w:rsidR="00AD4FF6">
              <w:rPr>
                <w:color w:val="0D0D0D" w:themeColor="text1" w:themeTint="F2"/>
                <w:spacing w:val="-4"/>
                <w:lang w:val="en-GB"/>
              </w:rPr>
              <w:t>d in one third of smaller units (</w:t>
            </w:r>
            <w:proofErr w:type="spellStart"/>
            <w:r w:rsidR="00AD4FF6" w:rsidRPr="00AD4FF6">
              <w:rPr>
                <w:i/>
                <w:color w:val="0D0D0D" w:themeColor="text1" w:themeTint="F2"/>
                <w:spacing w:val="-4"/>
                <w:lang w:val="en-GB"/>
              </w:rPr>
              <w:t>Okresy</w:t>
            </w:r>
            <w:proofErr w:type="spellEnd"/>
            <w:r w:rsidR="00AD4FF6">
              <w:rPr>
                <w:color w:val="0D0D0D" w:themeColor="text1" w:themeTint="F2"/>
                <w:spacing w:val="-4"/>
                <w:lang w:val="en-GB"/>
              </w:rPr>
              <w:t>)</w:t>
            </w:r>
            <w:r w:rsidRPr="00D160FB">
              <w:rPr>
                <w:color w:val="0D0D0D" w:themeColor="text1" w:themeTint="F2"/>
                <w:spacing w:val="-4"/>
                <w:lang w:val="en-GB"/>
              </w:rPr>
              <w:t xml:space="preserve"> (apart from Prague usually in Central, Southwest and East Bohemia). In</w:t>
            </w:r>
            <w:r w:rsidR="00AD4FF6">
              <w:rPr>
                <w:color w:val="0D0D0D" w:themeColor="text1" w:themeTint="F2"/>
                <w:spacing w:val="-4"/>
                <w:lang w:val="en-GB"/>
              </w:rPr>
              <w:t xml:space="preserve"> contrast, in all smaller units</w:t>
            </w:r>
            <w:r w:rsidRPr="00D160FB">
              <w:rPr>
                <w:color w:val="0D0D0D" w:themeColor="text1" w:themeTint="F2"/>
                <w:spacing w:val="-4"/>
                <w:lang w:val="en-GB"/>
              </w:rPr>
              <w:t xml:space="preserve"> of </w:t>
            </w:r>
            <w:proofErr w:type="spellStart"/>
            <w:r w:rsidRPr="00D160FB">
              <w:rPr>
                <w:color w:val="0D0D0D" w:themeColor="text1" w:themeTint="F2"/>
                <w:spacing w:val="-4"/>
                <w:lang w:val="en-GB"/>
              </w:rPr>
              <w:t>Ustecky</w:t>
            </w:r>
            <w:proofErr w:type="spellEnd"/>
            <w:r w:rsidRPr="00D160FB">
              <w:rPr>
                <w:color w:val="0D0D0D" w:themeColor="text1" w:themeTint="F2"/>
                <w:spacing w:val="-4"/>
                <w:lang w:val="en-GB"/>
              </w:rPr>
              <w:t xml:space="preserve">, </w:t>
            </w:r>
            <w:proofErr w:type="spellStart"/>
            <w:r w:rsidRPr="00D160FB">
              <w:rPr>
                <w:color w:val="0D0D0D" w:themeColor="text1" w:themeTint="F2"/>
                <w:spacing w:val="-4"/>
                <w:lang w:val="en-GB"/>
              </w:rPr>
              <w:t>Liberecky</w:t>
            </w:r>
            <w:proofErr w:type="spellEnd"/>
            <w:r w:rsidRPr="00D160FB">
              <w:rPr>
                <w:color w:val="0D0D0D" w:themeColor="text1" w:themeTint="F2"/>
                <w:spacing w:val="-4"/>
                <w:lang w:val="en-GB"/>
              </w:rPr>
              <w:t xml:space="preserve">, </w:t>
            </w:r>
            <w:proofErr w:type="spellStart"/>
            <w:r w:rsidRPr="00D160FB">
              <w:rPr>
                <w:color w:val="0D0D0D" w:themeColor="text1" w:themeTint="F2"/>
                <w:spacing w:val="-4"/>
                <w:lang w:val="en-GB"/>
              </w:rPr>
              <w:t>Olomoucky</w:t>
            </w:r>
            <w:proofErr w:type="spellEnd"/>
            <w:r w:rsidRPr="00D160FB">
              <w:rPr>
                <w:color w:val="0D0D0D" w:themeColor="text1" w:themeTint="F2"/>
                <w:spacing w:val="-4"/>
                <w:lang w:val="en-GB"/>
              </w:rPr>
              <w:t xml:space="preserve"> as well as Moravia Silesia regions the supply of job vacancies at LO could not even theoretically (regardless of the qualification demands) fully cover the demand on the part of job applicants already at</w:t>
            </w:r>
            <w:r>
              <w:rPr>
                <w:color w:val="0D0D0D" w:themeColor="text1" w:themeTint="F2"/>
                <w:spacing w:val="-4"/>
                <w:lang w:val="en-GB"/>
              </w:rPr>
              <w:t xml:space="preserve"> the end of January this year. </w:t>
            </w:r>
            <w:r w:rsidRPr="00D160FB">
              <w:rPr>
                <w:color w:val="0D0D0D" w:themeColor="text1" w:themeTint="F2"/>
                <w:spacing w:val="-4"/>
                <w:lang w:val="en-GB"/>
              </w:rPr>
              <w:t xml:space="preserve">Traditionally, the worst situation exists in </w:t>
            </w:r>
            <w:proofErr w:type="spellStart"/>
            <w:r w:rsidRPr="00D160FB">
              <w:rPr>
                <w:color w:val="0D0D0D" w:themeColor="text1" w:themeTint="F2"/>
                <w:spacing w:val="-4"/>
                <w:lang w:val="en-GB"/>
              </w:rPr>
              <w:t>Karvinsko</w:t>
            </w:r>
            <w:proofErr w:type="spellEnd"/>
            <w:r w:rsidRPr="00D160FB">
              <w:rPr>
                <w:color w:val="0D0D0D" w:themeColor="text1" w:themeTint="F2"/>
                <w:spacing w:val="-4"/>
                <w:lang w:val="en-GB"/>
              </w:rPr>
              <w:t xml:space="preserve"> (with 12 applicants per one position), where in addition the decision regarding the prolongation of coal mining prevented more substantial worsening.  </w:t>
            </w:r>
          </w:p>
        </w:tc>
      </w:tr>
      <w:tr w:rsidR="00B646BC" w:rsidRPr="00D160FB" w14:paraId="5501AED2" w14:textId="77777777" w:rsidTr="003D13A6">
        <w:trPr>
          <w:trHeight w:val="132"/>
        </w:trPr>
        <w:tc>
          <w:tcPr>
            <w:tcW w:w="1722" w:type="dxa"/>
            <w:shd w:val="clear" w:color="auto" w:fill="auto"/>
            <w:tcMar>
              <w:left w:w="0" w:type="dxa"/>
            </w:tcMar>
          </w:tcPr>
          <w:p w14:paraId="29A0A166" w14:textId="259B9FC1" w:rsidR="001C3855" w:rsidRPr="00D160FB" w:rsidRDefault="00886032" w:rsidP="00C8019E">
            <w:pPr>
              <w:pStyle w:val="Marginlie"/>
              <w:rPr>
                <w:spacing w:val="-4"/>
                <w:lang w:val="en-GB"/>
              </w:rPr>
            </w:pPr>
            <w:r w:rsidRPr="00D160FB">
              <w:rPr>
                <w:spacing w:val="-4"/>
                <w:lang w:val="en-GB"/>
              </w:rPr>
              <w:t xml:space="preserve">Quarter-on-quarter </w:t>
            </w:r>
            <w:r w:rsidR="00BD754D" w:rsidRPr="00D160FB">
              <w:rPr>
                <w:spacing w:val="-4"/>
                <w:lang w:val="en-GB"/>
              </w:rPr>
              <w:t xml:space="preserve">nominal growth of the average wage slightly accelerated during year </w:t>
            </w:r>
            <w:r w:rsidR="001C3855" w:rsidRPr="00D160FB">
              <w:rPr>
                <w:spacing w:val="-4"/>
                <w:lang w:val="en-GB"/>
              </w:rPr>
              <w:t>2022.</w:t>
            </w:r>
          </w:p>
          <w:p w14:paraId="125C8393" w14:textId="77777777" w:rsidR="001C3855" w:rsidRPr="00D160FB" w:rsidRDefault="001C3855" w:rsidP="00C8019E">
            <w:pPr>
              <w:pStyle w:val="Marginlie"/>
              <w:rPr>
                <w:spacing w:val="-4"/>
                <w:lang w:val="en-GB"/>
              </w:rPr>
            </w:pPr>
          </w:p>
          <w:p w14:paraId="023056C1" w14:textId="77777777" w:rsidR="001C3855" w:rsidRPr="00D160FB" w:rsidRDefault="001C3855" w:rsidP="00C8019E">
            <w:pPr>
              <w:pStyle w:val="Marginlie"/>
              <w:rPr>
                <w:spacing w:val="-4"/>
                <w:lang w:val="en-GB"/>
              </w:rPr>
            </w:pPr>
          </w:p>
          <w:p w14:paraId="137CCE02" w14:textId="77777777" w:rsidR="001C3855" w:rsidRPr="00D160FB" w:rsidRDefault="001C3855" w:rsidP="00C8019E">
            <w:pPr>
              <w:pStyle w:val="Marginlie"/>
              <w:rPr>
                <w:spacing w:val="-4"/>
                <w:lang w:val="en-GB"/>
              </w:rPr>
            </w:pPr>
          </w:p>
          <w:p w14:paraId="35F7D66E" w14:textId="77777777" w:rsidR="001C3855" w:rsidRPr="00D160FB" w:rsidRDefault="001C3855" w:rsidP="00C8019E">
            <w:pPr>
              <w:pStyle w:val="Marginlie"/>
              <w:rPr>
                <w:spacing w:val="-4"/>
                <w:lang w:val="en-GB"/>
              </w:rPr>
            </w:pPr>
          </w:p>
          <w:p w14:paraId="7FEA112D" w14:textId="77777777" w:rsidR="001C3855" w:rsidRPr="00D160FB" w:rsidRDefault="001C3855" w:rsidP="00C8019E">
            <w:pPr>
              <w:pStyle w:val="Marginlie"/>
              <w:rPr>
                <w:spacing w:val="-4"/>
                <w:lang w:val="en-GB"/>
              </w:rPr>
            </w:pPr>
          </w:p>
          <w:p w14:paraId="51A1D5AC" w14:textId="77777777" w:rsidR="001C3855" w:rsidRPr="00D160FB" w:rsidRDefault="001C3855" w:rsidP="00C8019E">
            <w:pPr>
              <w:pStyle w:val="Marginlie"/>
              <w:rPr>
                <w:spacing w:val="-4"/>
                <w:lang w:val="en-GB"/>
              </w:rPr>
            </w:pPr>
          </w:p>
          <w:p w14:paraId="488EF7BB" w14:textId="368B5ADD" w:rsidR="001C3855" w:rsidRPr="00D160FB" w:rsidRDefault="001A5DD6" w:rsidP="00C8019E">
            <w:pPr>
              <w:pStyle w:val="Marginlie"/>
              <w:rPr>
                <w:spacing w:val="-4"/>
                <w:lang w:val="en-GB"/>
              </w:rPr>
            </w:pPr>
            <w:r w:rsidRPr="00D160FB">
              <w:rPr>
                <w:spacing w:val="-4"/>
                <w:lang w:val="en-GB"/>
              </w:rPr>
              <w:t xml:space="preserve">Striking year-on-year fall of real wages continued for the fifth quarter in a row. It afflicted all branches and regions. </w:t>
            </w:r>
          </w:p>
          <w:p w14:paraId="2FC2AF61"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5ACEEC09"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4F420044" w14:textId="14D4798C" w:rsidR="001C3855" w:rsidRPr="00D160FB" w:rsidRDefault="00BD754D" w:rsidP="00C8019E">
            <w:pPr>
              <w:spacing w:after="0"/>
              <w:rPr>
                <w:spacing w:val="-4"/>
                <w:lang w:val="en-GB"/>
              </w:rPr>
            </w:pPr>
            <w:r w:rsidRPr="00D160FB">
              <w:rPr>
                <w:color w:val="0D0D0D" w:themeColor="text1" w:themeTint="F2"/>
                <w:spacing w:val="-4"/>
                <w:lang w:val="en-GB"/>
              </w:rPr>
              <w:t xml:space="preserve">The average gross monthly nominal wage </w:t>
            </w:r>
            <w:r w:rsidR="001C3855" w:rsidRPr="00D160FB">
              <w:rPr>
                <w:color w:val="0D0D0D" w:themeColor="text1" w:themeTint="F2"/>
                <w:spacing w:val="-4"/>
                <w:lang w:val="en-GB"/>
              </w:rPr>
              <w:t>(</w:t>
            </w:r>
            <w:r w:rsidRPr="00D160FB">
              <w:rPr>
                <w:color w:val="0D0D0D" w:themeColor="text1" w:themeTint="F2"/>
                <w:spacing w:val="-4"/>
                <w:lang w:val="en-GB"/>
              </w:rPr>
              <w:t>per employee</w:t>
            </w:r>
            <w:r w:rsidR="001C3855" w:rsidRPr="00D160FB">
              <w:rPr>
                <w:color w:val="0D0D0D" w:themeColor="text1" w:themeTint="F2"/>
                <w:spacing w:val="-4"/>
                <w:lang w:val="en-GB"/>
              </w:rPr>
              <w:t xml:space="preserve">, </w:t>
            </w:r>
            <w:r w:rsidR="006B4B60" w:rsidRPr="00D160FB">
              <w:rPr>
                <w:color w:val="0D0D0D" w:themeColor="text1" w:themeTint="F2"/>
                <w:spacing w:val="-4"/>
                <w:lang w:val="en-GB"/>
              </w:rPr>
              <w:t xml:space="preserve">with regards to the </w:t>
            </w:r>
            <w:r w:rsidR="001A5DD6" w:rsidRPr="00D160FB">
              <w:rPr>
                <w:color w:val="0D0D0D" w:themeColor="text1" w:themeTint="F2"/>
                <w:spacing w:val="-4"/>
                <w:lang w:val="en-GB"/>
              </w:rPr>
              <w:t>length</w:t>
            </w:r>
            <w:r w:rsidR="006B4B60" w:rsidRPr="00D160FB">
              <w:rPr>
                <w:color w:val="0D0D0D" w:themeColor="text1" w:themeTint="F2"/>
                <w:spacing w:val="-4"/>
                <w:lang w:val="en-GB"/>
              </w:rPr>
              <w:t xml:space="preserve"> of job contract</w:t>
            </w:r>
            <w:r w:rsidR="001C3855" w:rsidRPr="00D160FB">
              <w:rPr>
                <w:color w:val="0D0D0D" w:themeColor="text1" w:themeTint="F2"/>
                <w:spacing w:val="-4"/>
                <w:lang w:val="en-GB"/>
              </w:rPr>
              <w:t xml:space="preserve">) </w:t>
            </w:r>
            <w:r w:rsidR="006B4B60" w:rsidRPr="00D160FB">
              <w:rPr>
                <w:color w:val="0D0D0D" w:themeColor="text1" w:themeTint="F2"/>
                <w:spacing w:val="-4"/>
                <w:lang w:val="en-GB"/>
              </w:rPr>
              <w:t xml:space="preserve">climbed up to </w:t>
            </w:r>
            <w:r w:rsidR="001C3855" w:rsidRPr="00D160FB">
              <w:rPr>
                <w:color w:val="0D0D0D" w:themeColor="text1" w:themeTint="F2"/>
                <w:spacing w:val="-4"/>
                <w:lang w:val="en-GB"/>
              </w:rPr>
              <w:t xml:space="preserve">43 412 </w:t>
            </w:r>
            <w:r w:rsidR="006B4B60" w:rsidRPr="00D160FB">
              <w:rPr>
                <w:color w:val="0D0D0D" w:themeColor="text1" w:themeTint="F2"/>
                <w:spacing w:val="-4"/>
                <w:lang w:val="en-GB"/>
              </w:rPr>
              <w:t xml:space="preserve">CZK thousand in Q4 2022 and it was by </w:t>
            </w:r>
            <w:r w:rsidR="001C3855" w:rsidRPr="00D160FB">
              <w:rPr>
                <w:color w:val="0D0D0D" w:themeColor="text1" w:themeTint="F2"/>
                <w:spacing w:val="-4"/>
                <w:lang w:val="en-GB"/>
              </w:rPr>
              <w:t>7</w:t>
            </w:r>
            <w:r w:rsidR="006B4B60" w:rsidRPr="00D160FB">
              <w:rPr>
                <w:color w:val="0D0D0D" w:themeColor="text1" w:themeTint="F2"/>
                <w:spacing w:val="-4"/>
                <w:lang w:val="en-GB"/>
              </w:rPr>
              <w:t>.</w:t>
            </w:r>
            <w:r w:rsidR="001C3855" w:rsidRPr="00D160FB">
              <w:rPr>
                <w:color w:val="0D0D0D" w:themeColor="text1" w:themeTint="F2"/>
                <w:spacing w:val="-4"/>
                <w:lang w:val="en-GB"/>
              </w:rPr>
              <w:t>9%</w:t>
            </w:r>
            <w:r w:rsidR="006B4B60" w:rsidRPr="00D160FB">
              <w:rPr>
                <w:color w:val="0D0D0D" w:themeColor="text1" w:themeTint="F2"/>
                <w:spacing w:val="-4"/>
                <w:lang w:val="en-GB"/>
              </w:rPr>
              <w:t xml:space="preserve"> higher year-on-year</w:t>
            </w:r>
            <w:r w:rsidR="001C3855" w:rsidRPr="00D160FB">
              <w:rPr>
                <w:color w:val="0D0D0D" w:themeColor="text1" w:themeTint="F2"/>
                <w:spacing w:val="-4"/>
                <w:lang w:val="en-GB"/>
              </w:rPr>
              <w:t xml:space="preserve">. </w:t>
            </w:r>
            <w:r w:rsidR="001A5DD6" w:rsidRPr="00D160FB">
              <w:rPr>
                <w:color w:val="0D0D0D" w:themeColor="text1" w:themeTint="F2"/>
                <w:spacing w:val="-4"/>
                <w:lang w:val="en-GB"/>
              </w:rPr>
              <w:t xml:space="preserve">Wage after adjustment for seasonal effects increased by </w:t>
            </w:r>
            <w:r w:rsidR="001C3855" w:rsidRPr="00D160FB">
              <w:rPr>
                <w:spacing w:val="-4"/>
                <w:lang w:val="en-GB"/>
              </w:rPr>
              <w:t>2</w:t>
            </w:r>
            <w:r w:rsidR="001A5DD6" w:rsidRPr="00D160FB">
              <w:rPr>
                <w:spacing w:val="-4"/>
                <w:lang w:val="en-GB"/>
              </w:rPr>
              <w:t>.</w:t>
            </w:r>
            <w:r w:rsidR="001C3855" w:rsidRPr="00D160FB">
              <w:rPr>
                <w:spacing w:val="-4"/>
                <w:lang w:val="en-GB"/>
              </w:rPr>
              <w:t>1%</w:t>
            </w:r>
            <w:r w:rsidR="001A5DD6" w:rsidRPr="00D160FB">
              <w:rPr>
                <w:spacing w:val="-4"/>
                <w:lang w:val="en-GB"/>
              </w:rPr>
              <w:t xml:space="preserve"> quarter-on-quarter in Q4</w:t>
            </w:r>
            <w:r w:rsidR="001C3855" w:rsidRPr="00D160FB">
              <w:rPr>
                <w:spacing w:val="-4"/>
                <w:lang w:val="en-GB"/>
              </w:rPr>
              <w:t xml:space="preserve">, </w:t>
            </w:r>
            <w:r w:rsidR="00996370" w:rsidRPr="00D160FB">
              <w:rPr>
                <w:spacing w:val="-4"/>
                <w:lang w:val="en-GB"/>
              </w:rPr>
              <w:t xml:space="preserve">which in the context from the beginning of the last year signal a mild acceleration. It however was not sufficient for employees to cover the sharply growing costs of living. Since the deep year-on-year fall of the average real wage continued for the fifth quarter in a row, even though in comparison to record nearly </w:t>
            </w:r>
            <w:r w:rsidR="001C3855" w:rsidRPr="00D160FB">
              <w:rPr>
                <w:spacing w:val="-4"/>
                <w:lang w:val="en-GB"/>
              </w:rPr>
              <w:t xml:space="preserve">10% </w:t>
            </w:r>
            <w:r w:rsidR="00996370" w:rsidRPr="00D160FB">
              <w:rPr>
                <w:spacing w:val="-4"/>
                <w:lang w:val="en-GB"/>
              </w:rPr>
              <w:t>falls in both Q</w:t>
            </w:r>
            <w:r w:rsidR="001C3855" w:rsidRPr="00D160FB">
              <w:rPr>
                <w:spacing w:val="-4"/>
                <w:lang w:val="en-GB"/>
              </w:rPr>
              <w:t>2</w:t>
            </w:r>
            <w:r w:rsidR="00996370" w:rsidRPr="00D160FB">
              <w:rPr>
                <w:spacing w:val="-4"/>
                <w:lang w:val="en-GB"/>
              </w:rPr>
              <w:t xml:space="preserve"> and </w:t>
            </w:r>
            <w:r w:rsidR="009E1FDE" w:rsidRPr="00D160FB">
              <w:rPr>
                <w:spacing w:val="-4"/>
                <w:lang w:val="en-GB"/>
              </w:rPr>
              <w:t>Q</w:t>
            </w:r>
            <w:r w:rsidR="001C3855" w:rsidRPr="00D160FB">
              <w:rPr>
                <w:spacing w:val="-4"/>
                <w:lang w:val="en-GB"/>
              </w:rPr>
              <w:t>3</w:t>
            </w:r>
            <w:r w:rsidR="00996370" w:rsidRPr="00D160FB">
              <w:rPr>
                <w:spacing w:val="-4"/>
                <w:lang w:val="en-GB"/>
              </w:rPr>
              <w:t xml:space="preserve"> </w:t>
            </w:r>
            <w:r w:rsidR="001C3855" w:rsidRPr="00D160FB">
              <w:rPr>
                <w:spacing w:val="-4"/>
                <w:lang w:val="en-GB"/>
              </w:rPr>
              <w:t>2022</w:t>
            </w:r>
            <w:r w:rsidR="00996370" w:rsidRPr="00D160FB">
              <w:rPr>
                <w:spacing w:val="-4"/>
                <w:lang w:val="en-GB"/>
              </w:rPr>
              <w:t xml:space="preserve"> eased its pace at the end of the year </w:t>
            </w:r>
            <w:r w:rsidR="001C3855" w:rsidRPr="00D160FB">
              <w:rPr>
                <w:spacing w:val="-4"/>
                <w:lang w:val="en-GB"/>
              </w:rPr>
              <w:t>(</w:t>
            </w:r>
            <w:r w:rsidR="00996370" w:rsidRPr="00D160FB">
              <w:rPr>
                <w:spacing w:val="-4"/>
                <w:lang w:val="en-GB"/>
              </w:rPr>
              <w:t xml:space="preserve">to </w:t>
            </w:r>
            <w:r w:rsidR="001C3855" w:rsidRPr="00D160FB">
              <w:rPr>
                <w:spacing w:val="-4"/>
                <w:lang w:val="en-GB"/>
              </w:rPr>
              <w:t>−6</w:t>
            </w:r>
            <w:r w:rsidR="00996370" w:rsidRPr="00D160FB">
              <w:rPr>
                <w:spacing w:val="-4"/>
                <w:lang w:val="en-GB"/>
              </w:rPr>
              <w:t>.</w:t>
            </w:r>
            <w:r w:rsidR="001C3855" w:rsidRPr="00D160FB">
              <w:rPr>
                <w:spacing w:val="-4"/>
                <w:lang w:val="en-GB"/>
              </w:rPr>
              <w:t xml:space="preserve">7%). </w:t>
            </w:r>
            <w:r w:rsidR="00C10742" w:rsidRPr="00D160FB">
              <w:rPr>
                <w:spacing w:val="-4"/>
                <w:lang w:val="en-GB"/>
              </w:rPr>
              <w:t xml:space="preserve">Cause of this moderation lied more than in the area of earnings in the temporary slowdown of the consumer price growth </w:t>
            </w:r>
            <w:r w:rsidR="001C3855" w:rsidRPr="00D160FB">
              <w:rPr>
                <w:spacing w:val="-4"/>
                <w:lang w:val="en-GB"/>
              </w:rPr>
              <w:t>(</w:t>
            </w:r>
            <w:r w:rsidR="00C10742" w:rsidRPr="00D160FB">
              <w:rPr>
                <w:spacing w:val="-4"/>
                <w:lang w:val="en-GB"/>
              </w:rPr>
              <w:t xml:space="preserve">due to introduction of the saving energy </w:t>
            </w:r>
            <w:r w:rsidR="006760B8" w:rsidRPr="00D160FB">
              <w:rPr>
                <w:spacing w:val="-4"/>
                <w:lang w:val="en-GB"/>
              </w:rPr>
              <w:t>tariff</w:t>
            </w:r>
            <w:r w:rsidR="00C10742" w:rsidRPr="00D160FB">
              <w:rPr>
                <w:spacing w:val="-4"/>
                <w:lang w:val="en-GB"/>
              </w:rPr>
              <w:t xml:space="preserve"> for households</w:t>
            </w:r>
            <w:r w:rsidR="001C3855" w:rsidRPr="00D160FB">
              <w:rPr>
                <w:spacing w:val="-4"/>
                <w:lang w:val="en-GB"/>
              </w:rPr>
              <w:t xml:space="preserve">). </w:t>
            </w:r>
            <w:r w:rsidR="006760B8" w:rsidRPr="00D160FB">
              <w:rPr>
                <w:spacing w:val="-4"/>
                <w:lang w:val="en-GB"/>
              </w:rPr>
              <w:t>Re</w:t>
            </w:r>
            <w:r w:rsidR="00A733D0" w:rsidRPr="00D160FB">
              <w:rPr>
                <w:spacing w:val="-4"/>
                <w:lang w:val="en-GB"/>
              </w:rPr>
              <w:t>gardless of this influence, the real wage dropped in all monitored branch divisions as well as all main industrial branches, similarly as across the CR regions in Q4</w:t>
            </w:r>
            <w:r w:rsidR="001C3855" w:rsidRPr="00D160FB">
              <w:rPr>
                <w:spacing w:val="-4"/>
                <w:lang w:val="en-GB"/>
              </w:rPr>
              <w:t xml:space="preserve">. </w:t>
            </w:r>
            <w:r w:rsidR="00A733D0" w:rsidRPr="00D160FB">
              <w:rPr>
                <w:spacing w:val="-4"/>
                <w:lang w:val="en-GB"/>
              </w:rPr>
              <w:t xml:space="preserve">The Q4 wage development </w:t>
            </w:r>
            <w:r w:rsidR="001C3855" w:rsidRPr="00D160FB">
              <w:rPr>
                <w:spacing w:val="-4"/>
                <w:lang w:val="en-GB"/>
              </w:rPr>
              <w:t>(s</w:t>
            </w:r>
            <w:r w:rsidR="00A733D0" w:rsidRPr="00D160FB">
              <w:rPr>
                <w:spacing w:val="-4"/>
                <w:lang w:val="en-GB"/>
              </w:rPr>
              <w:t>imilarly to the entire last year</w:t>
            </w:r>
            <w:r w:rsidR="001C3855" w:rsidRPr="00D160FB">
              <w:rPr>
                <w:spacing w:val="-4"/>
                <w:lang w:val="en-GB"/>
              </w:rPr>
              <w:t xml:space="preserve">) </w:t>
            </w:r>
            <w:r w:rsidR="00A733D0" w:rsidRPr="00D160FB">
              <w:rPr>
                <w:spacing w:val="-4"/>
                <w:lang w:val="en-GB"/>
              </w:rPr>
              <w:t>thus likely presented the decisive factor in the decrease of the total purchasing power of domestic households</w:t>
            </w:r>
            <w:r w:rsidR="001C3855" w:rsidRPr="00D160FB">
              <w:rPr>
                <w:rStyle w:val="Znakapoznpodarou"/>
                <w:spacing w:val="-4"/>
                <w:lang w:val="en-GB"/>
              </w:rPr>
              <w:footnoteReference w:id="75"/>
            </w:r>
            <w:r w:rsidR="001C3855" w:rsidRPr="00D160FB">
              <w:rPr>
                <w:spacing w:val="-4"/>
                <w:lang w:val="en-GB"/>
              </w:rPr>
              <w:t xml:space="preserve">. </w:t>
            </w:r>
            <w:r w:rsidR="005E18E8" w:rsidRPr="00D160FB">
              <w:rPr>
                <w:spacing w:val="-4"/>
                <w:lang w:val="en-GB"/>
              </w:rPr>
              <w:t xml:space="preserve">The real wage plunged by 7.5% for year </w:t>
            </w:r>
            <w:r w:rsidR="001C3855" w:rsidRPr="00D160FB">
              <w:rPr>
                <w:spacing w:val="-4"/>
                <w:lang w:val="en-GB"/>
              </w:rPr>
              <w:t>2022</w:t>
            </w:r>
            <w:r w:rsidR="005E18E8" w:rsidRPr="00D160FB">
              <w:rPr>
                <w:spacing w:val="-4"/>
                <w:lang w:val="en-GB"/>
              </w:rPr>
              <w:t>,</w:t>
            </w:r>
            <w:r w:rsidR="001C3855" w:rsidRPr="00D160FB">
              <w:rPr>
                <w:spacing w:val="-4"/>
                <w:lang w:val="en-GB"/>
              </w:rPr>
              <w:t xml:space="preserve"> </w:t>
            </w:r>
            <w:r w:rsidR="005E18E8" w:rsidRPr="00D160FB">
              <w:rPr>
                <w:spacing w:val="-4"/>
                <w:lang w:val="en-GB"/>
              </w:rPr>
              <w:t xml:space="preserve">the purchasing power of the average employee earnings thus reached approximately the level form year </w:t>
            </w:r>
            <w:r w:rsidR="001C3855" w:rsidRPr="00D160FB">
              <w:rPr>
                <w:spacing w:val="-4"/>
                <w:lang w:val="en-GB"/>
              </w:rPr>
              <w:t>2018</w:t>
            </w:r>
            <w:r w:rsidR="001C3855" w:rsidRPr="00D160FB">
              <w:rPr>
                <w:rStyle w:val="Znakapoznpodarou"/>
                <w:spacing w:val="-4"/>
                <w:lang w:val="en-GB"/>
              </w:rPr>
              <w:footnoteReference w:id="76"/>
            </w:r>
            <w:r w:rsidR="001C3855" w:rsidRPr="00D160FB">
              <w:rPr>
                <w:spacing w:val="-4"/>
                <w:lang w:val="en-GB"/>
              </w:rPr>
              <w:t xml:space="preserve">. </w:t>
            </w:r>
          </w:p>
          <w:p w14:paraId="3211193B" w14:textId="77777777" w:rsidR="001C3855" w:rsidRPr="00D160FB" w:rsidRDefault="001C3855" w:rsidP="00C8019E">
            <w:pPr>
              <w:spacing w:after="0" w:line="240" w:lineRule="auto"/>
              <w:rPr>
                <w:rFonts w:cs="Arial"/>
                <w:color w:val="0D0D0D" w:themeColor="text1" w:themeTint="F2"/>
                <w:spacing w:val="-4"/>
                <w:szCs w:val="20"/>
                <w:lang w:val="en-GB"/>
              </w:rPr>
            </w:pPr>
          </w:p>
        </w:tc>
      </w:tr>
      <w:tr w:rsidR="00B646BC" w:rsidRPr="00D160FB" w14:paraId="3F5FFC5F" w14:textId="77777777" w:rsidTr="003D13A6">
        <w:trPr>
          <w:trHeight w:val="132"/>
        </w:trPr>
        <w:tc>
          <w:tcPr>
            <w:tcW w:w="1722" w:type="dxa"/>
            <w:shd w:val="clear" w:color="auto" w:fill="auto"/>
            <w:tcMar>
              <w:left w:w="0" w:type="dxa"/>
            </w:tcMar>
          </w:tcPr>
          <w:p w14:paraId="3C9C8595" w14:textId="1404C2AF" w:rsidR="001C3855" w:rsidRPr="00D160FB" w:rsidRDefault="0089651B" w:rsidP="00C8019E">
            <w:pPr>
              <w:pStyle w:val="Marginlie"/>
              <w:rPr>
                <w:spacing w:val="-6"/>
                <w:lang w:val="en-GB"/>
              </w:rPr>
            </w:pPr>
            <w:r w:rsidRPr="00D160FB">
              <w:rPr>
                <w:spacing w:val="-6"/>
                <w:lang w:val="en-GB"/>
              </w:rPr>
              <w:t xml:space="preserve">Primarily the market branches stood behind the wage growth. Part of them still struggled with the shortage of labour force. </w:t>
            </w:r>
          </w:p>
          <w:p w14:paraId="5BBD700E" w14:textId="77777777" w:rsidR="001C3855" w:rsidRPr="00D160FB" w:rsidRDefault="001C3855" w:rsidP="00C8019E">
            <w:pPr>
              <w:pStyle w:val="Marginlie"/>
              <w:rPr>
                <w:spacing w:val="-4"/>
                <w:lang w:val="en-GB"/>
              </w:rPr>
            </w:pPr>
          </w:p>
          <w:p w14:paraId="1EA6055A" w14:textId="6252DD0A" w:rsidR="001C3855" w:rsidRPr="00D160FB" w:rsidRDefault="001C3855" w:rsidP="00C8019E">
            <w:pPr>
              <w:pStyle w:val="Marginlie"/>
              <w:rPr>
                <w:spacing w:val="-4"/>
                <w:lang w:val="en-GB"/>
              </w:rPr>
            </w:pPr>
          </w:p>
          <w:p w14:paraId="62281E17" w14:textId="74787183" w:rsidR="001C3855" w:rsidRPr="00D160FB" w:rsidRDefault="009B4F2C" w:rsidP="00C8019E">
            <w:pPr>
              <w:pStyle w:val="Marginlie"/>
              <w:rPr>
                <w:spacing w:val="-4"/>
                <w:lang w:val="en-GB"/>
              </w:rPr>
            </w:pPr>
            <w:r w:rsidRPr="00D160FB">
              <w:rPr>
                <w:spacing w:val="-4"/>
                <w:lang w:val="en-GB"/>
              </w:rPr>
              <w:t xml:space="preserve">The effect of saving measures manifested in </w:t>
            </w:r>
            <w:r w:rsidRPr="00D160FB">
              <w:rPr>
                <w:spacing w:val="-4"/>
                <w:lang w:val="en-GB"/>
              </w:rPr>
              <w:lastRenderedPageBreak/>
              <w:t xml:space="preserve">branches with the dominance of state. </w:t>
            </w:r>
          </w:p>
          <w:p w14:paraId="381754BD"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721A9E37"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02348FBB" w14:textId="1F84C0AC" w:rsidR="001C3855" w:rsidRPr="00D160FB" w:rsidRDefault="0089651B"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Wage growth was </w:t>
            </w:r>
            <w:r w:rsidR="00D66060" w:rsidRPr="00D160FB">
              <w:rPr>
                <w:rFonts w:cs="Arial"/>
                <w:color w:val="0D0D0D" w:themeColor="text1" w:themeTint="F2"/>
                <w:spacing w:val="-4"/>
                <w:szCs w:val="20"/>
                <w:lang w:val="en-GB"/>
              </w:rPr>
              <w:t>promoted by the ongoing tension on the labour market for the whole last year, r</w:t>
            </w:r>
            <w:r w:rsidRPr="00D160FB">
              <w:rPr>
                <w:spacing w:val="-5"/>
                <w:lang w:val="en-GB"/>
              </w:rPr>
              <w:t xml:space="preserve">elated to the persisting low </w:t>
            </w:r>
            <w:r w:rsidR="00E93E65" w:rsidRPr="00D160FB">
              <w:rPr>
                <w:spacing w:val="-5"/>
                <w:lang w:val="en-GB"/>
              </w:rPr>
              <w:t>unemployment,</w:t>
            </w:r>
            <w:r w:rsidRPr="00D160FB">
              <w:rPr>
                <w:spacing w:val="-5"/>
                <w:lang w:val="en-GB"/>
              </w:rPr>
              <w:t xml:space="preserve"> still high number of job vacan</w:t>
            </w:r>
            <w:r w:rsidR="00D66060" w:rsidRPr="00D160FB">
              <w:rPr>
                <w:spacing w:val="-5"/>
                <w:lang w:val="en-GB"/>
              </w:rPr>
              <w:t xml:space="preserve">cies </w:t>
            </w:r>
            <w:r w:rsidRPr="00D160FB">
              <w:rPr>
                <w:spacing w:val="-5"/>
                <w:lang w:val="en-GB"/>
              </w:rPr>
              <w:t xml:space="preserve">as well as fact, that the shortage of employees significantly limited production in some branches. </w:t>
            </w:r>
            <w:r w:rsidR="00E83D8D" w:rsidRPr="00D160FB">
              <w:rPr>
                <w:spacing w:val="-5"/>
                <w:lang w:val="en-GB"/>
              </w:rPr>
              <w:t>The continuing raising of the minimum wage had a partial effect mainly in branches with low level of earnings</w:t>
            </w:r>
            <w:r w:rsidR="001C3855" w:rsidRPr="00D160FB">
              <w:rPr>
                <w:spacing w:val="-5"/>
                <w:lang w:val="en-GB"/>
              </w:rPr>
              <w:t>.</w:t>
            </w:r>
            <w:r w:rsidR="009B4F2C" w:rsidRPr="00D160FB">
              <w:rPr>
                <w:spacing w:val="-5"/>
                <w:lang w:val="en-GB"/>
              </w:rPr>
              <w:t xml:space="preserve"> On the contrary the arrival of Ukrainian refugees did not influence much the level of average wages even in these branches so far</w:t>
            </w:r>
            <w:r w:rsidR="001C3855" w:rsidRPr="00D160FB">
              <w:rPr>
                <w:rStyle w:val="Znakapoznpodarou"/>
                <w:spacing w:val="-5"/>
                <w:lang w:val="en-GB"/>
              </w:rPr>
              <w:footnoteReference w:id="77"/>
            </w:r>
            <w:r w:rsidR="001C3855" w:rsidRPr="00D160FB">
              <w:rPr>
                <w:spacing w:val="-5"/>
                <w:lang w:val="en-GB"/>
              </w:rPr>
              <w:t>.</w:t>
            </w:r>
            <w:r w:rsidR="009B4F2C" w:rsidRPr="00D160FB">
              <w:rPr>
                <w:spacing w:val="-5"/>
                <w:lang w:val="en-GB"/>
              </w:rPr>
              <w:t xml:space="preserve"> The growth of wages in the whole economy was hampered by the setting of wage tariffs in the public sphere or </w:t>
            </w:r>
            <w:r w:rsidR="004C1648" w:rsidRPr="00D160FB">
              <w:rPr>
                <w:spacing w:val="-5"/>
                <w:lang w:val="en-GB"/>
              </w:rPr>
              <w:t>a</w:t>
            </w:r>
            <w:r w:rsidR="009B4F2C" w:rsidRPr="00D160FB">
              <w:rPr>
                <w:spacing w:val="-5"/>
                <w:lang w:val="en-GB"/>
              </w:rPr>
              <w:t xml:space="preserve"> major part of the year </w:t>
            </w:r>
            <w:r w:rsidR="001C3855" w:rsidRPr="00D160FB">
              <w:rPr>
                <w:spacing w:val="-5"/>
                <w:lang w:val="en-GB"/>
              </w:rPr>
              <w:t>(</w:t>
            </w:r>
            <w:r w:rsidR="009B4F2C" w:rsidRPr="00D160FB">
              <w:rPr>
                <w:spacing w:val="-5"/>
                <w:lang w:val="en-GB"/>
              </w:rPr>
              <w:t>freeze or only a very mild growth for majority of employee categories</w:t>
            </w:r>
            <w:r w:rsidR="001C3855" w:rsidRPr="00D160FB">
              <w:rPr>
                <w:spacing w:val="-5"/>
                <w:lang w:val="en-GB"/>
              </w:rPr>
              <w:t>)</w:t>
            </w:r>
            <w:r w:rsidR="001C3855" w:rsidRPr="00D160FB">
              <w:rPr>
                <w:rStyle w:val="Znakapoznpodarou"/>
                <w:spacing w:val="-5"/>
                <w:lang w:val="en-GB"/>
              </w:rPr>
              <w:footnoteReference w:id="78"/>
            </w:r>
            <w:r w:rsidR="001C3855" w:rsidRPr="00D160FB">
              <w:rPr>
                <w:spacing w:val="-5"/>
                <w:lang w:val="en-GB"/>
              </w:rPr>
              <w:t xml:space="preserve">. </w:t>
            </w:r>
            <w:r w:rsidR="009B4F2C" w:rsidRPr="00D160FB">
              <w:rPr>
                <w:spacing w:val="-5"/>
                <w:lang w:val="en-GB"/>
              </w:rPr>
              <w:t xml:space="preserve">High inflationary </w:t>
            </w:r>
            <w:r w:rsidR="009B4F2C" w:rsidRPr="00D160FB">
              <w:rPr>
                <w:spacing w:val="-5"/>
                <w:lang w:val="en-GB"/>
              </w:rPr>
              <w:lastRenderedPageBreak/>
              <w:t xml:space="preserve">expectations </w:t>
            </w:r>
            <w:r w:rsidR="004C1648" w:rsidRPr="00D160FB">
              <w:rPr>
                <w:spacing w:val="-5"/>
                <w:lang w:val="en-GB"/>
              </w:rPr>
              <w:t xml:space="preserve">displayed ambiguous results in the wage area so far. </w:t>
            </w:r>
            <w:r w:rsidR="00743A94" w:rsidRPr="00D160FB">
              <w:rPr>
                <w:spacing w:val="-5"/>
                <w:lang w:val="en-GB"/>
              </w:rPr>
              <w:t xml:space="preserve">They did lead to the growing pressure of employees on swifter wage growth, it however encountered still more and more difficult situation of employers </w:t>
            </w:r>
            <w:r w:rsidR="001C3855" w:rsidRPr="00D160FB">
              <w:rPr>
                <w:spacing w:val="-5"/>
                <w:lang w:val="en-GB"/>
              </w:rPr>
              <w:t>(</w:t>
            </w:r>
            <w:r w:rsidR="00743A94" w:rsidRPr="00D160FB">
              <w:rPr>
                <w:spacing w:val="-5"/>
                <w:lang w:val="en-GB"/>
              </w:rPr>
              <w:t>for reasons of fast growth of the non-wage production costs</w:t>
            </w:r>
            <w:r w:rsidR="001C3855" w:rsidRPr="00D160FB">
              <w:rPr>
                <w:spacing w:val="-5"/>
                <w:lang w:val="en-GB"/>
              </w:rPr>
              <w:t xml:space="preserve">). </w:t>
            </w:r>
            <w:r w:rsidR="00743A94" w:rsidRPr="00D160FB">
              <w:rPr>
                <w:spacing w:val="-5"/>
                <w:lang w:val="en-GB"/>
              </w:rPr>
              <w:t>Still some businesses with favourable economic situation partially compensated the high growth of the livings costs to employees in the form of extraordinary bonuses, especially at the end of the year.</w:t>
            </w:r>
          </w:p>
          <w:p w14:paraId="357AB434"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B646BC" w:rsidRPr="00D160FB" w14:paraId="458A8228" w14:textId="77777777" w:rsidTr="003D13A6">
        <w:trPr>
          <w:trHeight w:val="132"/>
        </w:trPr>
        <w:tc>
          <w:tcPr>
            <w:tcW w:w="1722" w:type="dxa"/>
            <w:shd w:val="clear" w:color="auto" w:fill="auto"/>
            <w:tcMar>
              <w:left w:w="0" w:type="dxa"/>
            </w:tcMar>
          </w:tcPr>
          <w:p w14:paraId="60618BF2" w14:textId="59E4296F" w:rsidR="001C3855" w:rsidRPr="00D160FB" w:rsidRDefault="00B646BC" w:rsidP="00C8019E">
            <w:pPr>
              <w:pStyle w:val="Marginlie"/>
              <w:rPr>
                <w:spacing w:val="-4"/>
                <w:lang w:val="en-GB"/>
              </w:rPr>
            </w:pPr>
            <w:r w:rsidRPr="00D160FB">
              <w:rPr>
                <w:spacing w:val="-4"/>
                <w:lang w:val="en-GB"/>
              </w:rPr>
              <w:lastRenderedPageBreak/>
              <w:t>Wage growth was varied among branches in Q</w:t>
            </w:r>
            <w:r w:rsidR="001C3855" w:rsidRPr="00D160FB">
              <w:rPr>
                <w:spacing w:val="-4"/>
                <w:lang w:val="en-GB"/>
              </w:rPr>
              <w:t>4. </w:t>
            </w:r>
            <w:r w:rsidRPr="00D160FB">
              <w:rPr>
                <w:spacing w:val="-4"/>
                <w:lang w:val="en-GB"/>
              </w:rPr>
              <w:t xml:space="preserve">It was strengthened by the pay out of bonuses in number of branches with good economic results. </w:t>
            </w:r>
          </w:p>
          <w:p w14:paraId="1942AF0A" w14:textId="77777777" w:rsidR="001C3855" w:rsidRPr="00D160FB" w:rsidRDefault="001C3855" w:rsidP="00C8019E">
            <w:pPr>
              <w:pStyle w:val="Marginlie"/>
              <w:rPr>
                <w:spacing w:val="-4"/>
                <w:lang w:val="en-GB"/>
              </w:rPr>
            </w:pPr>
          </w:p>
          <w:p w14:paraId="2E41CA3B" w14:textId="77777777" w:rsidR="001C3855" w:rsidRPr="00D160FB" w:rsidRDefault="001C3855" w:rsidP="00C8019E">
            <w:pPr>
              <w:pStyle w:val="Marginlie"/>
              <w:rPr>
                <w:spacing w:val="-4"/>
                <w:lang w:val="en-GB"/>
              </w:rPr>
            </w:pPr>
          </w:p>
          <w:p w14:paraId="2CF80ABB" w14:textId="77777777" w:rsidR="001C3855" w:rsidRPr="00D160FB" w:rsidRDefault="001C3855" w:rsidP="00C8019E">
            <w:pPr>
              <w:pStyle w:val="Marginlie"/>
              <w:rPr>
                <w:spacing w:val="-4"/>
                <w:lang w:val="en-GB"/>
              </w:rPr>
            </w:pPr>
          </w:p>
          <w:p w14:paraId="42C084D8" w14:textId="77777777" w:rsidR="001C3855" w:rsidRPr="00D160FB" w:rsidRDefault="001C3855" w:rsidP="00C8019E">
            <w:pPr>
              <w:pStyle w:val="Marginlie"/>
              <w:rPr>
                <w:spacing w:val="-4"/>
                <w:lang w:val="en-GB"/>
              </w:rPr>
            </w:pPr>
          </w:p>
          <w:p w14:paraId="6EB5354C" w14:textId="77777777" w:rsidR="001C3855" w:rsidRPr="00D160FB" w:rsidRDefault="001C3855" w:rsidP="00C8019E">
            <w:pPr>
              <w:pStyle w:val="Marginlie"/>
              <w:rPr>
                <w:spacing w:val="-4"/>
                <w:lang w:val="en-GB"/>
              </w:rPr>
            </w:pPr>
          </w:p>
          <w:p w14:paraId="38CA94DA" w14:textId="77777777" w:rsidR="001C3855" w:rsidRPr="00D160FB" w:rsidRDefault="001C3855" w:rsidP="00C8019E">
            <w:pPr>
              <w:pStyle w:val="Marginlie"/>
              <w:rPr>
                <w:spacing w:val="-4"/>
                <w:lang w:val="en-GB"/>
              </w:rPr>
            </w:pPr>
          </w:p>
          <w:p w14:paraId="4EBD4CEE" w14:textId="77777777" w:rsidR="001C3855" w:rsidRPr="00D160FB" w:rsidRDefault="001C3855" w:rsidP="00C8019E">
            <w:pPr>
              <w:pStyle w:val="Marginlie"/>
              <w:rPr>
                <w:spacing w:val="-4"/>
                <w:lang w:val="en-GB"/>
              </w:rPr>
            </w:pPr>
          </w:p>
          <w:p w14:paraId="4F3D2937" w14:textId="77777777" w:rsidR="001C3855" w:rsidRPr="00D160FB" w:rsidRDefault="001C3855" w:rsidP="00C8019E">
            <w:pPr>
              <w:pStyle w:val="Marginlie"/>
              <w:rPr>
                <w:spacing w:val="-4"/>
                <w:lang w:val="en-GB"/>
              </w:rPr>
            </w:pPr>
          </w:p>
          <w:p w14:paraId="78630C40" w14:textId="76AADC64" w:rsidR="001C3855" w:rsidRPr="00D160FB" w:rsidRDefault="00B646BC" w:rsidP="00C8019E">
            <w:pPr>
              <w:pStyle w:val="Marginlie"/>
              <w:rPr>
                <w:spacing w:val="-4"/>
                <w:lang w:val="en-GB"/>
              </w:rPr>
            </w:pPr>
            <w:r w:rsidRPr="00D160FB">
              <w:rPr>
                <w:spacing w:val="-4"/>
                <w:lang w:val="en-GB"/>
              </w:rPr>
              <w:t xml:space="preserve">The Autumn increase of wage tariffs was reflected in earnings in some branches with significant </w:t>
            </w:r>
            <w:r w:rsidR="009E1FDE" w:rsidRPr="00D160FB">
              <w:rPr>
                <w:spacing w:val="-4"/>
                <w:lang w:val="en-GB"/>
              </w:rPr>
              <w:t>r</w:t>
            </w:r>
            <w:r w:rsidRPr="00D160FB">
              <w:rPr>
                <w:spacing w:val="-4"/>
                <w:lang w:val="en-GB"/>
              </w:rPr>
              <w:t>ole of state.</w:t>
            </w:r>
          </w:p>
        </w:tc>
        <w:tc>
          <w:tcPr>
            <w:tcW w:w="202" w:type="dxa"/>
            <w:shd w:val="clear" w:color="auto" w:fill="auto"/>
            <w:tcMar>
              <w:left w:w="0" w:type="dxa"/>
            </w:tcMar>
          </w:tcPr>
          <w:p w14:paraId="0AD9FB53"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678B4D3B" w14:textId="289C9E83" w:rsidR="001C3855" w:rsidRPr="00D160FB" w:rsidRDefault="00F6779D"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Among branches the average monthly wages were raised the most in the energy industry also thanks to favourable economic results year-on-year in Q4 2022</w:t>
            </w:r>
            <w:r w:rsidR="001C3855" w:rsidRPr="00D160FB">
              <w:rPr>
                <w:rStyle w:val="Znakapoznpodarou"/>
                <w:color w:val="0D0D0D" w:themeColor="text1" w:themeTint="F2"/>
                <w:spacing w:val="-5"/>
                <w:szCs w:val="20"/>
                <w:lang w:val="en-GB"/>
              </w:rPr>
              <w:footnoteReference w:id="79"/>
            </w:r>
            <w:r w:rsidR="001C3855" w:rsidRPr="00D160FB">
              <w:rPr>
                <w:rFonts w:cs="Arial"/>
                <w:color w:val="0D0D0D" w:themeColor="text1" w:themeTint="F2"/>
                <w:spacing w:val="-5"/>
                <w:szCs w:val="20"/>
                <w:lang w:val="en-GB"/>
              </w:rPr>
              <w:t xml:space="preserve"> (+14</w:t>
            </w:r>
            <w:r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6% nomin</w:t>
            </w:r>
            <w:r w:rsidRPr="00D160FB">
              <w:rPr>
                <w:rFonts w:cs="Arial"/>
                <w:color w:val="0D0D0D" w:themeColor="text1" w:themeTint="F2"/>
                <w:spacing w:val="-5"/>
                <w:szCs w:val="20"/>
                <w:lang w:val="en-GB"/>
              </w:rPr>
              <w:t>ally</w:t>
            </w:r>
            <w:r w:rsidR="001C3855" w:rsidRPr="00D160FB">
              <w:rPr>
                <w:rFonts w:cs="Arial"/>
                <w:color w:val="0D0D0D" w:themeColor="text1" w:themeTint="F2"/>
                <w:spacing w:val="-5"/>
                <w:szCs w:val="20"/>
                <w:lang w:val="en-GB"/>
              </w:rPr>
              <w:t xml:space="preserve">), </w:t>
            </w:r>
            <w:r w:rsidRPr="00D160FB">
              <w:rPr>
                <w:rFonts w:cs="Arial"/>
                <w:color w:val="0D0D0D" w:themeColor="text1" w:themeTint="F2"/>
                <w:spacing w:val="-5"/>
                <w:szCs w:val="20"/>
                <w:lang w:val="en-GB"/>
              </w:rPr>
              <w:t>when their size exceed</w:t>
            </w:r>
            <w:r w:rsidR="005C18FB" w:rsidRPr="00D160FB">
              <w:rPr>
                <w:rFonts w:cs="Arial"/>
                <w:color w:val="0D0D0D" w:themeColor="text1" w:themeTint="F2"/>
                <w:spacing w:val="-5"/>
                <w:szCs w:val="20"/>
                <w:lang w:val="en-GB"/>
              </w:rPr>
              <w:t>ed</w:t>
            </w:r>
            <w:r w:rsidRPr="00D160FB">
              <w:rPr>
                <w:rFonts w:cs="Arial"/>
                <w:color w:val="0D0D0D" w:themeColor="text1" w:themeTint="F2"/>
                <w:spacing w:val="-5"/>
                <w:szCs w:val="20"/>
                <w:lang w:val="en-GB"/>
              </w:rPr>
              <w:t xml:space="preserve"> the level of the whole economy by one half and markedly neared the earning level in financial and insurance activities </w:t>
            </w:r>
            <w:r w:rsidR="001C3855" w:rsidRPr="00D160FB">
              <w:rPr>
                <w:rFonts w:cs="Arial"/>
                <w:color w:val="0D0D0D" w:themeColor="text1" w:themeTint="F2"/>
                <w:spacing w:val="-5"/>
                <w:szCs w:val="20"/>
                <w:lang w:val="en-GB"/>
              </w:rPr>
              <w:t>(66</w:t>
            </w:r>
            <w:r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4</w:t>
            </w:r>
            <w:r w:rsidRPr="00D160FB">
              <w:rPr>
                <w:rFonts w:cs="Arial"/>
                <w:color w:val="0D0D0D" w:themeColor="text1" w:themeTint="F2"/>
                <w:spacing w:val="-5"/>
                <w:szCs w:val="20"/>
                <w:lang w:val="en-GB"/>
              </w:rPr>
              <w:t xml:space="preserve"> CZK thousand</w:t>
            </w:r>
            <w:r w:rsidR="001C3855" w:rsidRPr="00D160FB">
              <w:rPr>
                <w:rFonts w:cs="Arial"/>
                <w:color w:val="0D0D0D" w:themeColor="text1" w:themeTint="F2"/>
                <w:spacing w:val="-5"/>
                <w:szCs w:val="20"/>
                <w:lang w:val="en-GB"/>
              </w:rPr>
              <w:t xml:space="preserve">). </w:t>
            </w:r>
            <w:r w:rsidR="005C18FB" w:rsidRPr="00D160FB">
              <w:rPr>
                <w:rFonts w:cs="Arial"/>
                <w:color w:val="0D0D0D" w:themeColor="text1" w:themeTint="F2"/>
                <w:spacing w:val="-5"/>
                <w:szCs w:val="20"/>
                <w:lang w:val="en-GB"/>
              </w:rPr>
              <w:t xml:space="preserve">It also grew briskly </w:t>
            </w:r>
            <w:r w:rsidR="001C3855" w:rsidRPr="00D160FB">
              <w:rPr>
                <w:rFonts w:cs="Arial"/>
                <w:color w:val="0D0D0D" w:themeColor="text1" w:themeTint="F2"/>
                <w:spacing w:val="-5"/>
                <w:szCs w:val="20"/>
                <w:lang w:val="en-GB"/>
              </w:rPr>
              <w:t>(+10</w:t>
            </w:r>
            <w:r w:rsidR="005C18FB"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 xml:space="preserve">3%), </w:t>
            </w:r>
            <w:r w:rsidR="005C18FB" w:rsidRPr="00D160FB">
              <w:rPr>
                <w:rFonts w:cs="Arial"/>
                <w:color w:val="0D0D0D" w:themeColor="text1" w:themeTint="F2"/>
                <w:spacing w:val="-5"/>
                <w:szCs w:val="20"/>
                <w:lang w:val="en-GB"/>
              </w:rPr>
              <w:t xml:space="preserve">similarly to information and communication </w:t>
            </w:r>
            <w:r w:rsidR="001C3855" w:rsidRPr="00D160FB">
              <w:rPr>
                <w:rFonts w:cs="Arial"/>
                <w:color w:val="0D0D0D" w:themeColor="text1" w:themeTint="F2"/>
                <w:spacing w:val="-5"/>
                <w:szCs w:val="20"/>
                <w:lang w:val="en-GB"/>
              </w:rPr>
              <w:t>(+9</w:t>
            </w:r>
            <w:r w:rsidR="005C18FB"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 xml:space="preserve">1%), </w:t>
            </w:r>
            <w:r w:rsidR="005C18FB" w:rsidRPr="00D160FB">
              <w:rPr>
                <w:rFonts w:cs="Arial"/>
                <w:color w:val="0D0D0D" w:themeColor="text1" w:themeTint="F2"/>
                <w:spacing w:val="-5"/>
                <w:szCs w:val="20"/>
                <w:lang w:val="en-GB"/>
              </w:rPr>
              <w:t xml:space="preserve">where the wage level is </w:t>
            </w:r>
            <w:r w:rsidR="00FB2494" w:rsidRPr="00D160FB">
              <w:rPr>
                <w:rFonts w:cs="Arial"/>
                <w:color w:val="0D0D0D" w:themeColor="text1" w:themeTint="F2"/>
                <w:spacing w:val="-5"/>
                <w:szCs w:val="20"/>
                <w:lang w:val="en-GB"/>
              </w:rPr>
              <w:t>an all-time high</w:t>
            </w:r>
            <w:r w:rsidR="009E1FDE" w:rsidRPr="00D160FB">
              <w:rPr>
                <w:rFonts w:cs="Arial"/>
                <w:color w:val="0D0D0D" w:themeColor="text1" w:themeTint="F2"/>
                <w:spacing w:val="-5"/>
                <w:szCs w:val="20"/>
                <w:lang w:val="en-GB"/>
              </w:rPr>
              <w:t>est</w:t>
            </w:r>
            <w:r w:rsidR="00FB2494" w:rsidRPr="00D160FB">
              <w:rPr>
                <w:rFonts w:cs="Arial"/>
                <w:color w:val="0D0D0D" w:themeColor="text1" w:themeTint="F2"/>
                <w:spacing w:val="-5"/>
                <w:szCs w:val="20"/>
                <w:lang w:val="en-GB"/>
              </w:rPr>
              <w:t xml:space="preserve"> between branches in the past years. Mining and quarrying, where likely the notable restructuring from preceding years </w:t>
            </w:r>
            <w:r w:rsidR="001C3855" w:rsidRPr="00D160FB">
              <w:rPr>
                <w:rFonts w:cs="Arial"/>
                <w:color w:val="0D0D0D" w:themeColor="text1" w:themeTint="F2"/>
                <w:spacing w:val="-5"/>
                <w:szCs w:val="20"/>
                <w:lang w:val="en-GB"/>
              </w:rPr>
              <w:t>(</w:t>
            </w:r>
            <w:r w:rsidR="00582459" w:rsidRPr="00D160FB">
              <w:rPr>
                <w:rFonts w:cs="Arial"/>
                <w:color w:val="0D0D0D" w:themeColor="text1" w:themeTint="F2"/>
                <w:spacing w:val="-5"/>
                <w:szCs w:val="20"/>
                <w:lang w:val="en-GB"/>
              </w:rPr>
              <w:t>together with vigorous reduction of employment</w:t>
            </w:r>
            <w:r w:rsidR="001C3855" w:rsidRPr="00D160FB">
              <w:rPr>
                <w:rFonts w:cs="Arial"/>
                <w:color w:val="0D0D0D" w:themeColor="text1" w:themeTint="F2"/>
                <w:spacing w:val="-5"/>
                <w:szCs w:val="20"/>
                <w:lang w:val="en-GB"/>
              </w:rPr>
              <w:t>)</w:t>
            </w:r>
            <w:r w:rsidR="00582459" w:rsidRPr="00D160FB">
              <w:rPr>
                <w:rFonts w:cs="Arial"/>
                <w:color w:val="0D0D0D" w:themeColor="text1" w:themeTint="F2"/>
                <w:spacing w:val="-5"/>
                <w:szCs w:val="20"/>
                <w:lang w:val="en-GB"/>
              </w:rPr>
              <w:t xml:space="preserve"> as well as improved economic results thanks to the growth of demand for coal</w:t>
            </w:r>
            <w:r w:rsidR="00FB2494" w:rsidRPr="00D160FB">
              <w:rPr>
                <w:rFonts w:cs="Arial"/>
                <w:color w:val="0D0D0D" w:themeColor="text1" w:themeTint="F2"/>
                <w:spacing w:val="-5"/>
                <w:szCs w:val="20"/>
                <w:lang w:val="en-GB"/>
              </w:rPr>
              <w:t xml:space="preserve">, recorded </w:t>
            </w:r>
            <w:r w:rsidR="00582459" w:rsidRPr="00D160FB">
              <w:rPr>
                <w:rFonts w:cs="Arial"/>
                <w:color w:val="0D0D0D" w:themeColor="text1" w:themeTint="F2"/>
                <w:spacing w:val="-5"/>
                <w:szCs w:val="20"/>
                <w:lang w:val="en-GB"/>
              </w:rPr>
              <w:t>unusually</w:t>
            </w:r>
            <w:r w:rsidR="00FB2494" w:rsidRPr="00D160FB">
              <w:rPr>
                <w:rFonts w:cs="Arial"/>
                <w:color w:val="0D0D0D" w:themeColor="text1" w:themeTint="F2"/>
                <w:spacing w:val="-5"/>
                <w:szCs w:val="20"/>
                <w:lang w:val="en-GB"/>
              </w:rPr>
              <w:t xml:space="preserve"> above average wage </w:t>
            </w:r>
            <w:r w:rsidR="00582459" w:rsidRPr="00D160FB">
              <w:rPr>
                <w:rFonts w:cs="Arial"/>
                <w:color w:val="0D0D0D" w:themeColor="text1" w:themeTint="F2"/>
                <w:spacing w:val="-5"/>
                <w:szCs w:val="20"/>
                <w:lang w:val="en-GB"/>
              </w:rPr>
              <w:t>growth</w:t>
            </w:r>
            <w:r w:rsidR="00FB2494" w:rsidRPr="00D160FB">
              <w:rPr>
                <w:rFonts w:cs="Arial"/>
                <w:color w:val="0D0D0D" w:themeColor="text1" w:themeTint="F2"/>
                <w:spacing w:val="-5"/>
                <w:szCs w:val="20"/>
                <w:lang w:val="en-GB"/>
              </w:rPr>
              <w:t xml:space="preserve"> in Q4 (as well as the entire last year)</w:t>
            </w:r>
            <w:r w:rsidR="001C3855" w:rsidRPr="00D160FB">
              <w:rPr>
                <w:rFonts w:cs="Arial"/>
                <w:color w:val="0D0D0D" w:themeColor="text1" w:themeTint="F2"/>
                <w:spacing w:val="-5"/>
                <w:szCs w:val="20"/>
                <w:lang w:val="en-GB"/>
              </w:rPr>
              <w:t xml:space="preserve">. </w:t>
            </w:r>
            <w:r w:rsidR="00DC3B47" w:rsidRPr="00D160FB">
              <w:rPr>
                <w:rFonts w:cs="Arial"/>
                <w:color w:val="0D0D0D" w:themeColor="text1" w:themeTint="F2"/>
                <w:spacing w:val="-5"/>
                <w:szCs w:val="20"/>
                <w:lang w:val="en-GB"/>
              </w:rPr>
              <w:t xml:space="preserve">Earnings in administrative and support services activities or branch agriculture, forestry and fishing rose by one tenth year-on-year. </w:t>
            </w:r>
            <w:r w:rsidR="00293939" w:rsidRPr="00D160FB">
              <w:rPr>
                <w:rFonts w:cs="Arial"/>
                <w:color w:val="0D0D0D" w:themeColor="text1" w:themeTint="F2"/>
                <w:spacing w:val="-5"/>
                <w:szCs w:val="20"/>
                <w:lang w:val="en-GB"/>
              </w:rPr>
              <w:t xml:space="preserve">Unlike the mining however, it concerns branch with very low wage level. Wage growth in other market branches oscillated around </w:t>
            </w:r>
            <w:r w:rsidR="001C3855" w:rsidRPr="00D160FB">
              <w:rPr>
                <w:rFonts w:cs="Arial"/>
                <w:color w:val="0D0D0D" w:themeColor="text1" w:themeTint="F2"/>
                <w:spacing w:val="-5"/>
                <w:szCs w:val="20"/>
                <w:lang w:val="en-GB"/>
              </w:rPr>
              <w:t>9%</w:t>
            </w:r>
            <w:r w:rsidR="00293939" w:rsidRPr="00D160FB">
              <w:rPr>
                <w:rFonts w:cs="Arial"/>
                <w:color w:val="0D0D0D" w:themeColor="text1" w:themeTint="F2"/>
                <w:spacing w:val="-5"/>
                <w:szCs w:val="20"/>
                <w:lang w:val="en-GB"/>
              </w:rPr>
              <w:t xml:space="preserve"> at the end of the last year</w:t>
            </w:r>
            <w:r w:rsidR="001C3855" w:rsidRPr="00D160FB">
              <w:rPr>
                <w:rFonts w:cs="Arial"/>
                <w:color w:val="0D0D0D" w:themeColor="text1" w:themeTint="F2"/>
                <w:spacing w:val="-5"/>
                <w:szCs w:val="20"/>
                <w:lang w:val="en-GB"/>
              </w:rPr>
              <w:t>,</w:t>
            </w:r>
            <w:r w:rsidR="00293939" w:rsidRPr="00D160FB">
              <w:rPr>
                <w:rFonts w:cs="Arial"/>
                <w:color w:val="0D0D0D" w:themeColor="text1" w:themeTint="F2"/>
                <w:spacing w:val="-5"/>
                <w:szCs w:val="20"/>
                <w:lang w:val="en-GB"/>
              </w:rPr>
              <w:t xml:space="preserve"> which was also valid for manufacturing</w:t>
            </w:r>
            <w:r w:rsidR="00F416AE" w:rsidRPr="00D160FB">
              <w:rPr>
                <w:rFonts w:cs="Arial"/>
                <w:color w:val="0D0D0D" w:themeColor="text1" w:themeTint="F2"/>
                <w:spacing w:val="-5"/>
                <w:szCs w:val="20"/>
                <w:lang w:val="en-GB"/>
              </w:rPr>
              <w:t xml:space="preserve">. Manufacturing of motor vehicles stood out among more significant manufacturing branches, with average wages also thanks to the pay out of bonuses at the end of the year rising by </w:t>
            </w:r>
            <w:r w:rsidR="001C3855" w:rsidRPr="00D160FB">
              <w:rPr>
                <w:rFonts w:cs="Arial"/>
                <w:color w:val="0D0D0D" w:themeColor="text1" w:themeTint="F2"/>
                <w:spacing w:val="-5"/>
                <w:szCs w:val="20"/>
                <w:lang w:val="en-GB"/>
              </w:rPr>
              <w:t>13</w:t>
            </w:r>
            <w:r w:rsidR="00F416AE" w:rsidRPr="00D160FB">
              <w:rPr>
                <w:rFonts w:cs="Arial"/>
                <w:color w:val="0D0D0D" w:themeColor="text1" w:themeTint="F2"/>
                <w:spacing w:val="-5"/>
                <w:szCs w:val="20"/>
                <w:lang w:val="en-GB"/>
              </w:rPr>
              <w:t>.</w:t>
            </w:r>
            <w:r w:rsidR="001C3855" w:rsidRPr="00D160FB">
              <w:rPr>
                <w:rFonts w:cs="Arial"/>
                <w:color w:val="0D0D0D" w:themeColor="text1" w:themeTint="F2"/>
                <w:spacing w:val="-5"/>
                <w:szCs w:val="20"/>
                <w:lang w:val="en-GB"/>
              </w:rPr>
              <w:t>4%</w:t>
            </w:r>
            <w:r w:rsidR="00F416AE" w:rsidRPr="00D160FB">
              <w:rPr>
                <w:rFonts w:cs="Arial"/>
                <w:color w:val="0D0D0D" w:themeColor="text1" w:themeTint="F2"/>
                <w:spacing w:val="-5"/>
                <w:szCs w:val="20"/>
                <w:lang w:val="en-GB"/>
              </w:rPr>
              <w:t xml:space="preserve"> here</w:t>
            </w:r>
            <w:r w:rsidR="001C3855" w:rsidRPr="00D160FB">
              <w:rPr>
                <w:rFonts w:cs="Arial"/>
                <w:color w:val="0D0D0D" w:themeColor="text1" w:themeTint="F2"/>
                <w:spacing w:val="-5"/>
                <w:szCs w:val="20"/>
                <w:lang w:val="en-GB"/>
              </w:rPr>
              <w:t xml:space="preserve"> – </w:t>
            </w:r>
            <w:r w:rsidR="00F416AE" w:rsidRPr="00D160FB">
              <w:rPr>
                <w:rFonts w:cs="Arial"/>
                <w:color w:val="0D0D0D" w:themeColor="text1" w:themeTint="F2"/>
                <w:spacing w:val="-5"/>
                <w:szCs w:val="20"/>
                <w:lang w:val="en-GB"/>
              </w:rPr>
              <w:t>i.e. nearly double than in the energy intensive manufacturing of non-metal products</w:t>
            </w:r>
            <w:r w:rsidR="001C3855" w:rsidRPr="00D160FB">
              <w:rPr>
                <w:rStyle w:val="Znakapoznpodarou"/>
                <w:color w:val="0D0D0D" w:themeColor="text1" w:themeTint="F2"/>
                <w:spacing w:val="-5"/>
                <w:szCs w:val="20"/>
                <w:lang w:val="en-GB"/>
              </w:rPr>
              <w:footnoteReference w:id="80"/>
            </w:r>
            <w:r w:rsidR="001C3855" w:rsidRPr="00D160FB">
              <w:rPr>
                <w:rFonts w:cs="Arial"/>
                <w:color w:val="0D0D0D" w:themeColor="text1" w:themeTint="F2"/>
                <w:spacing w:val="-5"/>
                <w:szCs w:val="20"/>
                <w:lang w:val="en-GB"/>
              </w:rPr>
              <w:t xml:space="preserve">. </w:t>
            </w:r>
            <w:r w:rsidR="0050400C" w:rsidRPr="00D160FB">
              <w:rPr>
                <w:rFonts w:cs="Arial"/>
                <w:color w:val="0D0D0D" w:themeColor="text1" w:themeTint="F2"/>
                <w:spacing w:val="-5"/>
                <w:szCs w:val="20"/>
                <w:lang w:val="en-GB"/>
              </w:rPr>
              <w:t>The situation was different in branches with dominant government sector</w:t>
            </w:r>
            <w:r w:rsidR="001C3855" w:rsidRPr="00D160FB">
              <w:rPr>
                <w:rStyle w:val="Znakapoznpodarou"/>
                <w:color w:val="0D0D0D" w:themeColor="text1" w:themeTint="F2"/>
                <w:spacing w:val="-5"/>
                <w:szCs w:val="20"/>
                <w:lang w:val="en-GB"/>
              </w:rPr>
              <w:footnoteReference w:id="81"/>
            </w:r>
            <w:r w:rsidR="001C3855" w:rsidRPr="00D160FB">
              <w:rPr>
                <w:rFonts w:cs="Arial"/>
                <w:color w:val="0D0D0D" w:themeColor="text1" w:themeTint="F2"/>
                <w:spacing w:val="-5"/>
                <w:szCs w:val="20"/>
                <w:lang w:val="en-GB"/>
              </w:rPr>
              <w:t xml:space="preserve">, </w:t>
            </w:r>
            <w:r w:rsidR="0050400C" w:rsidRPr="00D160FB">
              <w:rPr>
                <w:rFonts w:cs="Arial"/>
                <w:color w:val="0D0D0D" w:themeColor="text1" w:themeTint="F2"/>
                <w:spacing w:val="-5"/>
                <w:szCs w:val="20"/>
                <w:lang w:val="en-GB"/>
              </w:rPr>
              <w:t xml:space="preserve">specifically from the view of employment dynamics as well as average earnings. The Autumn selective increase of wage tariffs was partially reflected in the </w:t>
            </w:r>
            <w:r w:rsidR="001C3855" w:rsidRPr="00D160FB">
              <w:rPr>
                <w:rFonts w:cs="Arial"/>
                <w:color w:val="0D0D0D" w:themeColor="text1" w:themeTint="F2"/>
                <w:spacing w:val="-5"/>
                <w:szCs w:val="20"/>
                <w:lang w:val="en-GB"/>
              </w:rPr>
              <w:t xml:space="preserve">8% </w:t>
            </w:r>
            <w:r w:rsidR="0050400C" w:rsidRPr="00D160FB">
              <w:rPr>
                <w:rFonts w:cs="Arial"/>
                <w:color w:val="0D0D0D" w:themeColor="text1" w:themeTint="F2"/>
                <w:spacing w:val="-5"/>
                <w:szCs w:val="20"/>
                <w:lang w:val="en-GB"/>
              </w:rPr>
              <w:t>growth of wages in the branch public administration, health and social work, it was also similar in the area of culture</w:t>
            </w:r>
            <w:r w:rsidR="001C3855" w:rsidRPr="00D160FB">
              <w:rPr>
                <w:rFonts w:cs="Arial"/>
                <w:color w:val="0D0D0D" w:themeColor="text1" w:themeTint="F2"/>
                <w:spacing w:val="-5"/>
                <w:szCs w:val="20"/>
                <w:lang w:val="en-GB"/>
              </w:rPr>
              <w:t xml:space="preserve">. </w:t>
            </w:r>
            <w:r w:rsidR="00571A66" w:rsidRPr="00D160FB">
              <w:rPr>
                <w:rFonts w:cs="Arial"/>
                <w:color w:val="0D0D0D" w:themeColor="text1" w:themeTint="F2"/>
                <w:spacing w:val="-5"/>
                <w:szCs w:val="20"/>
                <w:lang w:val="en-GB"/>
              </w:rPr>
              <w:t xml:space="preserve">On the contrary the average monthly size of earnings decreased negligibly in education, still it reached </w:t>
            </w:r>
            <w:r w:rsidR="001C3855" w:rsidRPr="00D160FB">
              <w:rPr>
                <w:rFonts w:cs="Arial"/>
                <w:color w:val="0D0D0D" w:themeColor="text1" w:themeTint="F2"/>
                <w:spacing w:val="-5"/>
                <w:szCs w:val="20"/>
                <w:lang w:val="en-GB"/>
              </w:rPr>
              <w:t xml:space="preserve">49 </w:t>
            </w:r>
            <w:r w:rsidR="00571A66" w:rsidRPr="00D160FB">
              <w:rPr>
                <w:rFonts w:cs="Arial"/>
                <w:color w:val="0D0D0D" w:themeColor="text1" w:themeTint="F2"/>
                <w:spacing w:val="-5"/>
                <w:szCs w:val="20"/>
                <w:lang w:val="en-GB"/>
              </w:rPr>
              <w:t>CZK thousand</w:t>
            </w:r>
            <w:r w:rsidR="001C3855" w:rsidRPr="00D160FB">
              <w:rPr>
                <w:rFonts w:cs="Arial"/>
                <w:color w:val="0D0D0D" w:themeColor="text1" w:themeTint="F2"/>
                <w:spacing w:val="-5"/>
                <w:szCs w:val="20"/>
                <w:lang w:val="en-GB"/>
              </w:rPr>
              <w:t>.</w:t>
            </w:r>
            <w:r w:rsidR="001C3855" w:rsidRPr="00D160FB">
              <w:rPr>
                <w:rFonts w:cs="Arial"/>
                <w:color w:val="0D0D0D" w:themeColor="text1" w:themeTint="F2"/>
                <w:spacing w:val="-4"/>
                <w:szCs w:val="20"/>
                <w:lang w:val="en-GB"/>
              </w:rPr>
              <w:t xml:space="preserve"> </w:t>
            </w:r>
          </w:p>
          <w:p w14:paraId="661EC578"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B646BC" w:rsidRPr="00D160FB" w14:paraId="6803E07D" w14:textId="77777777" w:rsidTr="003D13A6">
        <w:trPr>
          <w:trHeight w:val="132"/>
        </w:trPr>
        <w:tc>
          <w:tcPr>
            <w:tcW w:w="1722" w:type="dxa"/>
            <w:shd w:val="clear" w:color="auto" w:fill="auto"/>
            <w:tcMar>
              <w:left w:w="0" w:type="dxa"/>
            </w:tcMar>
          </w:tcPr>
          <w:p w14:paraId="6DB01225" w14:textId="4223571A" w:rsidR="001C3855" w:rsidRPr="00D160FB" w:rsidRDefault="00B66B65" w:rsidP="00C8019E">
            <w:pPr>
              <w:pStyle w:val="Marginlie"/>
              <w:rPr>
                <w:spacing w:val="-4"/>
                <w:lang w:val="en-GB"/>
              </w:rPr>
            </w:pPr>
            <w:r w:rsidRPr="00D160FB">
              <w:rPr>
                <w:spacing w:val="-4"/>
                <w:lang w:val="en-GB"/>
              </w:rPr>
              <w:t xml:space="preserve">Wage dynamics did not fundamentally differ among market branches for the whole last year, even though it was affected by varied mix of factors. </w:t>
            </w:r>
          </w:p>
          <w:p w14:paraId="16B4F893" w14:textId="77777777" w:rsidR="001C3855" w:rsidRPr="00D160FB" w:rsidRDefault="001C3855" w:rsidP="00C8019E">
            <w:pPr>
              <w:pStyle w:val="Marginlie"/>
              <w:rPr>
                <w:spacing w:val="-4"/>
                <w:lang w:val="en-GB"/>
              </w:rPr>
            </w:pPr>
          </w:p>
          <w:p w14:paraId="37B0DEDE" w14:textId="77777777" w:rsidR="001C3855" w:rsidRPr="00D160FB" w:rsidRDefault="001C3855" w:rsidP="00C8019E">
            <w:pPr>
              <w:pStyle w:val="Marginlie"/>
              <w:rPr>
                <w:spacing w:val="-4"/>
                <w:lang w:val="en-GB"/>
              </w:rPr>
            </w:pPr>
          </w:p>
          <w:p w14:paraId="1762BEB9" w14:textId="77777777" w:rsidR="001C3855" w:rsidRPr="00D160FB" w:rsidRDefault="001C3855" w:rsidP="00C8019E">
            <w:pPr>
              <w:pStyle w:val="Marginlie"/>
              <w:rPr>
                <w:spacing w:val="-4"/>
                <w:lang w:val="en-GB"/>
              </w:rPr>
            </w:pPr>
          </w:p>
          <w:p w14:paraId="423B6B0A" w14:textId="77777777" w:rsidR="001C3855" w:rsidRPr="00D160FB" w:rsidRDefault="001C3855" w:rsidP="00C8019E">
            <w:pPr>
              <w:pStyle w:val="Marginlie"/>
              <w:rPr>
                <w:spacing w:val="-4"/>
                <w:lang w:val="en-GB"/>
              </w:rPr>
            </w:pPr>
          </w:p>
          <w:p w14:paraId="7C86426F" w14:textId="77777777" w:rsidR="001C3855" w:rsidRPr="00D160FB" w:rsidRDefault="001C3855" w:rsidP="00C8019E">
            <w:pPr>
              <w:pStyle w:val="Marginlie"/>
              <w:rPr>
                <w:spacing w:val="-4"/>
                <w:lang w:val="en-GB"/>
              </w:rPr>
            </w:pPr>
          </w:p>
          <w:p w14:paraId="45AF9A6E" w14:textId="630EBF80" w:rsidR="001C3855" w:rsidRPr="00D160FB" w:rsidRDefault="00DC77CB" w:rsidP="00C8019E">
            <w:pPr>
              <w:pStyle w:val="Marginlie"/>
              <w:rPr>
                <w:spacing w:val="-4"/>
                <w:lang w:val="en-GB"/>
              </w:rPr>
            </w:pPr>
            <w:r w:rsidRPr="00D160FB">
              <w:rPr>
                <w:spacing w:val="-4"/>
                <w:lang w:val="en-GB"/>
              </w:rPr>
              <w:t xml:space="preserve">Growth of wages in education moderated to seven-year minimum last year. </w:t>
            </w:r>
          </w:p>
          <w:p w14:paraId="7CC43C68" w14:textId="77777777" w:rsidR="001C3855" w:rsidRPr="00D160FB" w:rsidRDefault="001C3855" w:rsidP="00C8019E">
            <w:pPr>
              <w:pStyle w:val="Marginlie"/>
              <w:rPr>
                <w:spacing w:val="-4"/>
                <w:lang w:val="en-GB"/>
              </w:rPr>
            </w:pPr>
          </w:p>
          <w:p w14:paraId="0F4E68CE" w14:textId="77777777" w:rsidR="001C3855" w:rsidRPr="00D160FB" w:rsidRDefault="001C3855" w:rsidP="00C8019E">
            <w:pPr>
              <w:pStyle w:val="Marginlie"/>
              <w:rPr>
                <w:spacing w:val="-4"/>
                <w:lang w:val="en-GB"/>
              </w:rPr>
            </w:pPr>
            <w:r w:rsidRPr="00D160FB">
              <w:rPr>
                <w:spacing w:val="-4"/>
                <w:lang w:val="en-GB"/>
              </w:rPr>
              <w:t xml:space="preserve"> </w:t>
            </w:r>
          </w:p>
        </w:tc>
        <w:tc>
          <w:tcPr>
            <w:tcW w:w="202" w:type="dxa"/>
            <w:shd w:val="clear" w:color="auto" w:fill="auto"/>
            <w:tcMar>
              <w:left w:w="0" w:type="dxa"/>
            </w:tcMar>
          </w:tcPr>
          <w:p w14:paraId="4E176699"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72C7EB86" w14:textId="1C6E7F1F" w:rsidR="001C3855" w:rsidRPr="00D160FB" w:rsidRDefault="00B66B65" w:rsidP="00C8019E">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The average monthly wage in the economy increased by nominal 6.5% and tightly crossed the </w:t>
            </w:r>
            <w:r w:rsidR="001C3855" w:rsidRPr="00D160FB">
              <w:rPr>
                <w:rFonts w:cs="Arial"/>
                <w:color w:val="0D0D0D" w:themeColor="text1" w:themeTint="F2"/>
                <w:spacing w:val="-4"/>
                <w:szCs w:val="20"/>
                <w:lang w:val="en-GB"/>
              </w:rPr>
              <w:t>40</w:t>
            </w:r>
            <w:r w:rsidRPr="00D160FB">
              <w:rPr>
                <w:rFonts w:cs="Arial"/>
                <w:color w:val="0D0D0D" w:themeColor="text1" w:themeTint="F2"/>
                <w:spacing w:val="-4"/>
                <w:szCs w:val="20"/>
                <w:lang w:val="en-GB"/>
              </w:rPr>
              <w:t xml:space="preserve"> CZK thousand boundary in total for year 2020</w:t>
            </w:r>
            <w:r w:rsidR="001C3855" w:rsidRPr="00D160FB">
              <w:rPr>
                <w:rFonts w:cs="Arial"/>
                <w:color w:val="0D0D0D" w:themeColor="text1" w:themeTint="F2"/>
                <w:spacing w:val="-4"/>
                <w:szCs w:val="20"/>
                <w:lang w:val="en-GB"/>
              </w:rPr>
              <w:t xml:space="preserve">. </w:t>
            </w:r>
            <w:r w:rsidRPr="00D160FB">
              <w:rPr>
                <w:rFonts w:cs="Arial"/>
                <w:color w:val="0D0D0D" w:themeColor="text1" w:themeTint="F2"/>
                <w:spacing w:val="-4"/>
                <w:szCs w:val="20"/>
                <w:lang w:val="en-GB"/>
              </w:rPr>
              <w:t xml:space="preserve">The wage growth </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unlike the employment</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 xml:space="preserve"> did not fundamentally differ among market branches </w:t>
            </w:r>
            <w:r w:rsidR="001C3855" w:rsidRPr="00D160FB">
              <w:rPr>
                <w:rFonts w:cs="Arial"/>
                <w:color w:val="0D0D0D" w:themeColor="text1" w:themeTint="F2"/>
                <w:spacing w:val="-4"/>
                <w:szCs w:val="20"/>
                <w:lang w:val="en-GB"/>
              </w:rPr>
              <w:t xml:space="preserve">– </w:t>
            </w:r>
            <w:r w:rsidRPr="00D160FB">
              <w:rPr>
                <w:rFonts w:cs="Arial"/>
                <w:color w:val="0D0D0D" w:themeColor="text1" w:themeTint="F2"/>
                <w:spacing w:val="-4"/>
                <w:szCs w:val="20"/>
                <w:lang w:val="en-GB"/>
              </w:rPr>
              <w:t xml:space="preserve">it moved from </w:t>
            </w:r>
            <w:r w:rsidR="001C3855" w:rsidRPr="00D160FB">
              <w:rPr>
                <w:rFonts w:cs="Arial"/>
                <w:color w:val="0D0D0D" w:themeColor="text1" w:themeTint="F2"/>
                <w:spacing w:val="-4"/>
                <w:szCs w:val="20"/>
                <w:lang w:val="en-GB"/>
              </w:rPr>
              <w:t>7</w:t>
            </w:r>
            <w:r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4% (</w:t>
            </w:r>
            <w:r w:rsidRPr="00D160FB">
              <w:rPr>
                <w:rFonts w:cs="Arial"/>
                <w:color w:val="0D0D0D" w:themeColor="text1" w:themeTint="F2"/>
                <w:spacing w:val="-4"/>
                <w:szCs w:val="20"/>
                <w:lang w:val="en-GB"/>
              </w:rPr>
              <w:t>agriculture, forestry and fishing</w:t>
            </w:r>
            <w:r w:rsidR="001C3855" w:rsidRPr="00D160FB">
              <w:rPr>
                <w:rFonts w:cs="Arial"/>
                <w:color w:val="0D0D0D" w:themeColor="text1" w:themeTint="F2"/>
                <w:spacing w:val="-4"/>
                <w:szCs w:val="20"/>
                <w:lang w:val="en-GB"/>
              </w:rPr>
              <w:t>)</w:t>
            </w:r>
            <w:r w:rsidRPr="00D160FB">
              <w:rPr>
                <w:rFonts w:cs="Arial"/>
                <w:color w:val="0D0D0D" w:themeColor="text1" w:themeTint="F2"/>
                <w:spacing w:val="-4"/>
                <w:szCs w:val="20"/>
                <w:lang w:val="en-GB"/>
              </w:rPr>
              <w:t xml:space="preserve"> to </w:t>
            </w:r>
            <w:r w:rsidR="001C3855" w:rsidRPr="00D160FB">
              <w:rPr>
                <w:rFonts w:cs="Arial"/>
                <w:color w:val="0D0D0D" w:themeColor="text1" w:themeTint="F2"/>
                <w:spacing w:val="-4"/>
                <w:szCs w:val="20"/>
                <w:lang w:val="en-GB"/>
              </w:rPr>
              <w:t>10</w:t>
            </w:r>
            <w:r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7% (</w:t>
            </w:r>
            <w:r w:rsidRPr="00D160FB">
              <w:rPr>
                <w:rFonts w:cs="Arial"/>
                <w:color w:val="0D0D0D" w:themeColor="text1" w:themeTint="F2"/>
                <w:spacing w:val="-4"/>
                <w:szCs w:val="20"/>
                <w:lang w:val="en-GB"/>
              </w:rPr>
              <w:t>in financial services</w:t>
            </w:r>
            <w:r w:rsidR="001C3855" w:rsidRPr="00D160FB">
              <w:rPr>
                <w:rFonts w:cs="Arial"/>
                <w:color w:val="0D0D0D" w:themeColor="text1" w:themeTint="F2"/>
                <w:spacing w:val="-4"/>
                <w:szCs w:val="20"/>
                <w:lang w:val="en-GB"/>
              </w:rPr>
              <w:t>)</w:t>
            </w:r>
            <w:r w:rsidR="001C3855" w:rsidRPr="00D160FB">
              <w:rPr>
                <w:rStyle w:val="Znakapoznpodarou"/>
                <w:color w:val="0D0D0D" w:themeColor="text1" w:themeTint="F2"/>
                <w:spacing w:val="-4"/>
                <w:szCs w:val="20"/>
                <w:lang w:val="en-GB"/>
              </w:rPr>
              <w:footnoteReference w:id="82"/>
            </w:r>
            <w:r w:rsidR="001C3855" w:rsidRPr="00D160FB">
              <w:rPr>
                <w:rFonts w:cs="Arial"/>
                <w:color w:val="0D0D0D" w:themeColor="text1" w:themeTint="F2"/>
                <w:spacing w:val="-4"/>
                <w:szCs w:val="20"/>
                <w:lang w:val="en-GB"/>
              </w:rPr>
              <w:t xml:space="preserve">. </w:t>
            </w:r>
            <w:r w:rsidR="00EC0EE6" w:rsidRPr="00D160FB">
              <w:rPr>
                <w:rFonts w:cs="Arial"/>
                <w:color w:val="0D0D0D" w:themeColor="text1" w:themeTint="F2"/>
                <w:spacing w:val="-4"/>
                <w:szCs w:val="20"/>
                <w:lang w:val="en-GB"/>
              </w:rPr>
              <w:t xml:space="preserve">After-effects of the post-pandemic revival of demand was mirrored in the above average growth of earnings in some branches </w:t>
            </w:r>
            <w:r w:rsidR="001C3855" w:rsidRPr="00D160FB">
              <w:rPr>
                <w:rFonts w:cs="Arial"/>
                <w:color w:val="0D0D0D" w:themeColor="text1" w:themeTint="F2"/>
                <w:spacing w:val="-4"/>
                <w:szCs w:val="20"/>
                <w:lang w:val="en-GB"/>
              </w:rPr>
              <w:t>(</w:t>
            </w:r>
            <w:r w:rsidR="00EC0EE6" w:rsidRPr="00D160FB">
              <w:rPr>
                <w:rFonts w:cs="Arial"/>
                <w:color w:val="0D0D0D" w:themeColor="text1" w:themeTint="F2"/>
                <w:spacing w:val="-4"/>
                <w:szCs w:val="20"/>
                <w:lang w:val="en-GB"/>
              </w:rPr>
              <w:t>trade, transport and warehousing, accommodation, food services and restaurants</w:t>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In other places the growth of wages was likely associated to the dismissal of little qualified workers </w:t>
            </w:r>
            <w:r w:rsidR="001C3855" w:rsidRPr="00D160FB">
              <w:rPr>
                <w:rFonts w:cs="Arial"/>
                <w:color w:val="0D0D0D" w:themeColor="text1" w:themeTint="F2"/>
                <w:spacing w:val="-4"/>
                <w:szCs w:val="20"/>
                <w:lang w:val="en-GB"/>
              </w:rPr>
              <w:t>(administrativ</w:t>
            </w:r>
            <w:r w:rsidR="00144C0B" w:rsidRPr="00D160FB">
              <w:rPr>
                <w:rFonts w:cs="Arial"/>
                <w:color w:val="0D0D0D" w:themeColor="text1" w:themeTint="F2"/>
                <w:spacing w:val="-4"/>
                <w:szCs w:val="20"/>
                <w:lang w:val="en-GB"/>
              </w:rPr>
              <w:t>e and support services activities</w:t>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Wages in the branches with the significant role of the government sector nearly stagnated in total year-on-year </w:t>
            </w:r>
            <w:r w:rsidR="001C3855" w:rsidRPr="00D160FB">
              <w:rPr>
                <w:rFonts w:cs="Arial"/>
                <w:color w:val="0D0D0D" w:themeColor="text1" w:themeTint="F2"/>
                <w:spacing w:val="-4"/>
                <w:szCs w:val="20"/>
                <w:lang w:val="en-GB"/>
              </w:rPr>
              <w:t>(+0</w:t>
            </w:r>
            <w:r w:rsidR="00144C0B"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5%)</w:t>
            </w:r>
            <w:r w:rsidR="001C3855" w:rsidRPr="00D160FB">
              <w:rPr>
                <w:rStyle w:val="Znakapoznpodarou"/>
                <w:color w:val="0D0D0D" w:themeColor="text1" w:themeTint="F2"/>
                <w:spacing w:val="-4"/>
                <w:szCs w:val="20"/>
                <w:lang w:val="en-GB"/>
              </w:rPr>
              <w:footnoteReference w:id="83"/>
            </w:r>
            <w:r w:rsidR="001C3855" w:rsidRPr="00D160FB">
              <w:rPr>
                <w:rFonts w:cs="Arial"/>
                <w:color w:val="0D0D0D" w:themeColor="text1" w:themeTint="F2"/>
                <w:spacing w:val="-4"/>
                <w:szCs w:val="20"/>
                <w:lang w:val="en-GB"/>
              </w:rPr>
              <w:t xml:space="preserve">. </w:t>
            </w:r>
            <w:r w:rsidR="00144C0B" w:rsidRPr="00D160FB">
              <w:rPr>
                <w:rFonts w:cs="Arial"/>
                <w:color w:val="0D0D0D" w:themeColor="text1" w:themeTint="F2"/>
                <w:spacing w:val="-4"/>
                <w:szCs w:val="20"/>
                <w:lang w:val="en-GB"/>
              </w:rPr>
              <w:t xml:space="preserve">Wages in health and social work still maintained the highest level among them </w:t>
            </w:r>
            <w:r w:rsidR="001C3855" w:rsidRPr="00D160FB">
              <w:rPr>
                <w:rFonts w:cs="Arial"/>
                <w:color w:val="0D0D0D" w:themeColor="text1" w:themeTint="F2"/>
                <w:spacing w:val="-4"/>
                <w:szCs w:val="20"/>
                <w:lang w:val="en-GB"/>
              </w:rPr>
              <w:t>(44</w:t>
            </w:r>
            <w:r w:rsidR="00144C0B"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 xml:space="preserve">4 </w:t>
            </w:r>
            <w:r w:rsidR="00144C0B" w:rsidRPr="00D160FB">
              <w:rPr>
                <w:rFonts w:cs="Arial"/>
                <w:color w:val="0D0D0D" w:themeColor="text1" w:themeTint="F2"/>
                <w:spacing w:val="-4"/>
                <w:szCs w:val="20"/>
                <w:lang w:val="en-GB"/>
              </w:rPr>
              <w:t>CZK thousand monthly</w:t>
            </w:r>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Against the earnings from year 2</w:t>
            </w:r>
            <w:r w:rsidR="001C3855" w:rsidRPr="00D160FB">
              <w:rPr>
                <w:rFonts w:cs="Arial"/>
                <w:color w:val="0D0D0D" w:themeColor="text1" w:themeTint="F2"/>
                <w:spacing w:val="-4"/>
                <w:szCs w:val="20"/>
                <w:lang w:val="en-GB"/>
              </w:rPr>
              <w:t>021 (</w:t>
            </w:r>
            <w:r w:rsidR="00B72CD3" w:rsidRPr="00D160FB">
              <w:rPr>
                <w:rFonts w:cs="Arial"/>
                <w:color w:val="0D0D0D" w:themeColor="text1" w:themeTint="F2"/>
                <w:spacing w:val="-4"/>
                <w:szCs w:val="20"/>
                <w:lang w:val="en-GB"/>
              </w:rPr>
              <w:t xml:space="preserve">raised by extraordinary </w:t>
            </w:r>
            <w:r w:rsidR="001C3855" w:rsidRPr="00D160FB">
              <w:rPr>
                <w:rFonts w:cs="Arial"/>
                <w:color w:val="0D0D0D" w:themeColor="text1" w:themeTint="F2"/>
                <w:spacing w:val="-4"/>
                <w:szCs w:val="20"/>
                <w:lang w:val="en-GB"/>
              </w:rPr>
              <w:t>„</w:t>
            </w:r>
            <w:proofErr w:type="gramStart"/>
            <w:r w:rsidR="001C3855" w:rsidRPr="00D160FB">
              <w:rPr>
                <w:rFonts w:cs="Arial"/>
                <w:color w:val="0D0D0D" w:themeColor="text1" w:themeTint="F2"/>
                <w:spacing w:val="-4"/>
                <w:szCs w:val="20"/>
                <w:lang w:val="en-GB"/>
              </w:rPr>
              <w:t xml:space="preserve">pandemic“ </w:t>
            </w:r>
            <w:r w:rsidR="00B72CD3" w:rsidRPr="00D160FB">
              <w:rPr>
                <w:rFonts w:cs="Arial"/>
                <w:color w:val="0D0D0D" w:themeColor="text1" w:themeTint="F2"/>
                <w:spacing w:val="-4"/>
                <w:szCs w:val="20"/>
                <w:lang w:val="en-GB"/>
              </w:rPr>
              <w:t>bonuses</w:t>
            </w:r>
            <w:proofErr w:type="gramEnd"/>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 xml:space="preserve">they however decreased by </w:t>
            </w:r>
            <w:r w:rsidR="001C3855" w:rsidRPr="00D160FB">
              <w:rPr>
                <w:rFonts w:cs="Arial"/>
                <w:color w:val="0D0D0D" w:themeColor="text1" w:themeTint="F2"/>
                <w:spacing w:val="-4"/>
                <w:szCs w:val="20"/>
                <w:lang w:val="en-GB"/>
              </w:rPr>
              <w:t>4</w:t>
            </w:r>
            <w:r w:rsidR="00B72CD3"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3% (</w:t>
            </w:r>
            <w:r w:rsidR="00B72CD3" w:rsidRPr="00D160FB">
              <w:rPr>
                <w:rFonts w:cs="Arial"/>
                <w:color w:val="0D0D0D" w:themeColor="text1" w:themeTint="F2"/>
                <w:spacing w:val="-4"/>
                <w:szCs w:val="20"/>
                <w:lang w:val="en-GB"/>
              </w:rPr>
              <w:t xml:space="preserve">in the annual sum they decreased for the first time in the comparable time series after year </w:t>
            </w:r>
            <w:r w:rsidR="001C3855" w:rsidRPr="00D160FB">
              <w:rPr>
                <w:rFonts w:cs="Arial"/>
                <w:color w:val="0D0D0D" w:themeColor="text1" w:themeTint="F2"/>
                <w:spacing w:val="-4"/>
                <w:szCs w:val="20"/>
                <w:lang w:val="en-GB"/>
              </w:rPr>
              <w:t xml:space="preserve">2000). </w:t>
            </w:r>
            <w:r w:rsidR="00B72CD3" w:rsidRPr="00D160FB">
              <w:rPr>
                <w:rFonts w:cs="Arial"/>
                <w:color w:val="0D0D0D" w:themeColor="text1" w:themeTint="F2"/>
                <w:spacing w:val="-4"/>
                <w:szCs w:val="20"/>
                <w:lang w:val="en-GB"/>
              </w:rPr>
              <w:t xml:space="preserve">Earnings increased by </w:t>
            </w:r>
            <w:r w:rsidR="001C3855" w:rsidRPr="00D160FB">
              <w:rPr>
                <w:rFonts w:cs="Arial"/>
                <w:color w:val="0D0D0D" w:themeColor="text1" w:themeTint="F2"/>
                <w:spacing w:val="-4"/>
                <w:szCs w:val="20"/>
                <w:lang w:val="en-GB"/>
              </w:rPr>
              <w:t>1</w:t>
            </w:r>
            <w:r w:rsidR="00B72CD3" w:rsidRPr="00D160FB">
              <w:rPr>
                <w:rFonts w:cs="Arial"/>
                <w:color w:val="0D0D0D" w:themeColor="text1" w:themeTint="F2"/>
                <w:spacing w:val="-4"/>
                <w:szCs w:val="20"/>
                <w:lang w:val="en-GB"/>
              </w:rPr>
              <w:t>.</w:t>
            </w:r>
            <w:r w:rsidR="001C3855" w:rsidRPr="00D160FB">
              <w:rPr>
                <w:rFonts w:cs="Arial"/>
                <w:color w:val="0D0D0D" w:themeColor="text1" w:themeTint="F2"/>
                <w:spacing w:val="-4"/>
                <w:szCs w:val="20"/>
                <w:lang w:val="en-GB"/>
              </w:rPr>
              <w:t>8%</w:t>
            </w:r>
            <w:r w:rsidR="00B72CD3" w:rsidRPr="00D160FB">
              <w:rPr>
                <w:rFonts w:cs="Arial"/>
                <w:color w:val="0D0D0D" w:themeColor="text1" w:themeTint="F2"/>
                <w:spacing w:val="-4"/>
                <w:szCs w:val="20"/>
                <w:lang w:val="en-GB"/>
              </w:rPr>
              <w:t xml:space="preserve"> in education</w:t>
            </w:r>
            <w:r w:rsidR="001C3855" w:rsidRPr="00D160FB">
              <w:rPr>
                <w:rFonts w:cs="Arial"/>
                <w:color w:val="0D0D0D" w:themeColor="text1" w:themeTint="F2"/>
                <w:spacing w:val="-4"/>
                <w:szCs w:val="20"/>
                <w:lang w:val="en-GB"/>
              </w:rPr>
              <w:t>,</w:t>
            </w:r>
            <w:r w:rsidR="00B72CD3" w:rsidRPr="00D160FB">
              <w:rPr>
                <w:rFonts w:cs="Arial"/>
                <w:color w:val="0D0D0D" w:themeColor="text1" w:themeTint="F2"/>
                <w:spacing w:val="-4"/>
                <w:szCs w:val="20"/>
                <w:lang w:val="en-GB"/>
              </w:rPr>
              <w:t xml:space="preserve"> the least in the last seven years</w:t>
            </w:r>
            <w:r w:rsidR="001C3855" w:rsidRPr="00D160FB">
              <w:rPr>
                <w:rFonts w:cs="Arial"/>
                <w:color w:val="0D0D0D" w:themeColor="text1" w:themeTint="F2"/>
                <w:spacing w:val="-4"/>
                <w:szCs w:val="20"/>
                <w:lang w:val="en-GB"/>
              </w:rPr>
              <w:t xml:space="preserve">. </w:t>
            </w:r>
            <w:r w:rsidR="00B72CD3" w:rsidRPr="00D160FB">
              <w:rPr>
                <w:rFonts w:cs="Arial"/>
                <w:color w:val="0D0D0D" w:themeColor="text1" w:themeTint="F2"/>
                <w:spacing w:val="-4"/>
                <w:szCs w:val="20"/>
                <w:lang w:val="en-GB"/>
              </w:rPr>
              <w:t>Still the</w:t>
            </w:r>
            <w:r w:rsidR="002F572C" w:rsidRPr="00D160FB">
              <w:rPr>
                <w:rFonts w:cs="Arial"/>
                <w:color w:val="0D0D0D" w:themeColor="text1" w:themeTint="F2"/>
                <w:spacing w:val="-4"/>
                <w:szCs w:val="20"/>
                <w:lang w:val="en-GB"/>
              </w:rPr>
              <w:t>ir</w:t>
            </w:r>
            <w:r w:rsidR="00B72CD3" w:rsidRPr="00D160FB">
              <w:rPr>
                <w:rFonts w:cs="Arial"/>
                <w:color w:val="0D0D0D" w:themeColor="text1" w:themeTint="F2"/>
                <w:spacing w:val="-4"/>
                <w:szCs w:val="20"/>
                <w:lang w:val="en-GB"/>
              </w:rPr>
              <w:t xml:space="preserve"> size stayed above the level of the whole economy, even though only by near 3% for the last year. </w:t>
            </w:r>
            <w:r w:rsidR="001C3855" w:rsidRPr="00D160FB">
              <w:rPr>
                <w:rFonts w:cs="Arial"/>
                <w:color w:val="0D0D0D" w:themeColor="text1" w:themeTint="F2"/>
                <w:spacing w:val="-4"/>
                <w:szCs w:val="20"/>
                <w:lang w:val="en-GB"/>
              </w:rPr>
              <w:t xml:space="preserve"> </w:t>
            </w:r>
          </w:p>
          <w:p w14:paraId="7AA35BC0" w14:textId="77777777" w:rsidR="001C3855" w:rsidRPr="00D160FB" w:rsidRDefault="001C3855" w:rsidP="00C8019E">
            <w:pPr>
              <w:spacing w:after="0" w:line="240" w:lineRule="auto"/>
              <w:rPr>
                <w:rFonts w:cs="Arial"/>
                <w:color w:val="0D0D0D" w:themeColor="text1" w:themeTint="F2"/>
                <w:spacing w:val="-4"/>
                <w:sz w:val="14"/>
                <w:szCs w:val="14"/>
                <w:lang w:val="en-GB"/>
              </w:rPr>
            </w:pPr>
          </w:p>
        </w:tc>
      </w:tr>
      <w:tr w:rsidR="003D13A6" w:rsidRPr="00D160FB" w14:paraId="17E029E1" w14:textId="77777777" w:rsidTr="003D13A6">
        <w:trPr>
          <w:trHeight w:val="132"/>
        </w:trPr>
        <w:tc>
          <w:tcPr>
            <w:tcW w:w="1722" w:type="dxa"/>
            <w:shd w:val="clear" w:color="auto" w:fill="auto"/>
            <w:tcMar>
              <w:left w:w="0" w:type="dxa"/>
            </w:tcMar>
          </w:tcPr>
          <w:p w14:paraId="52634CA4" w14:textId="77777777" w:rsidR="003D13A6" w:rsidRPr="00D160FB" w:rsidRDefault="003D13A6" w:rsidP="00C8019E">
            <w:pPr>
              <w:pStyle w:val="Marginlie"/>
              <w:rPr>
                <w:spacing w:val="-4"/>
                <w:lang w:val="en-GB"/>
              </w:rPr>
            </w:pPr>
          </w:p>
        </w:tc>
        <w:tc>
          <w:tcPr>
            <w:tcW w:w="202" w:type="dxa"/>
            <w:shd w:val="clear" w:color="auto" w:fill="auto"/>
            <w:tcMar>
              <w:left w:w="0" w:type="dxa"/>
            </w:tcMar>
          </w:tcPr>
          <w:p w14:paraId="46801255" w14:textId="77777777" w:rsidR="003D13A6" w:rsidRPr="00D160FB" w:rsidRDefault="003D13A6" w:rsidP="00C8019E">
            <w:pPr>
              <w:pStyle w:val="Textpoznpodarou"/>
              <w:jc w:val="both"/>
              <w:rPr>
                <w:spacing w:val="-4"/>
                <w:lang w:val="en-GB"/>
              </w:rPr>
            </w:pPr>
          </w:p>
        </w:tc>
        <w:tc>
          <w:tcPr>
            <w:tcW w:w="7750" w:type="dxa"/>
            <w:shd w:val="clear" w:color="auto" w:fill="auto"/>
            <w:tcMar>
              <w:left w:w="0" w:type="dxa"/>
            </w:tcMar>
          </w:tcPr>
          <w:p w14:paraId="550A319A" w14:textId="77777777" w:rsidR="003D13A6" w:rsidRPr="00D160FB" w:rsidRDefault="003D13A6" w:rsidP="003D13A6">
            <w:pPr>
              <w:spacing w:after="0"/>
              <w:rPr>
                <w:rFonts w:cs="Arial"/>
                <w:color w:val="0D0D0D" w:themeColor="text1" w:themeTint="F2"/>
                <w:spacing w:val="-4"/>
                <w:szCs w:val="20"/>
                <w:lang w:val="en-GB"/>
              </w:rPr>
            </w:pPr>
            <w:r w:rsidRPr="00D160FB">
              <w:rPr>
                <w:rFonts w:cs="Arial"/>
                <w:color w:val="0D0D0D" w:themeColor="text1" w:themeTint="F2"/>
                <w:spacing w:val="-4"/>
                <w:szCs w:val="20"/>
                <w:lang w:val="en-GB"/>
              </w:rPr>
              <w:t xml:space="preserve">Median of the wages in the economy expanded by even 9% year-on-year in Q4 2022. It was 40.2 CZK thousand monthly for males, 34.6 CZK thousand for females. Percentage growth of the medium earnings was mildly higher for males than females for the whole last year (the </w:t>
            </w:r>
            <w:r w:rsidRPr="00D160FB">
              <w:rPr>
                <w:rFonts w:cs="Arial"/>
                <w:color w:val="0D0D0D" w:themeColor="text1" w:themeTint="F2"/>
                <w:spacing w:val="-4"/>
                <w:szCs w:val="20"/>
                <w:lang w:val="en-GB"/>
              </w:rPr>
              <w:lastRenderedPageBreak/>
              <w:t>opposite pattern was generally valid in the preceding years).The wage differences slightly lowered throughout the whole year 2022, specifically thanks to females, for whom the relative growth of low wages (in the first decile) surpassed the increase of the highly above average earnings (in the ninth decile). From the view of the main groups of the classification of occupations the median wage increased the most to craft and repairmen (+8.4%)</w:t>
            </w:r>
            <w:r w:rsidRPr="00D160FB">
              <w:rPr>
                <w:rStyle w:val="Znakapoznpodarou"/>
                <w:color w:val="0D0D0D" w:themeColor="text1" w:themeTint="F2"/>
                <w:spacing w:val="-4"/>
                <w:szCs w:val="20"/>
                <w:lang w:val="en-GB"/>
              </w:rPr>
              <w:footnoteReference w:id="84"/>
            </w:r>
            <w:r w:rsidRPr="00D160FB">
              <w:rPr>
                <w:rFonts w:cs="Arial"/>
                <w:color w:val="0D0D0D" w:themeColor="text1" w:themeTint="F2"/>
                <w:spacing w:val="-4"/>
                <w:szCs w:val="20"/>
                <w:lang w:val="en-GB"/>
              </w:rPr>
              <w:t xml:space="preserve">, legislators and chief executives also recorded slightly above average growth (7.3%) last year. The average earnings grew the least to employees in armed forces (+1.8%). The numerous group of professionals also recorded weaker wage growth (+4.1%), which was also reflected in the below average percentage growth of earnings of university graduates.  </w:t>
            </w:r>
          </w:p>
          <w:p w14:paraId="3A4C3027" w14:textId="77777777" w:rsidR="003D13A6" w:rsidRPr="00D160FB" w:rsidRDefault="003D13A6" w:rsidP="00C8019E">
            <w:pPr>
              <w:spacing w:after="0"/>
              <w:rPr>
                <w:rFonts w:cs="Arial"/>
                <w:color w:val="0D0D0D" w:themeColor="text1" w:themeTint="F2"/>
                <w:spacing w:val="-4"/>
                <w:szCs w:val="20"/>
                <w:lang w:val="en-GB"/>
              </w:rPr>
            </w:pPr>
          </w:p>
        </w:tc>
      </w:tr>
      <w:tr w:rsidR="00B646BC" w:rsidRPr="00D160FB" w14:paraId="3F4861DB" w14:textId="77777777" w:rsidTr="003D13A6">
        <w:trPr>
          <w:trHeight w:val="132"/>
        </w:trPr>
        <w:tc>
          <w:tcPr>
            <w:tcW w:w="1722" w:type="dxa"/>
            <w:shd w:val="clear" w:color="auto" w:fill="auto"/>
            <w:tcMar>
              <w:left w:w="0" w:type="dxa"/>
            </w:tcMar>
          </w:tcPr>
          <w:p w14:paraId="77C81278"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5179777C"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559D90F2" w14:textId="4A2C23EC" w:rsidR="00834CC3" w:rsidRDefault="006B4B60" w:rsidP="00932F45">
            <w:pPr>
              <w:spacing w:after="0"/>
              <w:rPr>
                <w:b/>
                <w:spacing w:val="-2"/>
                <w:lang w:val="en-GB"/>
              </w:rPr>
            </w:pPr>
            <w:r w:rsidRPr="00D160FB">
              <w:rPr>
                <w:rFonts w:cs="Arial"/>
                <w:b/>
                <w:color w:val="0D0D0D" w:themeColor="text1" w:themeTint="F2"/>
                <w:spacing w:val="-4"/>
                <w:szCs w:val="20"/>
                <w:lang w:val="en-GB"/>
              </w:rPr>
              <w:t xml:space="preserve">Chart </w:t>
            </w:r>
            <w:r w:rsidR="008F525A" w:rsidRPr="00D160FB">
              <w:rPr>
                <w:rFonts w:cs="Arial"/>
                <w:b/>
                <w:color w:val="0D0D0D" w:themeColor="text1" w:themeTint="F2"/>
                <w:spacing w:val="-4"/>
                <w:szCs w:val="20"/>
                <w:lang w:val="en-GB"/>
              </w:rPr>
              <w:t>16</w:t>
            </w:r>
            <w:r w:rsidR="001C3855" w:rsidRPr="00D160FB">
              <w:rPr>
                <w:rFonts w:cs="Arial"/>
                <w:b/>
                <w:color w:val="0D0D0D" w:themeColor="text1" w:themeTint="F2"/>
                <w:spacing w:val="-4"/>
                <w:szCs w:val="20"/>
                <w:lang w:val="en-GB"/>
              </w:rPr>
              <w:t xml:space="preserve"> </w:t>
            </w:r>
            <w:r w:rsidR="00932F45" w:rsidRPr="00D160FB">
              <w:rPr>
                <w:b/>
                <w:spacing w:val="-2"/>
                <w:lang w:val="en-GB"/>
              </w:rPr>
              <w:t>Average nominal and re</w:t>
            </w:r>
            <w:r w:rsidR="00834CC3">
              <w:rPr>
                <w:b/>
                <w:spacing w:val="-2"/>
                <w:lang w:val="en-GB"/>
              </w:rPr>
              <w:t>al wage and real labour productivity</w:t>
            </w:r>
          </w:p>
          <w:p w14:paraId="0EB134EF" w14:textId="71CCB736" w:rsidR="001C3855" w:rsidRPr="00D160FB" w:rsidRDefault="00932F45" w:rsidP="00932F45">
            <w:pPr>
              <w:spacing w:after="0"/>
              <w:rPr>
                <w:rFonts w:cs="Arial"/>
                <w:color w:val="0D0D0D" w:themeColor="text1" w:themeTint="F2"/>
                <w:spacing w:val="-4"/>
                <w:szCs w:val="20"/>
                <w:lang w:val="en-GB"/>
              </w:rPr>
            </w:pPr>
            <w:r w:rsidRPr="00D160FB">
              <w:rPr>
                <w:spacing w:val="-2"/>
                <w:lang w:val="en-GB"/>
              </w:rPr>
              <w:t>(</w:t>
            </w:r>
            <w:proofErr w:type="gramStart"/>
            <w:r w:rsidRPr="00D160FB">
              <w:rPr>
                <w:spacing w:val="-2"/>
                <w:lang w:val="en-GB"/>
              </w:rPr>
              <w:t>annual</w:t>
            </w:r>
            <w:proofErr w:type="gramEnd"/>
            <w:r w:rsidRPr="00D160FB">
              <w:rPr>
                <w:spacing w:val="-2"/>
                <w:lang w:val="en-GB"/>
              </w:rPr>
              <w:t xml:space="preserve"> totals, y-o-y change in %)</w:t>
            </w:r>
          </w:p>
        </w:tc>
      </w:tr>
      <w:tr w:rsidR="00B646BC" w:rsidRPr="00D160FB" w14:paraId="1A8016D5" w14:textId="77777777" w:rsidTr="003D13A6">
        <w:tblPrEx>
          <w:tblCellMar>
            <w:left w:w="70" w:type="dxa"/>
            <w:right w:w="70" w:type="dxa"/>
          </w:tblCellMar>
        </w:tblPrEx>
        <w:trPr>
          <w:trHeight w:val="132"/>
        </w:trPr>
        <w:tc>
          <w:tcPr>
            <w:tcW w:w="1722" w:type="dxa"/>
            <w:shd w:val="clear" w:color="auto" w:fill="auto"/>
          </w:tcPr>
          <w:p w14:paraId="56DEEEC4" w14:textId="77777777" w:rsidR="001C3855" w:rsidRPr="00D160FB" w:rsidRDefault="001C3855" w:rsidP="00C8019E">
            <w:pPr>
              <w:pStyle w:val="Marginlie"/>
              <w:rPr>
                <w:spacing w:val="-4"/>
                <w:lang w:val="en-GB"/>
              </w:rPr>
            </w:pPr>
          </w:p>
        </w:tc>
        <w:tc>
          <w:tcPr>
            <w:tcW w:w="202" w:type="dxa"/>
            <w:shd w:val="clear" w:color="auto" w:fill="auto"/>
          </w:tcPr>
          <w:p w14:paraId="417AB7BC" w14:textId="77777777" w:rsidR="001C3855" w:rsidRPr="00D160FB" w:rsidRDefault="001C3855" w:rsidP="00C8019E">
            <w:pPr>
              <w:pStyle w:val="Textpoznpodarou"/>
              <w:jc w:val="both"/>
              <w:rPr>
                <w:spacing w:val="-4"/>
                <w:lang w:val="en-GB"/>
              </w:rPr>
            </w:pPr>
          </w:p>
        </w:tc>
        <w:tc>
          <w:tcPr>
            <w:tcW w:w="7750" w:type="dxa"/>
            <w:shd w:val="clear" w:color="auto" w:fill="auto"/>
          </w:tcPr>
          <w:p w14:paraId="1BE77BAB" w14:textId="33443BBA" w:rsidR="001C3855" w:rsidRPr="00D160FB" w:rsidRDefault="00834CC3" w:rsidP="00C8019E">
            <w:pPr>
              <w:spacing w:after="0" w:line="240" w:lineRule="auto"/>
              <w:rPr>
                <w:rFonts w:cs="Arial"/>
                <w:color w:val="0D0D0D" w:themeColor="text1" w:themeTint="F2"/>
                <w:spacing w:val="-4"/>
                <w:sz w:val="14"/>
                <w:szCs w:val="14"/>
                <w:lang w:val="en-GB"/>
              </w:rPr>
            </w:pPr>
            <w:r>
              <w:rPr>
                <w:noProof/>
              </w:rPr>
              <w:drawing>
                <wp:inline distT="0" distB="0" distL="0" distR="0" wp14:anchorId="5BB42CC1" wp14:editId="234968A8">
                  <wp:extent cx="4794389" cy="3752929"/>
                  <wp:effectExtent l="0" t="0" r="635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B646BC" w:rsidRPr="00D160FB" w14:paraId="59CF42E4" w14:textId="77777777" w:rsidTr="003D13A6">
        <w:trPr>
          <w:trHeight w:val="132"/>
        </w:trPr>
        <w:tc>
          <w:tcPr>
            <w:tcW w:w="1722" w:type="dxa"/>
            <w:shd w:val="clear" w:color="auto" w:fill="auto"/>
            <w:tcMar>
              <w:left w:w="0" w:type="dxa"/>
            </w:tcMar>
          </w:tcPr>
          <w:p w14:paraId="3EF89656" w14:textId="77777777" w:rsidR="001C3855" w:rsidRPr="00D160FB" w:rsidRDefault="001C3855" w:rsidP="00C8019E">
            <w:pPr>
              <w:pStyle w:val="Marginlie"/>
              <w:rPr>
                <w:spacing w:val="-4"/>
                <w:lang w:val="en-GB"/>
              </w:rPr>
            </w:pPr>
          </w:p>
        </w:tc>
        <w:tc>
          <w:tcPr>
            <w:tcW w:w="202" w:type="dxa"/>
            <w:shd w:val="clear" w:color="auto" w:fill="auto"/>
            <w:tcMar>
              <w:left w:w="0" w:type="dxa"/>
            </w:tcMar>
          </w:tcPr>
          <w:p w14:paraId="61AC3A7B" w14:textId="77777777" w:rsidR="001C3855" w:rsidRPr="00D160FB" w:rsidRDefault="001C3855" w:rsidP="00C8019E">
            <w:pPr>
              <w:pStyle w:val="Textpoznpodarou"/>
              <w:jc w:val="both"/>
              <w:rPr>
                <w:spacing w:val="-4"/>
                <w:lang w:val="en-GB"/>
              </w:rPr>
            </w:pPr>
          </w:p>
        </w:tc>
        <w:tc>
          <w:tcPr>
            <w:tcW w:w="7750" w:type="dxa"/>
            <w:shd w:val="clear" w:color="auto" w:fill="auto"/>
            <w:tcMar>
              <w:left w:w="0" w:type="dxa"/>
            </w:tcMar>
          </w:tcPr>
          <w:p w14:paraId="37E8B43F" w14:textId="146312D6" w:rsidR="00932F45" w:rsidRPr="00D160FB" w:rsidRDefault="00932F45" w:rsidP="00932F45">
            <w:pPr>
              <w:spacing w:after="0" w:line="240" w:lineRule="auto"/>
              <w:rPr>
                <w:rFonts w:cs="Arial"/>
                <w:spacing w:val="-3"/>
                <w:sz w:val="14"/>
                <w:szCs w:val="14"/>
                <w:lang w:val="en-GB"/>
              </w:rPr>
            </w:pPr>
            <w:r w:rsidRPr="00D160FB">
              <w:rPr>
                <w:bCs/>
                <w:sz w:val="14"/>
                <w:szCs w:val="14"/>
                <w:lang w:val="en-GB"/>
              </w:rPr>
              <w:t>*</w:t>
            </w:r>
            <w:r w:rsidRPr="00D160FB">
              <w:rPr>
                <w:rFonts w:cs="Arial"/>
                <w:spacing w:val="-3"/>
                <w:sz w:val="14"/>
                <w:szCs w:val="14"/>
                <w:lang w:val="en-GB"/>
              </w:rPr>
              <w:t xml:space="preserve"> Includes branches with a significant state involvement: Public administration, defence, social security; Education; Human health and social work a</w:t>
            </w:r>
            <w:r w:rsidR="00AD4FF6">
              <w:rPr>
                <w:rFonts w:cs="Arial"/>
                <w:spacing w:val="-3"/>
                <w:sz w:val="14"/>
                <w:szCs w:val="14"/>
                <w:lang w:val="en-GB"/>
              </w:rPr>
              <w:t>ctivities; Arts, entertainment</w:t>
            </w:r>
            <w:r w:rsidRPr="00D160FB">
              <w:rPr>
                <w:rFonts w:cs="Arial"/>
                <w:spacing w:val="-3"/>
                <w:sz w:val="14"/>
                <w:szCs w:val="14"/>
                <w:lang w:val="en-GB"/>
              </w:rPr>
              <w:t xml:space="preserve"> and recreational activities.</w:t>
            </w:r>
          </w:p>
          <w:p w14:paraId="3925223D" w14:textId="0FAE96D9" w:rsidR="001C3855" w:rsidRPr="00D160FB" w:rsidRDefault="001C3855" w:rsidP="00C8019E">
            <w:pPr>
              <w:spacing w:after="0" w:line="240" w:lineRule="auto"/>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w:t>
            </w:r>
            <w:r w:rsidR="00932F45" w:rsidRPr="00D160FB">
              <w:rPr>
                <w:rFonts w:cs="Arial"/>
                <w:color w:val="0D0D0D" w:themeColor="text1" w:themeTint="F2"/>
                <w:spacing w:val="-4"/>
                <w:sz w:val="14"/>
                <w:szCs w:val="14"/>
                <w:lang w:val="en-GB"/>
              </w:rPr>
              <w:t xml:space="preserve">Labour productivity </w:t>
            </w:r>
            <w:r w:rsidR="00834CC3">
              <w:rPr>
                <w:rFonts w:cs="Arial"/>
                <w:color w:val="0D0D0D" w:themeColor="text1" w:themeTint="F2"/>
                <w:spacing w:val="-4"/>
                <w:sz w:val="14"/>
                <w:szCs w:val="14"/>
                <w:lang w:val="en-GB"/>
              </w:rPr>
              <w:t xml:space="preserve">in national economy (NE) </w:t>
            </w:r>
            <w:r w:rsidR="00932F45" w:rsidRPr="00D160FB">
              <w:rPr>
                <w:rFonts w:cs="Arial"/>
                <w:color w:val="0D0D0D" w:themeColor="text1" w:themeTint="F2"/>
                <w:spacing w:val="-4"/>
                <w:sz w:val="14"/>
                <w:szCs w:val="14"/>
                <w:lang w:val="en-GB"/>
              </w:rPr>
              <w:t xml:space="preserve">is depicted by the gross value added (in comparable prices of year </w:t>
            </w:r>
            <w:r w:rsidRPr="00D160FB">
              <w:rPr>
                <w:rFonts w:cs="Arial"/>
                <w:color w:val="0D0D0D" w:themeColor="text1" w:themeTint="F2"/>
                <w:spacing w:val="-4"/>
                <w:sz w:val="14"/>
                <w:szCs w:val="14"/>
                <w:lang w:val="en-GB"/>
              </w:rPr>
              <w:t xml:space="preserve">2015) </w:t>
            </w:r>
            <w:r w:rsidR="00932F45" w:rsidRPr="00D160FB">
              <w:rPr>
                <w:rFonts w:cs="Arial"/>
                <w:color w:val="0D0D0D" w:themeColor="text1" w:themeTint="F2"/>
                <w:spacing w:val="-4"/>
                <w:sz w:val="14"/>
                <w:szCs w:val="14"/>
                <w:lang w:val="en-GB"/>
              </w:rPr>
              <w:t xml:space="preserve">per one worker. </w:t>
            </w:r>
          </w:p>
          <w:p w14:paraId="609F4963" w14:textId="5B8DA450" w:rsidR="00932F45" w:rsidRPr="00834CC3" w:rsidRDefault="006B4B60" w:rsidP="00834CC3">
            <w:pPr>
              <w:spacing w:after="220" w:line="240" w:lineRule="auto"/>
              <w:rPr>
                <w:rFonts w:cs="Arial"/>
                <w:color w:val="0D0D0D" w:themeColor="text1" w:themeTint="F2"/>
                <w:spacing w:val="-4"/>
                <w:sz w:val="14"/>
                <w:szCs w:val="14"/>
                <w:lang w:val="en-GB"/>
              </w:rPr>
            </w:pPr>
            <w:r w:rsidRPr="00D160FB">
              <w:rPr>
                <w:rFonts w:cs="Arial"/>
                <w:color w:val="0D0D0D" w:themeColor="text1" w:themeTint="F2"/>
                <w:spacing w:val="-4"/>
                <w:sz w:val="14"/>
                <w:szCs w:val="14"/>
                <w:lang w:val="en-GB"/>
              </w:rPr>
              <w:t>Source</w:t>
            </w:r>
            <w:r w:rsidR="001C3855" w:rsidRPr="00D160FB">
              <w:rPr>
                <w:rFonts w:cs="Arial"/>
                <w:color w:val="0D0D0D" w:themeColor="text1" w:themeTint="F2"/>
                <w:spacing w:val="-4"/>
                <w:sz w:val="14"/>
                <w:szCs w:val="14"/>
                <w:lang w:val="en-GB"/>
              </w:rPr>
              <w:t>:</w:t>
            </w:r>
            <w:r w:rsidRPr="00D160FB">
              <w:rPr>
                <w:rFonts w:cs="Arial"/>
                <w:color w:val="0D0D0D" w:themeColor="text1" w:themeTint="F2"/>
                <w:spacing w:val="-4"/>
                <w:sz w:val="14"/>
                <w:szCs w:val="14"/>
                <w:lang w:val="en-GB"/>
              </w:rPr>
              <w:t xml:space="preserve"> CZSO</w:t>
            </w:r>
          </w:p>
        </w:tc>
      </w:tr>
    </w:tbl>
    <w:p w14:paraId="1F6156F5" w14:textId="77777777" w:rsidR="00435DE8" w:rsidRDefault="00435DE8">
      <w:pPr>
        <w:spacing w:after="0" w:line="240" w:lineRule="auto"/>
        <w:jc w:val="left"/>
        <w:rPr>
          <w:rFonts w:eastAsia="MS Gothic"/>
          <w:b/>
          <w:bCs/>
          <w:color w:val="71818C"/>
          <w:sz w:val="32"/>
          <w:szCs w:val="28"/>
          <w:lang w:val="en-GB"/>
        </w:rPr>
      </w:pPr>
      <w:r>
        <w:rPr>
          <w:lang w:val="en-GB"/>
        </w:rPr>
        <w:br w:type="page"/>
      </w:r>
    </w:p>
    <w:p w14:paraId="2A38F41D" w14:textId="1F01B3F4" w:rsidR="007A6A6E" w:rsidRPr="00D160FB" w:rsidRDefault="007A6A6E" w:rsidP="007A6A6E">
      <w:pPr>
        <w:pStyle w:val="Nadpis11"/>
        <w:spacing w:after="120"/>
        <w:rPr>
          <w:lang w:val="en-GB"/>
        </w:rPr>
      </w:pPr>
      <w:bookmarkStart w:id="35" w:name="_Toc132874251"/>
      <w:r w:rsidRPr="00D160FB">
        <w:rPr>
          <w:lang w:val="en-GB"/>
        </w:rPr>
        <w:lastRenderedPageBreak/>
        <w:t>7. M</w:t>
      </w:r>
      <w:r w:rsidR="001B10F0" w:rsidRPr="00D160FB">
        <w:rPr>
          <w:lang w:val="en-GB"/>
        </w:rPr>
        <w:t>onetary Conditions</w:t>
      </w:r>
      <w:bookmarkEnd w:id="35"/>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7A6A6E" w:rsidRPr="00D160FB" w14:paraId="092920EF" w14:textId="77777777" w:rsidTr="00435DE8">
        <w:trPr>
          <w:trHeight w:val="145"/>
        </w:trPr>
        <w:tc>
          <w:tcPr>
            <w:tcW w:w="1802" w:type="dxa"/>
          </w:tcPr>
          <w:p w14:paraId="65F9D27A" w14:textId="3D330E72" w:rsidR="007A6A6E" w:rsidRPr="00D160FB" w:rsidRDefault="002C5463" w:rsidP="00163868">
            <w:pPr>
              <w:pStyle w:val="Marginlie"/>
              <w:rPr>
                <w:lang w:val="en-GB" w:eastAsia="en-US"/>
              </w:rPr>
            </w:pPr>
            <w:r w:rsidRPr="00D160FB">
              <w:rPr>
                <w:lang w:val="en-GB" w:eastAsia="en-US"/>
              </w:rPr>
              <w:t>Set up of monetary policy-relevant rates was not changed in H2</w:t>
            </w:r>
            <w:r w:rsidR="007A6A6E" w:rsidRPr="00D160FB">
              <w:rPr>
                <w:lang w:val="en-GB" w:eastAsia="en-US"/>
              </w:rPr>
              <w:t>.</w:t>
            </w:r>
          </w:p>
        </w:tc>
        <w:tc>
          <w:tcPr>
            <w:tcW w:w="229" w:type="dxa"/>
          </w:tcPr>
          <w:p w14:paraId="3C0C7946" w14:textId="77777777" w:rsidR="007A6A6E" w:rsidRPr="00D160FB" w:rsidRDefault="007A6A6E" w:rsidP="00163868">
            <w:pPr>
              <w:pStyle w:val="Textpoznpodarou"/>
              <w:jc w:val="both"/>
              <w:rPr>
                <w:spacing w:val="-4"/>
                <w:lang w:val="en-GB" w:eastAsia="en-US"/>
              </w:rPr>
            </w:pPr>
          </w:p>
        </w:tc>
        <w:tc>
          <w:tcPr>
            <w:tcW w:w="7610" w:type="dxa"/>
          </w:tcPr>
          <w:p w14:paraId="45953BEF" w14:textId="37AEA98B" w:rsidR="007A6A6E" w:rsidRPr="00D160FB" w:rsidRDefault="00E76BA9" w:rsidP="00163868">
            <w:pPr>
              <w:rPr>
                <w:spacing w:val="-2"/>
                <w:lang w:val="en-GB" w:eastAsia="en-US"/>
              </w:rPr>
            </w:pPr>
            <w:r w:rsidRPr="00D160FB">
              <w:rPr>
                <w:spacing w:val="-2"/>
                <w:lang w:val="en-GB" w:eastAsia="en-US"/>
              </w:rPr>
              <w:t>Level of the basic monetary policy-relevant rates did not change in Q</w:t>
            </w:r>
            <w:r w:rsidR="007A6A6E" w:rsidRPr="00D160FB">
              <w:rPr>
                <w:spacing w:val="-2"/>
                <w:lang w:val="en-GB" w:eastAsia="en-US"/>
              </w:rPr>
              <w:t>4.</w:t>
            </w:r>
            <w:r w:rsidRPr="00D160FB">
              <w:rPr>
                <w:spacing w:val="-2"/>
                <w:lang w:val="en-GB" w:eastAsia="en-US"/>
              </w:rPr>
              <w:t xml:space="preserve"> </w:t>
            </w:r>
            <w:r w:rsidR="00867B7B" w:rsidRPr="00D160FB">
              <w:rPr>
                <w:spacing w:val="-2"/>
                <w:lang w:val="en-GB" w:eastAsia="en-US"/>
              </w:rPr>
              <w:t>After the fast increase in H</w:t>
            </w:r>
            <w:r w:rsidR="007A6A6E" w:rsidRPr="00D160FB">
              <w:rPr>
                <w:spacing w:val="-2"/>
                <w:lang w:val="en-GB" w:eastAsia="en-US"/>
              </w:rPr>
              <w:t>1</w:t>
            </w:r>
            <w:r w:rsidR="00867B7B" w:rsidRPr="00D160FB">
              <w:rPr>
                <w:spacing w:val="-2"/>
                <w:lang w:val="en-GB" w:eastAsia="en-US"/>
              </w:rPr>
              <w:t xml:space="preserve">, </w:t>
            </w:r>
            <w:r w:rsidR="00D840AF" w:rsidRPr="00D160FB">
              <w:rPr>
                <w:spacing w:val="-2"/>
                <w:lang w:val="en-GB" w:eastAsia="en-US"/>
              </w:rPr>
              <w:t>two-week</w:t>
            </w:r>
            <w:r w:rsidR="00867B7B" w:rsidRPr="00D160FB">
              <w:rPr>
                <w:spacing w:val="-2"/>
                <w:lang w:val="en-GB" w:eastAsia="en-US"/>
              </w:rPr>
              <w:t xml:space="preserve"> repo rate remained at </w:t>
            </w:r>
            <w:r w:rsidR="007A6A6E" w:rsidRPr="00D160FB">
              <w:rPr>
                <w:spacing w:val="-2"/>
                <w:lang w:val="en-GB" w:eastAsia="en-US"/>
              </w:rPr>
              <w:t>7</w:t>
            </w:r>
            <w:r w:rsidR="00867B7B" w:rsidRPr="00D160FB">
              <w:rPr>
                <w:spacing w:val="-2"/>
                <w:lang w:val="en-GB" w:eastAsia="en-US"/>
              </w:rPr>
              <w:t>.</w:t>
            </w:r>
            <w:r w:rsidR="007A6A6E" w:rsidRPr="00D160FB">
              <w:rPr>
                <w:spacing w:val="-2"/>
                <w:lang w:val="en-GB" w:eastAsia="en-US"/>
              </w:rPr>
              <w:t>00%, dis</w:t>
            </w:r>
            <w:r w:rsidR="00867B7B" w:rsidRPr="00D160FB">
              <w:rPr>
                <w:spacing w:val="-2"/>
                <w:lang w:val="en-GB" w:eastAsia="en-US"/>
              </w:rPr>
              <w:t xml:space="preserve">count rate at </w:t>
            </w:r>
            <w:r w:rsidR="007A6A6E" w:rsidRPr="00D160FB">
              <w:rPr>
                <w:spacing w:val="-2"/>
                <w:lang w:val="en-GB" w:eastAsia="en-US"/>
              </w:rPr>
              <w:t>6</w:t>
            </w:r>
            <w:r w:rsidR="00867B7B" w:rsidRPr="00D160FB">
              <w:rPr>
                <w:spacing w:val="-2"/>
                <w:lang w:val="en-GB" w:eastAsia="en-US"/>
              </w:rPr>
              <w:t>.</w:t>
            </w:r>
            <w:r w:rsidR="007A6A6E" w:rsidRPr="00D160FB">
              <w:rPr>
                <w:spacing w:val="-2"/>
                <w:lang w:val="en-GB" w:eastAsia="en-US"/>
              </w:rPr>
              <w:t>00% a</w:t>
            </w:r>
            <w:r w:rsidR="00867B7B" w:rsidRPr="00D160FB">
              <w:rPr>
                <w:spacing w:val="-2"/>
                <w:lang w:val="en-GB" w:eastAsia="en-US"/>
              </w:rPr>
              <w:t xml:space="preserve">nd Lombard rate at </w:t>
            </w:r>
            <w:r w:rsidR="007A6A6E" w:rsidRPr="00D160FB">
              <w:rPr>
                <w:spacing w:val="-2"/>
                <w:lang w:val="en-GB" w:eastAsia="en-US"/>
              </w:rPr>
              <w:t>8</w:t>
            </w:r>
            <w:r w:rsidR="00867B7B" w:rsidRPr="00D160FB">
              <w:rPr>
                <w:spacing w:val="-2"/>
                <w:lang w:val="en-GB" w:eastAsia="en-US"/>
              </w:rPr>
              <w:t>.</w:t>
            </w:r>
            <w:r w:rsidR="007A6A6E" w:rsidRPr="00D160FB">
              <w:rPr>
                <w:spacing w:val="-2"/>
                <w:lang w:val="en-GB" w:eastAsia="en-US"/>
              </w:rPr>
              <w:t>00%</w:t>
            </w:r>
            <w:r w:rsidR="00867B7B" w:rsidRPr="00D160FB">
              <w:rPr>
                <w:spacing w:val="-2"/>
                <w:lang w:val="en-GB" w:eastAsia="en-US"/>
              </w:rPr>
              <w:t xml:space="preserve"> till the end of the year</w:t>
            </w:r>
            <w:r w:rsidR="007A6A6E" w:rsidRPr="00D160FB">
              <w:rPr>
                <w:spacing w:val="-2"/>
                <w:lang w:val="en-GB" w:eastAsia="en-US"/>
              </w:rPr>
              <w:t>.</w:t>
            </w:r>
            <w:r w:rsidR="007A6A6E" w:rsidRPr="00D160FB">
              <w:rPr>
                <w:rStyle w:val="Znakapoznpodarou"/>
                <w:spacing w:val="-2"/>
                <w:lang w:val="en-GB" w:eastAsia="en-US"/>
              </w:rPr>
              <w:footnoteReference w:id="85"/>
            </w:r>
            <w:r w:rsidR="007A6A6E" w:rsidRPr="00D160FB">
              <w:rPr>
                <w:spacing w:val="-2"/>
                <w:lang w:val="en-GB" w:eastAsia="en-US"/>
              </w:rPr>
              <w:t xml:space="preserve"> </w:t>
            </w:r>
            <w:r w:rsidR="00074959" w:rsidRPr="00D160FB">
              <w:rPr>
                <w:spacing w:val="-2"/>
                <w:lang w:val="en-GB" w:eastAsia="en-US"/>
              </w:rPr>
              <w:t xml:space="preserve">In case of </w:t>
            </w:r>
            <w:r w:rsidR="00C63B2C" w:rsidRPr="00D160FB">
              <w:rPr>
                <w:spacing w:val="-2"/>
                <w:lang w:val="en-GB" w:eastAsia="en-US"/>
              </w:rPr>
              <w:t xml:space="preserve">koruna foreign exchange per euro, the development was affected by the forex interventions against depreciation last year, which the CNB launched since half of May. </w:t>
            </w:r>
            <w:r w:rsidR="00054B9B" w:rsidRPr="00D160FB">
              <w:rPr>
                <w:spacing w:val="-2"/>
                <w:lang w:val="en-GB" w:eastAsia="en-US"/>
              </w:rPr>
              <w:t>The interventions manifested on the ridged exchange rate the most clearly in May and June</w:t>
            </w:r>
            <w:r w:rsidR="007A6A6E" w:rsidRPr="00D160FB">
              <w:rPr>
                <w:spacing w:val="-2"/>
                <w:lang w:val="en-GB" w:eastAsia="en-US"/>
              </w:rPr>
              <w:t xml:space="preserve">, </w:t>
            </w:r>
            <w:r w:rsidR="00054B9B" w:rsidRPr="00D160FB">
              <w:rPr>
                <w:spacing w:val="-2"/>
                <w:lang w:val="en-GB" w:eastAsia="en-US"/>
              </w:rPr>
              <w:t xml:space="preserve">then however a mild appreciation occurred, which lasted till the end of the year. </w:t>
            </w:r>
            <w:r w:rsidRPr="00D160FB">
              <w:rPr>
                <w:spacing w:val="-2"/>
                <w:lang w:val="en-GB" w:eastAsia="en-US"/>
              </w:rPr>
              <w:t>In Q</w:t>
            </w:r>
            <w:r w:rsidR="007A6A6E" w:rsidRPr="00D160FB">
              <w:rPr>
                <w:spacing w:val="-2"/>
                <w:lang w:val="en-GB" w:eastAsia="en-US"/>
              </w:rPr>
              <w:t>4</w:t>
            </w:r>
            <w:r w:rsidRPr="00D160FB">
              <w:rPr>
                <w:spacing w:val="-2"/>
                <w:lang w:val="en-GB" w:eastAsia="en-US"/>
              </w:rPr>
              <w:t>, the average value of koruna exchange rate per euro attained 2</w:t>
            </w:r>
            <w:r w:rsidR="007A6A6E" w:rsidRPr="00D160FB">
              <w:rPr>
                <w:spacing w:val="-2"/>
                <w:lang w:val="en-GB" w:eastAsia="en-US"/>
              </w:rPr>
              <w:t>4</w:t>
            </w:r>
            <w:r w:rsidR="00B20F55" w:rsidRPr="00D160FB">
              <w:rPr>
                <w:spacing w:val="-2"/>
                <w:lang w:val="en-GB" w:eastAsia="en-US"/>
              </w:rPr>
              <w:t>.3</w:t>
            </w:r>
            <w:r w:rsidR="007A6A6E" w:rsidRPr="00D160FB">
              <w:rPr>
                <w:spacing w:val="-2"/>
                <w:lang w:val="en-GB" w:eastAsia="en-US"/>
              </w:rPr>
              <w:t xml:space="preserve">9 CZK/EUR. </w:t>
            </w:r>
            <w:r w:rsidRPr="00D160FB">
              <w:rPr>
                <w:spacing w:val="-2"/>
                <w:lang w:val="en-GB" w:eastAsia="en-US"/>
              </w:rPr>
              <w:t xml:space="preserve">Koruna appreciated per euro by </w:t>
            </w:r>
            <w:r w:rsidR="007A6A6E" w:rsidRPr="00D160FB">
              <w:rPr>
                <w:spacing w:val="-2"/>
                <w:lang w:val="en-GB" w:eastAsia="en-US"/>
              </w:rPr>
              <w:t>3</w:t>
            </w:r>
            <w:r w:rsidRPr="00D160FB">
              <w:rPr>
                <w:spacing w:val="-2"/>
                <w:lang w:val="en-GB" w:eastAsia="en-US"/>
              </w:rPr>
              <w:t>.</w:t>
            </w:r>
            <w:r w:rsidR="007A6A6E" w:rsidRPr="00D160FB">
              <w:rPr>
                <w:spacing w:val="-2"/>
                <w:lang w:val="en-GB" w:eastAsia="en-US"/>
              </w:rPr>
              <w:t>9%</w:t>
            </w:r>
            <w:r w:rsidRPr="00D160FB">
              <w:rPr>
                <w:spacing w:val="-2"/>
                <w:lang w:val="en-GB" w:eastAsia="en-US"/>
              </w:rPr>
              <w:t xml:space="preserve"> year-on-year</w:t>
            </w:r>
            <w:r w:rsidR="007A6A6E" w:rsidRPr="00D160FB">
              <w:rPr>
                <w:spacing w:val="-2"/>
                <w:lang w:val="en-GB" w:eastAsia="en-US"/>
              </w:rPr>
              <w:t xml:space="preserve">. </w:t>
            </w:r>
            <w:r w:rsidR="006407EB" w:rsidRPr="00D160FB">
              <w:rPr>
                <w:spacing w:val="-2"/>
                <w:lang w:val="en-GB" w:eastAsia="en-US"/>
              </w:rPr>
              <w:t xml:space="preserve">The rate was by </w:t>
            </w:r>
            <w:r w:rsidR="007A6A6E" w:rsidRPr="00D160FB">
              <w:rPr>
                <w:spacing w:val="-2"/>
                <w:lang w:val="en-GB" w:eastAsia="en-US"/>
              </w:rPr>
              <w:t>0</w:t>
            </w:r>
            <w:r w:rsidR="006407EB" w:rsidRPr="00D160FB">
              <w:rPr>
                <w:spacing w:val="-2"/>
                <w:lang w:val="en-GB" w:eastAsia="en-US"/>
              </w:rPr>
              <w:t>.</w:t>
            </w:r>
            <w:r w:rsidR="007A6A6E" w:rsidRPr="00D160FB">
              <w:rPr>
                <w:spacing w:val="-2"/>
                <w:lang w:val="en-GB" w:eastAsia="en-US"/>
              </w:rPr>
              <w:t>8%</w:t>
            </w:r>
            <w:r w:rsidR="006407EB" w:rsidRPr="00D160FB">
              <w:rPr>
                <w:spacing w:val="-2"/>
                <w:lang w:val="en-GB" w:eastAsia="en-US"/>
              </w:rPr>
              <w:t xml:space="preserve"> stronger quarter-on-quarter</w:t>
            </w:r>
            <w:r w:rsidR="007A6A6E" w:rsidRPr="00D160FB">
              <w:rPr>
                <w:spacing w:val="-2"/>
                <w:lang w:val="en-GB" w:eastAsia="en-US"/>
              </w:rPr>
              <w:t xml:space="preserve">. </w:t>
            </w:r>
            <w:r w:rsidR="006C1FD3" w:rsidRPr="00D160FB">
              <w:rPr>
                <w:spacing w:val="-2"/>
                <w:lang w:val="en-GB" w:eastAsia="en-US"/>
              </w:rPr>
              <w:t xml:space="preserve">The development was more turbulent for the koruna foreign exchange per dollar. </w:t>
            </w:r>
            <w:r w:rsidR="007A6A6E" w:rsidRPr="00D160FB">
              <w:rPr>
                <w:spacing w:val="-2"/>
                <w:lang w:val="en-GB" w:eastAsia="en-US"/>
              </w:rPr>
              <w:t>Koruna</w:t>
            </w:r>
            <w:r w:rsidR="006C1FD3" w:rsidRPr="00D160FB">
              <w:rPr>
                <w:spacing w:val="-2"/>
                <w:lang w:val="en-GB" w:eastAsia="en-US"/>
              </w:rPr>
              <w:t xml:space="preserve"> followed a weakening trend apart from temporary exceptions since the beginning of the year</w:t>
            </w:r>
            <w:r w:rsidR="007A6A6E" w:rsidRPr="00D160FB">
              <w:rPr>
                <w:spacing w:val="-2"/>
                <w:lang w:val="en-GB" w:eastAsia="en-US"/>
              </w:rPr>
              <w:t>,</w:t>
            </w:r>
            <w:r w:rsidR="006C1FD3" w:rsidRPr="00D160FB">
              <w:rPr>
                <w:spacing w:val="-2"/>
                <w:lang w:val="en-GB" w:eastAsia="en-US"/>
              </w:rPr>
              <w:t xml:space="preserve"> which peaked at the turn of Q3 and </w:t>
            </w:r>
            <w:r w:rsidR="007A6A6E" w:rsidRPr="00D160FB">
              <w:rPr>
                <w:spacing w:val="-2"/>
                <w:lang w:val="en-GB" w:eastAsia="en-US"/>
              </w:rPr>
              <w:t>4.</w:t>
            </w:r>
            <w:r w:rsidR="006C1FD3" w:rsidRPr="00D160FB">
              <w:rPr>
                <w:spacing w:val="-2"/>
                <w:lang w:val="en-GB" w:eastAsia="en-US"/>
              </w:rPr>
              <w:t xml:space="preserve"> </w:t>
            </w:r>
            <w:r w:rsidR="006E0F83" w:rsidRPr="00D160FB">
              <w:rPr>
                <w:spacing w:val="-2"/>
                <w:lang w:val="en-GB" w:eastAsia="en-US"/>
              </w:rPr>
              <w:t xml:space="preserve">Considerable strengthening from the level above </w:t>
            </w:r>
            <w:r w:rsidR="007A6A6E" w:rsidRPr="00D160FB">
              <w:rPr>
                <w:spacing w:val="-2"/>
                <w:lang w:val="en-GB" w:eastAsia="en-US"/>
              </w:rPr>
              <w:t>25</w:t>
            </w:r>
            <w:r w:rsidR="006E0F83" w:rsidRPr="00D160FB">
              <w:rPr>
                <w:spacing w:val="-2"/>
                <w:lang w:val="en-GB" w:eastAsia="en-US"/>
              </w:rPr>
              <w:t xml:space="preserve"> koruna per dollar to </w:t>
            </w:r>
            <w:r w:rsidR="007A6A6E" w:rsidRPr="00D160FB">
              <w:rPr>
                <w:spacing w:val="-2"/>
                <w:lang w:val="en-GB" w:eastAsia="en-US"/>
              </w:rPr>
              <w:t>23</w:t>
            </w:r>
            <w:r w:rsidR="006E0F83" w:rsidRPr="00D160FB">
              <w:rPr>
                <w:spacing w:val="-2"/>
                <w:lang w:val="en-GB" w:eastAsia="en-US"/>
              </w:rPr>
              <w:t>.</w:t>
            </w:r>
            <w:r w:rsidR="007A6A6E" w:rsidRPr="00D160FB">
              <w:rPr>
                <w:spacing w:val="-2"/>
                <w:lang w:val="en-GB" w:eastAsia="en-US"/>
              </w:rPr>
              <w:t>50</w:t>
            </w:r>
            <w:r w:rsidR="006E0F83" w:rsidRPr="00D160FB">
              <w:rPr>
                <w:spacing w:val="-2"/>
                <w:lang w:val="en-GB" w:eastAsia="en-US"/>
              </w:rPr>
              <w:t xml:space="preserve"> koruna occurred </w:t>
            </w:r>
            <w:r w:rsidR="00302924" w:rsidRPr="00D160FB">
              <w:rPr>
                <w:spacing w:val="-2"/>
                <w:lang w:val="en-GB" w:eastAsia="en-US"/>
              </w:rPr>
              <w:t>during November</w:t>
            </w:r>
            <w:r w:rsidR="007A6A6E" w:rsidRPr="00D160FB">
              <w:rPr>
                <w:spacing w:val="-2"/>
                <w:lang w:val="en-GB" w:eastAsia="en-US"/>
              </w:rPr>
              <w:t xml:space="preserve">. </w:t>
            </w:r>
            <w:r w:rsidR="006E0F83" w:rsidRPr="00D160FB">
              <w:rPr>
                <w:spacing w:val="-2"/>
                <w:lang w:val="en-GB" w:eastAsia="en-US"/>
              </w:rPr>
              <w:t xml:space="preserve">The foreign exchange fell to </w:t>
            </w:r>
            <w:r w:rsidR="007A6A6E" w:rsidRPr="00D160FB">
              <w:rPr>
                <w:spacing w:val="-2"/>
                <w:lang w:val="en-GB" w:eastAsia="en-US"/>
              </w:rPr>
              <w:t>22</w:t>
            </w:r>
            <w:r w:rsidR="006E0F83" w:rsidRPr="00D160FB">
              <w:rPr>
                <w:spacing w:val="-2"/>
                <w:lang w:val="en-GB" w:eastAsia="en-US"/>
              </w:rPr>
              <w:t>.</w:t>
            </w:r>
            <w:r w:rsidR="007A6A6E" w:rsidRPr="00D160FB">
              <w:rPr>
                <w:spacing w:val="-2"/>
                <w:lang w:val="en-GB" w:eastAsia="en-US"/>
              </w:rPr>
              <w:t>62 CZK/USD</w:t>
            </w:r>
            <w:r w:rsidR="00302924" w:rsidRPr="00D160FB">
              <w:rPr>
                <w:spacing w:val="-2"/>
                <w:lang w:val="en-GB" w:eastAsia="en-US"/>
              </w:rPr>
              <w:t xml:space="preserve"> till the end of December, which is still lower level than at the beginning of the year </w:t>
            </w:r>
            <w:r w:rsidR="007A6A6E" w:rsidRPr="00D160FB">
              <w:rPr>
                <w:spacing w:val="-2"/>
                <w:lang w:val="en-GB" w:eastAsia="en-US"/>
              </w:rPr>
              <w:t>(</w:t>
            </w:r>
            <w:r w:rsidR="00302924" w:rsidRPr="00D160FB">
              <w:rPr>
                <w:spacing w:val="-2"/>
                <w:lang w:val="en-GB" w:eastAsia="en-US"/>
              </w:rPr>
              <w:t xml:space="preserve">the highest value was </w:t>
            </w:r>
            <w:r w:rsidR="007A6A6E" w:rsidRPr="00D160FB">
              <w:rPr>
                <w:spacing w:val="-2"/>
                <w:lang w:val="en-GB" w:eastAsia="en-US"/>
              </w:rPr>
              <w:t>21</w:t>
            </w:r>
            <w:r w:rsidR="00302924" w:rsidRPr="00D160FB">
              <w:rPr>
                <w:spacing w:val="-2"/>
                <w:lang w:val="en-GB" w:eastAsia="en-US"/>
              </w:rPr>
              <w:t>.</w:t>
            </w:r>
            <w:r w:rsidR="007A6A6E" w:rsidRPr="00D160FB">
              <w:rPr>
                <w:spacing w:val="-2"/>
                <w:lang w:val="en-GB" w:eastAsia="en-US"/>
              </w:rPr>
              <w:t>18 CZK/USD</w:t>
            </w:r>
            <w:r w:rsidR="00302924" w:rsidRPr="00D160FB">
              <w:rPr>
                <w:spacing w:val="-2"/>
                <w:lang w:val="en-GB" w:eastAsia="en-US"/>
              </w:rPr>
              <w:t xml:space="preserve"> in February</w:t>
            </w:r>
            <w:r w:rsidR="007A6A6E" w:rsidRPr="00D160FB">
              <w:rPr>
                <w:spacing w:val="-2"/>
                <w:lang w:val="en-GB" w:eastAsia="en-US"/>
              </w:rPr>
              <w:t>).</w:t>
            </w:r>
            <w:r w:rsidR="00302924" w:rsidRPr="00D160FB">
              <w:rPr>
                <w:spacing w:val="-2"/>
                <w:lang w:val="en-GB" w:eastAsia="en-US"/>
              </w:rPr>
              <w:t xml:space="preserve"> The average for the whole Q</w:t>
            </w:r>
            <w:r w:rsidR="007A6A6E" w:rsidRPr="00D160FB">
              <w:rPr>
                <w:spacing w:val="-2"/>
                <w:lang w:val="en-GB" w:eastAsia="en-US"/>
              </w:rPr>
              <w:t>4</w:t>
            </w:r>
            <w:r w:rsidR="00302924" w:rsidRPr="00D160FB">
              <w:rPr>
                <w:spacing w:val="-2"/>
                <w:lang w:val="en-GB" w:eastAsia="en-US"/>
              </w:rPr>
              <w:t xml:space="preserve"> was </w:t>
            </w:r>
            <w:r w:rsidR="007A6A6E" w:rsidRPr="00D160FB">
              <w:rPr>
                <w:spacing w:val="-2"/>
                <w:lang w:val="en-GB" w:eastAsia="en-US"/>
              </w:rPr>
              <w:t>23</w:t>
            </w:r>
            <w:r w:rsidR="00302924" w:rsidRPr="00D160FB">
              <w:rPr>
                <w:spacing w:val="-2"/>
                <w:lang w:val="en-GB" w:eastAsia="en-US"/>
              </w:rPr>
              <w:t>.</w:t>
            </w:r>
            <w:r w:rsidR="007A6A6E" w:rsidRPr="00D160FB">
              <w:rPr>
                <w:spacing w:val="-2"/>
                <w:lang w:val="en-GB" w:eastAsia="en-US"/>
              </w:rPr>
              <w:t>92 CZK/USD,</w:t>
            </w:r>
            <w:r w:rsidR="00302924" w:rsidRPr="00D160FB">
              <w:rPr>
                <w:spacing w:val="-2"/>
                <w:lang w:val="en-GB" w:eastAsia="en-US"/>
              </w:rPr>
              <w:t xml:space="preserve"> which represents year-on-year weakening by </w:t>
            </w:r>
            <w:r w:rsidR="007A6A6E" w:rsidRPr="00D160FB">
              <w:rPr>
                <w:spacing w:val="-2"/>
                <w:lang w:val="en-GB" w:eastAsia="en-US"/>
              </w:rPr>
              <w:t>7</w:t>
            </w:r>
            <w:r w:rsidR="00302924" w:rsidRPr="00D160FB">
              <w:rPr>
                <w:spacing w:val="-2"/>
                <w:lang w:val="en-GB" w:eastAsia="en-US"/>
              </w:rPr>
              <w:t>.</w:t>
            </w:r>
            <w:r w:rsidR="007A6A6E" w:rsidRPr="00D160FB">
              <w:rPr>
                <w:spacing w:val="-2"/>
                <w:lang w:val="en-GB" w:eastAsia="en-US"/>
              </w:rPr>
              <w:t>8%</w:t>
            </w:r>
            <w:r w:rsidR="00302924" w:rsidRPr="00D160FB">
              <w:rPr>
                <w:spacing w:val="-2"/>
                <w:lang w:val="en-GB" w:eastAsia="en-US"/>
              </w:rPr>
              <w:t xml:space="preserve"> and quart</w:t>
            </w:r>
            <w:r w:rsidR="00E93E65">
              <w:rPr>
                <w:spacing w:val="-2"/>
                <w:lang w:val="en-GB" w:eastAsia="en-US"/>
              </w:rPr>
              <w:t>er-on-year</w:t>
            </w:r>
            <w:r w:rsidR="00302924" w:rsidRPr="00D160FB">
              <w:rPr>
                <w:spacing w:val="-2"/>
                <w:lang w:val="en-GB" w:eastAsia="en-US"/>
              </w:rPr>
              <w:t xml:space="preserve"> strengthening by </w:t>
            </w:r>
            <w:r w:rsidR="007A6A6E" w:rsidRPr="00D160FB">
              <w:rPr>
                <w:spacing w:val="-2"/>
                <w:lang w:val="en-GB" w:eastAsia="en-US"/>
              </w:rPr>
              <w:t>2</w:t>
            </w:r>
            <w:r w:rsidR="00302924" w:rsidRPr="00D160FB">
              <w:rPr>
                <w:spacing w:val="-2"/>
                <w:lang w:val="en-GB" w:eastAsia="en-US"/>
              </w:rPr>
              <w:t>.</w:t>
            </w:r>
            <w:r w:rsidR="007A6A6E" w:rsidRPr="00D160FB">
              <w:rPr>
                <w:spacing w:val="-2"/>
                <w:lang w:val="en-GB" w:eastAsia="en-US"/>
              </w:rPr>
              <w:t>0%.</w:t>
            </w:r>
          </w:p>
        </w:tc>
      </w:tr>
      <w:tr w:rsidR="00435DE8" w:rsidRPr="00D160FB" w14:paraId="13FC845E" w14:textId="77777777" w:rsidTr="00435DE8">
        <w:trPr>
          <w:trHeight w:val="142"/>
        </w:trPr>
        <w:tc>
          <w:tcPr>
            <w:tcW w:w="1802" w:type="dxa"/>
            <w:vMerge w:val="restart"/>
          </w:tcPr>
          <w:p w14:paraId="5E8344E4" w14:textId="77777777" w:rsidR="00435DE8" w:rsidRPr="00D160FB" w:rsidRDefault="00435DE8" w:rsidP="00435DE8">
            <w:pPr>
              <w:pStyle w:val="Marginlie"/>
              <w:rPr>
                <w:lang w:val="en-GB" w:eastAsia="en-US"/>
              </w:rPr>
            </w:pPr>
          </w:p>
        </w:tc>
        <w:tc>
          <w:tcPr>
            <w:tcW w:w="229" w:type="dxa"/>
            <w:vMerge w:val="restart"/>
          </w:tcPr>
          <w:p w14:paraId="6CF6D822" w14:textId="77777777" w:rsidR="00435DE8" w:rsidRPr="00D160FB" w:rsidRDefault="00435DE8" w:rsidP="00435DE8">
            <w:pPr>
              <w:pStyle w:val="Textpoznpodarou"/>
              <w:jc w:val="both"/>
              <w:rPr>
                <w:spacing w:val="-4"/>
                <w:lang w:val="en-GB" w:eastAsia="en-US"/>
              </w:rPr>
            </w:pPr>
          </w:p>
        </w:tc>
        <w:tc>
          <w:tcPr>
            <w:tcW w:w="7610" w:type="dxa"/>
          </w:tcPr>
          <w:p w14:paraId="54CE937A" w14:textId="63D12D23" w:rsidR="00435DE8" w:rsidRPr="00D160FB" w:rsidRDefault="00435DE8" w:rsidP="00435DE8">
            <w:pPr>
              <w:spacing w:after="0"/>
              <w:rPr>
                <w:spacing w:val="-1"/>
                <w:lang w:val="en-GB" w:eastAsia="en-US"/>
              </w:rPr>
            </w:pPr>
            <w:r w:rsidRPr="00D160FB">
              <w:rPr>
                <w:rFonts w:cs="Arial"/>
                <w:b/>
                <w:bCs/>
                <w:color w:val="000000"/>
                <w:szCs w:val="20"/>
                <w:lang w:val="en-GB" w:eastAsia="en-US"/>
              </w:rPr>
              <w:t xml:space="preserve">Chart 17 Market interest rates </w:t>
            </w:r>
            <w:r w:rsidRPr="00D160FB">
              <w:rPr>
                <w:bCs/>
                <w:spacing w:val="-4"/>
                <w:szCs w:val="20"/>
                <w:lang w:val="en-GB" w:eastAsia="en-US"/>
              </w:rPr>
              <w:t>(in %)</w:t>
            </w:r>
          </w:p>
        </w:tc>
      </w:tr>
      <w:tr w:rsidR="00435DE8" w:rsidRPr="00D160FB" w14:paraId="4D95996E" w14:textId="77777777" w:rsidTr="00435DE8">
        <w:trPr>
          <w:trHeight w:val="142"/>
        </w:trPr>
        <w:tc>
          <w:tcPr>
            <w:tcW w:w="1802" w:type="dxa"/>
            <w:vMerge/>
          </w:tcPr>
          <w:p w14:paraId="7619F08D" w14:textId="77777777" w:rsidR="00435DE8" w:rsidRPr="00D160FB" w:rsidRDefault="00435DE8" w:rsidP="00435DE8">
            <w:pPr>
              <w:pStyle w:val="Marginlie"/>
              <w:rPr>
                <w:lang w:val="en-GB" w:eastAsia="en-US"/>
              </w:rPr>
            </w:pPr>
          </w:p>
        </w:tc>
        <w:tc>
          <w:tcPr>
            <w:tcW w:w="229" w:type="dxa"/>
            <w:vMerge/>
          </w:tcPr>
          <w:p w14:paraId="5C2E51F3" w14:textId="77777777" w:rsidR="00435DE8" w:rsidRPr="00D160FB" w:rsidRDefault="00435DE8" w:rsidP="00435DE8">
            <w:pPr>
              <w:pStyle w:val="Textpoznpodarou"/>
              <w:jc w:val="both"/>
              <w:rPr>
                <w:spacing w:val="-4"/>
                <w:lang w:val="en-GB" w:eastAsia="en-US"/>
              </w:rPr>
            </w:pPr>
          </w:p>
        </w:tc>
        <w:tc>
          <w:tcPr>
            <w:tcW w:w="7610" w:type="dxa"/>
          </w:tcPr>
          <w:p w14:paraId="780AB383" w14:textId="6ABD8615" w:rsidR="00435DE8" w:rsidRPr="00D160FB" w:rsidRDefault="00435DE8" w:rsidP="00435DE8">
            <w:pPr>
              <w:spacing w:after="0"/>
              <w:rPr>
                <w:spacing w:val="-1"/>
                <w:lang w:val="en-GB" w:eastAsia="en-US"/>
              </w:rPr>
            </w:pPr>
            <w:r>
              <w:rPr>
                <w:noProof/>
              </w:rPr>
              <w:drawing>
                <wp:inline distT="0" distB="0" distL="0" distR="0" wp14:anchorId="03CDC2D4" wp14:editId="07B7E169">
                  <wp:extent cx="4737600" cy="3384925"/>
                  <wp:effectExtent l="0" t="0" r="6350" b="6350"/>
                  <wp:docPr id="2008491088" name="Graf 1">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435DE8" w:rsidRPr="00D160FB" w14:paraId="6D1EB2EE" w14:textId="77777777" w:rsidTr="00435DE8">
        <w:trPr>
          <w:trHeight w:val="142"/>
        </w:trPr>
        <w:tc>
          <w:tcPr>
            <w:tcW w:w="1802" w:type="dxa"/>
            <w:vMerge/>
          </w:tcPr>
          <w:p w14:paraId="7F2C0013" w14:textId="77777777" w:rsidR="00435DE8" w:rsidRPr="00D160FB" w:rsidRDefault="00435DE8" w:rsidP="00435DE8">
            <w:pPr>
              <w:pStyle w:val="Marginlie"/>
              <w:rPr>
                <w:lang w:val="en-GB" w:eastAsia="en-US"/>
              </w:rPr>
            </w:pPr>
          </w:p>
        </w:tc>
        <w:tc>
          <w:tcPr>
            <w:tcW w:w="229" w:type="dxa"/>
            <w:vMerge/>
          </w:tcPr>
          <w:p w14:paraId="560BE76A" w14:textId="77777777" w:rsidR="00435DE8" w:rsidRPr="00D160FB" w:rsidRDefault="00435DE8" w:rsidP="00435DE8">
            <w:pPr>
              <w:pStyle w:val="Textpoznpodarou"/>
              <w:jc w:val="both"/>
              <w:rPr>
                <w:spacing w:val="-4"/>
                <w:lang w:val="en-GB" w:eastAsia="en-US"/>
              </w:rPr>
            </w:pPr>
          </w:p>
        </w:tc>
        <w:tc>
          <w:tcPr>
            <w:tcW w:w="7610" w:type="dxa"/>
          </w:tcPr>
          <w:p w14:paraId="21B9B9EE" w14:textId="344F3AEF" w:rsidR="00435DE8" w:rsidRPr="00D160FB" w:rsidRDefault="00435DE8" w:rsidP="00435DE8">
            <w:pPr>
              <w:rPr>
                <w:spacing w:val="-1"/>
                <w:lang w:val="en-GB" w:eastAsia="en-US"/>
              </w:rPr>
            </w:pPr>
            <w:r w:rsidRPr="00D160FB">
              <w:rPr>
                <w:sz w:val="14"/>
                <w:szCs w:val="14"/>
                <w:lang w:val="en-GB" w:eastAsia="en-US"/>
              </w:rPr>
              <w:t>Source: CNB</w:t>
            </w:r>
          </w:p>
        </w:tc>
      </w:tr>
      <w:tr w:rsidR="00435DE8" w:rsidRPr="00D160FB" w14:paraId="21674348" w14:textId="77777777" w:rsidTr="00435DE8">
        <w:trPr>
          <w:trHeight w:val="145"/>
        </w:trPr>
        <w:tc>
          <w:tcPr>
            <w:tcW w:w="1802" w:type="dxa"/>
          </w:tcPr>
          <w:p w14:paraId="09E133E3" w14:textId="254BF488" w:rsidR="00435DE8" w:rsidRPr="00D160FB" w:rsidRDefault="00435DE8" w:rsidP="00435DE8">
            <w:pPr>
              <w:pStyle w:val="Marginlie"/>
              <w:rPr>
                <w:lang w:val="en-GB" w:eastAsia="en-US"/>
              </w:rPr>
            </w:pPr>
            <w:r w:rsidRPr="00D160FB">
              <w:rPr>
                <w:lang w:val="en-GB" w:eastAsia="en-US"/>
              </w:rPr>
              <w:t xml:space="preserve">Bond yields were falling at the end of the year. </w:t>
            </w:r>
          </w:p>
        </w:tc>
        <w:tc>
          <w:tcPr>
            <w:tcW w:w="229" w:type="dxa"/>
          </w:tcPr>
          <w:p w14:paraId="1F9054BF" w14:textId="77777777" w:rsidR="00435DE8" w:rsidRPr="00D160FB" w:rsidRDefault="00435DE8" w:rsidP="00435DE8">
            <w:pPr>
              <w:pStyle w:val="Textpoznpodarou"/>
              <w:jc w:val="both"/>
              <w:rPr>
                <w:spacing w:val="-4"/>
                <w:lang w:val="en-GB" w:eastAsia="en-US"/>
              </w:rPr>
            </w:pPr>
          </w:p>
        </w:tc>
        <w:tc>
          <w:tcPr>
            <w:tcW w:w="7610" w:type="dxa"/>
          </w:tcPr>
          <w:p w14:paraId="7F0FEF96" w14:textId="3B471857" w:rsidR="00435DE8" w:rsidRPr="00D160FB" w:rsidRDefault="00435DE8" w:rsidP="00435DE8">
            <w:pPr>
              <w:rPr>
                <w:spacing w:val="-1"/>
                <w:lang w:val="en-GB" w:eastAsia="en-US"/>
              </w:rPr>
            </w:pPr>
            <w:r w:rsidRPr="00D160FB">
              <w:rPr>
                <w:spacing w:val="-1"/>
                <w:lang w:val="en-GB" w:eastAsia="en-US"/>
              </w:rPr>
              <w:t>Rates of the interbank market imitated the development of the monetary policy-relevant rates and kept a stable level since July. The three months PRIBOR rate ended the year 2022 at the value of 7.26%. Certain expectations of future decrease of monetary policy-relevant rates were evident on the six-month and annual PRIBOR rate, which slightly dropped in the last months of year 2022 (the annual rate more perceptibly – from 7.44% at the end of September to 7.28% at the end of December). Bond yields markedly increased in the first half of the last year but were falling in Q4. The average interest in case of short-term bonds lowered the most (−0.71 p.p.</w:t>
            </w:r>
            <w:r w:rsidRPr="00D160FB">
              <w:rPr>
                <w:rStyle w:val="Znakapoznpodarou"/>
                <w:spacing w:val="-1"/>
                <w:lang w:val="en-GB" w:eastAsia="en-US"/>
              </w:rPr>
              <w:footnoteReference w:id="86"/>
            </w:r>
            <w:r w:rsidRPr="00D160FB">
              <w:rPr>
                <w:spacing w:val="-1"/>
                <w:lang w:val="en-GB" w:eastAsia="en-US"/>
              </w:rPr>
              <w:t xml:space="preserve">), nevertheless they still </w:t>
            </w:r>
            <w:r w:rsidRPr="00D160FB">
              <w:rPr>
                <w:spacing w:val="-1"/>
                <w:lang w:val="en-GB" w:eastAsia="en-US"/>
              </w:rPr>
              <w:lastRenderedPageBreak/>
              <w:t xml:space="preserve">maintained the highest level of interest, when they finished the year at 5.38%. Medium-term bonds held interests 4.73% (–0.16 p.p.) and long-term 4.47% (–0.01 p.p.) at the end of December.   </w:t>
            </w:r>
          </w:p>
        </w:tc>
      </w:tr>
      <w:tr w:rsidR="00435DE8" w:rsidRPr="00D160FB" w14:paraId="1BD86ABB" w14:textId="77777777" w:rsidTr="00435DE8">
        <w:trPr>
          <w:trHeight w:val="145"/>
        </w:trPr>
        <w:tc>
          <w:tcPr>
            <w:tcW w:w="1802" w:type="dxa"/>
            <w:hideMark/>
          </w:tcPr>
          <w:p w14:paraId="118CE951" w14:textId="6C11FDA2" w:rsidR="00435DE8" w:rsidRPr="00D160FB" w:rsidRDefault="00435DE8" w:rsidP="00435DE8">
            <w:pPr>
              <w:pStyle w:val="Marginlie"/>
              <w:rPr>
                <w:lang w:val="en-GB" w:eastAsia="en-US"/>
              </w:rPr>
            </w:pPr>
            <w:r w:rsidRPr="00D160FB">
              <w:rPr>
                <w:lang w:val="en-GB" w:eastAsia="en-US"/>
              </w:rPr>
              <w:lastRenderedPageBreak/>
              <w:t xml:space="preserve">Volume of non-term deposits, which savers transferred to term accounts, reduced last year. </w:t>
            </w:r>
          </w:p>
        </w:tc>
        <w:tc>
          <w:tcPr>
            <w:tcW w:w="229" w:type="dxa"/>
          </w:tcPr>
          <w:p w14:paraId="65DF78D4" w14:textId="77777777" w:rsidR="00435DE8" w:rsidRPr="00D160FB" w:rsidRDefault="00435DE8" w:rsidP="00435DE8">
            <w:pPr>
              <w:pStyle w:val="Textpoznpodarou"/>
              <w:jc w:val="both"/>
              <w:rPr>
                <w:spacing w:val="-4"/>
                <w:lang w:val="en-GB" w:eastAsia="en-US"/>
              </w:rPr>
            </w:pPr>
          </w:p>
        </w:tc>
        <w:tc>
          <w:tcPr>
            <w:tcW w:w="7610" w:type="dxa"/>
          </w:tcPr>
          <w:p w14:paraId="492B43E4" w14:textId="78664C2E" w:rsidR="00435DE8" w:rsidRPr="00D160FB" w:rsidRDefault="00435DE8" w:rsidP="00435DE8">
            <w:pPr>
              <w:rPr>
                <w:spacing w:val="-3"/>
                <w:lang w:val="en-GB" w:eastAsia="en-US"/>
              </w:rPr>
            </w:pPr>
            <w:r w:rsidRPr="00D160FB">
              <w:rPr>
                <w:spacing w:val="-3"/>
                <w:lang w:val="en-GB" w:eastAsia="en-US"/>
              </w:rPr>
              <w:t xml:space="preserve">Interest on client accounts gradually climbed up during the year. One-day deposits of households held average interest 1.33% towards the end of the year (increase by 1.04 p.p. year-on-year and 0.26 p.p. since the end of September). </w:t>
            </w:r>
            <w:r>
              <w:rPr>
                <w:spacing w:val="-3"/>
                <w:lang w:val="en-GB" w:eastAsia="en-US"/>
              </w:rPr>
              <w:t>Small shift occurred</w:t>
            </w:r>
            <w:r w:rsidRPr="00D160FB">
              <w:rPr>
                <w:spacing w:val="-3"/>
                <w:lang w:val="en-GB" w:eastAsia="en-US"/>
              </w:rPr>
              <w:t xml:space="preserve"> also on the current accounts, where the interest rates remained at zero for the several last years (by +0.16 p.p. year-on-year to 0.22% at the end of December 2022). Largest increase was observed in case of interest rates on deposits with agreed maturity last year, mainly for the maturity below two years. The average interest rate on deposits with agreed maturity attained 6.0% at the end of year 2022 and it increased by 3.68 p.p. year-on-year. In total rates rather stagnated (−0.08 p.p.) here quarter-on-quarter, which can be ascribed to deposits with maturity below one year, which comprise the largest proportion among population. On the contrary, the rates grew quarter-on-quarter for longer maturities. Current accounts of non-financial businesses bore interest on average 0.81% at the end of the year (year-on-year +0.61 p.p., quarter-on-quarter –0.07 p.p.). The average rate of their deposits with agreed maturity was 5.78% (+3.31 p.p. year-on-year). Rate dropped by 0.67 p.p. quarter-on-quarter. The volume of non-term deposits was falling completely uncharacteristically for the entire last year, with savers likely transferring funds to term deposits. The total volume of deposits was by 356.6 CZK bn higher year-on-year at the end of year 2022. In that however non-term deposits dropped by 315.4 CZK bn and on the contrary the term deposits expanded by 671.9 bn. Households</w:t>
            </w:r>
            <w:r w:rsidRPr="00D160FB">
              <w:rPr>
                <w:rStyle w:val="Znakapoznpodarou"/>
                <w:spacing w:val="-3"/>
                <w:lang w:val="en-GB" w:eastAsia="en-US"/>
              </w:rPr>
              <w:footnoteReference w:id="87"/>
            </w:r>
            <w:r w:rsidRPr="00D160FB">
              <w:rPr>
                <w:spacing w:val="-3"/>
                <w:lang w:val="en-GB" w:eastAsia="en-US"/>
              </w:rPr>
              <w:t xml:space="preserve"> shared the most in the described increase (+131.8 CZK bn), followed by financial institutions (+104.3 bn), government institutions (+73.3 bn) and non-financial businesses (+58.1 bn). Deposits of non-residents fell by 16.6 CZK bn year-on-year.     </w:t>
            </w:r>
          </w:p>
        </w:tc>
      </w:tr>
      <w:tr w:rsidR="00435DE8" w:rsidRPr="00D160FB" w14:paraId="70020B78" w14:textId="77777777" w:rsidTr="00435DE8">
        <w:trPr>
          <w:trHeight w:val="145"/>
        </w:trPr>
        <w:tc>
          <w:tcPr>
            <w:tcW w:w="1802" w:type="dxa"/>
          </w:tcPr>
          <w:p w14:paraId="588346CC" w14:textId="37ACCBAF" w:rsidR="00435DE8" w:rsidRPr="00D160FB" w:rsidRDefault="00435DE8" w:rsidP="00435DE8">
            <w:pPr>
              <w:pStyle w:val="Marginlie"/>
              <w:rPr>
                <w:lang w:val="en-GB" w:eastAsia="en-US"/>
              </w:rPr>
            </w:pPr>
            <w:r w:rsidRPr="00D160FB">
              <w:rPr>
                <w:lang w:val="en-GB" w:eastAsia="en-US"/>
              </w:rPr>
              <w:t xml:space="preserve">Credit interest rates went swiftly up. </w:t>
            </w:r>
          </w:p>
        </w:tc>
        <w:tc>
          <w:tcPr>
            <w:tcW w:w="229" w:type="dxa"/>
          </w:tcPr>
          <w:p w14:paraId="3F3FE929" w14:textId="77777777" w:rsidR="00435DE8" w:rsidRPr="00D160FB" w:rsidRDefault="00435DE8" w:rsidP="00435DE8">
            <w:pPr>
              <w:pStyle w:val="Textpoznpodarou"/>
              <w:jc w:val="both"/>
              <w:rPr>
                <w:spacing w:val="-4"/>
                <w:lang w:val="en-GB" w:eastAsia="en-US"/>
              </w:rPr>
            </w:pPr>
          </w:p>
        </w:tc>
        <w:tc>
          <w:tcPr>
            <w:tcW w:w="7610" w:type="dxa"/>
          </w:tcPr>
          <w:p w14:paraId="11E096B3" w14:textId="25B0B742" w:rsidR="00435DE8" w:rsidRPr="00D160FB" w:rsidRDefault="00435DE8" w:rsidP="00435DE8">
            <w:pPr>
              <w:rPr>
                <w:lang w:val="en-GB" w:eastAsia="en-US"/>
              </w:rPr>
            </w:pPr>
            <w:r w:rsidRPr="00D160FB">
              <w:rPr>
                <w:lang w:val="en-GB" w:eastAsia="en-US"/>
              </w:rPr>
              <w:t>Credit financing kept becoming more expensive last year. Household consumption credit bore interest on average 9.66% at the end of the year, which presented a year-on-year increase of 1.75 p.p. and quarter-on-quarter stagnation (–0.04 p.p.). The volume of consumer credit was by 7.3% higher year-on-year at the end of the year. It is relatively solid increase, which however lagged behind the price growth. The average interest rate of mortgages was by 1.96 p.p. higher year-on-year at the end of the last year (4.88%). The year-on-year dynamics of mortgages thus continued in decline. Volume of provided mortgage credit was by 4.8% higher year-on-year at the end of the year, which is the smallest increase since Q2 2013. Volume of new mortgage credit</w:t>
            </w:r>
            <w:r w:rsidRPr="00D160FB">
              <w:rPr>
                <w:rStyle w:val="Znakapoznpodarou"/>
                <w:lang w:val="en-GB" w:eastAsia="en-US"/>
              </w:rPr>
              <w:footnoteReference w:id="88"/>
            </w:r>
            <w:r w:rsidRPr="00D160FB">
              <w:rPr>
                <w:lang w:val="en-GB" w:eastAsia="en-US"/>
              </w:rPr>
              <w:t xml:space="preserve"> sharply plunged last year following the immense expansion from year 2021. The decrease concerned mainly net new credit. Other agreements, that is credit, where the fixation of the interest rate ended formed the majority of new credit in H2 2022.  </w:t>
            </w:r>
          </w:p>
        </w:tc>
      </w:tr>
      <w:tr w:rsidR="00435DE8" w:rsidRPr="00D160FB" w14:paraId="211E8A39" w14:textId="77777777" w:rsidTr="00435DE8">
        <w:trPr>
          <w:trHeight w:val="145"/>
        </w:trPr>
        <w:tc>
          <w:tcPr>
            <w:tcW w:w="1802" w:type="dxa"/>
          </w:tcPr>
          <w:p w14:paraId="197EEE83" w14:textId="2B0279A1" w:rsidR="00435DE8" w:rsidRPr="00D160FB" w:rsidRDefault="00435DE8" w:rsidP="00435DE8">
            <w:pPr>
              <w:pStyle w:val="Marginlie"/>
              <w:rPr>
                <w:lang w:val="en-GB" w:eastAsia="en-US"/>
              </w:rPr>
            </w:pPr>
            <w:r w:rsidRPr="00D160FB">
              <w:rPr>
                <w:lang w:val="en-GB" w:eastAsia="en-US"/>
              </w:rPr>
              <w:t xml:space="preserve">Businesses to a higher extent acquired credit in foreign currency. </w:t>
            </w:r>
          </w:p>
        </w:tc>
        <w:tc>
          <w:tcPr>
            <w:tcW w:w="229" w:type="dxa"/>
          </w:tcPr>
          <w:p w14:paraId="3590CB11" w14:textId="77777777" w:rsidR="00435DE8" w:rsidRPr="00D160FB" w:rsidRDefault="00435DE8" w:rsidP="00435DE8">
            <w:pPr>
              <w:pStyle w:val="Textpoznpodarou"/>
              <w:jc w:val="both"/>
              <w:rPr>
                <w:spacing w:val="-4"/>
                <w:lang w:val="en-GB" w:eastAsia="en-US"/>
              </w:rPr>
            </w:pPr>
          </w:p>
        </w:tc>
        <w:tc>
          <w:tcPr>
            <w:tcW w:w="7610" w:type="dxa"/>
          </w:tcPr>
          <w:p w14:paraId="0ECB1CDA" w14:textId="1A4D6842" w:rsidR="00435DE8" w:rsidRPr="00D160FB" w:rsidRDefault="00435DE8" w:rsidP="00435DE8">
            <w:pPr>
              <w:rPr>
                <w:lang w:val="en-GB" w:eastAsia="en-US"/>
              </w:rPr>
            </w:pPr>
            <w:r w:rsidRPr="00D160FB">
              <w:rPr>
                <w:lang w:val="en-GB" w:eastAsia="en-US"/>
              </w:rPr>
              <w:t>Interest rates on credit for businesses also hiked up rapidly last year. Credit with volume up to 7.5 CZK mil bore interest on average 7.54% (+2.68 p.p. year-on-year.) at the end of the year, credit between 7.5 and 30 mil had average rate 8.03% (+3.32 p.p.) and credit above 30 mil charged interest 9.17% (+4.79 p.p. year-on-year). Total volume of credit and liabilities of non-financial businesses was by 4.1% higher year-on-year at the end of December. At the same time the credit and liabilities in CZK plunged by 13.2% year-on-year, while credit in foreign currency jumped up by 36.6%</w:t>
            </w:r>
            <w:r w:rsidRPr="00D160FB">
              <w:rPr>
                <w:rStyle w:val="Znakapoznpodarou"/>
                <w:lang w:val="en-GB" w:eastAsia="en-US"/>
              </w:rPr>
              <w:footnoteReference w:id="89"/>
            </w:r>
            <w:r w:rsidRPr="00D160FB">
              <w:rPr>
                <w:lang w:val="en-GB" w:eastAsia="en-US"/>
              </w:rPr>
              <w:t xml:space="preserve">. Credit provided in financial and insurance activities (22.0%), public administration, mandatory social security, education, health and social care (10.1%), wholesale and retail, repairs and </w:t>
            </w:r>
            <w:r w:rsidRPr="00D160FB">
              <w:rPr>
                <w:lang w:val="en-GB" w:eastAsia="en-US"/>
              </w:rPr>
              <w:lastRenderedPageBreak/>
              <w:t>maintenance of motor vehicles (9.2%), construction and real estate activities (similarly by 7.1%) showed the largest year-on-year increase at the end of December. Credit for information and communication was by 11.1% lower year-on-year at the end of year 2022.</w:t>
            </w:r>
          </w:p>
        </w:tc>
      </w:tr>
    </w:tbl>
    <w:p w14:paraId="0368C492" w14:textId="77777777" w:rsidR="007A6A6E" w:rsidRPr="00D160FB" w:rsidRDefault="007A6A6E" w:rsidP="007A6A6E">
      <w:pPr>
        <w:pStyle w:val="Nadpis11"/>
        <w:rPr>
          <w:b w:val="0"/>
          <w:sz w:val="2"/>
          <w:szCs w:val="2"/>
          <w:lang w:val="en-GB"/>
        </w:rPr>
      </w:pPr>
    </w:p>
    <w:p w14:paraId="100CE809" w14:textId="77777777" w:rsidR="001C3855" w:rsidRPr="00D160FB" w:rsidRDefault="001C3855" w:rsidP="00C15537">
      <w:pPr>
        <w:pStyle w:val="Nadpis11"/>
        <w:rPr>
          <w:szCs w:val="32"/>
          <w:lang w:val="en-GB"/>
        </w:rPr>
      </w:pPr>
      <w:r w:rsidRPr="00D160FB">
        <w:rPr>
          <w:szCs w:val="32"/>
          <w:lang w:val="en-GB"/>
        </w:rPr>
        <w:br w:type="page"/>
      </w:r>
    </w:p>
    <w:p w14:paraId="5B2C737B" w14:textId="70D684C7" w:rsidR="00C15537" w:rsidRPr="00D160FB" w:rsidRDefault="00C15537" w:rsidP="00C15537">
      <w:pPr>
        <w:pStyle w:val="Nadpis11"/>
        <w:rPr>
          <w:lang w:val="en-GB"/>
        </w:rPr>
      </w:pPr>
      <w:bookmarkStart w:id="36" w:name="_Toc132874252"/>
      <w:r w:rsidRPr="00D160FB">
        <w:rPr>
          <w:szCs w:val="32"/>
          <w:lang w:val="en-GB"/>
        </w:rPr>
        <w:lastRenderedPageBreak/>
        <w:t>8</w:t>
      </w:r>
      <w:r w:rsidRPr="00D160FB">
        <w:rPr>
          <w:lang w:val="en-GB"/>
        </w:rPr>
        <w:t>. St</w:t>
      </w:r>
      <w:r w:rsidR="006B4B60" w:rsidRPr="00D160FB">
        <w:rPr>
          <w:lang w:val="en-GB"/>
        </w:rPr>
        <w:t>ate Budget</w:t>
      </w:r>
      <w:bookmarkEnd w:id="36"/>
    </w:p>
    <w:tbl>
      <w:tblPr>
        <w:tblW w:w="9669" w:type="dxa"/>
        <w:tblInd w:w="-20" w:type="dxa"/>
        <w:tblCellMar>
          <w:left w:w="0" w:type="dxa"/>
          <w:right w:w="0" w:type="dxa"/>
        </w:tblCellMar>
        <w:tblLook w:val="00A0" w:firstRow="1" w:lastRow="0" w:firstColumn="1" w:lastColumn="0" w:noHBand="0" w:noVBand="0"/>
      </w:tblPr>
      <w:tblGrid>
        <w:gridCol w:w="1773"/>
        <w:gridCol w:w="217"/>
        <w:gridCol w:w="7679"/>
      </w:tblGrid>
      <w:tr w:rsidR="001C3855" w:rsidRPr="00D160FB" w14:paraId="7190197A" w14:textId="77777777" w:rsidTr="00C8019E">
        <w:trPr>
          <w:trHeight w:val="145"/>
        </w:trPr>
        <w:tc>
          <w:tcPr>
            <w:tcW w:w="1773" w:type="dxa"/>
            <w:shd w:val="clear" w:color="auto" w:fill="auto"/>
            <w:tcMar>
              <w:left w:w="0" w:type="dxa"/>
            </w:tcMar>
          </w:tcPr>
          <w:p w14:paraId="2F7AFF97" w14:textId="3B56C4DB" w:rsidR="001C3855" w:rsidRPr="00D160FB" w:rsidRDefault="001C3855" w:rsidP="008F115A">
            <w:pPr>
              <w:pStyle w:val="Marginlie"/>
              <w:rPr>
                <w:spacing w:val="-5"/>
                <w:lang w:val="en-GB"/>
              </w:rPr>
            </w:pPr>
            <w:r w:rsidRPr="00D160FB">
              <w:rPr>
                <w:spacing w:val="-5"/>
                <w:lang w:val="en-GB"/>
              </w:rPr>
              <w:t>St</w:t>
            </w:r>
            <w:r w:rsidR="00F70DE0" w:rsidRPr="00D160FB">
              <w:rPr>
                <w:spacing w:val="-5"/>
                <w:lang w:val="en-GB"/>
              </w:rPr>
              <w:t xml:space="preserve">ate budget </w:t>
            </w:r>
            <w:r w:rsidR="008F115A" w:rsidRPr="00D160FB">
              <w:rPr>
                <w:spacing w:val="-5"/>
                <w:lang w:val="en-GB"/>
              </w:rPr>
              <w:t xml:space="preserve">managed a deep deficit last year for a third year in a row. </w:t>
            </w:r>
          </w:p>
          <w:p w14:paraId="0ACAD2D0" w14:textId="77777777" w:rsidR="008F115A" w:rsidRPr="00D160FB" w:rsidRDefault="008F115A" w:rsidP="008F115A">
            <w:pPr>
              <w:pStyle w:val="Marginlie"/>
              <w:rPr>
                <w:spacing w:val="-5"/>
                <w:lang w:val="en-GB"/>
              </w:rPr>
            </w:pPr>
          </w:p>
          <w:p w14:paraId="1CAC0532" w14:textId="77777777" w:rsidR="001C3855" w:rsidRPr="00D160FB" w:rsidRDefault="001C3855" w:rsidP="00C8019E">
            <w:pPr>
              <w:pStyle w:val="Marginlie"/>
              <w:rPr>
                <w:spacing w:val="-5"/>
                <w:lang w:val="en-GB"/>
              </w:rPr>
            </w:pPr>
          </w:p>
          <w:p w14:paraId="0E5011A1" w14:textId="77777777" w:rsidR="001C3855" w:rsidRPr="00D160FB" w:rsidRDefault="001C3855" w:rsidP="00C8019E">
            <w:pPr>
              <w:pStyle w:val="Marginlie"/>
              <w:rPr>
                <w:spacing w:val="-5"/>
                <w:lang w:val="en-GB"/>
              </w:rPr>
            </w:pPr>
          </w:p>
          <w:p w14:paraId="30C10563" w14:textId="77777777" w:rsidR="001C3855" w:rsidRPr="00D160FB" w:rsidRDefault="001C3855" w:rsidP="00C8019E">
            <w:pPr>
              <w:pStyle w:val="Marginlie"/>
              <w:rPr>
                <w:spacing w:val="-5"/>
                <w:lang w:val="en-GB"/>
              </w:rPr>
            </w:pPr>
          </w:p>
          <w:p w14:paraId="77F86DC5" w14:textId="77777777" w:rsidR="001C3855" w:rsidRPr="00D160FB" w:rsidRDefault="001C3855" w:rsidP="00C8019E">
            <w:pPr>
              <w:pStyle w:val="Marginlie"/>
              <w:rPr>
                <w:spacing w:val="-5"/>
                <w:lang w:val="en-GB"/>
              </w:rPr>
            </w:pPr>
          </w:p>
          <w:p w14:paraId="1098115C" w14:textId="77777777" w:rsidR="001C3855" w:rsidRPr="00D160FB" w:rsidRDefault="001C3855" w:rsidP="00C8019E">
            <w:pPr>
              <w:pStyle w:val="Marginlie"/>
              <w:rPr>
                <w:spacing w:val="-5"/>
                <w:lang w:val="en-GB"/>
              </w:rPr>
            </w:pPr>
          </w:p>
          <w:p w14:paraId="34DEB463" w14:textId="5B311827" w:rsidR="001C3855" w:rsidRPr="00D160FB" w:rsidRDefault="00493CF5" w:rsidP="00C8019E">
            <w:pPr>
              <w:pStyle w:val="Marginlie"/>
              <w:rPr>
                <w:spacing w:val="-5"/>
                <w:lang w:val="en-GB"/>
              </w:rPr>
            </w:pPr>
            <w:r w:rsidRPr="00D160FB">
              <w:rPr>
                <w:spacing w:val="-5"/>
                <w:lang w:val="en-GB"/>
              </w:rPr>
              <w:t xml:space="preserve">Impacts of the war in Ukraine influenced the total revenues as well as outlays. They stayed identically by 3.7% behind the budget anticipations. </w:t>
            </w:r>
          </w:p>
        </w:tc>
        <w:tc>
          <w:tcPr>
            <w:tcW w:w="217" w:type="dxa"/>
            <w:shd w:val="clear" w:color="auto" w:fill="auto"/>
            <w:tcMar>
              <w:left w:w="0" w:type="dxa"/>
            </w:tcMar>
          </w:tcPr>
          <w:p w14:paraId="5EBB1C1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4B32A927" w14:textId="3B0B3779" w:rsidR="001C3855" w:rsidRPr="00D160FB" w:rsidRDefault="008F115A" w:rsidP="00C8019E">
            <w:pPr>
              <w:spacing w:after="220"/>
              <w:rPr>
                <w:spacing w:val="-4"/>
                <w:lang w:val="en-GB"/>
              </w:rPr>
            </w:pPr>
            <w:r w:rsidRPr="00D160FB">
              <w:rPr>
                <w:spacing w:val="-4"/>
                <w:lang w:val="en-GB"/>
              </w:rPr>
              <w:t>The state budget (SB)</w:t>
            </w:r>
            <w:r w:rsidRPr="00D160FB">
              <w:rPr>
                <w:rStyle w:val="Znakapoznpodarou"/>
                <w:spacing w:val="-4"/>
                <w:lang w:val="en-GB"/>
              </w:rPr>
              <w:footnoteReference w:id="90"/>
            </w:r>
            <w:r w:rsidRPr="00D160FB">
              <w:rPr>
                <w:spacing w:val="-4"/>
                <w:lang w:val="en-GB"/>
              </w:rPr>
              <w:t xml:space="preserve"> ended in deficit in the amount of </w:t>
            </w:r>
            <w:r w:rsidR="001C3855" w:rsidRPr="00D160FB">
              <w:rPr>
                <w:spacing w:val="-4"/>
                <w:lang w:val="en-GB"/>
              </w:rPr>
              <w:t>360</w:t>
            </w:r>
            <w:r w:rsidRPr="00D160FB">
              <w:rPr>
                <w:spacing w:val="-4"/>
                <w:lang w:val="en-GB"/>
              </w:rPr>
              <w:t>.</w:t>
            </w:r>
            <w:r w:rsidR="001C3855" w:rsidRPr="00D160FB">
              <w:rPr>
                <w:spacing w:val="-4"/>
                <w:lang w:val="en-GB"/>
              </w:rPr>
              <w:t>4</w:t>
            </w:r>
            <w:r w:rsidRPr="00D160FB">
              <w:rPr>
                <w:spacing w:val="-4"/>
                <w:lang w:val="en-GB"/>
              </w:rPr>
              <w:t xml:space="preserve"> CZK bn for the entire year 2022</w:t>
            </w:r>
            <w:r w:rsidR="001C3855" w:rsidRPr="00D160FB">
              <w:rPr>
                <w:spacing w:val="-4"/>
                <w:lang w:val="en-GB"/>
              </w:rPr>
              <w:t>,</w:t>
            </w:r>
            <w:r w:rsidRPr="00D160FB">
              <w:rPr>
                <w:spacing w:val="-4"/>
                <w:lang w:val="en-GB"/>
              </w:rPr>
              <w:t xml:space="preserve"> which did not significantly digress from the budget anticipations</w:t>
            </w:r>
            <w:r w:rsidR="001C3855" w:rsidRPr="00D160FB">
              <w:rPr>
                <w:rStyle w:val="Znakapoznpodarou"/>
                <w:spacing w:val="-4"/>
                <w:lang w:val="en-GB"/>
              </w:rPr>
              <w:footnoteReference w:id="91"/>
            </w:r>
            <w:r w:rsidR="001C3855" w:rsidRPr="00D160FB">
              <w:rPr>
                <w:spacing w:val="-4"/>
                <w:lang w:val="en-GB"/>
              </w:rPr>
              <w:t xml:space="preserve">. </w:t>
            </w:r>
            <w:r w:rsidR="00493CF5" w:rsidRPr="00D160FB">
              <w:rPr>
                <w:spacing w:val="-4"/>
                <w:lang w:val="en-GB"/>
              </w:rPr>
              <w:t>Deep deficit was recorded already third year in a row, last year’s result was however relatively the most favourable in this regard</w:t>
            </w:r>
            <w:r w:rsidR="001C3855" w:rsidRPr="00D160FB">
              <w:rPr>
                <w:rStyle w:val="Znakapoznpodarou"/>
                <w:spacing w:val="-4"/>
                <w:lang w:val="en-GB"/>
              </w:rPr>
              <w:footnoteReference w:id="92"/>
            </w:r>
            <w:r w:rsidR="001C3855" w:rsidRPr="00D160FB">
              <w:rPr>
                <w:spacing w:val="-4"/>
                <w:lang w:val="en-GB"/>
              </w:rPr>
              <w:t xml:space="preserve">. </w:t>
            </w:r>
            <w:r w:rsidR="006E5F68" w:rsidRPr="00D160FB">
              <w:rPr>
                <w:spacing w:val="-4"/>
                <w:lang w:val="en-GB"/>
              </w:rPr>
              <w:t>More favourable SB management in Q</w:t>
            </w:r>
            <w:r w:rsidR="001C3855" w:rsidRPr="00D160FB">
              <w:rPr>
                <w:spacing w:val="-4"/>
                <w:lang w:val="en-GB"/>
              </w:rPr>
              <w:t xml:space="preserve">1, </w:t>
            </w:r>
            <w:r w:rsidR="006E5F68" w:rsidRPr="00D160FB">
              <w:rPr>
                <w:spacing w:val="-4"/>
                <w:lang w:val="en-GB"/>
              </w:rPr>
              <w:t xml:space="preserve">when the deficit did not exceed </w:t>
            </w:r>
            <w:r w:rsidR="001C3855" w:rsidRPr="00D160FB">
              <w:rPr>
                <w:spacing w:val="-4"/>
                <w:lang w:val="en-GB"/>
              </w:rPr>
              <w:t>60</w:t>
            </w:r>
            <w:r w:rsidR="006E5F68" w:rsidRPr="00D160FB">
              <w:rPr>
                <w:spacing w:val="-4"/>
                <w:lang w:val="en-GB"/>
              </w:rPr>
              <w:t xml:space="preserve"> CZK bn mostly stood behind the year-on-year decrease of the total deficit last year</w:t>
            </w:r>
            <w:r w:rsidR="001C3855" w:rsidRPr="00D160FB">
              <w:rPr>
                <w:spacing w:val="-4"/>
                <w:lang w:val="en-GB"/>
              </w:rPr>
              <w:t xml:space="preserve">. </w:t>
            </w:r>
            <w:r w:rsidR="006E5F68" w:rsidRPr="00D160FB">
              <w:rPr>
                <w:spacing w:val="-4"/>
                <w:lang w:val="en-GB"/>
              </w:rPr>
              <w:t xml:space="preserve">The economic activity had not been restricted due to the counter pandemic measures anymore unlike the beginning of year </w:t>
            </w:r>
            <w:r w:rsidR="001C3855" w:rsidRPr="00D160FB">
              <w:rPr>
                <w:spacing w:val="-4"/>
                <w:lang w:val="en-GB"/>
              </w:rPr>
              <w:t>2021</w:t>
            </w:r>
            <w:r w:rsidR="006E5F68" w:rsidRPr="00D160FB">
              <w:rPr>
                <w:spacing w:val="-4"/>
                <w:lang w:val="en-GB"/>
              </w:rPr>
              <w:t xml:space="preserve"> and </w:t>
            </w:r>
            <w:r w:rsidR="002B772D" w:rsidRPr="00D160FB">
              <w:rPr>
                <w:spacing w:val="-4"/>
                <w:lang w:val="en-GB"/>
              </w:rPr>
              <w:t xml:space="preserve">the need to aid affected businesses as well as household also considerably receded. </w:t>
            </w:r>
            <w:r w:rsidR="006E5F68" w:rsidRPr="00D160FB">
              <w:rPr>
                <w:spacing w:val="-4"/>
                <w:lang w:val="en-GB"/>
              </w:rPr>
              <w:t xml:space="preserve">In the subsequent part of year </w:t>
            </w:r>
            <w:r w:rsidR="001C3855" w:rsidRPr="00D160FB">
              <w:rPr>
                <w:spacing w:val="-4"/>
                <w:lang w:val="en-GB"/>
              </w:rPr>
              <w:t>2022</w:t>
            </w:r>
            <w:r w:rsidR="006E5F68" w:rsidRPr="00D160FB">
              <w:rPr>
                <w:spacing w:val="-4"/>
                <w:lang w:val="en-GB"/>
              </w:rPr>
              <w:t xml:space="preserve">, vigorous acceleration of growth of prices of both energies and fuels manifested due to the war in Ukraine. The rise of prices gradually permeated the whole domestic economy and directed it to the downward phase of the business cycle. </w:t>
            </w:r>
            <w:r w:rsidR="001C3855" w:rsidRPr="00D160FB">
              <w:rPr>
                <w:spacing w:val="-4"/>
                <w:lang w:val="en-GB"/>
              </w:rPr>
              <w:t>T</w:t>
            </w:r>
            <w:r w:rsidR="001F007D" w:rsidRPr="00D160FB">
              <w:rPr>
                <w:spacing w:val="-4"/>
                <w:lang w:val="en-GB"/>
              </w:rPr>
              <w:t xml:space="preserve">hese influences negatively manifested more on the expenditure side of the budget at first </w:t>
            </w:r>
            <w:r w:rsidR="001C3855" w:rsidRPr="00D160FB">
              <w:rPr>
                <w:spacing w:val="-4"/>
                <w:lang w:val="en-GB"/>
              </w:rPr>
              <w:t xml:space="preserve">– </w:t>
            </w:r>
            <w:r w:rsidR="001F007D" w:rsidRPr="00D160FB">
              <w:rPr>
                <w:spacing w:val="-4"/>
                <w:lang w:val="en-GB"/>
              </w:rPr>
              <w:t xml:space="preserve">by higher social transfers </w:t>
            </w:r>
            <w:r w:rsidR="001C3855" w:rsidRPr="00D160FB">
              <w:rPr>
                <w:spacing w:val="-4"/>
                <w:lang w:val="en-GB"/>
              </w:rPr>
              <w:t>(</w:t>
            </w:r>
            <w:r w:rsidR="001F007D" w:rsidRPr="00D160FB">
              <w:rPr>
                <w:spacing w:val="-4"/>
                <w:lang w:val="en-GB"/>
              </w:rPr>
              <w:t>including those related to the refugee wave from Ukraine</w:t>
            </w:r>
            <w:r w:rsidR="001C3855" w:rsidRPr="00D160FB">
              <w:rPr>
                <w:spacing w:val="-4"/>
                <w:lang w:val="en-GB"/>
              </w:rPr>
              <w:t xml:space="preserve">), </w:t>
            </w:r>
            <w:r w:rsidR="009F23F8" w:rsidRPr="00D160FB">
              <w:rPr>
                <w:spacing w:val="-4"/>
                <w:lang w:val="en-GB"/>
              </w:rPr>
              <w:t xml:space="preserve">payments of part of costs on energies to households, more expensive common operations of the state as well as increased cost of planned investment. </w:t>
            </w:r>
            <w:r w:rsidR="002108C8" w:rsidRPr="00D160FB">
              <w:rPr>
                <w:spacing w:val="-4"/>
                <w:lang w:val="en-GB"/>
              </w:rPr>
              <w:t xml:space="preserve">Their negative impact on the budget revenues however also started to be felt towards the end of the year </w:t>
            </w:r>
            <w:r w:rsidR="001C3855" w:rsidRPr="00D160FB">
              <w:rPr>
                <w:spacing w:val="-4"/>
                <w:lang w:val="en-GB"/>
              </w:rPr>
              <w:t xml:space="preserve">– </w:t>
            </w:r>
            <w:r w:rsidR="002108C8" w:rsidRPr="00D160FB">
              <w:rPr>
                <w:spacing w:val="-4"/>
                <w:lang w:val="en-GB"/>
              </w:rPr>
              <w:t xml:space="preserve">mainly in the area of indirect taxes. Both </w:t>
            </w:r>
            <w:r w:rsidR="00793049" w:rsidRPr="00D160FB">
              <w:rPr>
                <w:spacing w:val="-4"/>
                <w:lang w:val="en-GB"/>
              </w:rPr>
              <w:t xml:space="preserve">annual total revenues and outlays thus stayed behind the budget anticipations (identically by </w:t>
            </w:r>
            <w:r w:rsidR="001C3855" w:rsidRPr="00D160FB">
              <w:rPr>
                <w:spacing w:val="-4"/>
                <w:lang w:val="en-GB"/>
              </w:rPr>
              <w:t>3</w:t>
            </w:r>
            <w:r w:rsidR="00793049" w:rsidRPr="00D160FB">
              <w:rPr>
                <w:spacing w:val="-4"/>
                <w:lang w:val="en-GB"/>
              </w:rPr>
              <w:t>.</w:t>
            </w:r>
            <w:r w:rsidR="001C3855" w:rsidRPr="00D160FB">
              <w:rPr>
                <w:spacing w:val="-4"/>
                <w:lang w:val="en-GB"/>
              </w:rPr>
              <w:t>7%).</w:t>
            </w:r>
          </w:p>
        </w:tc>
      </w:tr>
      <w:tr w:rsidR="001C3855" w:rsidRPr="00D160FB" w14:paraId="2A7B1266" w14:textId="77777777" w:rsidTr="00C8019E">
        <w:trPr>
          <w:trHeight w:val="145"/>
        </w:trPr>
        <w:tc>
          <w:tcPr>
            <w:tcW w:w="1773" w:type="dxa"/>
            <w:shd w:val="clear" w:color="auto" w:fill="auto"/>
            <w:tcMar>
              <w:left w:w="0" w:type="dxa"/>
            </w:tcMar>
          </w:tcPr>
          <w:p w14:paraId="402E5522" w14:textId="5C18CF77" w:rsidR="001C3855" w:rsidRPr="00D160FB" w:rsidRDefault="001F007D" w:rsidP="00C8019E">
            <w:pPr>
              <w:pStyle w:val="Marginlie"/>
              <w:rPr>
                <w:spacing w:val="-5"/>
                <w:lang w:val="en-GB"/>
              </w:rPr>
            </w:pPr>
            <w:r w:rsidRPr="00D160FB">
              <w:rPr>
                <w:spacing w:val="-5"/>
                <w:lang w:val="en-GB"/>
              </w:rPr>
              <w:t xml:space="preserve">Higher collection of VAT and social security insurance contributed the most to the growth of total revenues. </w:t>
            </w:r>
          </w:p>
        </w:tc>
        <w:tc>
          <w:tcPr>
            <w:tcW w:w="217" w:type="dxa"/>
            <w:shd w:val="clear" w:color="auto" w:fill="auto"/>
            <w:tcMar>
              <w:left w:w="0" w:type="dxa"/>
            </w:tcMar>
          </w:tcPr>
          <w:p w14:paraId="4C84BDE9"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1B767534" w14:textId="17D0C67B" w:rsidR="001C3855" w:rsidRPr="00D160FB" w:rsidRDefault="00793049" w:rsidP="00C8019E">
            <w:pPr>
              <w:spacing w:after="220"/>
              <w:rPr>
                <w:spacing w:val="-4"/>
                <w:lang w:val="en-GB"/>
              </w:rPr>
            </w:pPr>
            <w:r w:rsidRPr="00D160FB">
              <w:rPr>
                <w:color w:val="0D0D0D" w:themeColor="text1" w:themeTint="F2"/>
                <w:spacing w:val="-4"/>
                <w:szCs w:val="16"/>
                <w:lang w:val="en-GB"/>
              </w:rPr>
              <w:t xml:space="preserve">Total SB revenues increased by </w:t>
            </w:r>
            <w:r w:rsidR="001C3855" w:rsidRPr="00D160FB">
              <w:rPr>
                <w:spacing w:val="-4"/>
                <w:szCs w:val="16"/>
                <w:lang w:val="en-GB"/>
              </w:rPr>
              <w:t>9</w:t>
            </w:r>
            <w:r w:rsidRPr="00D160FB">
              <w:rPr>
                <w:spacing w:val="-4"/>
                <w:szCs w:val="16"/>
                <w:lang w:val="en-GB"/>
              </w:rPr>
              <w:t>.</w:t>
            </w:r>
            <w:r w:rsidR="001C3855" w:rsidRPr="00D160FB">
              <w:rPr>
                <w:spacing w:val="-4"/>
                <w:szCs w:val="16"/>
                <w:lang w:val="en-GB"/>
              </w:rPr>
              <w:t>2%</w:t>
            </w:r>
            <w:r w:rsidRPr="00D160FB">
              <w:rPr>
                <w:spacing w:val="-4"/>
                <w:szCs w:val="16"/>
                <w:lang w:val="en-GB"/>
              </w:rPr>
              <w:t xml:space="preserve"> year-on-year</w:t>
            </w:r>
            <w:r w:rsidR="001C3855" w:rsidRPr="00D160FB">
              <w:rPr>
                <w:spacing w:val="-4"/>
                <w:szCs w:val="16"/>
                <w:lang w:val="en-GB"/>
              </w:rPr>
              <w:t xml:space="preserve"> (+137</w:t>
            </w:r>
            <w:r w:rsidRPr="00D160FB">
              <w:rPr>
                <w:spacing w:val="-4"/>
                <w:szCs w:val="16"/>
                <w:lang w:val="en-GB"/>
              </w:rPr>
              <w:t>.</w:t>
            </w:r>
            <w:r w:rsidR="001C3855" w:rsidRPr="00D160FB">
              <w:rPr>
                <w:spacing w:val="-4"/>
                <w:szCs w:val="16"/>
                <w:lang w:val="en-GB"/>
              </w:rPr>
              <w:t>2</w:t>
            </w:r>
            <w:r w:rsidRPr="00D160FB">
              <w:rPr>
                <w:spacing w:val="-4"/>
                <w:szCs w:val="16"/>
                <w:lang w:val="en-GB"/>
              </w:rPr>
              <w:t xml:space="preserve"> CZK bn</w:t>
            </w:r>
            <w:r w:rsidR="001C3855" w:rsidRPr="00D160FB">
              <w:rPr>
                <w:spacing w:val="-4"/>
                <w:szCs w:val="16"/>
                <w:lang w:val="en-GB"/>
              </w:rPr>
              <w:t>)</w:t>
            </w:r>
            <w:r w:rsidRPr="00D160FB">
              <w:rPr>
                <w:spacing w:val="-4"/>
                <w:szCs w:val="16"/>
                <w:lang w:val="en-GB"/>
              </w:rPr>
              <w:t xml:space="preserve"> in year 2022</w:t>
            </w:r>
            <w:r w:rsidR="001C3855" w:rsidRPr="00D160FB">
              <w:rPr>
                <w:spacing w:val="-4"/>
                <w:szCs w:val="16"/>
                <w:lang w:val="en-GB"/>
              </w:rPr>
              <w:t xml:space="preserve">. </w:t>
            </w:r>
            <w:r w:rsidR="000921AD" w:rsidRPr="00D160FB">
              <w:rPr>
                <w:spacing w:val="-4"/>
                <w:szCs w:val="16"/>
                <w:lang w:val="en-GB"/>
              </w:rPr>
              <w:t xml:space="preserve">Mainly higher tax revenues, especially from VAT </w:t>
            </w:r>
            <w:r w:rsidR="001C3855" w:rsidRPr="00D160FB">
              <w:rPr>
                <w:spacing w:val="-4"/>
                <w:szCs w:val="16"/>
                <w:lang w:val="en-GB"/>
              </w:rPr>
              <w:t>(+46</w:t>
            </w:r>
            <w:r w:rsidR="000921AD" w:rsidRPr="00D160FB">
              <w:rPr>
                <w:spacing w:val="-4"/>
                <w:szCs w:val="16"/>
                <w:lang w:val="en-GB"/>
              </w:rPr>
              <w:t>.</w:t>
            </w:r>
            <w:r w:rsidR="001C3855" w:rsidRPr="00D160FB">
              <w:rPr>
                <w:spacing w:val="-4"/>
                <w:szCs w:val="16"/>
                <w:lang w:val="en-GB"/>
              </w:rPr>
              <w:t>7</w:t>
            </w:r>
            <w:r w:rsidR="000921AD" w:rsidRPr="00D160FB">
              <w:rPr>
                <w:spacing w:val="-4"/>
                <w:szCs w:val="16"/>
                <w:lang w:val="en-GB"/>
              </w:rPr>
              <w:t xml:space="preserve"> CZK bn</w:t>
            </w:r>
            <w:r w:rsidR="001C3855" w:rsidRPr="00D160FB">
              <w:rPr>
                <w:spacing w:val="-4"/>
                <w:szCs w:val="16"/>
                <w:lang w:val="en-GB"/>
              </w:rPr>
              <w:t>)</w:t>
            </w:r>
            <w:r w:rsidR="000921AD" w:rsidRPr="00D160FB">
              <w:rPr>
                <w:spacing w:val="-4"/>
                <w:szCs w:val="16"/>
                <w:lang w:val="en-GB"/>
              </w:rPr>
              <w:t xml:space="preserve"> as well as growth of the collection of mandatory social security insurance </w:t>
            </w:r>
            <w:r w:rsidR="001C3855" w:rsidRPr="00D160FB">
              <w:rPr>
                <w:spacing w:val="-4"/>
                <w:szCs w:val="16"/>
                <w:lang w:val="en-GB"/>
              </w:rPr>
              <w:t>(+35</w:t>
            </w:r>
            <w:r w:rsidR="000921AD" w:rsidRPr="00D160FB">
              <w:rPr>
                <w:spacing w:val="-4"/>
                <w:szCs w:val="16"/>
                <w:lang w:val="en-GB"/>
              </w:rPr>
              <w:t>.</w:t>
            </w:r>
            <w:r w:rsidR="001C3855" w:rsidRPr="00D160FB">
              <w:rPr>
                <w:spacing w:val="-4"/>
                <w:szCs w:val="16"/>
                <w:lang w:val="en-GB"/>
              </w:rPr>
              <w:t>9</w:t>
            </w:r>
            <w:r w:rsidR="000921AD" w:rsidRPr="00D160FB">
              <w:rPr>
                <w:spacing w:val="-4"/>
                <w:szCs w:val="16"/>
                <w:lang w:val="en-GB"/>
              </w:rPr>
              <w:t xml:space="preserve"> bn</w:t>
            </w:r>
            <w:r w:rsidR="001C3855" w:rsidRPr="00D160FB">
              <w:rPr>
                <w:spacing w:val="-4"/>
                <w:szCs w:val="16"/>
                <w:lang w:val="en-GB"/>
              </w:rPr>
              <w:t xml:space="preserve">). </w:t>
            </w:r>
            <w:r w:rsidR="00DB0D79" w:rsidRPr="00D160FB">
              <w:rPr>
                <w:spacing w:val="-4"/>
                <w:szCs w:val="16"/>
                <w:lang w:val="en-GB"/>
              </w:rPr>
              <w:t xml:space="preserve">Non-tax and capital revenues and transfers </w:t>
            </w:r>
            <w:r w:rsidR="001C3855" w:rsidRPr="00D160FB">
              <w:rPr>
                <w:spacing w:val="-4"/>
                <w:szCs w:val="16"/>
                <w:lang w:val="en-GB"/>
              </w:rPr>
              <w:t>(+5</w:t>
            </w:r>
            <w:r w:rsidR="00DB0D79" w:rsidRPr="00D160FB">
              <w:rPr>
                <w:spacing w:val="-4"/>
                <w:szCs w:val="16"/>
                <w:lang w:val="en-GB"/>
              </w:rPr>
              <w:t>.</w:t>
            </w:r>
            <w:r w:rsidR="001C3855" w:rsidRPr="00D160FB">
              <w:rPr>
                <w:spacing w:val="-4"/>
                <w:szCs w:val="16"/>
                <w:lang w:val="en-GB"/>
              </w:rPr>
              <w:t>5</w:t>
            </w:r>
            <w:r w:rsidR="00DB0D79" w:rsidRPr="00D160FB">
              <w:rPr>
                <w:spacing w:val="-4"/>
                <w:szCs w:val="16"/>
                <w:lang w:val="en-GB"/>
              </w:rPr>
              <w:t xml:space="preserve"> CZK bn</w:t>
            </w:r>
            <w:r w:rsidR="001C3855" w:rsidRPr="00D160FB">
              <w:rPr>
                <w:spacing w:val="-4"/>
                <w:szCs w:val="16"/>
                <w:lang w:val="en-GB"/>
              </w:rPr>
              <w:t>)</w:t>
            </w:r>
            <w:r w:rsidR="00DB0D79" w:rsidRPr="00D160FB">
              <w:rPr>
                <w:spacing w:val="-4"/>
                <w:szCs w:val="16"/>
                <w:lang w:val="en-GB"/>
              </w:rPr>
              <w:t xml:space="preserve"> had a slightly positive effect in total</w:t>
            </w:r>
            <w:r w:rsidR="001C3855" w:rsidRPr="00D160FB">
              <w:rPr>
                <w:spacing w:val="-4"/>
                <w:szCs w:val="16"/>
                <w:lang w:val="en-GB"/>
              </w:rPr>
              <w:t xml:space="preserve">, </w:t>
            </w:r>
            <w:r w:rsidR="00DB0D79" w:rsidRPr="00D160FB">
              <w:rPr>
                <w:spacing w:val="-4"/>
                <w:szCs w:val="16"/>
                <w:lang w:val="en-GB"/>
              </w:rPr>
              <w:t>primarily due to the planned transfer of funds from the privatisation account i</w:t>
            </w:r>
            <w:r w:rsidR="00DB0D79" w:rsidRPr="00D160FB">
              <w:rPr>
                <w:color w:val="0D0D0D" w:themeColor="text1" w:themeTint="F2"/>
                <w:spacing w:val="-4"/>
                <w:szCs w:val="16"/>
                <w:lang w:val="en-GB"/>
              </w:rPr>
              <w:t xml:space="preserve">nto the SB revenues realised in December </w:t>
            </w:r>
            <w:r w:rsidR="001C3855" w:rsidRPr="00D160FB">
              <w:rPr>
                <w:color w:val="0D0D0D" w:themeColor="text1" w:themeTint="F2"/>
                <w:spacing w:val="-4"/>
                <w:szCs w:val="16"/>
                <w:lang w:val="en-GB"/>
              </w:rPr>
              <w:t xml:space="preserve">2022. </w:t>
            </w:r>
            <w:r w:rsidR="00FD43E6" w:rsidRPr="00D160FB">
              <w:rPr>
                <w:color w:val="0D0D0D" w:themeColor="text1" w:themeTint="F2"/>
                <w:spacing w:val="-4"/>
                <w:szCs w:val="16"/>
                <w:lang w:val="en-GB"/>
              </w:rPr>
              <w:t xml:space="preserve">Dividend yields also went up </w:t>
            </w:r>
            <w:r w:rsidR="001C3855" w:rsidRPr="00D160FB">
              <w:rPr>
                <w:color w:val="0D0D0D" w:themeColor="text1" w:themeTint="F2"/>
                <w:spacing w:val="-4"/>
                <w:szCs w:val="16"/>
                <w:lang w:val="en-GB"/>
              </w:rPr>
              <w:t>(</w:t>
            </w:r>
            <w:r w:rsidR="00FD43E6" w:rsidRPr="00D160FB">
              <w:rPr>
                <w:color w:val="0D0D0D" w:themeColor="text1" w:themeTint="F2"/>
                <w:spacing w:val="-4"/>
                <w:szCs w:val="16"/>
                <w:lang w:val="en-GB"/>
              </w:rPr>
              <w:t>by 1</w:t>
            </w:r>
            <w:r w:rsidR="001C3855" w:rsidRPr="00D160FB">
              <w:rPr>
                <w:color w:val="0D0D0D" w:themeColor="text1" w:themeTint="F2"/>
                <w:spacing w:val="-4"/>
                <w:szCs w:val="16"/>
                <w:lang w:val="en-GB"/>
              </w:rPr>
              <w:t>4</w:t>
            </w:r>
            <w:r w:rsidR="00FD43E6" w:rsidRPr="00D160FB">
              <w:rPr>
                <w:color w:val="0D0D0D" w:themeColor="text1" w:themeTint="F2"/>
                <w:spacing w:val="-4"/>
                <w:szCs w:val="16"/>
                <w:lang w:val="en-GB"/>
              </w:rPr>
              <w:t xml:space="preserve"> CZK bn</w:t>
            </w:r>
            <w:r w:rsidR="001C3855" w:rsidRPr="00D160FB">
              <w:rPr>
                <w:color w:val="0D0D0D" w:themeColor="text1" w:themeTint="F2"/>
                <w:spacing w:val="-4"/>
                <w:szCs w:val="16"/>
                <w:lang w:val="en-GB"/>
              </w:rPr>
              <w:t xml:space="preserve">). </w:t>
            </w:r>
            <w:r w:rsidR="00295C4D" w:rsidRPr="00D160FB">
              <w:rPr>
                <w:color w:val="0D0D0D" w:themeColor="text1" w:themeTint="F2"/>
                <w:spacing w:val="-4"/>
                <w:szCs w:val="16"/>
                <w:lang w:val="en-GB"/>
              </w:rPr>
              <w:t>Thanks to this the unexpected payment gap from the EU budget was offset</w:t>
            </w:r>
            <w:r w:rsidR="001C3855" w:rsidRPr="00D160FB">
              <w:rPr>
                <w:color w:val="0D0D0D" w:themeColor="text1" w:themeTint="F2"/>
                <w:spacing w:val="-4"/>
                <w:szCs w:val="16"/>
                <w:lang w:val="en-GB"/>
              </w:rPr>
              <w:t xml:space="preserve"> (</w:t>
            </w:r>
            <w:r w:rsidR="000D4632" w:rsidRPr="00D160FB">
              <w:rPr>
                <w:color w:val="0D0D0D" w:themeColor="text1" w:themeTint="F2"/>
                <w:spacing w:val="-4"/>
                <w:szCs w:val="16"/>
                <w:lang w:val="en-GB"/>
              </w:rPr>
              <w:t xml:space="preserve">their volume was by </w:t>
            </w:r>
            <w:r w:rsidR="001C3855" w:rsidRPr="00D160FB">
              <w:rPr>
                <w:color w:val="0D0D0D" w:themeColor="text1" w:themeTint="F2"/>
                <w:spacing w:val="-4"/>
                <w:szCs w:val="16"/>
                <w:lang w:val="en-GB"/>
              </w:rPr>
              <w:t>6</w:t>
            </w:r>
            <w:r w:rsidR="000D4632" w:rsidRPr="00D160FB">
              <w:rPr>
                <w:color w:val="0D0D0D" w:themeColor="text1" w:themeTint="F2"/>
                <w:spacing w:val="-4"/>
                <w:szCs w:val="16"/>
                <w:lang w:val="en-GB"/>
              </w:rPr>
              <w:t>.</w:t>
            </w:r>
            <w:r w:rsidR="001C3855" w:rsidRPr="00D160FB">
              <w:rPr>
                <w:color w:val="0D0D0D" w:themeColor="text1" w:themeTint="F2"/>
                <w:spacing w:val="-4"/>
                <w:szCs w:val="16"/>
                <w:lang w:val="en-GB"/>
              </w:rPr>
              <w:t>6%</w:t>
            </w:r>
            <w:r w:rsidR="000D4632" w:rsidRPr="00D160FB">
              <w:rPr>
                <w:color w:val="0D0D0D" w:themeColor="text1" w:themeTint="F2"/>
                <w:spacing w:val="-4"/>
                <w:szCs w:val="16"/>
                <w:lang w:val="en-GB"/>
              </w:rPr>
              <w:t xml:space="preserve"> lower year-on-year and </w:t>
            </w:r>
            <w:r w:rsidR="00295C4D" w:rsidRPr="00D160FB">
              <w:rPr>
                <w:color w:val="0D0D0D" w:themeColor="text1" w:themeTint="F2"/>
                <w:spacing w:val="-4"/>
                <w:szCs w:val="16"/>
                <w:lang w:val="en-GB"/>
              </w:rPr>
              <w:t>did not reach even three fifths of the annual size of the budget anticipation</w:t>
            </w:r>
            <w:r w:rsidR="001C3855" w:rsidRPr="00D160FB">
              <w:rPr>
                <w:color w:val="0D0D0D" w:themeColor="text1" w:themeTint="F2"/>
                <w:spacing w:val="-4"/>
                <w:szCs w:val="16"/>
                <w:lang w:val="en-GB"/>
              </w:rPr>
              <w:t>)</w:t>
            </w:r>
            <w:r w:rsidR="001C3855" w:rsidRPr="00D160FB">
              <w:rPr>
                <w:rStyle w:val="Znakapoznpodarou"/>
                <w:color w:val="0D0D0D" w:themeColor="text1" w:themeTint="F2"/>
                <w:spacing w:val="-4"/>
                <w:szCs w:val="16"/>
                <w:lang w:val="en-GB"/>
              </w:rPr>
              <w:footnoteReference w:id="93"/>
            </w:r>
            <w:r w:rsidR="001C3855" w:rsidRPr="00D160FB">
              <w:rPr>
                <w:color w:val="0D0D0D" w:themeColor="text1" w:themeTint="F2"/>
                <w:spacing w:val="-4"/>
                <w:szCs w:val="16"/>
                <w:lang w:val="en-GB"/>
              </w:rPr>
              <w:t xml:space="preserve">. </w:t>
            </w:r>
            <w:r w:rsidR="006A6233" w:rsidRPr="00D160FB">
              <w:rPr>
                <w:color w:val="0D0D0D" w:themeColor="text1" w:themeTint="F2"/>
                <w:spacing w:val="-4"/>
                <w:szCs w:val="16"/>
                <w:lang w:val="en-GB"/>
              </w:rPr>
              <w:t>State-wide</w:t>
            </w:r>
            <w:r w:rsidR="003664FD" w:rsidRPr="00D160FB">
              <w:rPr>
                <w:color w:val="0D0D0D" w:themeColor="text1" w:themeTint="F2"/>
                <w:spacing w:val="-4"/>
                <w:szCs w:val="16"/>
                <w:lang w:val="en-GB"/>
              </w:rPr>
              <w:t xml:space="preserve"> tax collection </w:t>
            </w:r>
            <w:r w:rsidR="001C3855" w:rsidRPr="00D160FB">
              <w:rPr>
                <w:color w:val="0D0D0D" w:themeColor="text1" w:themeTint="F2"/>
                <w:spacing w:val="-4"/>
                <w:lang w:val="en-GB"/>
              </w:rPr>
              <w:t>(</w:t>
            </w:r>
            <w:r w:rsidR="003664FD" w:rsidRPr="00D160FB">
              <w:rPr>
                <w:color w:val="0D0D0D" w:themeColor="text1" w:themeTint="F2"/>
                <w:spacing w:val="-4"/>
                <w:lang w:val="en-GB"/>
              </w:rPr>
              <w:t>without insurance</w:t>
            </w:r>
            <w:r w:rsidR="001C3855" w:rsidRPr="00D160FB">
              <w:rPr>
                <w:color w:val="0D0D0D" w:themeColor="text1" w:themeTint="F2"/>
                <w:spacing w:val="-4"/>
                <w:lang w:val="en-GB"/>
              </w:rPr>
              <w:t xml:space="preserve">) </w:t>
            </w:r>
            <w:r w:rsidR="00E7027F" w:rsidRPr="00D160FB">
              <w:rPr>
                <w:color w:val="0D0D0D" w:themeColor="text1" w:themeTint="F2"/>
                <w:spacing w:val="-4"/>
                <w:lang w:val="en-GB"/>
              </w:rPr>
              <w:t xml:space="preserve">expanded by </w:t>
            </w:r>
            <w:r w:rsidR="001C3855" w:rsidRPr="00D160FB">
              <w:rPr>
                <w:color w:val="0D0D0D" w:themeColor="text1" w:themeTint="F2"/>
                <w:spacing w:val="-4"/>
                <w:lang w:val="en-GB"/>
              </w:rPr>
              <w:t>13</w:t>
            </w:r>
            <w:r w:rsidR="00E7027F" w:rsidRPr="00D160FB">
              <w:rPr>
                <w:color w:val="0D0D0D" w:themeColor="text1" w:themeTint="F2"/>
                <w:spacing w:val="-4"/>
                <w:lang w:val="en-GB"/>
              </w:rPr>
              <w:t>.</w:t>
            </w:r>
            <w:r w:rsidR="001C3855" w:rsidRPr="00D160FB">
              <w:rPr>
                <w:color w:val="0D0D0D" w:themeColor="text1" w:themeTint="F2"/>
                <w:spacing w:val="-4"/>
                <w:lang w:val="en-GB"/>
              </w:rPr>
              <w:t>2%</w:t>
            </w:r>
            <w:r w:rsidR="00E7027F" w:rsidRPr="00D160FB">
              <w:rPr>
                <w:color w:val="0D0D0D" w:themeColor="text1" w:themeTint="F2"/>
                <w:spacing w:val="-4"/>
                <w:lang w:val="en-GB"/>
              </w:rPr>
              <w:t xml:space="preserve"> year-on-year last year</w:t>
            </w:r>
            <w:r w:rsidR="001C3855" w:rsidRPr="00D160FB">
              <w:rPr>
                <w:color w:val="0D0D0D" w:themeColor="text1" w:themeTint="F2"/>
                <w:spacing w:val="-4"/>
                <w:lang w:val="en-GB"/>
              </w:rPr>
              <w:t xml:space="preserve">, </w:t>
            </w:r>
            <w:r w:rsidR="00295C4D" w:rsidRPr="00D160FB">
              <w:rPr>
                <w:color w:val="0D0D0D" w:themeColor="text1" w:themeTint="F2"/>
                <w:spacing w:val="-4"/>
                <w:lang w:val="en-GB"/>
              </w:rPr>
              <w:t>the impact of the weakening economic performance was however clear in the second half-year</w:t>
            </w:r>
            <w:r w:rsidR="001C3855" w:rsidRPr="00D160FB">
              <w:rPr>
                <w:color w:val="0D0D0D" w:themeColor="text1" w:themeTint="F2"/>
                <w:spacing w:val="-4"/>
                <w:lang w:val="en-GB"/>
              </w:rPr>
              <w:t xml:space="preserve">. </w:t>
            </w:r>
            <w:r w:rsidR="000921AD" w:rsidRPr="00D160FB">
              <w:rPr>
                <w:color w:val="0D0D0D" w:themeColor="text1" w:themeTint="F2"/>
                <w:spacing w:val="-4"/>
                <w:lang w:val="en-GB"/>
              </w:rPr>
              <w:t xml:space="preserve">While this collection strengthened by 22.5% in Q2, already only by </w:t>
            </w:r>
            <w:r w:rsidR="001C3855" w:rsidRPr="00D160FB">
              <w:rPr>
                <w:color w:val="0D0D0D" w:themeColor="text1" w:themeTint="F2"/>
                <w:spacing w:val="-4"/>
                <w:lang w:val="en-GB"/>
              </w:rPr>
              <w:t>7</w:t>
            </w:r>
            <w:r w:rsidR="000921AD" w:rsidRPr="00D160FB">
              <w:rPr>
                <w:color w:val="0D0D0D" w:themeColor="text1" w:themeTint="F2"/>
                <w:spacing w:val="-4"/>
                <w:lang w:val="en-GB"/>
              </w:rPr>
              <w:t>.</w:t>
            </w:r>
            <w:r w:rsidR="001C3855" w:rsidRPr="00D160FB">
              <w:rPr>
                <w:color w:val="0D0D0D" w:themeColor="text1" w:themeTint="F2"/>
                <w:spacing w:val="-4"/>
                <w:lang w:val="en-GB"/>
              </w:rPr>
              <w:t>2%</w:t>
            </w:r>
            <w:r w:rsidR="000921AD" w:rsidRPr="00D160FB">
              <w:rPr>
                <w:color w:val="0D0D0D" w:themeColor="text1" w:themeTint="F2"/>
                <w:spacing w:val="-4"/>
                <w:lang w:val="en-GB"/>
              </w:rPr>
              <w:t xml:space="preserve"> in the last quarter</w:t>
            </w:r>
            <w:r w:rsidR="001C3855" w:rsidRPr="00D160FB">
              <w:rPr>
                <w:color w:val="0D0D0D" w:themeColor="text1" w:themeTint="F2"/>
                <w:spacing w:val="-4"/>
                <w:lang w:val="en-GB"/>
              </w:rPr>
              <w:t xml:space="preserve">. </w:t>
            </w:r>
            <w:r w:rsidR="003664FD" w:rsidRPr="00D160FB">
              <w:rPr>
                <w:color w:val="0D0D0D" w:themeColor="text1" w:themeTint="F2"/>
                <w:spacing w:val="-4"/>
                <w:lang w:val="en-GB"/>
              </w:rPr>
              <w:t xml:space="preserve">The slowdown reflected the development of collection of indirect taxes, for direct taxes the trend has not manifested yet. </w:t>
            </w:r>
            <w:r w:rsidR="001C3855" w:rsidRPr="00D160FB">
              <w:rPr>
                <w:color w:val="0D0D0D" w:themeColor="text1" w:themeTint="F2"/>
                <w:spacing w:val="-4"/>
                <w:lang w:val="en-GB"/>
              </w:rPr>
              <w:t xml:space="preserve"> </w:t>
            </w:r>
          </w:p>
        </w:tc>
      </w:tr>
      <w:tr w:rsidR="001C3855" w:rsidRPr="00D160FB" w14:paraId="49D34C2A" w14:textId="77777777" w:rsidTr="00C8019E">
        <w:trPr>
          <w:trHeight w:val="145"/>
        </w:trPr>
        <w:tc>
          <w:tcPr>
            <w:tcW w:w="1773" w:type="dxa"/>
            <w:shd w:val="clear" w:color="auto" w:fill="auto"/>
            <w:tcMar>
              <w:left w:w="0" w:type="dxa"/>
            </w:tcMar>
          </w:tcPr>
          <w:p w14:paraId="4E7DA9F9" w14:textId="6018825D" w:rsidR="001C3855" w:rsidRPr="00D160FB" w:rsidRDefault="001C3855" w:rsidP="00C8019E">
            <w:pPr>
              <w:pStyle w:val="Marginlie"/>
              <w:rPr>
                <w:spacing w:val="-5"/>
                <w:lang w:val="en-GB"/>
              </w:rPr>
            </w:pPr>
            <w:r w:rsidRPr="00D160FB">
              <w:rPr>
                <w:spacing w:val="-5"/>
                <w:lang w:val="en-GB"/>
              </w:rPr>
              <w:t>S</w:t>
            </w:r>
            <w:r w:rsidR="003664FD" w:rsidRPr="00D160FB">
              <w:rPr>
                <w:spacing w:val="-5"/>
                <w:lang w:val="en-GB"/>
              </w:rPr>
              <w:t>wift growth of the VAT collection was substantially influenced by the rising prices level, the effect of weakening household consumption also became evident in H</w:t>
            </w:r>
            <w:r w:rsidRPr="00D160FB">
              <w:rPr>
                <w:spacing w:val="-5"/>
                <w:lang w:val="en-GB"/>
              </w:rPr>
              <w:t xml:space="preserve">2. </w:t>
            </w:r>
          </w:p>
        </w:tc>
        <w:tc>
          <w:tcPr>
            <w:tcW w:w="217" w:type="dxa"/>
            <w:shd w:val="clear" w:color="auto" w:fill="auto"/>
            <w:tcMar>
              <w:left w:w="0" w:type="dxa"/>
            </w:tcMar>
          </w:tcPr>
          <w:p w14:paraId="45EE83E8"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6A473BF0" w14:textId="6114C5EE" w:rsidR="001C3855" w:rsidRPr="00D160FB" w:rsidRDefault="003664FD" w:rsidP="00C8019E">
            <w:pPr>
              <w:spacing w:after="220"/>
              <w:rPr>
                <w:spacing w:val="-4"/>
                <w:lang w:val="en-GB"/>
              </w:rPr>
            </w:pPr>
            <w:r w:rsidRPr="00D160FB">
              <w:rPr>
                <w:spacing w:val="-4"/>
                <w:lang w:val="en-GB"/>
              </w:rPr>
              <w:t xml:space="preserve">From the weight dominant tax </w:t>
            </w:r>
            <w:r w:rsidR="001C3855" w:rsidRPr="00D160FB">
              <w:rPr>
                <w:spacing w:val="-4"/>
                <w:lang w:val="en-GB"/>
              </w:rPr>
              <w:t xml:space="preserve">– </w:t>
            </w:r>
            <w:r w:rsidRPr="00D160FB">
              <w:rPr>
                <w:spacing w:val="-4"/>
                <w:lang w:val="en-GB"/>
              </w:rPr>
              <w:t>VAT</w:t>
            </w:r>
            <w:r w:rsidR="001C3855" w:rsidRPr="00D160FB">
              <w:rPr>
                <w:spacing w:val="-4"/>
                <w:lang w:val="en-GB"/>
              </w:rPr>
              <w:t xml:space="preserve"> – </w:t>
            </w:r>
            <w:r w:rsidRPr="00D160FB">
              <w:rPr>
                <w:spacing w:val="-4"/>
                <w:lang w:val="en-GB"/>
              </w:rPr>
              <w:t xml:space="preserve">the SB </w:t>
            </w:r>
            <w:r w:rsidR="00862A30" w:rsidRPr="00D160FB">
              <w:rPr>
                <w:spacing w:val="-4"/>
                <w:lang w:val="en-GB"/>
              </w:rPr>
              <w:t xml:space="preserve">gained by </w:t>
            </w:r>
            <w:r w:rsidR="001C3855" w:rsidRPr="00D160FB">
              <w:rPr>
                <w:spacing w:val="-4"/>
                <w:lang w:val="en-GB"/>
              </w:rPr>
              <w:t>15</w:t>
            </w:r>
            <w:r w:rsidR="00862A30" w:rsidRPr="00D160FB">
              <w:rPr>
                <w:spacing w:val="-4"/>
                <w:lang w:val="en-GB"/>
              </w:rPr>
              <w:t>.</w:t>
            </w:r>
            <w:r w:rsidR="001C3855" w:rsidRPr="00D160FB">
              <w:rPr>
                <w:spacing w:val="-4"/>
                <w:lang w:val="en-GB"/>
              </w:rPr>
              <w:t>6%</w:t>
            </w:r>
            <w:r w:rsidR="00862A30" w:rsidRPr="00D160FB">
              <w:rPr>
                <w:spacing w:val="-4"/>
                <w:lang w:val="en-GB"/>
              </w:rPr>
              <w:t xml:space="preserve"> more year-on-year last year</w:t>
            </w:r>
            <w:r w:rsidR="001C3855" w:rsidRPr="00D160FB">
              <w:rPr>
                <w:spacing w:val="-4"/>
                <w:lang w:val="en-GB"/>
              </w:rPr>
              <w:t xml:space="preserve">. </w:t>
            </w:r>
            <w:r w:rsidR="000D4632" w:rsidRPr="00D160FB">
              <w:rPr>
                <w:spacing w:val="-4"/>
                <w:lang w:val="en-GB"/>
              </w:rPr>
              <w:t xml:space="preserve">It represented the highest growth in the current millennium, </w:t>
            </w:r>
            <w:r w:rsidR="007B40E8" w:rsidRPr="00D160FB">
              <w:rPr>
                <w:spacing w:val="-4"/>
                <w:lang w:val="en-GB"/>
              </w:rPr>
              <w:t xml:space="preserve">where mainly the price acceleration of weight significant items of consumer basket played role. Pace of the collection growth was falling during the last year </w:t>
            </w:r>
            <w:r w:rsidR="001C3855" w:rsidRPr="00D160FB">
              <w:rPr>
                <w:spacing w:val="-4"/>
                <w:lang w:val="en-GB"/>
              </w:rPr>
              <w:t xml:space="preserve">– </w:t>
            </w:r>
            <w:r w:rsidR="005C63EC" w:rsidRPr="00D160FB">
              <w:rPr>
                <w:spacing w:val="-4"/>
                <w:lang w:val="en-GB"/>
              </w:rPr>
              <w:t>it was 1</w:t>
            </w:r>
            <w:r w:rsidR="001C3855" w:rsidRPr="00D160FB">
              <w:rPr>
                <w:spacing w:val="-4"/>
                <w:lang w:val="en-GB"/>
              </w:rPr>
              <w:t>0</w:t>
            </w:r>
            <w:r w:rsidR="005C63EC" w:rsidRPr="00D160FB">
              <w:rPr>
                <w:spacing w:val="-4"/>
                <w:lang w:val="en-GB"/>
              </w:rPr>
              <w:t>.</w:t>
            </w:r>
            <w:r w:rsidR="001C3855" w:rsidRPr="00D160FB">
              <w:rPr>
                <w:spacing w:val="-4"/>
                <w:lang w:val="en-GB"/>
              </w:rPr>
              <w:t>9%</w:t>
            </w:r>
            <w:r w:rsidR="005C63EC" w:rsidRPr="00D160FB">
              <w:rPr>
                <w:spacing w:val="-4"/>
                <w:lang w:val="en-GB"/>
              </w:rPr>
              <w:t xml:space="preserve"> in Q3</w:t>
            </w:r>
            <w:r w:rsidR="001C3855" w:rsidRPr="00D160FB">
              <w:rPr>
                <w:spacing w:val="-4"/>
                <w:lang w:val="en-GB"/>
              </w:rPr>
              <w:t>, 9</w:t>
            </w:r>
            <w:r w:rsidR="005C63EC" w:rsidRPr="00D160FB">
              <w:rPr>
                <w:spacing w:val="-4"/>
                <w:lang w:val="en-GB"/>
              </w:rPr>
              <w:t>.</w:t>
            </w:r>
            <w:r w:rsidR="001C3855" w:rsidRPr="00D160FB">
              <w:rPr>
                <w:spacing w:val="-4"/>
                <w:lang w:val="en-GB"/>
              </w:rPr>
              <w:t>0%</w:t>
            </w:r>
            <w:r w:rsidR="005C63EC" w:rsidRPr="00D160FB">
              <w:rPr>
                <w:spacing w:val="-4"/>
                <w:lang w:val="en-GB"/>
              </w:rPr>
              <w:t xml:space="preserve"> in Q4</w:t>
            </w:r>
            <w:r w:rsidR="001C3855" w:rsidRPr="00D160FB">
              <w:rPr>
                <w:spacing w:val="-4"/>
                <w:lang w:val="en-GB"/>
              </w:rPr>
              <w:t>. Negativ</w:t>
            </w:r>
            <w:r w:rsidR="008A7597" w:rsidRPr="00D160FB">
              <w:rPr>
                <w:spacing w:val="-4"/>
                <w:lang w:val="en-GB"/>
              </w:rPr>
              <w:t xml:space="preserve">e effect of the decrease of household consumption was still more absorbed by the effect of the rising prices </w:t>
            </w:r>
            <w:r w:rsidR="001C3855" w:rsidRPr="00D160FB">
              <w:rPr>
                <w:spacing w:val="-4"/>
                <w:lang w:val="en-GB"/>
              </w:rPr>
              <w:t>(</w:t>
            </w:r>
            <w:r w:rsidR="008A7597" w:rsidRPr="00D160FB">
              <w:rPr>
                <w:spacing w:val="-4"/>
                <w:lang w:val="en-GB"/>
              </w:rPr>
              <w:t>e.g. food</w:t>
            </w:r>
            <w:r w:rsidR="001C3855" w:rsidRPr="00D160FB">
              <w:rPr>
                <w:spacing w:val="-4"/>
                <w:lang w:val="en-GB"/>
              </w:rPr>
              <w:t xml:space="preserve">). </w:t>
            </w:r>
            <w:r w:rsidR="00843143" w:rsidRPr="00D160FB">
              <w:rPr>
                <w:spacing w:val="-4"/>
                <w:lang w:val="en-GB"/>
              </w:rPr>
              <w:t xml:space="preserve">Equally negative, but one order less, effect had both collection and VAT waiver to selected commodities </w:t>
            </w:r>
            <w:r w:rsidR="001C3855" w:rsidRPr="00D160FB">
              <w:rPr>
                <w:spacing w:val="-4"/>
                <w:lang w:val="en-GB"/>
              </w:rPr>
              <w:t>(</w:t>
            </w:r>
            <w:r w:rsidR="00843143" w:rsidRPr="00D160FB">
              <w:rPr>
                <w:spacing w:val="-4"/>
                <w:lang w:val="en-GB"/>
              </w:rPr>
              <w:t>e.g. vaccines, respirators</w:t>
            </w:r>
            <w:r w:rsidR="001C3855" w:rsidRPr="00D160FB">
              <w:rPr>
                <w:spacing w:val="-4"/>
                <w:lang w:val="en-GB"/>
              </w:rPr>
              <w:t xml:space="preserve">). </w:t>
            </w:r>
            <w:r w:rsidR="00843143" w:rsidRPr="00D160FB">
              <w:rPr>
                <w:spacing w:val="-4"/>
                <w:lang w:val="en-GB"/>
              </w:rPr>
              <w:t xml:space="preserve">State wide collection of VAT </w:t>
            </w:r>
            <w:r w:rsidR="001C3855" w:rsidRPr="00D160FB">
              <w:rPr>
                <w:spacing w:val="-4"/>
                <w:lang w:val="en-GB"/>
              </w:rPr>
              <w:t>(</w:t>
            </w:r>
            <w:r w:rsidR="00843143" w:rsidRPr="00D160FB">
              <w:rPr>
                <w:spacing w:val="-4"/>
                <w:lang w:val="en-GB"/>
              </w:rPr>
              <w:t>at the level of all public budgets</w:t>
            </w:r>
            <w:r w:rsidR="001C3855" w:rsidRPr="00D160FB">
              <w:rPr>
                <w:spacing w:val="-4"/>
                <w:lang w:val="en-GB"/>
              </w:rPr>
              <w:t xml:space="preserve">) </w:t>
            </w:r>
            <w:r w:rsidR="00843143" w:rsidRPr="00D160FB">
              <w:rPr>
                <w:spacing w:val="-4"/>
                <w:lang w:val="en-GB"/>
              </w:rPr>
              <w:t xml:space="preserve">exceeded the collection from the pre-crisis year </w:t>
            </w:r>
            <w:r w:rsidR="001C3855" w:rsidRPr="00D160FB">
              <w:rPr>
                <w:spacing w:val="-4"/>
                <w:lang w:val="en-GB"/>
              </w:rPr>
              <w:t>2019</w:t>
            </w:r>
            <w:r w:rsidR="00843143" w:rsidRPr="00D160FB">
              <w:rPr>
                <w:spacing w:val="-4"/>
                <w:lang w:val="en-GB"/>
              </w:rPr>
              <w:t xml:space="preserve"> by </w:t>
            </w:r>
            <w:r w:rsidR="001C3855" w:rsidRPr="00D160FB">
              <w:rPr>
                <w:spacing w:val="-4"/>
                <w:lang w:val="en-GB"/>
              </w:rPr>
              <w:t>24</w:t>
            </w:r>
            <w:r w:rsidR="00843143" w:rsidRPr="00D160FB">
              <w:rPr>
                <w:spacing w:val="-4"/>
                <w:lang w:val="en-GB"/>
              </w:rPr>
              <w:t>.</w:t>
            </w:r>
            <w:r w:rsidR="001C3855" w:rsidRPr="00D160FB">
              <w:rPr>
                <w:spacing w:val="-4"/>
                <w:lang w:val="en-GB"/>
              </w:rPr>
              <w:t xml:space="preserve">2%, </w:t>
            </w:r>
            <w:r w:rsidR="00843143" w:rsidRPr="00D160FB">
              <w:rPr>
                <w:spacing w:val="-4"/>
                <w:lang w:val="en-GB"/>
              </w:rPr>
              <w:t>consumer prices (23.4%) also increased by nearly same pace</w:t>
            </w:r>
            <w:r w:rsidR="00B017AF" w:rsidRPr="00D160FB">
              <w:rPr>
                <w:spacing w:val="-4"/>
                <w:lang w:val="en-GB"/>
              </w:rPr>
              <w:t xml:space="preserve"> in the same time period </w:t>
            </w:r>
            <w:r w:rsidR="001C3855" w:rsidRPr="00D160FB">
              <w:rPr>
                <w:spacing w:val="-4"/>
                <w:lang w:val="en-GB"/>
              </w:rPr>
              <w:t>(23</w:t>
            </w:r>
            <w:r w:rsidR="00B017AF" w:rsidRPr="00D160FB">
              <w:rPr>
                <w:spacing w:val="-4"/>
                <w:lang w:val="en-GB"/>
              </w:rPr>
              <w:t>.</w:t>
            </w:r>
            <w:r w:rsidR="001C3855" w:rsidRPr="00D160FB">
              <w:rPr>
                <w:spacing w:val="-4"/>
                <w:lang w:val="en-GB"/>
              </w:rPr>
              <w:t>4%)</w:t>
            </w:r>
          </w:p>
        </w:tc>
      </w:tr>
      <w:tr w:rsidR="001C3855" w:rsidRPr="00D160FB" w14:paraId="42B6AF57" w14:textId="77777777" w:rsidTr="00C8019E">
        <w:trPr>
          <w:trHeight w:val="145"/>
        </w:trPr>
        <w:tc>
          <w:tcPr>
            <w:tcW w:w="1773" w:type="dxa"/>
            <w:shd w:val="clear" w:color="auto" w:fill="auto"/>
            <w:tcMar>
              <w:left w:w="0" w:type="dxa"/>
            </w:tcMar>
          </w:tcPr>
          <w:p w14:paraId="4A1DC944" w14:textId="0413D2F1" w:rsidR="001C3855" w:rsidRPr="00D160FB" w:rsidRDefault="00843143" w:rsidP="00C8019E">
            <w:pPr>
              <w:pStyle w:val="Marginlie"/>
              <w:rPr>
                <w:color w:val="0D0D0D" w:themeColor="text1" w:themeTint="F2"/>
                <w:spacing w:val="-5"/>
                <w:lang w:val="en-GB"/>
              </w:rPr>
            </w:pPr>
            <w:r w:rsidRPr="00D160FB">
              <w:rPr>
                <w:spacing w:val="-4"/>
                <w:lang w:val="en-GB"/>
              </w:rPr>
              <w:t xml:space="preserve">Collection of consumption taxes increased only slightly and </w:t>
            </w:r>
            <w:r w:rsidR="00D2641A" w:rsidRPr="00D160FB">
              <w:rPr>
                <w:spacing w:val="-4"/>
                <w:lang w:val="en-GB"/>
              </w:rPr>
              <w:t>stayed behind the budget anticipations for all significant items</w:t>
            </w:r>
            <w:r w:rsidR="001C3855" w:rsidRPr="00D160FB">
              <w:rPr>
                <w:spacing w:val="-4"/>
                <w:lang w:val="en-GB"/>
              </w:rPr>
              <w:t>.</w:t>
            </w:r>
          </w:p>
        </w:tc>
        <w:tc>
          <w:tcPr>
            <w:tcW w:w="217" w:type="dxa"/>
            <w:shd w:val="clear" w:color="auto" w:fill="auto"/>
            <w:tcMar>
              <w:left w:w="0" w:type="dxa"/>
            </w:tcMar>
          </w:tcPr>
          <w:p w14:paraId="73BEFFA8"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0162B497" w14:textId="6780A807" w:rsidR="001C3855" w:rsidRPr="00D160FB" w:rsidRDefault="00A57580" w:rsidP="00C8019E">
            <w:pPr>
              <w:spacing w:after="220"/>
              <w:rPr>
                <w:spacing w:val="-4"/>
                <w:lang w:val="en-GB"/>
              </w:rPr>
            </w:pPr>
            <w:r w:rsidRPr="00D160FB">
              <w:rPr>
                <w:color w:val="0D0D0D" w:themeColor="text1" w:themeTint="F2"/>
                <w:spacing w:val="-4"/>
                <w:lang w:val="en-GB"/>
              </w:rPr>
              <w:t xml:space="preserve">Despite 2.2% more flowing into the SB year-on-year from consumption taxes (incl. energetic) last year, the size of collection </w:t>
            </w:r>
            <w:r w:rsidR="001C3855" w:rsidRPr="00D160FB">
              <w:rPr>
                <w:spacing w:val="-4"/>
                <w:lang w:val="en-GB"/>
              </w:rPr>
              <w:t>(</w:t>
            </w:r>
            <w:r w:rsidRPr="00D160FB">
              <w:rPr>
                <w:spacing w:val="-4"/>
                <w:lang w:val="en-GB"/>
              </w:rPr>
              <w:t>similarly to VAT</w:t>
            </w:r>
            <w:r w:rsidR="001C3855" w:rsidRPr="00D160FB">
              <w:rPr>
                <w:spacing w:val="-4"/>
                <w:lang w:val="en-GB"/>
              </w:rPr>
              <w:t>)</w:t>
            </w:r>
            <w:r w:rsidRPr="00D160FB">
              <w:rPr>
                <w:spacing w:val="-4"/>
                <w:lang w:val="en-GB"/>
              </w:rPr>
              <w:t xml:space="preserve"> </w:t>
            </w:r>
            <w:r w:rsidR="00F91237" w:rsidRPr="00D160FB">
              <w:rPr>
                <w:spacing w:val="-4"/>
                <w:lang w:val="en-GB"/>
              </w:rPr>
              <w:t xml:space="preserve">stayed </w:t>
            </w:r>
            <w:r w:rsidRPr="00D160FB">
              <w:rPr>
                <w:spacing w:val="-4"/>
                <w:lang w:val="en-GB"/>
              </w:rPr>
              <w:t xml:space="preserve">behind </w:t>
            </w:r>
            <w:r w:rsidR="00F91237" w:rsidRPr="00D160FB">
              <w:rPr>
                <w:spacing w:val="-4"/>
                <w:lang w:val="en-GB"/>
              </w:rPr>
              <w:t xml:space="preserve">the </w:t>
            </w:r>
            <w:r w:rsidRPr="00D160FB">
              <w:rPr>
                <w:spacing w:val="-4"/>
                <w:lang w:val="en-GB"/>
              </w:rPr>
              <w:t>budget a</w:t>
            </w:r>
            <w:r w:rsidR="00F91237" w:rsidRPr="00D160FB">
              <w:rPr>
                <w:spacing w:val="-4"/>
                <w:lang w:val="en-GB"/>
              </w:rPr>
              <w:t xml:space="preserve">nticipations. Collection of the most weight significant </w:t>
            </w:r>
            <w:r w:rsidR="00641BBD" w:rsidRPr="00D160FB">
              <w:rPr>
                <w:spacing w:val="-4"/>
                <w:lang w:val="en-GB"/>
              </w:rPr>
              <w:t>tax –</w:t>
            </w:r>
            <w:r w:rsidR="001C3855" w:rsidRPr="00D160FB">
              <w:rPr>
                <w:spacing w:val="-4"/>
                <w:lang w:val="en-GB"/>
              </w:rPr>
              <w:t xml:space="preserve"> </w:t>
            </w:r>
            <w:r w:rsidR="00F91237" w:rsidRPr="00D160FB">
              <w:rPr>
                <w:spacing w:val="-4"/>
                <w:lang w:val="en-GB"/>
              </w:rPr>
              <w:t>from mineral oils</w:t>
            </w:r>
            <w:r w:rsidR="001C3855" w:rsidRPr="00D160FB">
              <w:rPr>
                <w:spacing w:val="-4"/>
                <w:lang w:val="en-GB"/>
              </w:rPr>
              <w:t xml:space="preserve"> – </w:t>
            </w:r>
            <w:r w:rsidR="00F91237" w:rsidRPr="00D160FB">
              <w:rPr>
                <w:spacing w:val="-4"/>
                <w:lang w:val="en-GB"/>
              </w:rPr>
              <w:t xml:space="preserve">dropped by 4.1% </w:t>
            </w:r>
            <w:r w:rsidR="001C3855" w:rsidRPr="00D160FB">
              <w:rPr>
                <w:spacing w:val="-4"/>
                <w:lang w:val="en-GB"/>
              </w:rPr>
              <w:t>(</w:t>
            </w:r>
            <w:r w:rsidR="00F91237" w:rsidRPr="00D160FB">
              <w:rPr>
                <w:spacing w:val="-4"/>
                <w:lang w:val="en-GB"/>
              </w:rPr>
              <w:t xml:space="preserve">by </w:t>
            </w:r>
            <w:r w:rsidR="001C3855" w:rsidRPr="00D160FB">
              <w:rPr>
                <w:spacing w:val="-4"/>
                <w:lang w:val="en-GB"/>
              </w:rPr>
              <w:t>3</w:t>
            </w:r>
            <w:r w:rsidR="00F91237" w:rsidRPr="00D160FB">
              <w:rPr>
                <w:spacing w:val="-4"/>
                <w:lang w:val="en-GB"/>
              </w:rPr>
              <w:t>.</w:t>
            </w:r>
            <w:r w:rsidR="001C3855" w:rsidRPr="00D160FB">
              <w:rPr>
                <w:spacing w:val="-4"/>
                <w:lang w:val="en-GB"/>
              </w:rPr>
              <w:t>1</w:t>
            </w:r>
            <w:r w:rsidR="00F91237" w:rsidRPr="00D160FB">
              <w:rPr>
                <w:spacing w:val="-4"/>
                <w:lang w:val="en-GB"/>
              </w:rPr>
              <w:t xml:space="preserve"> CZK bn</w:t>
            </w:r>
            <w:r w:rsidR="00C133BB" w:rsidRPr="00D160FB">
              <w:rPr>
                <w:spacing w:val="-4"/>
                <w:lang w:val="en-GB"/>
              </w:rPr>
              <w:t xml:space="preserve"> resp.</w:t>
            </w:r>
            <w:r w:rsidR="001C3855" w:rsidRPr="00D160FB">
              <w:rPr>
                <w:spacing w:val="-4"/>
                <w:lang w:val="en-GB"/>
              </w:rPr>
              <w:t>)</w:t>
            </w:r>
            <w:r w:rsidR="00F91237" w:rsidRPr="00D160FB">
              <w:rPr>
                <w:spacing w:val="-4"/>
                <w:lang w:val="en-GB"/>
              </w:rPr>
              <w:t xml:space="preserve"> compared to year 2021 exclusively due to the adverse </w:t>
            </w:r>
            <w:r w:rsidR="00F91237" w:rsidRPr="00D160FB">
              <w:rPr>
                <w:spacing w:val="-4"/>
                <w:lang w:val="en-GB"/>
              </w:rPr>
              <w:lastRenderedPageBreak/>
              <w:t>development in H</w:t>
            </w:r>
            <w:r w:rsidR="001C3855" w:rsidRPr="00D160FB">
              <w:rPr>
                <w:spacing w:val="-4"/>
                <w:lang w:val="en-GB"/>
              </w:rPr>
              <w:t>2</w:t>
            </w:r>
            <w:r w:rsidR="00F91237" w:rsidRPr="00D160FB">
              <w:rPr>
                <w:spacing w:val="-4"/>
                <w:lang w:val="en-GB"/>
              </w:rPr>
              <w:t xml:space="preserve"> </w:t>
            </w:r>
            <w:r w:rsidR="001C3855" w:rsidRPr="00D160FB">
              <w:rPr>
                <w:spacing w:val="-4"/>
                <w:lang w:val="en-GB"/>
              </w:rPr>
              <w:t>2022</w:t>
            </w:r>
            <w:r w:rsidR="001C3855" w:rsidRPr="00D160FB">
              <w:rPr>
                <w:rStyle w:val="Znakapoznpodarou"/>
                <w:spacing w:val="-4"/>
                <w:lang w:val="en-GB"/>
              </w:rPr>
              <w:footnoteReference w:id="94"/>
            </w:r>
            <w:r w:rsidR="001C3855" w:rsidRPr="00D160FB">
              <w:rPr>
                <w:spacing w:val="-4"/>
                <w:lang w:val="en-GB"/>
              </w:rPr>
              <w:t xml:space="preserve">. </w:t>
            </w:r>
            <w:r w:rsidR="00D06F7A" w:rsidRPr="00D160FB">
              <w:rPr>
                <w:spacing w:val="-4"/>
                <w:lang w:val="en-GB"/>
              </w:rPr>
              <w:t xml:space="preserve">Both lower summer as well as autumn consumption of </w:t>
            </w:r>
            <w:r w:rsidR="009563B3" w:rsidRPr="00D160FB">
              <w:rPr>
                <w:spacing w:val="-4"/>
                <w:lang w:val="en-GB"/>
              </w:rPr>
              <w:t xml:space="preserve">diesel fuel and petrol </w:t>
            </w:r>
            <w:r w:rsidR="001C3855" w:rsidRPr="00D160FB">
              <w:rPr>
                <w:spacing w:val="-4"/>
                <w:lang w:val="en-GB"/>
              </w:rPr>
              <w:t>(</w:t>
            </w:r>
            <w:r w:rsidRPr="00D160FB">
              <w:rPr>
                <w:spacing w:val="-4"/>
                <w:lang w:val="en-GB"/>
              </w:rPr>
              <w:t>mainly due to record high prices</w:t>
            </w:r>
            <w:r w:rsidR="001C3855" w:rsidRPr="00D160FB">
              <w:rPr>
                <w:spacing w:val="-4"/>
                <w:lang w:val="en-GB"/>
              </w:rPr>
              <w:t>)</w:t>
            </w:r>
            <w:r w:rsidR="00D06F7A" w:rsidRPr="00D160FB">
              <w:rPr>
                <w:spacing w:val="-4"/>
                <w:lang w:val="en-GB"/>
              </w:rPr>
              <w:t xml:space="preserve"> and impacts of the lowered tax rate had an effect here</w:t>
            </w:r>
            <w:r w:rsidR="001C3855" w:rsidRPr="00D160FB">
              <w:rPr>
                <w:rStyle w:val="Znakapoznpodarou"/>
                <w:spacing w:val="-4"/>
                <w:lang w:val="en-GB"/>
              </w:rPr>
              <w:footnoteReference w:id="95"/>
            </w:r>
            <w:r w:rsidR="001C3855" w:rsidRPr="00D160FB">
              <w:rPr>
                <w:spacing w:val="-4"/>
                <w:lang w:val="en-GB"/>
              </w:rPr>
              <w:t xml:space="preserve">. </w:t>
            </w:r>
            <w:r w:rsidR="004C64A3" w:rsidRPr="00D160FB">
              <w:rPr>
                <w:spacing w:val="-4"/>
                <w:lang w:val="en-GB"/>
              </w:rPr>
              <w:t xml:space="preserve">Collection of tax on tobaccos products increased by </w:t>
            </w:r>
            <w:r w:rsidR="001C3855" w:rsidRPr="00D160FB">
              <w:rPr>
                <w:spacing w:val="-4"/>
                <w:lang w:val="en-GB"/>
              </w:rPr>
              <w:t>5</w:t>
            </w:r>
            <w:r w:rsidR="004C64A3" w:rsidRPr="00D160FB">
              <w:rPr>
                <w:spacing w:val="-4"/>
                <w:lang w:val="en-GB"/>
              </w:rPr>
              <w:t>.</w:t>
            </w:r>
            <w:r w:rsidR="001C3855" w:rsidRPr="00D160FB">
              <w:rPr>
                <w:spacing w:val="-4"/>
                <w:lang w:val="en-GB"/>
              </w:rPr>
              <w:t>6%</w:t>
            </w:r>
            <w:r w:rsidR="004C64A3" w:rsidRPr="00D160FB">
              <w:rPr>
                <w:spacing w:val="-4"/>
                <w:lang w:val="en-GB"/>
              </w:rPr>
              <w:t xml:space="preserve"> last year and compensated the SB the lower collection of tax on mineral oils </w:t>
            </w:r>
            <w:r w:rsidR="001C3855" w:rsidRPr="00D160FB">
              <w:rPr>
                <w:spacing w:val="-4"/>
                <w:lang w:val="en-GB"/>
              </w:rPr>
              <w:t>(</w:t>
            </w:r>
            <w:r w:rsidR="004C64A3" w:rsidRPr="00D160FB">
              <w:rPr>
                <w:spacing w:val="-4"/>
                <w:lang w:val="en-GB"/>
              </w:rPr>
              <w:t>a decline also occurred here however in Q</w:t>
            </w:r>
            <w:r w:rsidR="001C3855" w:rsidRPr="00D160FB">
              <w:rPr>
                <w:spacing w:val="-4"/>
                <w:lang w:val="en-GB"/>
              </w:rPr>
              <w:t>4</w:t>
            </w:r>
            <w:r w:rsidR="0027401B" w:rsidRPr="00D160FB">
              <w:rPr>
                <w:spacing w:val="-4"/>
                <w:lang w:val="en-GB"/>
              </w:rPr>
              <w:t xml:space="preserve"> </w:t>
            </w:r>
            <w:r w:rsidR="004C64A3" w:rsidRPr="00D160FB">
              <w:rPr>
                <w:spacing w:val="-4"/>
                <w:lang w:val="en-GB"/>
              </w:rPr>
              <w:t>itself</w:t>
            </w:r>
            <w:r w:rsidR="001C3855" w:rsidRPr="00D160FB">
              <w:rPr>
                <w:spacing w:val="-4"/>
                <w:lang w:val="en-GB"/>
              </w:rPr>
              <w:t xml:space="preserve">). </w:t>
            </w:r>
            <w:r w:rsidR="00733638" w:rsidRPr="00D160FB">
              <w:rPr>
                <w:spacing w:val="-4"/>
                <w:lang w:val="en-GB"/>
              </w:rPr>
              <w:t>Higher annual collection mainly reflected the effect of the ongoing increase of tax rate on tobacco products. Total collection of consumption taxes</w:t>
            </w:r>
            <w:r w:rsidR="009563B3" w:rsidRPr="00D160FB">
              <w:rPr>
                <w:spacing w:val="-4"/>
                <w:lang w:val="en-GB"/>
              </w:rPr>
              <w:t xml:space="preserve"> </w:t>
            </w:r>
            <w:r w:rsidR="0013093B" w:rsidRPr="00D160FB">
              <w:rPr>
                <w:spacing w:val="-4"/>
                <w:lang w:val="en-GB"/>
              </w:rPr>
              <w:t>also grew</w:t>
            </w:r>
            <w:r w:rsidR="009563B3" w:rsidRPr="00D160FB">
              <w:rPr>
                <w:spacing w:val="-4"/>
                <w:lang w:val="en-GB"/>
              </w:rPr>
              <w:t xml:space="preserve"> thanks to higher </w:t>
            </w:r>
            <w:r w:rsidR="00ED018F" w:rsidRPr="00D160FB">
              <w:rPr>
                <w:spacing w:val="-4"/>
                <w:lang w:val="en-GB"/>
              </w:rPr>
              <w:t>rate of levy from older solar power generation plants</w:t>
            </w:r>
            <w:r w:rsidR="001C3855" w:rsidRPr="00D160FB">
              <w:rPr>
                <w:spacing w:val="-4"/>
                <w:lang w:val="en-GB"/>
              </w:rPr>
              <w:t xml:space="preserve">, </w:t>
            </w:r>
            <w:r w:rsidR="0013093B" w:rsidRPr="00D160FB">
              <w:rPr>
                <w:spacing w:val="-4"/>
                <w:lang w:val="en-GB"/>
              </w:rPr>
              <w:t xml:space="preserve">the yearly planned collection was not however completely fulfilled here. It was also valid for the collection of tax on alcohol </w:t>
            </w:r>
            <w:r w:rsidR="001C3855" w:rsidRPr="00D160FB">
              <w:rPr>
                <w:spacing w:val="-4"/>
                <w:lang w:val="en-GB"/>
              </w:rPr>
              <w:t>(</w:t>
            </w:r>
            <w:r w:rsidR="0013093B" w:rsidRPr="00D160FB">
              <w:rPr>
                <w:spacing w:val="-4"/>
                <w:lang w:val="en-GB"/>
              </w:rPr>
              <w:t xml:space="preserve">with year-on-year growth of </w:t>
            </w:r>
            <w:r w:rsidR="001C3855" w:rsidRPr="00D160FB">
              <w:rPr>
                <w:spacing w:val="-4"/>
                <w:lang w:val="en-GB"/>
              </w:rPr>
              <w:t>1</w:t>
            </w:r>
            <w:r w:rsidR="0013093B" w:rsidRPr="00D160FB">
              <w:rPr>
                <w:spacing w:val="-4"/>
                <w:lang w:val="en-GB"/>
              </w:rPr>
              <w:t>.</w:t>
            </w:r>
            <w:r w:rsidR="001C3855" w:rsidRPr="00D160FB">
              <w:rPr>
                <w:spacing w:val="-4"/>
                <w:lang w:val="en-GB"/>
              </w:rPr>
              <w:t xml:space="preserve">7%) </w:t>
            </w:r>
            <w:r w:rsidR="0013093B" w:rsidRPr="00D160FB">
              <w:rPr>
                <w:spacing w:val="-4"/>
                <w:lang w:val="en-GB"/>
              </w:rPr>
              <w:t xml:space="preserve">or beer </w:t>
            </w:r>
            <w:r w:rsidR="001C3855" w:rsidRPr="00D160FB">
              <w:rPr>
                <w:spacing w:val="-4"/>
                <w:lang w:val="en-GB"/>
              </w:rPr>
              <w:t>(+6</w:t>
            </w:r>
            <w:r w:rsidR="0013093B" w:rsidRPr="00D160FB">
              <w:rPr>
                <w:spacing w:val="-4"/>
                <w:lang w:val="en-GB"/>
              </w:rPr>
              <w:t>.</w:t>
            </w:r>
            <w:r w:rsidR="001C3855" w:rsidRPr="00D160FB">
              <w:rPr>
                <w:spacing w:val="-4"/>
                <w:lang w:val="en-GB"/>
              </w:rPr>
              <w:t xml:space="preserve">7%). </w:t>
            </w:r>
            <w:r w:rsidR="003E333B" w:rsidRPr="00D160FB">
              <w:rPr>
                <w:spacing w:val="-4"/>
                <w:lang w:val="en-GB"/>
              </w:rPr>
              <w:t xml:space="preserve">The collection of marginal tax on wine fared better </w:t>
            </w:r>
            <w:r w:rsidR="001C3855" w:rsidRPr="00D160FB">
              <w:rPr>
                <w:spacing w:val="-4"/>
                <w:lang w:val="en-GB"/>
              </w:rPr>
              <w:t>(+14</w:t>
            </w:r>
            <w:r w:rsidR="0027401B" w:rsidRPr="00D160FB">
              <w:rPr>
                <w:spacing w:val="-4"/>
                <w:lang w:val="en-GB"/>
              </w:rPr>
              <w:t>.</w:t>
            </w:r>
            <w:r w:rsidR="001C3855" w:rsidRPr="00D160FB">
              <w:rPr>
                <w:spacing w:val="-4"/>
                <w:lang w:val="en-GB"/>
              </w:rPr>
              <w:t>4%)</w:t>
            </w:r>
            <w:r w:rsidR="003E333B" w:rsidRPr="00D160FB">
              <w:rPr>
                <w:spacing w:val="-4"/>
                <w:lang w:val="en-GB"/>
              </w:rPr>
              <w:t xml:space="preserve"> and </w:t>
            </w:r>
            <w:r w:rsidRPr="00D160FB">
              <w:rPr>
                <w:spacing w:val="-4"/>
                <w:lang w:val="en-GB"/>
              </w:rPr>
              <w:t xml:space="preserve">considerably overtook even the pre-crisis level. </w:t>
            </w:r>
          </w:p>
        </w:tc>
      </w:tr>
      <w:tr w:rsidR="001C3855" w:rsidRPr="00D160FB" w14:paraId="158113D4" w14:textId="77777777" w:rsidTr="00C8019E">
        <w:trPr>
          <w:trHeight w:val="145"/>
        </w:trPr>
        <w:tc>
          <w:tcPr>
            <w:tcW w:w="1773" w:type="dxa"/>
            <w:shd w:val="clear" w:color="auto" w:fill="auto"/>
            <w:tcMar>
              <w:left w:w="0" w:type="dxa"/>
            </w:tcMar>
          </w:tcPr>
          <w:p w14:paraId="75717611" w14:textId="14D7934D" w:rsidR="001C3855" w:rsidRPr="00D160FB" w:rsidRDefault="009563B3" w:rsidP="00C8019E">
            <w:pPr>
              <w:pStyle w:val="Marginlie"/>
              <w:rPr>
                <w:color w:val="0D0D0D" w:themeColor="text1" w:themeTint="F2"/>
                <w:lang w:val="en-GB"/>
              </w:rPr>
            </w:pPr>
            <w:r w:rsidRPr="00D160FB">
              <w:rPr>
                <w:color w:val="0D0D0D" w:themeColor="text1" w:themeTint="F2"/>
                <w:lang w:val="en-GB"/>
              </w:rPr>
              <w:lastRenderedPageBreak/>
              <w:t xml:space="preserve">Collection of income tax of legal persons grew fast for the entire last year. </w:t>
            </w:r>
            <w:r w:rsidR="00B40A7D" w:rsidRPr="00D160FB">
              <w:rPr>
                <w:color w:val="0D0D0D" w:themeColor="text1" w:themeTint="F2"/>
                <w:lang w:val="en-GB"/>
              </w:rPr>
              <w:t xml:space="preserve">Large businesses in some branches influenced it positively. </w:t>
            </w:r>
          </w:p>
        </w:tc>
        <w:tc>
          <w:tcPr>
            <w:tcW w:w="217" w:type="dxa"/>
            <w:shd w:val="clear" w:color="auto" w:fill="auto"/>
            <w:tcMar>
              <w:left w:w="0" w:type="dxa"/>
            </w:tcMar>
          </w:tcPr>
          <w:p w14:paraId="1CCB7133"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43C2714B" w14:textId="31A33440" w:rsidR="001C3855" w:rsidRPr="00D160FB" w:rsidRDefault="007A2986" w:rsidP="00C8019E">
            <w:pPr>
              <w:spacing w:after="220"/>
              <w:rPr>
                <w:spacing w:val="-4"/>
                <w:lang w:val="en-GB"/>
              </w:rPr>
            </w:pPr>
            <w:r w:rsidRPr="00D160FB">
              <w:rPr>
                <w:spacing w:val="-4"/>
                <w:lang w:val="en-GB"/>
              </w:rPr>
              <w:t xml:space="preserve">SB revenue from the corporate tax ascended to record size </w:t>
            </w:r>
            <w:r w:rsidR="001C3855" w:rsidRPr="00D160FB">
              <w:rPr>
                <w:color w:val="0D0D0D" w:themeColor="text1" w:themeTint="F2"/>
                <w:spacing w:val="-4"/>
                <w:lang w:val="en-GB"/>
              </w:rPr>
              <w:t>(151</w:t>
            </w:r>
            <w:r w:rsidRPr="00D160FB">
              <w:rPr>
                <w:color w:val="0D0D0D" w:themeColor="text1" w:themeTint="F2"/>
                <w:spacing w:val="-4"/>
                <w:lang w:val="en-GB"/>
              </w:rPr>
              <w:t>.</w:t>
            </w:r>
            <w:r w:rsidR="001C3855" w:rsidRPr="00D160FB">
              <w:rPr>
                <w:color w:val="0D0D0D" w:themeColor="text1" w:themeTint="F2"/>
                <w:spacing w:val="-4"/>
                <w:lang w:val="en-GB"/>
              </w:rPr>
              <w:t>5</w:t>
            </w:r>
            <w:r w:rsidRPr="00D160FB">
              <w:rPr>
                <w:color w:val="0D0D0D" w:themeColor="text1" w:themeTint="F2"/>
                <w:spacing w:val="-4"/>
                <w:lang w:val="en-GB"/>
              </w:rPr>
              <w:t xml:space="preserve"> CZK bn</w:t>
            </w:r>
            <w:r w:rsidR="001C3855" w:rsidRPr="00D160FB">
              <w:rPr>
                <w:color w:val="0D0D0D" w:themeColor="text1" w:themeTint="F2"/>
                <w:spacing w:val="-4"/>
                <w:lang w:val="en-GB"/>
              </w:rPr>
              <w:t>)</w:t>
            </w:r>
            <w:r w:rsidRPr="00D160FB">
              <w:rPr>
                <w:color w:val="0D0D0D" w:themeColor="text1" w:themeTint="F2"/>
                <w:spacing w:val="-4"/>
                <w:lang w:val="en-GB"/>
              </w:rPr>
              <w:t xml:space="preserve"> last year</w:t>
            </w:r>
            <w:r w:rsidR="001C3855" w:rsidRPr="00D160FB">
              <w:rPr>
                <w:color w:val="0D0D0D" w:themeColor="text1" w:themeTint="F2"/>
                <w:spacing w:val="-4"/>
                <w:lang w:val="en-GB"/>
              </w:rPr>
              <w:t xml:space="preserve">. </w:t>
            </w:r>
            <w:r w:rsidRPr="00D160FB">
              <w:rPr>
                <w:color w:val="0D0D0D" w:themeColor="text1" w:themeTint="F2"/>
                <w:spacing w:val="-4"/>
                <w:lang w:val="en-GB"/>
              </w:rPr>
              <w:t xml:space="preserve">It strengthened by one sixth year-on-year and </w:t>
            </w:r>
            <w:r w:rsidR="00B40A7D" w:rsidRPr="00D160FB">
              <w:rPr>
                <w:color w:val="0D0D0D" w:themeColor="text1" w:themeTint="F2"/>
                <w:spacing w:val="-4"/>
                <w:lang w:val="en-GB"/>
              </w:rPr>
              <w:t xml:space="preserve">considerably </w:t>
            </w:r>
            <w:r w:rsidR="006D74F7" w:rsidRPr="00D160FB">
              <w:rPr>
                <w:color w:val="0D0D0D" w:themeColor="text1" w:themeTint="F2"/>
                <w:spacing w:val="-4"/>
                <w:lang w:val="en-GB"/>
              </w:rPr>
              <w:t>also surpassed</w:t>
            </w:r>
            <w:r w:rsidR="00B40A7D" w:rsidRPr="00D160FB">
              <w:rPr>
                <w:color w:val="0D0D0D" w:themeColor="text1" w:themeTint="F2"/>
                <w:spacing w:val="-4"/>
                <w:lang w:val="en-GB"/>
              </w:rPr>
              <w:t xml:space="preserve"> the budget anticipations </w:t>
            </w:r>
            <w:r w:rsidR="001C3855" w:rsidRPr="00D160FB">
              <w:rPr>
                <w:spacing w:val="-4"/>
                <w:lang w:val="en-GB"/>
              </w:rPr>
              <w:t>(</w:t>
            </w:r>
            <w:r w:rsidR="00B40A7D" w:rsidRPr="00D160FB">
              <w:rPr>
                <w:spacing w:val="-4"/>
                <w:lang w:val="en-GB"/>
              </w:rPr>
              <w:t xml:space="preserve">by </w:t>
            </w:r>
            <w:r w:rsidR="001C3855" w:rsidRPr="00D160FB">
              <w:rPr>
                <w:spacing w:val="-4"/>
                <w:lang w:val="en-GB"/>
              </w:rPr>
              <w:t>15%, 20</w:t>
            </w:r>
            <w:r w:rsidR="00B40A7D" w:rsidRPr="00D160FB">
              <w:rPr>
                <w:spacing w:val="-4"/>
                <w:lang w:val="en-GB"/>
              </w:rPr>
              <w:t xml:space="preserve"> CZK bn</w:t>
            </w:r>
            <w:r w:rsidR="00C133BB" w:rsidRPr="00D160FB">
              <w:rPr>
                <w:spacing w:val="-4"/>
                <w:lang w:val="en-GB"/>
              </w:rPr>
              <w:t xml:space="preserve"> resp.</w:t>
            </w:r>
            <w:r w:rsidR="001C3855" w:rsidRPr="00D160FB">
              <w:rPr>
                <w:spacing w:val="-4"/>
                <w:lang w:val="en-GB"/>
              </w:rPr>
              <w:t xml:space="preserve">). </w:t>
            </w:r>
            <w:r w:rsidR="006D74F7" w:rsidRPr="00D160FB">
              <w:rPr>
                <w:spacing w:val="-4"/>
                <w:lang w:val="en-GB"/>
              </w:rPr>
              <w:t xml:space="preserve">High June collection had a favourable effect </w:t>
            </w:r>
            <w:r w:rsidR="001C3855" w:rsidRPr="00D160FB">
              <w:rPr>
                <w:spacing w:val="-4"/>
                <w:lang w:val="en-GB"/>
              </w:rPr>
              <w:t>(</w:t>
            </w:r>
            <w:r w:rsidR="006D74F7" w:rsidRPr="00D160FB">
              <w:rPr>
                <w:spacing w:val="-4"/>
                <w:lang w:val="en-GB"/>
              </w:rPr>
              <w:t xml:space="preserve">including both quarter and half-yearly </w:t>
            </w:r>
            <w:r w:rsidR="00FF6072" w:rsidRPr="00D160FB">
              <w:rPr>
                <w:spacing w:val="-4"/>
                <w:lang w:val="en-GB"/>
              </w:rPr>
              <w:t xml:space="preserve">advance tax payments and part of the payment of tax for year </w:t>
            </w:r>
            <w:r w:rsidR="001C3855" w:rsidRPr="00D160FB">
              <w:rPr>
                <w:spacing w:val="-4"/>
                <w:lang w:val="en-GB"/>
              </w:rPr>
              <w:t xml:space="preserve">2021), </w:t>
            </w:r>
            <w:r w:rsidR="00292EB0" w:rsidRPr="00D160FB">
              <w:rPr>
                <w:spacing w:val="-4"/>
                <w:lang w:val="en-GB"/>
              </w:rPr>
              <w:t xml:space="preserve">nevertheless the collection maintained a high dynamic also at the end of the year </w:t>
            </w:r>
            <w:r w:rsidR="001C3855" w:rsidRPr="00D160FB">
              <w:rPr>
                <w:spacing w:val="-4"/>
                <w:lang w:val="en-GB"/>
              </w:rPr>
              <w:t>(</w:t>
            </w:r>
            <w:r w:rsidR="00292EB0" w:rsidRPr="00D160FB">
              <w:rPr>
                <w:spacing w:val="-4"/>
                <w:lang w:val="en-GB"/>
              </w:rPr>
              <w:t>thanks to quarterly tax advance payment</w:t>
            </w:r>
            <w:r w:rsidR="001C3855" w:rsidRPr="00D160FB">
              <w:rPr>
                <w:spacing w:val="-4"/>
                <w:lang w:val="en-GB"/>
              </w:rPr>
              <w:t xml:space="preserve">). </w:t>
            </w:r>
            <w:r w:rsidR="00292EB0" w:rsidRPr="00D160FB">
              <w:rPr>
                <w:spacing w:val="-4"/>
                <w:lang w:val="en-GB"/>
              </w:rPr>
              <w:t xml:space="preserve">Collection of taxes reflected the favourable economic results of some large businesses </w:t>
            </w:r>
            <w:r w:rsidR="001C3855" w:rsidRPr="00D160FB">
              <w:rPr>
                <w:spacing w:val="-4"/>
                <w:lang w:val="en-GB"/>
              </w:rPr>
              <w:t>(</w:t>
            </w:r>
            <w:r w:rsidR="00292EB0" w:rsidRPr="00D160FB">
              <w:rPr>
                <w:spacing w:val="-4"/>
                <w:lang w:val="en-GB"/>
              </w:rPr>
              <w:t>e.g. in the area of energy, trade or financial activities</w:t>
            </w:r>
            <w:r w:rsidR="001C3855" w:rsidRPr="00D160FB">
              <w:rPr>
                <w:spacing w:val="-4"/>
                <w:lang w:val="en-GB"/>
              </w:rPr>
              <w:t xml:space="preserve">). </w:t>
            </w:r>
            <w:r w:rsidR="00244D6A" w:rsidRPr="00D160FB">
              <w:rPr>
                <w:spacing w:val="-4"/>
                <w:lang w:val="en-GB"/>
              </w:rPr>
              <w:t>Legislative amendments influenced the size of collection as well</w:t>
            </w:r>
            <w:r w:rsidR="001C3855" w:rsidRPr="00D160FB">
              <w:rPr>
                <w:rStyle w:val="Znakapoznpodarou"/>
                <w:spacing w:val="-4"/>
                <w:lang w:val="en-GB"/>
              </w:rPr>
              <w:footnoteReference w:id="96"/>
            </w:r>
            <w:r w:rsidR="001C3855" w:rsidRPr="00D160FB">
              <w:rPr>
                <w:spacing w:val="-4"/>
                <w:lang w:val="en-GB"/>
              </w:rPr>
              <w:t>.</w:t>
            </w:r>
          </w:p>
        </w:tc>
      </w:tr>
      <w:tr w:rsidR="001C3855" w:rsidRPr="00D160FB" w14:paraId="23B10FAA" w14:textId="77777777" w:rsidTr="00C8019E">
        <w:trPr>
          <w:trHeight w:val="170"/>
        </w:trPr>
        <w:tc>
          <w:tcPr>
            <w:tcW w:w="1773" w:type="dxa"/>
            <w:vMerge w:val="restart"/>
            <w:shd w:val="clear" w:color="auto" w:fill="auto"/>
            <w:tcMar>
              <w:left w:w="0" w:type="dxa"/>
            </w:tcMar>
          </w:tcPr>
          <w:p w14:paraId="13E26DBB" w14:textId="77777777" w:rsidR="001C3855" w:rsidRPr="00D160FB" w:rsidRDefault="001C3855" w:rsidP="00C8019E">
            <w:pPr>
              <w:pStyle w:val="Marginlie"/>
              <w:rPr>
                <w:lang w:val="en-GB"/>
              </w:rPr>
            </w:pPr>
          </w:p>
        </w:tc>
        <w:tc>
          <w:tcPr>
            <w:tcW w:w="217" w:type="dxa"/>
            <w:vMerge w:val="restart"/>
            <w:shd w:val="clear" w:color="auto" w:fill="auto"/>
            <w:tcMar>
              <w:left w:w="0" w:type="dxa"/>
            </w:tcMar>
          </w:tcPr>
          <w:p w14:paraId="70985DD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20562408" w14:textId="3C0FF448" w:rsidR="001C3855" w:rsidRPr="00D160FB" w:rsidRDefault="006B4B60" w:rsidP="00C8019E">
            <w:pPr>
              <w:spacing w:after="20"/>
              <w:rPr>
                <w:rFonts w:cs="Arial"/>
                <w:b/>
                <w:bCs/>
                <w:color w:val="000000"/>
                <w:spacing w:val="-4"/>
                <w:szCs w:val="20"/>
                <w:lang w:val="en-GB"/>
              </w:rPr>
            </w:pPr>
            <w:r w:rsidRPr="00D160FB">
              <w:rPr>
                <w:rFonts w:cs="Arial"/>
                <w:b/>
                <w:bCs/>
                <w:color w:val="000000"/>
                <w:spacing w:val="-4"/>
                <w:szCs w:val="20"/>
                <w:lang w:val="en-GB"/>
              </w:rPr>
              <w:t xml:space="preserve">Chart </w:t>
            </w:r>
            <w:r w:rsidR="008F525A" w:rsidRPr="00D160FB">
              <w:rPr>
                <w:rFonts w:cs="Arial"/>
                <w:b/>
                <w:bCs/>
                <w:color w:val="000000"/>
                <w:spacing w:val="-4"/>
                <w:szCs w:val="20"/>
                <w:lang w:val="en-GB"/>
              </w:rPr>
              <w:t>18</w:t>
            </w:r>
            <w:r w:rsidR="001C3855" w:rsidRPr="00D160FB">
              <w:rPr>
                <w:rFonts w:cs="Arial"/>
                <w:b/>
                <w:bCs/>
                <w:color w:val="000000"/>
                <w:spacing w:val="-4"/>
                <w:szCs w:val="20"/>
                <w:lang w:val="en-GB"/>
              </w:rPr>
              <w:t xml:space="preserve"> </w:t>
            </w:r>
            <w:r w:rsidR="008B1792">
              <w:rPr>
                <w:rFonts w:cs="Arial"/>
                <w:b/>
                <w:bCs/>
                <w:color w:val="000000"/>
                <w:spacing w:val="-4"/>
                <w:szCs w:val="20"/>
                <w:lang w:val="en-GB"/>
              </w:rPr>
              <w:t>State-</w:t>
            </w:r>
            <w:r w:rsidR="0027401B" w:rsidRPr="00D160FB">
              <w:rPr>
                <w:rFonts w:cs="Arial"/>
                <w:b/>
                <w:bCs/>
                <w:color w:val="000000"/>
                <w:spacing w:val="-4"/>
                <w:szCs w:val="20"/>
                <w:lang w:val="en-GB"/>
              </w:rPr>
              <w:t xml:space="preserve">wide collections of </w:t>
            </w:r>
            <w:r w:rsidR="008B1792">
              <w:rPr>
                <w:rFonts w:cs="Arial"/>
                <w:b/>
                <w:bCs/>
                <w:color w:val="000000"/>
                <w:spacing w:val="-4"/>
                <w:szCs w:val="20"/>
                <w:lang w:val="en-GB"/>
              </w:rPr>
              <w:t xml:space="preserve">main </w:t>
            </w:r>
            <w:r w:rsidR="0027401B" w:rsidRPr="00D160FB">
              <w:rPr>
                <w:rFonts w:cs="Arial"/>
                <w:b/>
                <w:bCs/>
                <w:color w:val="000000"/>
                <w:spacing w:val="-4"/>
                <w:szCs w:val="20"/>
                <w:lang w:val="en-GB"/>
              </w:rPr>
              <w:t xml:space="preserve">tax revenues </w:t>
            </w:r>
            <w:r w:rsidR="0027401B" w:rsidRPr="00D160FB">
              <w:rPr>
                <w:rFonts w:cs="Arial"/>
                <w:bCs/>
                <w:lang w:val="en-GB"/>
              </w:rPr>
              <w:t>(y-o-y in %</w:t>
            </w:r>
            <w:r w:rsidR="0027401B" w:rsidRPr="00D160FB">
              <w:rPr>
                <w:bCs/>
                <w:lang w:val="en-GB"/>
              </w:rPr>
              <w:t xml:space="preserve">) </w:t>
            </w:r>
            <w:r w:rsidR="0027401B" w:rsidRPr="00D160FB">
              <w:rPr>
                <w:rFonts w:cs="Arial"/>
                <w:b/>
                <w:bCs/>
                <w:lang w:val="en-GB"/>
              </w:rPr>
              <w:t xml:space="preserve">and state budget balance </w:t>
            </w:r>
            <w:r w:rsidR="0027401B" w:rsidRPr="00D160FB">
              <w:rPr>
                <w:rFonts w:cs="Arial"/>
                <w:bCs/>
                <w:lang w:val="en-GB"/>
              </w:rPr>
              <w:t xml:space="preserve">(annual total, in CZK bn) </w:t>
            </w:r>
          </w:p>
        </w:tc>
      </w:tr>
      <w:tr w:rsidR="001C3855" w:rsidRPr="00D160FB" w14:paraId="003D1381" w14:textId="77777777" w:rsidTr="008B1792">
        <w:tblPrEx>
          <w:tblCellMar>
            <w:left w:w="70" w:type="dxa"/>
            <w:right w:w="70" w:type="dxa"/>
          </w:tblCellMar>
        </w:tblPrEx>
        <w:trPr>
          <w:trHeight w:val="170"/>
        </w:trPr>
        <w:tc>
          <w:tcPr>
            <w:tcW w:w="1773" w:type="dxa"/>
            <w:vMerge/>
            <w:shd w:val="clear" w:color="auto" w:fill="auto"/>
          </w:tcPr>
          <w:p w14:paraId="5AB2AE8B" w14:textId="77777777" w:rsidR="001C3855" w:rsidRPr="00D160FB" w:rsidRDefault="001C3855" w:rsidP="00C8019E">
            <w:pPr>
              <w:pStyle w:val="Marginlie"/>
              <w:rPr>
                <w:lang w:val="en-GB"/>
              </w:rPr>
            </w:pPr>
          </w:p>
        </w:tc>
        <w:tc>
          <w:tcPr>
            <w:tcW w:w="217" w:type="dxa"/>
            <w:vMerge/>
            <w:shd w:val="clear" w:color="auto" w:fill="auto"/>
          </w:tcPr>
          <w:p w14:paraId="13DEF6C5" w14:textId="77777777" w:rsidR="001C3855" w:rsidRPr="00D160FB" w:rsidRDefault="001C3855" w:rsidP="00C8019E">
            <w:pPr>
              <w:pStyle w:val="Textpoznpodarou"/>
              <w:jc w:val="both"/>
              <w:rPr>
                <w:spacing w:val="-4"/>
                <w:lang w:val="en-GB"/>
              </w:rPr>
            </w:pPr>
          </w:p>
        </w:tc>
        <w:tc>
          <w:tcPr>
            <w:tcW w:w="7679" w:type="dxa"/>
            <w:shd w:val="clear" w:color="auto" w:fill="auto"/>
          </w:tcPr>
          <w:p w14:paraId="6BADA919" w14:textId="5B00D1CF" w:rsidR="001C3855" w:rsidRPr="00D160FB" w:rsidRDefault="008B1792" w:rsidP="008B1792">
            <w:pPr>
              <w:spacing w:after="0"/>
              <w:rPr>
                <w:spacing w:val="-6"/>
                <w:lang w:val="en-GB"/>
              </w:rPr>
            </w:pPr>
            <w:r>
              <w:rPr>
                <w:noProof/>
              </w:rPr>
              <w:drawing>
                <wp:inline distT="0" distB="0" distL="0" distR="0" wp14:anchorId="497DE8FF" wp14:editId="696B8B62">
                  <wp:extent cx="4634865" cy="3571875"/>
                  <wp:effectExtent l="0" t="0" r="0" b="0"/>
                  <wp:docPr id="44" name="Graf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1C3855" w:rsidRPr="00D160FB" w14:paraId="2A301204" w14:textId="77777777" w:rsidTr="00C8019E">
        <w:trPr>
          <w:trHeight w:val="170"/>
        </w:trPr>
        <w:tc>
          <w:tcPr>
            <w:tcW w:w="1773" w:type="dxa"/>
            <w:vMerge/>
            <w:shd w:val="clear" w:color="auto" w:fill="auto"/>
            <w:tcMar>
              <w:left w:w="0" w:type="dxa"/>
            </w:tcMar>
          </w:tcPr>
          <w:p w14:paraId="4221F33C" w14:textId="77777777" w:rsidR="001C3855" w:rsidRPr="00D160FB" w:rsidRDefault="001C3855" w:rsidP="00C8019E">
            <w:pPr>
              <w:pStyle w:val="Marginlie"/>
              <w:rPr>
                <w:lang w:val="en-GB"/>
              </w:rPr>
            </w:pPr>
          </w:p>
        </w:tc>
        <w:tc>
          <w:tcPr>
            <w:tcW w:w="217" w:type="dxa"/>
            <w:vMerge/>
            <w:shd w:val="clear" w:color="auto" w:fill="auto"/>
            <w:tcMar>
              <w:left w:w="0" w:type="dxa"/>
            </w:tcMar>
          </w:tcPr>
          <w:p w14:paraId="2B7D278E"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7B6343E1" w14:textId="7D8186F6" w:rsidR="0027401B" w:rsidRPr="008B1792" w:rsidRDefault="00905037" w:rsidP="008B1792">
            <w:pPr>
              <w:spacing w:after="0"/>
              <w:jc w:val="left"/>
              <w:rPr>
                <w:rFonts w:cs="Arial"/>
                <w:spacing w:val="-6"/>
                <w:sz w:val="16"/>
                <w:szCs w:val="16"/>
                <w:lang w:val="en-GB"/>
              </w:rPr>
            </w:pPr>
            <w:r w:rsidRPr="00905037">
              <w:rPr>
                <w:rFonts w:cs="Arial"/>
                <w:spacing w:val="-6"/>
                <w:sz w:val="14"/>
                <w:szCs w:val="14"/>
                <w:lang w:val="en-GB"/>
              </w:rPr>
              <w:t>*</w:t>
            </w:r>
            <w:r w:rsidR="0069610F" w:rsidRPr="00905037">
              <w:rPr>
                <w:rFonts w:cs="Arial"/>
                <w:spacing w:val="-6"/>
                <w:sz w:val="14"/>
                <w:szCs w:val="14"/>
                <w:lang w:val="en-GB"/>
              </w:rPr>
              <w:t xml:space="preserve">SB balance adjusted </w:t>
            </w:r>
            <w:r w:rsidRPr="00905037">
              <w:rPr>
                <w:rFonts w:cs="Arial"/>
                <w:spacing w:val="-6"/>
                <w:sz w:val="14"/>
                <w:szCs w:val="14"/>
                <w:lang w:val="en-GB"/>
              </w:rPr>
              <w:t>for both</w:t>
            </w:r>
            <w:r w:rsidR="008B1792" w:rsidRPr="00905037">
              <w:rPr>
                <w:rFonts w:cs="Arial"/>
                <w:spacing w:val="-6"/>
                <w:sz w:val="14"/>
                <w:szCs w:val="14"/>
                <w:lang w:val="en-GB"/>
              </w:rPr>
              <w:t xml:space="preserve"> revenues and expenditures connected to EU</w:t>
            </w:r>
            <w:r w:rsidRPr="00905037">
              <w:rPr>
                <w:rFonts w:cs="Arial"/>
                <w:spacing w:val="-6"/>
                <w:sz w:val="14"/>
                <w:szCs w:val="14"/>
                <w:lang w:val="en-GB"/>
              </w:rPr>
              <w:t xml:space="preserve">/FM. </w:t>
            </w:r>
            <w:r w:rsidRPr="00905037">
              <w:rPr>
                <w:spacing w:val="-2"/>
                <w:sz w:val="14"/>
                <w:szCs w:val="14"/>
                <w:lang w:val="en-GB"/>
              </w:rPr>
              <w:t>Data adjusted for effect of EU funds and Financial mechanisms are available since year 2013.</w:t>
            </w:r>
          </w:p>
        </w:tc>
      </w:tr>
      <w:tr w:rsidR="001C3855" w:rsidRPr="00D160FB" w14:paraId="65F5F6A7" w14:textId="77777777" w:rsidTr="00C8019E">
        <w:trPr>
          <w:trHeight w:val="170"/>
        </w:trPr>
        <w:tc>
          <w:tcPr>
            <w:tcW w:w="1773" w:type="dxa"/>
            <w:shd w:val="clear" w:color="auto" w:fill="auto"/>
            <w:tcMar>
              <w:left w:w="0" w:type="dxa"/>
            </w:tcMar>
          </w:tcPr>
          <w:p w14:paraId="112FDFEC" w14:textId="77777777" w:rsidR="001C3855" w:rsidRPr="00D160FB" w:rsidRDefault="001C3855" w:rsidP="00C8019E">
            <w:pPr>
              <w:pStyle w:val="Marginlie"/>
              <w:rPr>
                <w:lang w:val="en-GB"/>
              </w:rPr>
            </w:pPr>
          </w:p>
        </w:tc>
        <w:tc>
          <w:tcPr>
            <w:tcW w:w="217" w:type="dxa"/>
            <w:shd w:val="clear" w:color="auto" w:fill="auto"/>
            <w:tcMar>
              <w:left w:w="0" w:type="dxa"/>
            </w:tcMar>
          </w:tcPr>
          <w:p w14:paraId="74AE2A9C"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58A5A69F" w14:textId="278B3C1B" w:rsidR="001C3855" w:rsidRPr="00D160FB" w:rsidRDefault="00905037" w:rsidP="00905037">
            <w:pPr>
              <w:tabs>
                <w:tab w:val="right" w:pos="7683"/>
              </w:tabs>
              <w:spacing w:after="200"/>
              <w:jc w:val="left"/>
              <w:rPr>
                <w:spacing w:val="-2"/>
                <w:sz w:val="14"/>
                <w:szCs w:val="14"/>
                <w:lang w:val="en-GB"/>
              </w:rPr>
            </w:pPr>
            <w:r w:rsidRPr="00905037">
              <w:rPr>
                <w:spacing w:val="-2"/>
                <w:sz w:val="14"/>
                <w:szCs w:val="14"/>
                <w:lang w:val="en-GB"/>
              </w:rPr>
              <w:t>Source: MF CR</w:t>
            </w:r>
          </w:p>
        </w:tc>
      </w:tr>
      <w:tr w:rsidR="001C3855" w:rsidRPr="00D160FB" w14:paraId="79EF87AA" w14:textId="77777777" w:rsidTr="00C8019E">
        <w:trPr>
          <w:trHeight w:val="170"/>
        </w:trPr>
        <w:tc>
          <w:tcPr>
            <w:tcW w:w="1773" w:type="dxa"/>
            <w:shd w:val="clear" w:color="auto" w:fill="auto"/>
            <w:tcMar>
              <w:left w:w="0" w:type="dxa"/>
            </w:tcMar>
          </w:tcPr>
          <w:p w14:paraId="28045D28" w14:textId="724A31D0" w:rsidR="001C3855" w:rsidRPr="00D160FB" w:rsidRDefault="00B46637" w:rsidP="00C8019E">
            <w:pPr>
              <w:pStyle w:val="Marginlie"/>
              <w:rPr>
                <w:spacing w:val="-4"/>
                <w:lang w:val="en-GB"/>
              </w:rPr>
            </w:pPr>
            <w:r w:rsidRPr="00D160FB">
              <w:rPr>
                <w:spacing w:val="-4"/>
                <w:lang w:val="en-GB"/>
              </w:rPr>
              <w:lastRenderedPageBreak/>
              <w:t>Growth of ITNP collection paid by payers increased thanks to favourable development on the labour market. Legislative amendments had an opposite effect.</w:t>
            </w:r>
          </w:p>
          <w:p w14:paraId="4A767E01" w14:textId="77777777" w:rsidR="001C3855" w:rsidRPr="00D160FB" w:rsidRDefault="001C3855" w:rsidP="00C8019E">
            <w:pPr>
              <w:pStyle w:val="Marginlie"/>
              <w:rPr>
                <w:spacing w:val="-4"/>
                <w:lang w:val="en-GB"/>
              </w:rPr>
            </w:pPr>
          </w:p>
          <w:p w14:paraId="3ECCC83A" w14:textId="77777777" w:rsidR="001C3855" w:rsidRPr="00D160FB" w:rsidRDefault="001C3855" w:rsidP="00C8019E">
            <w:pPr>
              <w:pStyle w:val="Marginlie"/>
              <w:rPr>
                <w:spacing w:val="-4"/>
                <w:lang w:val="en-GB"/>
              </w:rPr>
            </w:pPr>
          </w:p>
          <w:p w14:paraId="512A2712" w14:textId="77777777" w:rsidR="001C3855" w:rsidRPr="00D160FB" w:rsidRDefault="001C3855" w:rsidP="00C8019E">
            <w:pPr>
              <w:pStyle w:val="Marginlie"/>
              <w:rPr>
                <w:spacing w:val="-4"/>
                <w:lang w:val="en-GB"/>
              </w:rPr>
            </w:pPr>
          </w:p>
          <w:p w14:paraId="5929BAC0" w14:textId="77777777" w:rsidR="001C3855" w:rsidRPr="00D160FB" w:rsidRDefault="001C3855" w:rsidP="00C8019E">
            <w:pPr>
              <w:pStyle w:val="Marginlie"/>
              <w:rPr>
                <w:spacing w:val="-4"/>
                <w:lang w:val="en-GB"/>
              </w:rPr>
            </w:pPr>
          </w:p>
          <w:p w14:paraId="30EE3017" w14:textId="77777777" w:rsidR="001C3855" w:rsidRPr="00D160FB" w:rsidRDefault="001C3855" w:rsidP="00C8019E">
            <w:pPr>
              <w:pStyle w:val="Marginlie"/>
              <w:rPr>
                <w:spacing w:val="-4"/>
                <w:lang w:val="en-GB"/>
              </w:rPr>
            </w:pPr>
          </w:p>
          <w:p w14:paraId="3CB7C21D" w14:textId="561DDBD6" w:rsidR="001C3855" w:rsidRPr="00D160FB" w:rsidRDefault="000200D8" w:rsidP="00C8019E">
            <w:pPr>
              <w:pStyle w:val="Marginlie"/>
              <w:rPr>
                <w:spacing w:val="-4"/>
                <w:lang w:val="en-GB"/>
              </w:rPr>
            </w:pPr>
            <w:r w:rsidRPr="00D160FB">
              <w:rPr>
                <w:spacing w:val="-4"/>
                <w:lang w:val="en-GB"/>
              </w:rPr>
              <w:t xml:space="preserve">ITNP collection collected by deduction recorded a high growth. </w:t>
            </w:r>
          </w:p>
          <w:p w14:paraId="709EB19E" w14:textId="77777777" w:rsidR="001C3855" w:rsidRPr="00D160FB" w:rsidRDefault="001C3855" w:rsidP="00C8019E">
            <w:pPr>
              <w:pStyle w:val="Marginlie"/>
              <w:rPr>
                <w:lang w:val="en-GB"/>
              </w:rPr>
            </w:pPr>
          </w:p>
        </w:tc>
        <w:tc>
          <w:tcPr>
            <w:tcW w:w="217" w:type="dxa"/>
            <w:shd w:val="clear" w:color="auto" w:fill="auto"/>
            <w:tcMar>
              <w:left w:w="0" w:type="dxa"/>
            </w:tcMar>
          </w:tcPr>
          <w:p w14:paraId="1310E77F"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0A8DB899" w14:textId="395C3CBD" w:rsidR="001C3855" w:rsidRPr="00D160FB" w:rsidRDefault="001C3855" w:rsidP="00C8019E">
            <w:pPr>
              <w:spacing w:after="220"/>
              <w:rPr>
                <w:spacing w:val="-4"/>
                <w:lang w:val="en-GB"/>
              </w:rPr>
            </w:pPr>
            <w:r w:rsidRPr="00D160FB">
              <w:rPr>
                <w:spacing w:val="-4"/>
                <w:lang w:val="en-GB"/>
              </w:rPr>
              <w:t>13</w:t>
            </w:r>
            <w:r w:rsidR="00B46637" w:rsidRPr="00D160FB">
              <w:rPr>
                <w:spacing w:val="-4"/>
                <w:lang w:val="en-GB"/>
              </w:rPr>
              <w:t>.</w:t>
            </w:r>
            <w:r w:rsidRPr="00D160FB">
              <w:rPr>
                <w:spacing w:val="-4"/>
                <w:lang w:val="en-GB"/>
              </w:rPr>
              <w:t>4%</w:t>
            </w:r>
            <w:r w:rsidR="00B46637" w:rsidRPr="00D160FB">
              <w:rPr>
                <w:spacing w:val="-4"/>
                <w:lang w:val="en-GB"/>
              </w:rPr>
              <w:t xml:space="preserve"> more flowed into the SB from the collection of the income tax of natural persons (ITNP) year-on-year, which was affected both by the higher employment and brisk nominal growth of average wages in the business sphere. </w:t>
            </w:r>
            <w:r w:rsidR="007B289A" w:rsidRPr="00D160FB">
              <w:rPr>
                <w:spacing w:val="-4"/>
                <w:lang w:val="en-GB"/>
              </w:rPr>
              <w:t xml:space="preserve">With the retreat of pandemics </w:t>
            </w:r>
            <w:r w:rsidR="00443291" w:rsidRPr="00D160FB">
              <w:rPr>
                <w:spacing w:val="-4"/>
                <w:lang w:val="en-GB"/>
              </w:rPr>
              <w:t>the rol</w:t>
            </w:r>
            <w:r w:rsidR="007B289A" w:rsidRPr="00D160FB">
              <w:rPr>
                <w:spacing w:val="-4"/>
                <w:lang w:val="en-GB"/>
              </w:rPr>
              <w:t xml:space="preserve">e of the formerly paid out compensation bonuses </w:t>
            </w:r>
            <w:r w:rsidRPr="00D160FB">
              <w:rPr>
                <w:spacing w:val="-4"/>
                <w:lang w:val="en-GB"/>
              </w:rPr>
              <w:t>(</w:t>
            </w:r>
            <w:r w:rsidR="007B289A" w:rsidRPr="00D160FB">
              <w:rPr>
                <w:spacing w:val="-4"/>
                <w:lang w:val="en-GB"/>
              </w:rPr>
              <w:t>to aid small businesses</w:t>
            </w:r>
            <w:r w:rsidRPr="00D160FB">
              <w:rPr>
                <w:spacing w:val="-4"/>
                <w:lang w:val="en-GB"/>
              </w:rPr>
              <w:t>)</w:t>
            </w:r>
            <w:r w:rsidR="007B289A" w:rsidRPr="00D160FB">
              <w:rPr>
                <w:spacing w:val="-4"/>
                <w:lang w:val="en-GB"/>
              </w:rPr>
              <w:t xml:space="preserve"> weakened</w:t>
            </w:r>
            <w:r w:rsidRPr="00D160FB">
              <w:rPr>
                <w:spacing w:val="-4"/>
                <w:lang w:val="en-GB"/>
              </w:rPr>
              <w:t xml:space="preserve">, </w:t>
            </w:r>
            <w:r w:rsidR="007B289A" w:rsidRPr="00D160FB">
              <w:rPr>
                <w:spacing w:val="-4"/>
                <w:lang w:val="en-GB"/>
              </w:rPr>
              <w:t>which significantly dwindled the ITNP collection still in year 2</w:t>
            </w:r>
            <w:r w:rsidRPr="00D160FB">
              <w:rPr>
                <w:spacing w:val="-4"/>
                <w:lang w:val="en-GB"/>
              </w:rPr>
              <w:t>021</w:t>
            </w:r>
            <w:r w:rsidR="007B289A" w:rsidRPr="00D160FB">
              <w:rPr>
                <w:spacing w:val="-4"/>
                <w:lang w:val="en-GB"/>
              </w:rPr>
              <w:t xml:space="preserve">. Legislative amendments had the opposite effect </w:t>
            </w:r>
            <w:r w:rsidRPr="00D160FB">
              <w:rPr>
                <w:spacing w:val="-4"/>
                <w:lang w:val="en-GB"/>
              </w:rPr>
              <w:t>(</w:t>
            </w:r>
            <w:r w:rsidR="007B289A" w:rsidRPr="00D160FB">
              <w:rPr>
                <w:spacing w:val="-4"/>
                <w:lang w:val="en-GB"/>
              </w:rPr>
              <w:t xml:space="preserve">continuing increase of the tax rebate per taxpayer, </w:t>
            </w:r>
            <w:r w:rsidR="009F01E6" w:rsidRPr="00D160FB">
              <w:rPr>
                <w:spacing w:val="-4"/>
                <w:lang w:val="en-GB"/>
              </w:rPr>
              <w:t xml:space="preserve">higher tax deduction on children or </w:t>
            </w:r>
            <w:r w:rsidR="00121854" w:rsidRPr="00D160FB">
              <w:rPr>
                <w:spacing w:val="-4"/>
                <w:lang w:val="en-GB"/>
              </w:rPr>
              <w:t>abolishment of the ceiling to use tax bonus</w:t>
            </w:r>
            <w:r w:rsidRPr="00D160FB">
              <w:rPr>
                <w:spacing w:val="-4"/>
                <w:lang w:val="en-GB"/>
              </w:rPr>
              <w:t xml:space="preserve">). </w:t>
            </w:r>
            <w:r w:rsidR="00C800C9" w:rsidRPr="00D160FB">
              <w:rPr>
                <w:spacing w:val="-4"/>
                <w:lang w:val="en-GB"/>
              </w:rPr>
              <w:t>The key tax by volume paid by the payers (on behalf of employees) contributed the most to the ITNP collection growth</w:t>
            </w:r>
            <w:r w:rsidRPr="00D160FB">
              <w:rPr>
                <w:spacing w:val="-4"/>
                <w:lang w:val="en-GB"/>
              </w:rPr>
              <w:t xml:space="preserve">, </w:t>
            </w:r>
            <w:r w:rsidR="008D0759" w:rsidRPr="00D160FB">
              <w:rPr>
                <w:spacing w:val="-4"/>
                <w:lang w:val="en-GB"/>
              </w:rPr>
              <w:t xml:space="preserve">whose collection increased by even </w:t>
            </w:r>
            <w:r w:rsidRPr="00D160FB">
              <w:rPr>
                <w:spacing w:val="-4"/>
                <w:lang w:val="en-GB"/>
              </w:rPr>
              <w:t>8%</w:t>
            </w:r>
            <w:r w:rsidR="008D0759" w:rsidRPr="00D160FB">
              <w:rPr>
                <w:spacing w:val="-4"/>
                <w:lang w:val="en-GB"/>
              </w:rPr>
              <w:t xml:space="preserve"> year-on-year</w:t>
            </w:r>
            <w:r w:rsidRPr="00D160FB">
              <w:rPr>
                <w:spacing w:val="-4"/>
                <w:lang w:val="en-GB"/>
              </w:rPr>
              <w:t xml:space="preserve"> (7 </w:t>
            </w:r>
            <w:r w:rsidR="008D0759" w:rsidRPr="00D160FB">
              <w:rPr>
                <w:spacing w:val="-4"/>
                <w:lang w:val="en-GB"/>
              </w:rPr>
              <w:t>CZK bn</w:t>
            </w:r>
            <w:r w:rsidR="00C133BB" w:rsidRPr="00D160FB">
              <w:rPr>
                <w:spacing w:val="-4"/>
                <w:lang w:val="en-GB"/>
              </w:rPr>
              <w:t xml:space="preserve"> resp.</w:t>
            </w:r>
            <w:r w:rsidRPr="00D160FB">
              <w:rPr>
                <w:spacing w:val="-4"/>
                <w:lang w:val="en-GB"/>
              </w:rPr>
              <w:t>)</w:t>
            </w:r>
            <w:r w:rsidRPr="00D160FB">
              <w:rPr>
                <w:rStyle w:val="Znakapoznpodarou"/>
                <w:spacing w:val="-4"/>
                <w:lang w:val="en-GB"/>
              </w:rPr>
              <w:footnoteReference w:id="97"/>
            </w:r>
            <w:r w:rsidRPr="00D160FB">
              <w:rPr>
                <w:spacing w:val="-4"/>
                <w:lang w:val="en-GB"/>
              </w:rPr>
              <w:t xml:space="preserve">. </w:t>
            </w:r>
            <w:r w:rsidR="00C800C9" w:rsidRPr="00D160FB">
              <w:rPr>
                <w:spacing w:val="-4"/>
                <w:lang w:val="en-GB"/>
              </w:rPr>
              <w:t xml:space="preserve">Collection of other income taxes of natural persons grew more dynamically </w:t>
            </w:r>
            <w:r w:rsidRPr="00D160FB">
              <w:rPr>
                <w:spacing w:val="-4"/>
                <w:lang w:val="en-GB"/>
              </w:rPr>
              <w:t xml:space="preserve">– </w:t>
            </w:r>
            <w:r w:rsidR="00C800C9" w:rsidRPr="00D160FB">
              <w:rPr>
                <w:spacing w:val="-4"/>
                <w:lang w:val="en-GB"/>
              </w:rPr>
              <w:t>both for ITNP payers, re</w:t>
            </w:r>
            <w:r w:rsidR="00443291" w:rsidRPr="00D160FB">
              <w:rPr>
                <w:spacing w:val="-4"/>
                <w:lang w:val="en-GB"/>
              </w:rPr>
              <w:t>sp</w:t>
            </w:r>
            <w:r w:rsidR="00C800C9" w:rsidRPr="00D160FB">
              <w:rPr>
                <w:spacing w:val="-4"/>
                <w:lang w:val="en-GB"/>
              </w:rPr>
              <w:t xml:space="preserve">. persons lodging </w:t>
            </w:r>
            <w:r w:rsidR="00D130FB" w:rsidRPr="00D160FB">
              <w:rPr>
                <w:spacing w:val="-4"/>
                <w:lang w:val="en-GB"/>
              </w:rPr>
              <w:t xml:space="preserve">tax returns </w:t>
            </w:r>
            <w:r w:rsidRPr="00D160FB">
              <w:rPr>
                <w:spacing w:val="-4"/>
                <w:lang w:val="en-GB"/>
              </w:rPr>
              <w:t>(+45%)</w:t>
            </w:r>
            <w:r w:rsidR="00D130FB" w:rsidRPr="00D160FB">
              <w:rPr>
                <w:spacing w:val="-4"/>
                <w:lang w:val="en-GB"/>
              </w:rPr>
              <w:t xml:space="preserve"> thanks to economic recovery the year before the last as well as the adjustment of the tax rate for high incomes</w:t>
            </w:r>
            <w:r w:rsidR="006E56AE" w:rsidRPr="00D160FB">
              <w:rPr>
                <w:spacing w:val="-4"/>
                <w:lang w:val="en-GB"/>
              </w:rPr>
              <w:t xml:space="preserve"> and for the deduction tax </w:t>
            </w:r>
            <w:r w:rsidRPr="00D160FB">
              <w:rPr>
                <w:spacing w:val="-4"/>
                <w:lang w:val="en-GB"/>
              </w:rPr>
              <w:t xml:space="preserve">(+30%) </w:t>
            </w:r>
            <w:r w:rsidR="006E56AE" w:rsidRPr="00D160FB">
              <w:rPr>
                <w:spacing w:val="-4"/>
                <w:lang w:val="en-GB"/>
              </w:rPr>
              <w:t xml:space="preserve">due to growth of the interest rates on deposits as well as increase of the number of persons working in the form of work agreements </w:t>
            </w:r>
            <w:r w:rsidRPr="00D160FB">
              <w:rPr>
                <w:spacing w:val="-4"/>
                <w:lang w:val="en-GB"/>
              </w:rPr>
              <w:t>(</w:t>
            </w:r>
            <w:r w:rsidR="006E56AE" w:rsidRPr="00D160FB">
              <w:rPr>
                <w:spacing w:val="-4"/>
                <w:lang w:val="en-GB"/>
              </w:rPr>
              <w:t>partially related to the integration of the Ukrainian refugees on the domestic work market</w:t>
            </w:r>
            <w:r w:rsidRPr="00D160FB">
              <w:rPr>
                <w:spacing w:val="-4"/>
                <w:lang w:val="en-GB"/>
              </w:rPr>
              <w:t>).</w:t>
            </w:r>
          </w:p>
        </w:tc>
      </w:tr>
      <w:tr w:rsidR="001C3855" w:rsidRPr="00D160FB" w14:paraId="12B883BD" w14:textId="77777777" w:rsidTr="00C8019E">
        <w:trPr>
          <w:trHeight w:val="170"/>
        </w:trPr>
        <w:tc>
          <w:tcPr>
            <w:tcW w:w="1773" w:type="dxa"/>
            <w:shd w:val="clear" w:color="auto" w:fill="auto"/>
            <w:tcMar>
              <w:left w:w="0" w:type="dxa"/>
            </w:tcMar>
          </w:tcPr>
          <w:p w14:paraId="75348CE6" w14:textId="1EBE998C" w:rsidR="001C3855" w:rsidRPr="00D160FB" w:rsidRDefault="001C3855" w:rsidP="00C8019E">
            <w:pPr>
              <w:pStyle w:val="Marginlie"/>
              <w:rPr>
                <w:color w:val="0D0D0D" w:themeColor="text1" w:themeTint="F2"/>
                <w:lang w:val="en-GB"/>
              </w:rPr>
            </w:pPr>
          </w:p>
        </w:tc>
        <w:tc>
          <w:tcPr>
            <w:tcW w:w="217" w:type="dxa"/>
            <w:shd w:val="clear" w:color="auto" w:fill="auto"/>
            <w:tcMar>
              <w:left w:w="0" w:type="dxa"/>
            </w:tcMar>
          </w:tcPr>
          <w:p w14:paraId="7C0E5567"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4CEF4861" w14:textId="02694DE1" w:rsidR="001C3855" w:rsidRPr="00D160FB" w:rsidRDefault="008D0759" w:rsidP="00C8019E">
            <w:pPr>
              <w:spacing w:after="200"/>
              <w:rPr>
                <w:color w:val="0D0D0D" w:themeColor="text1" w:themeTint="F2"/>
                <w:spacing w:val="-4"/>
                <w:lang w:val="en-GB"/>
              </w:rPr>
            </w:pPr>
            <w:r w:rsidRPr="00D160FB">
              <w:rPr>
                <w:color w:val="0D0D0D" w:themeColor="text1" w:themeTint="F2"/>
                <w:spacing w:val="-4"/>
                <w:lang w:val="en-GB"/>
              </w:rPr>
              <w:t xml:space="preserve">Total SB outlays mildly increased year-on-year last year </w:t>
            </w:r>
            <w:r w:rsidR="001C3855" w:rsidRPr="00D160FB">
              <w:rPr>
                <w:color w:val="0D0D0D" w:themeColor="text1" w:themeTint="F2"/>
                <w:spacing w:val="-4"/>
                <w:lang w:val="en-GB"/>
              </w:rPr>
              <w:t>(+4</w:t>
            </w:r>
            <w:r w:rsidRPr="00D160FB">
              <w:rPr>
                <w:color w:val="0D0D0D" w:themeColor="text1" w:themeTint="F2"/>
                <w:spacing w:val="-4"/>
                <w:lang w:val="en-GB"/>
              </w:rPr>
              <w:t>.</w:t>
            </w:r>
            <w:r w:rsidR="001C3855" w:rsidRPr="00D160FB">
              <w:rPr>
                <w:color w:val="0D0D0D" w:themeColor="text1" w:themeTint="F2"/>
                <w:spacing w:val="-4"/>
                <w:lang w:val="en-GB"/>
              </w:rPr>
              <w:t>1%, 77</w:t>
            </w:r>
            <w:r w:rsidRPr="00D160FB">
              <w:rPr>
                <w:color w:val="0D0D0D" w:themeColor="text1" w:themeTint="F2"/>
                <w:spacing w:val="-4"/>
                <w:lang w:val="en-GB"/>
              </w:rPr>
              <w:t>.</w:t>
            </w:r>
            <w:r w:rsidR="001C3855" w:rsidRPr="00D160FB">
              <w:rPr>
                <w:color w:val="0D0D0D" w:themeColor="text1" w:themeTint="F2"/>
                <w:spacing w:val="-4"/>
                <w:lang w:val="en-GB"/>
              </w:rPr>
              <w:t>8</w:t>
            </w:r>
            <w:r w:rsidRPr="00D160FB">
              <w:rPr>
                <w:color w:val="0D0D0D" w:themeColor="text1" w:themeTint="F2"/>
                <w:spacing w:val="-4"/>
                <w:lang w:val="en-GB"/>
              </w:rPr>
              <w:t xml:space="preserve"> CZK bn</w:t>
            </w:r>
            <w:r w:rsidR="00C133BB" w:rsidRPr="00D160FB">
              <w:rPr>
                <w:color w:val="0D0D0D" w:themeColor="text1" w:themeTint="F2"/>
                <w:spacing w:val="-4"/>
                <w:lang w:val="en-GB"/>
              </w:rPr>
              <w:t xml:space="preserve"> resp.</w:t>
            </w:r>
            <w:r w:rsidR="001C3855" w:rsidRPr="00D160FB">
              <w:rPr>
                <w:color w:val="0D0D0D" w:themeColor="text1" w:themeTint="F2"/>
                <w:spacing w:val="-4"/>
                <w:lang w:val="en-GB"/>
              </w:rPr>
              <w:t>),</w:t>
            </w:r>
            <w:r w:rsidRPr="00D160FB">
              <w:rPr>
                <w:color w:val="0D0D0D" w:themeColor="text1" w:themeTint="F2"/>
                <w:spacing w:val="-4"/>
                <w:lang w:val="en-GB"/>
              </w:rPr>
              <w:t xml:space="preserve"> </w:t>
            </w:r>
            <w:r w:rsidR="00826AE7" w:rsidRPr="00D160FB">
              <w:rPr>
                <w:color w:val="0D0D0D" w:themeColor="text1" w:themeTint="F2"/>
                <w:spacing w:val="-4"/>
                <w:lang w:val="en-GB"/>
              </w:rPr>
              <w:t xml:space="preserve">greatly assisted by the current outlays </w:t>
            </w:r>
            <w:r w:rsidR="001C3855" w:rsidRPr="00D160FB">
              <w:rPr>
                <w:color w:val="0D0D0D" w:themeColor="text1" w:themeTint="F2"/>
                <w:spacing w:val="-4"/>
                <w:lang w:val="en-GB"/>
              </w:rPr>
              <w:t>(+68</w:t>
            </w:r>
            <w:r w:rsidR="00826AE7" w:rsidRPr="00D160FB">
              <w:rPr>
                <w:color w:val="0D0D0D" w:themeColor="text1" w:themeTint="F2"/>
                <w:spacing w:val="-4"/>
                <w:lang w:val="en-GB"/>
              </w:rPr>
              <w:t>.</w:t>
            </w:r>
            <w:r w:rsidR="001C3855" w:rsidRPr="00D160FB">
              <w:rPr>
                <w:color w:val="0D0D0D" w:themeColor="text1" w:themeTint="F2"/>
                <w:spacing w:val="-4"/>
                <w:lang w:val="en-GB"/>
              </w:rPr>
              <w:t>2</w:t>
            </w:r>
            <w:r w:rsidR="00826AE7" w:rsidRPr="00D160FB">
              <w:rPr>
                <w:color w:val="0D0D0D" w:themeColor="text1" w:themeTint="F2"/>
                <w:spacing w:val="-4"/>
                <w:lang w:val="en-GB"/>
              </w:rPr>
              <w:t xml:space="preserve"> CZK bn</w:t>
            </w:r>
            <w:r w:rsidR="001C3855" w:rsidRPr="00D160FB">
              <w:rPr>
                <w:color w:val="0D0D0D" w:themeColor="text1" w:themeTint="F2"/>
                <w:spacing w:val="-4"/>
                <w:lang w:val="en-GB"/>
              </w:rPr>
              <w:t xml:space="preserve">), </w:t>
            </w:r>
            <w:r w:rsidR="00826AE7" w:rsidRPr="00D160FB">
              <w:rPr>
                <w:color w:val="0D0D0D" w:themeColor="text1" w:themeTint="F2"/>
                <w:spacing w:val="-4"/>
                <w:lang w:val="en-GB"/>
              </w:rPr>
              <w:t xml:space="preserve">one order less than investment. Drawing of outlays </w:t>
            </w:r>
            <w:r w:rsidRPr="00D160FB">
              <w:rPr>
                <w:color w:val="0D0D0D" w:themeColor="text1" w:themeTint="F2"/>
                <w:spacing w:val="-4"/>
                <w:lang w:val="en-GB"/>
              </w:rPr>
              <w:t>was more uneven</w:t>
            </w:r>
            <w:r w:rsidR="00826AE7" w:rsidRPr="00D160FB">
              <w:rPr>
                <w:color w:val="0D0D0D" w:themeColor="text1" w:themeTint="F2"/>
                <w:spacing w:val="-4"/>
                <w:lang w:val="en-GB"/>
              </w:rPr>
              <w:t xml:space="preserve"> during the year 2022</w:t>
            </w:r>
            <w:r w:rsidR="001C3855" w:rsidRPr="00D160FB">
              <w:rPr>
                <w:color w:val="0D0D0D" w:themeColor="text1" w:themeTint="F2"/>
                <w:spacing w:val="-4"/>
                <w:lang w:val="en-GB"/>
              </w:rPr>
              <w:t xml:space="preserve">. </w:t>
            </w:r>
            <w:r w:rsidRPr="00D160FB">
              <w:rPr>
                <w:color w:val="0D0D0D" w:themeColor="text1" w:themeTint="F2"/>
                <w:spacing w:val="-4"/>
                <w:lang w:val="en-GB"/>
              </w:rPr>
              <w:t>It was limited by the regime of interim budget in Q1</w:t>
            </w:r>
            <w:r w:rsidR="001C3855" w:rsidRPr="00D160FB">
              <w:rPr>
                <w:rStyle w:val="Znakapoznpodarou"/>
                <w:color w:val="0D0D0D" w:themeColor="text1" w:themeTint="F2"/>
                <w:spacing w:val="-4"/>
                <w:lang w:val="en-GB"/>
              </w:rPr>
              <w:footnoteReference w:id="98"/>
            </w:r>
            <w:r w:rsidR="001C3855" w:rsidRPr="00D160FB">
              <w:rPr>
                <w:color w:val="0D0D0D" w:themeColor="text1" w:themeTint="F2"/>
                <w:spacing w:val="-4"/>
                <w:lang w:val="en-GB"/>
              </w:rPr>
              <w:t>,</w:t>
            </w:r>
            <w:r w:rsidRPr="00D160FB">
              <w:rPr>
                <w:color w:val="0D0D0D" w:themeColor="text1" w:themeTint="F2"/>
                <w:spacing w:val="-4"/>
                <w:lang w:val="en-GB"/>
              </w:rPr>
              <w:t xml:space="preserve"> subsequently the need arose for extraordinary outlays resulting from the war in Ukraine </w:t>
            </w:r>
            <w:r w:rsidR="001C3855" w:rsidRPr="00D160FB">
              <w:rPr>
                <w:color w:val="0D0D0D" w:themeColor="text1" w:themeTint="F2"/>
                <w:spacing w:val="-4"/>
                <w:lang w:val="en-GB"/>
              </w:rPr>
              <w:t>(</w:t>
            </w:r>
            <w:r w:rsidR="008A48E1" w:rsidRPr="00D160FB">
              <w:rPr>
                <w:color w:val="0D0D0D" w:themeColor="text1" w:themeTint="F2"/>
                <w:spacing w:val="-4"/>
                <w:lang w:val="en-GB"/>
              </w:rPr>
              <w:t>foreign aid, outl</w:t>
            </w:r>
            <w:r w:rsidR="00826AE7" w:rsidRPr="00D160FB">
              <w:rPr>
                <w:color w:val="0D0D0D" w:themeColor="text1" w:themeTint="F2"/>
                <w:spacing w:val="-4"/>
                <w:lang w:val="en-GB"/>
              </w:rPr>
              <w:t>a</w:t>
            </w:r>
            <w:r w:rsidR="008A48E1" w:rsidRPr="00D160FB">
              <w:rPr>
                <w:color w:val="0D0D0D" w:themeColor="text1" w:themeTint="F2"/>
                <w:spacing w:val="-4"/>
                <w:lang w:val="en-GB"/>
              </w:rPr>
              <w:t xml:space="preserve">ys on the </w:t>
            </w:r>
            <w:r w:rsidR="00826AE7" w:rsidRPr="00D160FB">
              <w:rPr>
                <w:color w:val="0D0D0D" w:themeColor="text1" w:themeTint="F2"/>
                <w:spacing w:val="-4"/>
                <w:lang w:val="en-GB"/>
              </w:rPr>
              <w:t>integration</w:t>
            </w:r>
            <w:r w:rsidR="008A48E1" w:rsidRPr="00D160FB">
              <w:rPr>
                <w:color w:val="0D0D0D" w:themeColor="text1" w:themeTint="F2"/>
                <w:spacing w:val="-4"/>
                <w:lang w:val="en-GB"/>
              </w:rPr>
              <w:t xml:space="preserve"> of the refugees in the CR, crisis management in the area of state material reserves</w:t>
            </w:r>
            <w:r w:rsidR="001C3855" w:rsidRPr="00D160FB">
              <w:rPr>
                <w:color w:val="0D0D0D" w:themeColor="text1" w:themeTint="F2"/>
                <w:spacing w:val="-4"/>
                <w:lang w:val="en-GB"/>
              </w:rPr>
              <w:t xml:space="preserve">). </w:t>
            </w:r>
            <w:r w:rsidR="009F6723" w:rsidRPr="00D160FB">
              <w:rPr>
                <w:color w:val="0D0D0D" w:themeColor="text1" w:themeTint="F2"/>
                <w:spacing w:val="-4"/>
                <w:lang w:val="en-GB"/>
              </w:rPr>
              <w:t xml:space="preserve">In addition the impacts of the strengthening inflation in the CR amplified by the unexpected August surge of prices of energies on the world markets still more stimulated the fiscal expansion. </w:t>
            </w:r>
            <w:r w:rsidR="001C3855" w:rsidRPr="00D160FB">
              <w:rPr>
                <w:color w:val="0D0D0D" w:themeColor="text1" w:themeTint="F2"/>
                <w:spacing w:val="-4"/>
                <w:lang w:val="en-GB"/>
              </w:rPr>
              <w:t>T</w:t>
            </w:r>
            <w:r w:rsidR="008A48E1" w:rsidRPr="00D160FB">
              <w:rPr>
                <w:color w:val="0D0D0D" w:themeColor="text1" w:themeTint="F2"/>
                <w:spacing w:val="-4"/>
                <w:lang w:val="en-GB"/>
              </w:rPr>
              <w:t xml:space="preserve">hese led to the need for the pension adjustment as well as other social benefits or introduction of the saving energy </w:t>
            </w:r>
            <w:r w:rsidR="00826AE7" w:rsidRPr="00D160FB">
              <w:rPr>
                <w:color w:val="0D0D0D" w:themeColor="text1" w:themeTint="F2"/>
                <w:spacing w:val="-4"/>
                <w:lang w:val="en-GB"/>
              </w:rPr>
              <w:t>tariff</w:t>
            </w:r>
            <w:r w:rsidR="008A48E1" w:rsidRPr="00D160FB">
              <w:rPr>
                <w:color w:val="0D0D0D" w:themeColor="text1" w:themeTint="F2"/>
                <w:spacing w:val="-4"/>
                <w:lang w:val="en-GB"/>
              </w:rPr>
              <w:t xml:space="preserve"> to aid the households.  </w:t>
            </w:r>
            <w:r w:rsidR="00826AE7" w:rsidRPr="00D160FB">
              <w:rPr>
                <w:color w:val="0D0D0D" w:themeColor="text1" w:themeTint="F2"/>
                <w:spacing w:val="-4"/>
                <w:lang w:val="en-GB"/>
              </w:rPr>
              <w:t xml:space="preserve">Even though the growth of the total current </w:t>
            </w:r>
            <w:r w:rsidR="009F6723" w:rsidRPr="00D160FB">
              <w:rPr>
                <w:color w:val="0D0D0D" w:themeColor="text1" w:themeTint="F2"/>
                <w:spacing w:val="-4"/>
                <w:lang w:val="en-GB"/>
              </w:rPr>
              <w:t>outlays</w:t>
            </w:r>
            <w:r w:rsidR="00826AE7" w:rsidRPr="00D160FB">
              <w:rPr>
                <w:color w:val="0D0D0D" w:themeColor="text1" w:themeTint="F2"/>
                <w:spacing w:val="-4"/>
                <w:lang w:val="en-GB"/>
              </w:rPr>
              <w:t xml:space="preserve"> was the </w:t>
            </w:r>
            <w:r w:rsidR="009F6723" w:rsidRPr="00D160FB">
              <w:rPr>
                <w:color w:val="0D0D0D" w:themeColor="text1" w:themeTint="F2"/>
                <w:spacing w:val="-4"/>
                <w:lang w:val="en-GB"/>
              </w:rPr>
              <w:t>second</w:t>
            </w:r>
            <w:r w:rsidR="00826AE7" w:rsidRPr="00D160FB">
              <w:rPr>
                <w:color w:val="0D0D0D" w:themeColor="text1" w:themeTint="F2"/>
                <w:spacing w:val="-4"/>
                <w:lang w:val="en-GB"/>
              </w:rPr>
              <w:t xml:space="preserve"> lowest in the last six year last year </w:t>
            </w:r>
            <w:r w:rsidR="001C3855" w:rsidRPr="00D160FB">
              <w:rPr>
                <w:color w:val="0D0D0D" w:themeColor="text1" w:themeTint="F2"/>
                <w:spacing w:val="-4"/>
                <w:lang w:val="en-GB"/>
              </w:rPr>
              <w:t>(3</w:t>
            </w:r>
            <w:r w:rsidR="00826AE7" w:rsidRPr="00D160FB">
              <w:rPr>
                <w:color w:val="0D0D0D" w:themeColor="text1" w:themeTint="F2"/>
                <w:spacing w:val="-4"/>
                <w:lang w:val="en-GB"/>
              </w:rPr>
              <w:t>.</w:t>
            </w:r>
            <w:r w:rsidR="001C3855" w:rsidRPr="00D160FB">
              <w:rPr>
                <w:color w:val="0D0D0D" w:themeColor="text1" w:themeTint="F2"/>
                <w:spacing w:val="-4"/>
                <w:lang w:val="en-GB"/>
              </w:rPr>
              <w:t xml:space="preserve">9%), </w:t>
            </w:r>
            <w:r w:rsidR="008A48E1" w:rsidRPr="00D160FB">
              <w:rPr>
                <w:color w:val="0D0D0D" w:themeColor="text1" w:themeTint="F2"/>
                <w:spacing w:val="-4"/>
                <w:lang w:val="en-GB"/>
              </w:rPr>
              <w:t xml:space="preserve">their size exceeded the pre-crisis year </w:t>
            </w:r>
            <w:r w:rsidR="001C3855" w:rsidRPr="00D160FB">
              <w:rPr>
                <w:color w:val="0D0D0D" w:themeColor="text1" w:themeTint="F2"/>
                <w:spacing w:val="-4"/>
                <w:lang w:val="en-GB"/>
              </w:rPr>
              <w:t>2019</w:t>
            </w:r>
            <w:r w:rsidR="008A48E1" w:rsidRPr="00D160FB">
              <w:rPr>
                <w:color w:val="0D0D0D" w:themeColor="text1" w:themeTint="F2"/>
                <w:spacing w:val="-4"/>
                <w:lang w:val="en-GB"/>
              </w:rPr>
              <w:t xml:space="preserve"> by </w:t>
            </w:r>
            <w:r w:rsidR="001C3855" w:rsidRPr="00D160FB">
              <w:rPr>
                <w:color w:val="0D0D0D" w:themeColor="text1" w:themeTint="F2"/>
                <w:spacing w:val="-4"/>
                <w:lang w:val="en-GB"/>
              </w:rPr>
              <w:t>27</w:t>
            </w:r>
            <w:r w:rsidR="008A48E1" w:rsidRPr="00D160FB">
              <w:rPr>
                <w:color w:val="0D0D0D" w:themeColor="text1" w:themeTint="F2"/>
                <w:spacing w:val="-4"/>
                <w:lang w:val="en-GB"/>
              </w:rPr>
              <w:t>.</w:t>
            </w:r>
            <w:r w:rsidR="001C3855" w:rsidRPr="00D160FB">
              <w:rPr>
                <w:color w:val="0D0D0D" w:themeColor="text1" w:themeTint="F2"/>
                <w:spacing w:val="-4"/>
                <w:lang w:val="en-GB"/>
              </w:rPr>
              <w:t>3%.</w:t>
            </w:r>
          </w:p>
        </w:tc>
      </w:tr>
      <w:tr w:rsidR="001C3855" w:rsidRPr="00D160FB" w14:paraId="6BE073DD" w14:textId="77777777" w:rsidTr="00C8019E">
        <w:trPr>
          <w:trHeight w:val="170"/>
        </w:trPr>
        <w:tc>
          <w:tcPr>
            <w:tcW w:w="1773" w:type="dxa"/>
            <w:shd w:val="clear" w:color="auto" w:fill="auto"/>
            <w:tcMar>
              <w:left w:w="0" w:type="dxa"/>
            </w:tcMar>
          </w:tcPr>
          <w:p w14:paraId="4BA29C9C" w14:textId="401692BC" w:rsidR="001C3855" w:rsidRPr="00D160FB" w:rsidRDefault="008D2F75" w:rsidP="00C8019E">
            <w:pPr>
              <w:pStyle w:val="Marginlie"/>
              <w:rPr>
                <w:color w:val="0D0D0D" w:themeColor="text1" w:themeTint="F2"/>
                <w:lang w:val="en-GB"/>
              </w:rPr>
            </w:pPr>
            <w:r w:rsidRPr="00D160FB">
              <w:rPr>
                <w:color w:val="0D0D0D" w:themeColor="text1" w:themeTint="F2"/>
                <w:lang w:val="en-GB"/>
              </w:rPr>
              <w:t xml:space="preserve">Expenditures on pensions displayed a record increase, the number of their recipients mildly decreased for the third year in a row. </w:t>
            </w:r>
          </w:p>
        </w:tc>
        <w:tc>
          <w:tcPr>
            <w:tcW w:w="217" w:type="dxa"/>
            <w:shd w:val="clear" w:color="auto" w:fill="auto"/>
            <w:tcMar>
              <w:left w:w="0" w:type="dxa"/>
            </w:tcMar>
          </w:tcPr>
          <w:p w14:paraId="385EFA4B" w14:textId="77777777" w:rsidR="001C3855" w:rsidRPr="00D160FB" w:rsidRDefault="001C3855" w:rsidP="00C8019E">
            <w:pPr>
              <w:pStyle w:val="Textpoznpodarou"/>
              <w:jc w:val="both"/>
              <w:rPr>
                <w:color w:val="0D0D0D" w:themeColor="text1" w:themeTint="F2"/>
                <w:spacing w:val="-4"/>
                <w:lang w:val="en-GB"/>
              </w:rPr>
            </w:pPr>
          </w:p>
        </w:tc>
        <w:tc>
          <w:tcPr>
            <w:tcW w:w="7679" w:type="dxa"/>
            <w:shd w:val="clear" w:color="auto" w:fill="auto"/>
            <w:tcMar>
              <w:left w:w="0" w:type="dxa"/>
            </w:tcMar>
          </w:tcPr>
          <w:p w14:paraId="2EB4DF1F" w14:textId="03DAC017" w:rsidR="001C3855" w:rsidRPr="00D160FB" w:rsidRDefault="000C7B81" w:rsidP="00C8019E">
            <w:pPr>
              <w:spacing w:after="200"/>
              <w:rPr>
                <w:color w:val="0D0D0D" w:themeColor="text1" w:themeTint="F2"/>
                <w:spacing w:val="-4"/>
                <w:lang w:val="en-GB"/>
              </w:rPr>
            </w:pPr>
            <w:r w:rsidRPr="00D160FB">
              <w:rPr>
                <w:color w:val="0D0D0D" w:themeColor="text1" w:themeTint="F2"/>
                <w:spacing w:val="-5"/>
                <w:lang w:val="en-GB"/>
              </w:rPr>
              <w:t xml:space="preserve">Unlike the years </w:t>
            </w:r>
            <w:r w:rsidR="001C3855" w:rsidRPr="00D160FB">
              <w:rPr>
                <w:color w:val="0D0D0D" w:themeColor="text1" w:themeTint="F2"/>
                <w:spacing w:val="-5"/>
                <w:lang w:val="en-GB"/>
              </w:rPr>
              <w:t>2020</w:t>
            </w:r>
            <w:r w:rsidRPr="00D160FB">
              <w:rPr>
                <w:color w:val="0D0D0D" w:themeColor="text1" w:themeTint="F2"/>
                <w:spacing w:val="-5"/>
                <w:lang w:val="en-GB"/>
              </w:rPr>
              <w:t xml:space="preserve"> as well as </w:t>
            </w:r>
            <w:r w:rsidR="001C3855" w:rsidRPr="00D160FB">
              <w:rPr>
                <w:color w:val="0D0D0D" w:themeColor="text1" w:themeTint="F2"/>
                <w:spacing w:val="-5"/>
                <w:lang w:val="en-GB"/>
              </w:rPr>
              <w:t>2021</w:t>
            </w:r>
            <w:r w:rsidRPr="00D160FB">
              <w:rPr>
                <w:color w:val="0D0D0D" w:themeColor="text1" w:themeTint="F2"/>
                <w:spacing w:val="-5"/>
                <w:lang w:val="en-GB"/>
              </w:rPr>
              <w:t xml:space="preserve">, the growth of current outlays was driven mainly by the funds on pensions last year. </w:t>
            </w:r>
            <w:r w:rsidR="001C3855" w:rsidRPr="00D160FB">
              <w:rPr>
                <w:color w:val="0D0D0D" w:themeColor="text1" w:themeTint="F2"/>
                <w:spacing w:val="-4"/>
                <w:lang w:val="en-GB"/>
              </w:rPr>
              <w:t>T</w:t>
            </w:r>
            <w:r w:rsidRPr="00D160FB">
              <w:rPr>
                <w:color w:val="0D0D0D" w:themeColor="text1" w:themeTint="F2"/>
                <w:spacing w:val="-4"/>
                <w:lang w:val="en-GB"/>
              </w:rPr>
              <w:t xml:space="preserve">hey increased by unprecedented </w:t>
            </w:r>
            <w:r w:rsidR="001C3855" w:rsidRPr="00D160FB">
              <w:rPr>
                <w:color w:val="0D0D0D" w:themeColor="text1" w:themeTint="F2"/>
                <w:spacing w:val="-4"/>
                <w:lang w:val="en-GB"/>
              </w:rPr>
              <w:t>10</w:t>
            </w:r>
            <w:r w:rsidRPr="00D160FB">
              <w:rPr>
                <w:color w:val="0D0D0D" w:themeColor="text1" w:themeTint="F2"/>
                <w:spacing w:val="-4"/>
                <w:lang w:val="en-GB"/>
              </w:rPr>
              <w:t>.</w:t>
            </w:r>
            <w:r w:rsidR="001C3855" w:rsidRPr="00D160FB">
              <w:rPr>
                <w:color w:val="0D0D0D" w:themeColor="text1" w:themeTint="F2"/>
                <w:spacing w:val="-4"/>
                <w:lang w:val="en-GB"/>
              </w:rPr>
              <w:t>9%</w:t>
            </w:r>
            <w:r w:rsidRPr="00D160FB">
              <w:rPr>
                <w:color w:val="0D0D0D" w:themeColor="text1" w:themeTint="F2"/>
                <w:spacing w:val="-4"/>
                <w:lang w:val="en-GB"/>
              </w:rPr>
              <w:t xml:space="preserve"> year-on-year</w:t>
            </w:r>
            <w:r w:rsidR="001C3855" w:rsidRPr="00D160FB">
              <w:rPr>
                <w:color w:val="0D0D0D" w:themeColor="text1" w:themeTint="F2"/>
                <w:spacing w:val="-4"/>
                <w:lang w:val="en-GB"/>
              </w:rPr>
              <w:t xml:space="preserve">, </w:t>
            </w:r>
            <w:r w:rsidRPr="00D160FB">
              <w:rPr>
                <w:color w:val="0D0D0D" w:themeColor="text1" w:themeTint="F2"/>
                <w:spacing w:val="-4"/>
                <w:lang w:val="en-GB"/>
              </w:rPr>
              <w:t>since a record three-fold legal adjustment of pensions was performed</w:t>
            </w:r>
            <w:r w:rsidR="001C3855" w:rsidRPr="00D160FB">
              <w:rPr>
                <w:rStyle w:val="Znakapoznpodarou"/>
                <w:spacing w:val="-4"/>
                <w:szCs w:val="20"/>
                <w:lang w:val="en-GB"/>
              </w:rPr>
              <w:footnoteReference w:id="99"/>
            </w:r>
            <w:r w:rsidR="001C3855" w:rsidRPr="00D160FB">
              <w:rPr>
                <w:spacing w:val="-4"/>
                <w:szCs w:val="20"/>
                <w:lang w:val="en-GB"/>
              </w:rPr>
              <w:t xml:space="preserve">. </w:t>
            </w:r>
            <w:r w:rsidRPr="00D160FB">
              <w:rPr>
                <w:spacing w:val="-4"/>
                <w:szCs w:val="20"/>
                <w:lang w:val="en-GB"/>
              </w:rPr>
              <w:t xml:space="preserve">Number of pension recipients was on the contrary falling for a third year in a row, </w:t>
            </w:r>
            <w:r w:rsidR="00895114" w:rsidRPr="00D160FB">
              <w:rPr>
                <w:spacing w:val="-4"/>
                <w:szCs w:val="20"/>
                <w:lang w:val="en-GB"/>
              </w:rPr>
              <w:t>i</w:t>
            </w:r>
            <w:r w:rsidR="00CA1293" w:rsidRPr="00D160FB">
              <w:rPr>
                <w:spacing w:val="-4"/>
                <w:szCs w:val="20"/>
                <w:lang w:val="en-GB"/>
              </w:rPr>
              <w:t xml:space="preserve">n total </w:t>
            </w:r>
            <w:r w:rsidR="00895114" w:rsidRPr="00D160FB">
              <w:rPr>
                <w:spacing w:val="-4"/>
                <w:szCs w:val="20"/>
                <w:lang w:val="en-GB"/>
              </w:rPr>
              <w:t xml:space="preserve">it was by 1.8% lower compared to December </w:t>
            </w:r>
            <w:r w:rsidR="001C3855" w:rsidRPr="00D160FB">
              <w:rPr>
                <w:spacing w:val="-6"/>
                <w:szCs w:val="20"/>
                <w:lang w:val="en-GB"/>
              </w:rPr>
              <w:t>2019</w:t>
            </w:r>
            <w:r w:rsidR="00895114" w:rsidRPr="00D160FB">
              <w:rPr>
                <w:spacing w:val="-6"/>
                <w:szCs w:val="20"/>
                <w:lang w:val="en-GB"/>
              </w:rPr>
              <w:t>, mainly due to the heightened mortality. At the same time the long-term trend of the growth of number of persons with early pension continued</w:t>
            </w:r>
            <w:r w:rsidR="001C3855" w:rsidRPr="00D160FB">
              <w:rPr>
                <w:rStyle w:val="Znakapoznpodarou"/>
                <w:spacing w:val="-6"/>
                <w:szCs w:val="20"/>
                <w:lang w:val="en-GB"/>
              </w:rPr>
              <w:footnoteReference w:id="100"/>
            </w:r>
            <w:r w:rsidR="001C3855" w:rsidRPr="00D160FB">
              <w:rPr>
                <w:spacing w:val="-6"/>
                <w:szCs w:val="20"/>
                <w:lang w:val="en-GB"/>
              </w:rPr>
              <w:t xml:space="preserve">. </w:t>
            </w:r>
            <w:r w:rsidR="00895114" w:rsidRPr="00D160FB">
              <w:rPr>
                <w:spacing w:val="-6"/>
                <w:szCs w:val="20"/>
                <w:lang w:val="en-GB"/>
              </w:rPr>
              <w:t xml:space="preserve">Good condition of the labour market supported the ongoing growth of the pension insurance revenues </w:t>
            </w:r>
            <w:r w:rsidR="001C3855" w:rsidRPr="00D160FB">
              <w:rPr>
                <w:rFonts w:cs="Arial"/>
                <w:color w:val="0D0D0D" w:themeColor="text1" w:themeTint="F2"/>
                <w:spacing w:val="-4"/>
                <w:lang w:val="en-GB"/>
              </w:rPr>
              <w:t>(+6</w:t>
            </w:r>
            <w:r w:rsidR="00895114" w:rsidRPr="00D160FB">
              <w:rPr>
                <w:rFonts w:cs="Arial"/>
                <w:color w:val="0D0D0D" w:themeColor="text1" w:themeTint="F2"/>
                <w:spacing w:val="-4"/>
                <w:lang w:val="en-GB"/>
              </w:rPr>
              <w:t>.</w:t>
            </w:r>
            <w:r w:rsidR="001C3855" w:rsidRPr="00D160FB">
              <w:rPr>
                <w:rFonts w:cs="Arial"/>
                <w:color w:val="0D0D0D" w:themeColor="text1" w:themeTint="F2"/>
                <w:spacing w:val="-4"/>
                <w:lang w:val="en-GB"/>
              </w:rPr>
              <w:t xml:space="preserve">7%). </w:t>
            </w:r>
            <w:r w:rsidR="008D2F75" w:rsidRPr="00D160FB">
              <w:rPr>
                <w:rFonts w:cs="Arial"/>
                <w:color w:val="0D0D0D" w:themeColor="text1" w:themeTint="F2"/>
                <w:spacing w:val="-4"/>
                <w:lang w:val="en-GB"/>
              </w:rPr>
              <w:t>The pension account balance</w:t>
            </w:r>
            <w:r w:rsidR="001C3855" w:rsidRPr="00D160FB">
              <w:rPr>
                <w:rStyle w:val="Znakapoznpodarou"/>
                <w:color w:val="0D0D0D" w:themeColor="text1" w:themeTint="F2"/>
                <w:spacing w:val="-4"/>
                <w:lang w:val="en-GB"/>
              </w:rPr>
              <w:footnoteReference w:id="101"/>
            </w:r>
            <w:r w:rsidR="001C3855" w:rsidRPr="00D160FB">
              <w:rPr>
                <w:rFonts w:cs="Arial"/>
                <w:color w:val="0D0D0D" w:themeColor="text1" w:themeTint="F2"/>
                <w:spacing w:val="-4"/>
                <w:lang w:val="en-GB"/>
              </w:rPr>
              <w:t xml:space="preserve"> </w:t>
            </w:r>
            <w:r w:rsidR="008D2F75" w:rsidRPr="00D160FB">
              <w:rPr>
                <w:rFonts w:cs="Arial"/>
                <w:color w:val="0D0D0D" w:themeColor="text1" w:themeTint="F2"/>
                <w:spacing w:val="-4"/>
                <w:lang w:val="en-GB"/>
              </w:rPr>
              <w:t xml:space="preserve">again plunged into deficit (17.4 CZK bn) following a mild surplus in year </w:t>
            </w:r>
            <w:r w:rsidR="001C3855" w:rsidRPr="00D160FB">
              <w:rPr>
                <w:rFonts w:cs="Arial"/>
                <w:color w:val="0D0D0D" w:themeColor="text1" w:themeTint="F2"/>
                <w:spacing w:val="-4"/>
                <w:lang w:val="en-GB"/>
              </w:rPr>
              <w:t>2021</w:t>
            </w:r>
            <w:r w:rsidR="008D2F75" w:rsidRPr="00D160FB">
              <w:rPr>
                <w:rFonts w:cs="Arial"/>
                <w:color w:val="0D0D0D" w:themeColor="text1" w:themeTint="F2"/>
                <w:spacing w:val="-4"/>
                <w:lang w:val="en-GB"/>
              </w:rPr>
              <w:t xml:space="preserve">. </w:t>
            </w:r>
          </w:p>
        </w:tc>
      </w:tr>
      <w:tr w:rsidR="001C3855" w:rsidRPr="00D160FB" w14:paraId="748E2634" w14:textId="77777777" w:rsidTr="00C8019E">
        <w:trPr>
          <w:trHeight w:val="170"/>
        </w:trPr>
        <w:tc>
          <w:tcPr>
            <w:tcW w:w="1773" w:type="dxa"/>
            <w:shd w:val="clear" w:color="auto" w:fill="auto"/>
            <w:tcMar>
              <w:left w:w="0" w:type="dxa"/>
            </w:tcMar>
          </w:tcPr>
          <w:p w14:paraId="1CC9C9B1" w14:textId="366B5859" w:rsidR="001C3855" w:rsidRPr="00D160FB" w:rsidRDefault="001C3855" w:rsidP="00C8019E">
            <w:pPr>
              <w:pStyle w:val="Marginlie"/>
              <w:rPr>
                <w:lang w:val="en-GB"/>
              </w:rPr>
            </w:pPr>
            <w:r w:rsidRPr="00D160FB">
              <w:rPr>
                <w:lang w:val="en-GB"/>
              </w:rPr>
              <w:t>N</w:t>
            </w:r>
            <w:r w:rsidR="000C7B81" w:rsidRPr="00D160FB">
              <w:rPr>
                <w:lang w:val="en-GB"/>
              </w:rPr>
              <w:t xml:space="preserve">on-pension social benefits grew swiftly mainly due to the material deprivation assistance benefits and state social </w:t>
            </w:r>
            <w:r w:rsidR="00F80012" w:rsidRPr="00D160FB">
              <w:rPr>
                <w:lang w:val="en-GB"/>
              </w:rPr>
              <w:t xml:space="preserve">assistance </w:t>
            </w:r>
            <w:r w:rsidR="000C7B81" w:rsidRPr="00D160FB">
              <w:rPr>
                <w:lang w:val="en-GB"/>
              </w:rPr>
              <w:t xml:space="preserve">benefits. </w:t>
            </w:r>
            <w:r w:rsidRPr="00D160FB">
              <w:rPr>
                <w:lang w:val="en-GB"/>
              </w:rPr>
              <w:t xml:space="preserve"> </w:t>
            </w:r>
          </w:p>
          <w:p w14:paraId="044B4E11" w14:textId="77777777" w:rsidR="001C3855" w:rsidRPr="00D160FB" w:rsidRDefault="001C3855" w:rsidP="00C8019E">
            <w:pPr>
              <w:pStyle w:val="Marginlie"/>
              <w:rPr>
                <w:lang w:val="en-GB"/>
              </w:rPr>
            </w:pPr>
          </w:p>
          <w:p w14:paraId="57FE8F95" w14:textId="77777777" w:rsidR="001C3855" w:rsidRPr="00D160FB" w:rsidRDefault="001C3855" w:rsidP="00C8019E">
            <w:pPr>
              <w:pStyle w:val="Marginlie"/>
              <w:rPr>
                <w:lang w:val="en-GB"/>
              </w:rPr>
            </w:pPr>
          </w:p>
          <w:p w14:paraId="5BD723D0" w14:textId="77777777" w:rsidR="001C3855" w:rsidRPr="00D160FB" w:rsidRDefault="001C3855" w:rsidP="00C8019E">
            <w:pPr>
              <w:pStyle w:val="Marginlie"/>
              <w:rPr>
                <w:lang w:val="en-GB"/>
              </w:rPr>
            </w:pPr>
          </w:p>
          <w:p w14:paraId="6785D6D9" w14:textId="77777777" w:rsidR="001C3855" w:rsidRPr="00D160FB" w:rsidRDefault="001C3855" w:rsidP="00C8019E">
            <w:pPr>
              <w:pStyle w:val="Marginlie"/>
              <w:rPr>
                <w:lang w:val="en-GB"/>
              </w:rPr>
            </w:pPr>
          </w:p>
          <w:p w14:paraId="14903F71" w14:textId="77777777" w:rsidR="001C3855" w:rsidRPr="00D160FB" w:rsidRDefault="001C3855" w:rsidP="00C8019E">
            <w:pPr>
              <w:pStyle w:val="Marginlie"/>
              <w:rPr>
                <w:lang w:val="en-GB"/>
              </w:rPr>
            </w:pPr>
          </w:p>
          <w:p w14:paraId="7CDE8825" w14:textId="038B1E00" w:rsidR="001C3855" w:rsidRPr="00D160FB" w:rsidRDefault="0034466D" w:rsidP="00C8019E">
            <w:pPr>
              <w:pStyle w:val="Marginlie"/>
              <w:rPr>
                <w:lang w:val="en-GB"/>
              </w:rPr>
            </w:pPr>
            <w:r w:rsidRPr="00D160FB">
              <w:rPr>
                <w:lang w:val="en-GB"/>
              </w:rPr>
              <w:t xml:space="preserve">Sickness insurance benefits were further decreasing, still they exceeded the insurance revenues. </w:t>
            </w:r>
          </w:p>
        </w:tc>
        <w:tc>
          <w:tcPr>
            <w:tcW w:w="217" w:type="dxa"/>
            <w:shd w:val="clear" w:color="auto" w:fill="auto"/>
            <w:tcMar>
              <w:left w:w="0" w:type="dxa"/>
            </w:tcMar>
          </w:tcPr>
          <w:p w14:paraId="0019F931" w14:textId="48054A05"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7F79891D" w14:textId="582CE557" w:rsidR="001C3855" w:rsidRPr="00D160FB" w:rsidRDefault="00CF05F4" w:rsidP="00C8019E">
            <w:pPr>
              <w:spacing w:after="200"/>
              <w:rPr>
                <w:spacing w:val="-4"/>
                <w:lang w:val="en-GB"/>
              </w:rPr>
            </w:pPr>
            <w:r w:rsidRPr="00D160FB">
              <w:rPr>
                <w:spacing w:val="-4"/>
                <w:szCs w:val="20"/>
                <w:lang w:val="en-GB"/>
              </w:rPr>
              <w:t>Unlike the year 2021, the non-pension social benefits (by 11.2% higher year-on-year) also contributed to the growth of the SB current expenditures</w:t>
            </w:r>
            <w:r w:rsidR="001C3855" w:rsidRPr="00D160FB">
              <w:rPr>
                <w:rFonts w:cs="Arial"/>
                <w:color w:val="0D0D0D" w:themeColor="text1" w:themeTint="F2"/>
                <w:spacing w:val="-5"/>
                <w:lang w:val="en-GB"/>
              </w:rPr>
              <w:t xml:space="preserve">. </w:t>
            </w:r>
            <w:r w:rsidR="00A64939" w:rsidRPr="00D160FB">
              <w:rPr>
                <w:rFonts w:cs="Arial"/>
                <w:color w:val="0D0D0D" w:themeColor="text1" w:themeTint="F2"/>
                <w:spacing w:val="-5"/>
                <w:lang w:val="en-GB"/>
              </w:rPr>
              <w:t xml:space="preserve">Higher material deprivation assistance </w:t>
            </w:r>
            <w:r w:rsidR="001C3855" w:rsidRPr="00D160FB">
              <w:rPr>
                <w:rFonts w:cs="Arial"/>
                <w:color w:val="0D0D0D" w:themeColor="text1" w:themeTint="F2"/>
                <w:spacing w:val="-5"/>
                <w:lang w:val="en-GB"/>
              </w:rPr>
              <w:t>(+9</w:t>
            </w:r>
            <w:r w:rsidR="00A64939" w:rsidRPr="00D160FB">
              <w:rPr>
                <w:rFonts w:cs="Arial"/>
                <w:color w:val="0D0D0D" w:themeColor="text1" w:themeTint="F2"/>
                <w:spacing w:val="-5"/>
                <w:lang w:val="en-GB"/>
              </w:rPr>
              <w:t>.</w:t>
            </w:r>
            <w:r w:rsidR="001C3855" w:rsidRPr="00D160FB">
              <w:rPr>
                <w:rFonts w:cs="Arial"/>
                <w:color w:val="0D0D0D" w:themeColor="text1" w:themeTint="F2"/>
                <w:spacing w:val="-5"/>
                <w:lang w:val="en-GB"/>
              </w:rPr>
              <w:t>0</w:t>
            </w:r>
            <w:r w:rsidR="00A64939" w:rsidRPr="00D160FB">
              <w:rPr>
                <w:rFonts w:cs="Arial"/>
                <w:color w:val="0D0D0D" w:themeColor="text1" w:themeTint="F2"/>
                <w:spacing w:val="-5"/>
                <w:lang w:val="en-GB"/>
              </w:rPr>
              <w:t xml:space="preserve"> CZK bn</w:t>
            </w:r>
            <w:r w:rsidR="001C3855" w:rsidRPr="00D160FB">
              <w:rPr>
                <w:rFonts w:cs="Arial"/>
                <w:color w:val="0D0D0D" w:themeColor="text1" w:themeTint="F2"/>
                <w:spacing w:val="-5"/>
                <w:lang w:val="en-GB"/>
              </w:rPr>
              <w:t xml:space="preserve">), </w:t>
            </w:r>
            <w:r w:rsidRPr="00D160FB">
              <w:rPr>
                <w:rFonts w:cs="Arial"/>
                <w:color w:val="0D0D0D" w:themeColor="text1" w:themeTint="F2"/>
                <w:spacing w:val="-5"/>
                <w:lang w:val="en-GB"/>
              </w:rPr>
              <w:t xml:space="preserve">driven from the vast part by the payment of the humanitarian aid to the refugees from Ukraine, </w:t>
            </w:r>
            <w:r w:rsidR="00A64939" w:rsidRPr="00D160FB">
              <w:rPr>
                <w:rFonts w:cs="Arial"/>
                <w:color w:val="0D0D0D" w:themeColor="text1" w:themeTint="F2"/>
                <w:spacing w:val="-5"/>
                <w:lang w:val="en-GB"/>
              </w:rPr>
              <w:t>played an essential role here</w:t>
            </w:r>
            <w:r w:rsidR="001C3855" w:rsidRPr="00D160FB">
              <w:rPr>
                <w:rFonts w:cs="Arial"/>
                <w:color w:val="0D0D0D" w:themeColor="text1" w:themeTint="F2"/>
                <w:spacing w:val="-5"/>
                <w:lang w:val="en-GB"/>
              </w:rPr>
              <w:t xml:space="preserve">. </w:t>
            </w:r>
            <w:r w:rsidR="001A0360" w:rsidRPr="00D160FB">
              <w:rPr>
                <w:rFonts w:cs="Arial"/>
                <w:color w:val="0D0D0D" w:themeColor="text1" w:themeTint="F2"/>
                <w:spacing w:val="-5"/>
                <w:lang w:val="en-GB"/>
              </w:rPr>
              <w:t xml:space="preserve">State social </w:t>
            </w:r>
            <w:r w:rsidR="00F80012" w:rsidRPr="00D160FB">
              <w:rPr>
                <w:rFonts w:cs="Arial"/>
                <w:color w:val="0D0D0D" w:themeColor="text1" w:themeTint="F2"/>
                <w:spacing w:val="-5"/>
                <w:lang w:val="en-GB"/>
              </w:rPr>
              <w:t xml:space="preserve">assistance </w:t>
            </w:r>
            <w:r w:rsidR="001A0360" w:rsidRPr="00D160FB">
              <w:rPr>
                <w:rFonts w:cs="Arial"/>
                <w:color w:val="0D0D0D" w:themeColor="text1" w:themeTint="F2"/>
                <w:spacing w:val="-5"/>
                <w:lang w:val="en-GB"/>
              </w:rPr>
              <w:t xml:space="preserve">benefits also expanded considerably </w:t>
            </w:r>
            <w:r w:rsidR="001C3855" w:rsidRPr="00D160FB">
              <w:rPr>
                <w:spacing w:val="-4"/>
                <w:lang w:val="en-GB"/>
              </w:rPr>
              <w:t>(SS</w:t>
            </w:r>
            <w:r w:rsidR="00CF082E" w:rsidRPr="00D160FB">
              <w:rPr>
                <w:spacing w:val="-4"/>
                <w:lang w:val="en-GB"/>
              </w:rPr>
              <w:t>AB</w:t>
            </w:r>
            <w:r w:rsidR="001C3855" w:rsidRPr="00D160FB">
              <w:rPr>
                <w:spacing w:val="-4"/>
                <w:lang w:val="en-GB"/>
              </w:rPr>
              <w:t>, +7</w:t>
            </w:r>
            <w:r w:rsidR="001A0360" w:rsidRPr="00D160FB">
              <w:rPr>
                <w:spacing w:val="-4"/>
                <w:lang w:val="en-GB"/>
              </w:rPr>
              <w:t>.</w:t>
            </w:r>
            <w:r w:rsidR="001C3855" w:rsidRPr="00D160FB">
              <w:rPr>
                <w:spacing w:val="-4"/>
                <w:lang w:val="en-GB"/>
              </w:rPr>
              <w:t>6</w:t>
            </w:r>
            <w:r w:rsidR="001A0360" w:rsidRPr="00D160FB">
              <w:rPr>
                <w:spacing w:val="-4"/>
                <w:lang w:val="en-GB"/>
              </w:rPr>
              <w:t xml:space="preserve"> CZK bn</w:t>
            </w:r>
            <w:r w:rsidR="001C3855" w:rsidRPr="00D160FB">
              <w:rPr>
                <w:spacing w:val="-4"/>
                <w:lang w:val="en-GB"/>
              </w:rPr>
              <w:t>). T</w:t>
            </w:r>
            <w:r w:rsidR="001A0360" w:rsidRPr="00D160FB">
              <w:rPr>
                <w:spacing w:val="-4"/>
                <w:lang w:val="en-GB"/>
              </w:rPr>
              <w:t xml:space="preserve">hese increased primarily due to the </w:t>
            </w:r>
            <w:r w:rsidR="0064086F" w:rsidRPr="00D160FB">
              <w:rPr>
                <w:spacing w:val="-4"/>
                <w:lang w:val="en-GB"/>
              </w:rPr>
              <w:lastRenderedPageBreak/>
              <w:t xml:space="preserve">single </w:t>
            </w:r>
            <w:r w:rsidR="001A0360" w:rsidRPr="00D160FB">
              <w:rPr>
                <w:spacing w:val="-4"/>
                <w:lang w:val="en-GB"/>
              </w:rPr>
              <w:t>payment of the</w:t>
            </w:r>
            <w:r w:rsidR="0064086F" w:rsidRPr="00D160FB">
              <w:rPr>
                <w:spacing w:val="-4"/>
                <w:lang w:val="en-GB"/>
              </w:rPr>
              <w:t xml:space="preserve"> child </w:t>
            </w:r>
            <w:r w:rsidR="00D34078" w:rsidRPr="00D160FB">
              <w:rPr>
                <w:spacing w:val="-4"/>
                <w:lang w:val="en-GB"/>
              </w:rPr>
              <w:t>benefit</w:t>
            </w:r>
            <w:r w:rsidR="001C3855" w:rsidRPr="00D160FB">
              <w:rPr>
                <w:rStyle w:val="Znakapoznpodarou"/>
                <w:spacing w:val="-4"/>
                <w:lang w:val="en-GB"/>
              </w:rPr>
              <w:footnoteReference w:id="102"/>
            </w:r>
            <w:r w:rsidR="001C3855" w:rsidRPr="00D160FB">
              <w:rPr>
                <w:spacing w:val="-4"/>
                <w:lang w:val="en-GB"/>
              </w:rPr>
              <w:t xml:space="preserve">, </w:t>
            </w:r>
            <w:r w:rsidR="00D34078" w:rsidRPr="00D160FB">
              <w:rPr>
                <w:spacing w:val="-4"/>
                <w:lang w:val="en-GB"/>
              </w:rPr>
              <w:t xml:space="preserve">child allowances </w:t>
            </w:r>
            <w:r w:rsidR="001C3855" w:rsidRPr="00D160FB">
              <w:rPr>
                <w:spacing w:val="-4"/>
                <w:lang w:val="en-GB"/>
              </w:rPr>
              <w:t>(</w:t>
            </w:r>
            <w:r w:rsidR="00D34078" w:rsidRPr="00D160FB">
              <w:rPr>
                <w:spacing w:val="-4"/>
                <w:lang w:val="en-GB"/>
              </w:rPr>
              <w:t xml:space="preserve">thanks to the broadening of the number of recipients entitled to the benefit) </w:t>
            </w:r>
            <w:r w:rsidR="001C3855" w:rsidRPr="00D160FB">
              <w:rPr>
                <w:spacing w:val="-4"/>
                <w:lang w:val="en-GB"/>
              </w:rPr>
              <w:t>a</w:t>
            </w:r>
            <w:r w:rsidR="00F80012" w:rsidRPr="00D160FB">
              <w:rPr>
                <w:spacing w:val="-4"/>
                <w:lang w:val="en-GB"/>
              </w:rPr>
              <w:t xml:space="preserve">nd housing benefits </w:t>
            </w:r>
            <w:r w:rsidR="001C3855" w:rsidRPr="00D160FB">
              <w:rPr>
                <w:spacing w:val="-4"/>
                <w:lang w:val="en-GB"/>
              </w:rPr>
              <w:t>(</w:t>
            </w:r>
            <w:r w:rsidR="00F80012" w:rsidRPr="00D160FB">
              <w:rPr>
                <w:spacing w:val="-4"/>
                <w:lang w:val="en-GB"/>
              </w:rPr>
              <w:t xml:space="preserve">due to the raising of costs accepted for the </w:t>
            </w:r>
            <w:r w:rsidR="00CF082E" w:rsidRPr="00D160FB">
              <w:rPr>
                <w:spacing w:val="-4"/>
                <w:lang w:val="en-GB"/>
              </w:rPr>
              <w:t>pay-out</w:t>
            </w:r>
            <w:r w:rsidR="001C3855" w:rsidRPr="00D160FB">
              <w:rPr>
                <w:spacing w:val="-4"/>
                <w:lang w:val="en-GB"/>
              </w:rPr>
              <w:t xml:space="preserve">). </w:t>
            </w:r>
            <w:r w:rsidR="002C0673" w:rsidRPr="00D160FB">
              <w:rPr>
                <w:spacing w:val="-4"/>
                <w:lang w:val="en-GB"/>
              </w:rPr>
              <w:t>The mild decrease for the weight dominant item of SS</w:t>
            </w:r>
            <w:r w:rsidR="00CF082E" w:rsidRPr="00D160FB">
              <w:rPr>
                <w:spacing w:val="-4"/>
                <w:lang w:val="en-GB"/>
              </w:rPr>
              <w:t>AB</w:t>
            </w:r>
            <w:r w:rsidR="002C0673" w:rsidRPr="00D160FB">
              <w:rPr>
                <w:spacing w:val="-4"/>
                <w:lang w:val="en-GB"/>
              </w:rPr>
              <w:t xml:space="preserve"> – parental benefits – had the opposite effect </w:t>
            </w:r>
            <w:r w:rsidR="001C3855" w:rsidRPr="00D160FB">
              <w:rPr>
                <w:spacing w:val="-4"/>
                <w:lang w:val="en-GB"/>
              </w:rPr>
              <w:t>(</w:t>
            </w:r>
            <w:r w:rsidR="001C3855" w:rsidRPr="00D160FB">
              <w:rPr>
                <w:color w:val="0D0D0D" w:themeColor="text1" w:themeTint="F2"/>
                <w:spacing w:val="-5"/>
                <w:lang w:val="en-GB"/>
              </w:rPr>
              <w:t>−</w:t>
            </w:r>
            <w:r w:rsidR="001C3855" w:rsidRPr="00D160FB">
              <w:rPr>
                <w:spacing w:val="-4"/>
                <w:lang w:val="en-GB"/>
              </w:rPr>
              <w:t>2</w:t>
            </w:r>
            <w:r w:rsidR="002C0673" w:rsidRPr="00D160FB">
              <w:rPr>
                <w:spacing w:val="-4"/>
                <w:lang w:val="en-GB"/>
              </w:rPr>
              <w:t>.</w:t>
            </w:r>
            <w:r w:rsidR="001C3855" w:rsidRPr="00D160FB">
              <w:rPr>
                <w:spacing w:val="-4"/>
                <w:lang w:val="en-GB"/>
              </w:rPr>
              <w:t>4</w:t>
            </w:r>
            <w:r w:rsidR="002C0673" w:rsidRPr="00D160FB">
              <w:rPr>
                <w:spacing w:val="-4"/>
                <w:lang w:val="en-GB"/>
              </w:rPr>
              <w:t xml:space="preserve"> CZK bn</w:t>
            </w:r>
            <w:r w:rsidR="001C3855" w:rsidRPr="00D160FB">
              <w:rPr>
                <w:spacing w:val="-4"/>
                <w:lang w:val="en-GB"/>
              </w:rPr>
              <w:t xml:space="preserve">). </w:t>
            </w:r>
            <w:r w:rsidR="007609DA" w:rsidRPr="00D160FB">
              <w:rPr>
                <w:spacing w:val="-4"/>
                <w:lang w:val="en-GB"/>
              </w:rPr>
              <w:t xml:space="preserve">From other benefits the volume of care benefits increased </w:t>
            </w:r>
            <w:r w:rsidR="001C3855" w:rsidRPr="00D160FB">
              <w:rPr>
                <w:spacing w:val="-4"/>
                <w:lang w:val="en-GB"/>
              </w:rPr>
              <w:t>(+3</w:t>
            </w:r>
            <w:r w:rsidR="007609DA" w:rsidRPr="00D160FB">
              <w:rPr>
                <w:spacing w:val="-4"/>
                <w:lang w:val="en-GB"/>
              </w:rPr>
              <w:t>.</w:t>
            </w:r>
            <w:r w:rsidR="001C3855" w:rsidRPr="00D160FB">
              <w:rPr>
                <w:spacing w:val="-4"/>
                <w:lang w:val="en-GB"/>
              </w:rPr>
              <w:t>7</w:t>
            </w:r>
            <w:r w:rsidR="007609DA" w:rsidRPr="00D160FB">
              <w:rPr>
                <w:spacing w:val="-4"/>
                <w:lang w:val="en-GB"/>
              </w:rPr>
              <w:t xml:space="preserve"> CZK bn</w:t>
            </w:r>
            <w:r w:rsidR="001C3855" w:rsidRPr="00D160FB">
              <w:rPr>
                <w:spacing w:val="-4"/>
                <w:lang w:val="en-GB"/>
              </w:rPr>
              <w:t>)</w:t>
            </w:r>
            <w:r w:rsidR="001C3855" w:rsidRPr="00D160FB">
              <w:rPr>
                <w:rStyle w:val="Znakapoznpodarou"/>
                <w:spacing w:val="-4"/>
                <w:lang w:val="en-GB"/>
              </w:rPr>
              <w:footnoteReference w:id="103"/>
            </w:r>
            <w:r w:rsidR="001C3855" w:rsidRPr="00D160FB">
              <w:rPr>
                <w:spacing w:val="-4"/>
                <w:lang w:val="en-GB"/>
              </w:rPr>
              <w:t xml:space="preserve">. </w:t>
            </w:r>
            <w:r w:rsidR="007609DA" w:rsidRPr="00D160FB">
              <w:rPr>
                <w:spacing w:val="-4"/>
                <w:lang w:val="en-GB"/>
              </w:rPr>
              <w:t xml:space="preserve">On the contrary thanks to the improvement of the epidemic situation the expenditures on sickness insurance benefits dropped for the second year in a row </w:t>
            </w:r>
            <w:r w:rsidR="001C3855" w:rsidRPr="00D160FB">
              <w:rPr>
                <w:lang w:val="en-GB"/>
              </w:rPr>
              <w:t>(</w:t>
            </w:r>
            <w:r w:rsidR="007609DA" w:rsidRPr="00D160FB">
              <w:rPr>
                <w:lang w:val="en-GB"/>
              </w:rPr>
              <w:t xml:space="preserve">by </w:t>
            </w:r>
            <w:r w:rsidR="001C3855" w:rsidRPr="00D160FB">
              <w:rPr>
                <w:lang w:val="en-GB"/>
              </w:rPr>
              <w:t>3</w:t>
            </w:r>
            <w:r w:rsidR="007609DA" w:rsidRPr="00D160FB">
              <w:rPr>
                <w:lang w:val="en-GB"/>
              </w:rPr>
              <w:t>.</w:t>
            </w:r>
            <w:r w:rsidR="001C3855" w:rsidRPr="00D160FB">
              <w:rPr>
                <w:lang w:val="en-GB"/>
              </w:rPr>
              <w:t>7</w:t>
            </w:r>
            <w:r w:rsidR="007609DA" w:rsidRPr="00D160FB">
              <w:rPr>
                <w:lang w:val="en-GB"/>
              </w:rPr>
              <w:t xml:space="preserve"> CZK bn</w:t>
            </w:r>
            <w:r w:rsidR="001C3855" w:rsidRPr="00D160FB">
              <w:rPr>
                <w:lang w:val="en-GB"/>
              </w:rPr>
              <w:t>),</w:t>
            </w:r>
            <w:r w:rsidR="001C3855" w:rsidRPr="00D160FB">
              <w:rPr>
                <w:spacing w:val="-4"/>
                <w:lang w:val="en-GB"/>
              </w:rPr>
              <w:t xml:space="preserve"> </w:t>
            </w:r>
            <w:r w:rsidR="00AA68C7" w:rsidRPr="00D160FB">
              <w:rPr>
                <w:spacing w:val="-4"/>
                <w:lang w:val="en-GB"/>
              </w:rPr>
              <w:t>the SB however expended by one fifth more on these benefits compared to year 2</w:t>
            </w:r>
            <w:r w:rsidR="001C3855" w:rsidRPr="00D160FB">
              <w:rPr>
                <w:spacing w:val="-4"/>
                <w:lang w:val="en-GB"/>
              </w:rPr>
              <w:t>019</w:t>
            </w:r>
            <w:r w:rsidR="001C3855" w:rsidRPr="00D160FB">
              <w:rPr>
                <w:rStyle w:val="Znakapoznpodarou"/>
                <w:spacing w:val="-4"/>
                <w:lang w:val="en-GB"/>
              </w:rPr>
              <w:footnoteReference w:id="104"/>
            </w:r>
            <w:r w:rsidR="001C3855" w:rsidRPr="00D160FB">
              <w:rPr>
                <w:spacing w:val="-4"/>
                <w:lang w:val="en-GB"/>
              </w:rPr>
              <w:t>.</w:t>
            </w:r>
            <w:r w:rsidR="00AA68C7" w:rsidRPr="00D160FB">
              <w:rPr>
                <w:spacing w:val="-4"/>
                <w:lang w:val="en-GB"/>
              </w:rPr>
              <w:t xml:space="preserve"> </w:t>
            </w:r>
            <w:r w:rsidR="003C086F" w:rsidRPr="00D160FB">
              <w:rPr>
                <w:spacing w:val="-4"/>
                <w:lang w:val="en-GB"/>
              </w:rPr>
              <w:t xml:space="preserve">The SB </w:t>
            </w:r>
            <w:r w:rsidR="001C3855" w:rsidRPr="00D160FB">
              <w:rPr>
                <w:spacing w:val="-4"/>
                <w:lang w:val="en-GB"/>
              </w:rPr>
              <w:t>„</w:t>
            </w:r>
            <w:proofErr w:type="gramStart"/>
            <w:r w:rsidR="003C086F" w:rsidRPr="00D160FB">
              <w:rPr>
                <w:spacing w:val="-4"/>
                <w:lang w:val="en-GB"/>
              </w:rPr>
              <w:t>saved</w:t>
            </w:r>
            <w:r w:rsidR="001C3855" w:rsidRPr="00D160FB">
              <w:rPr>
                <w:spacing w:val="-4"/>
                <w:lang w:val="en-GB"/>
              </w:rPr>
              <w:t xml:space="preserve">“ </w:t>
            </w:r>
            <w:r w:rsidR="003C086F" w:rsidRPr="00D160FB">
              <w:rPr>
                <w:spacing w:val="-4"/>
                <w:lang w:val="en-GB"/>
              </w:rPr>
              <w:t>one</w:t>
            </w:r>
            <w:proofErr w:type="gramEnd"/>
            <w:r w:rsidR="003C086F" w:rsidRPr="00D160FB">
              <w:rPr>
                <w:spacing w:val="-4"/>
                <w:lang w:val="en-GB"/>
              </w:rPr>
              <w:t xml:space="preserve"> order less also on the unemployment benefits</w:t>
            </w:r>
            <w:r w:rsidR="001C3855" w:rsidRPr="00D160FB">
              <w:rPr>
                <w:spacing w:val="-4"/>
                <w:lang w:val="en-GB"/>
              </w:rPr>
              <w:t>,</w:t>
            </w:r>
            <w:r w:rsidR="003C086F" w:rsidRPr="00D160FB">
              <w:rPr>
                <w:spacing w:val="-4"/>
                <w:lang w:val="en-GB"/>
              </w:rPr>
              <w:t xml:space="preserve"> whose paid out size slightly fell for the second year in a row. Still it totalled not negligible </w:t>
            </w:r>
            <w:r w:rsidR="001C3855" w:rsidRPr="00D160FB">
              <w:rPr>
                <w:spacing w:val="-4"/>
                <w:lang w:val="en-GB"/>
              </w:rPr>
              <w:t>9</w:t>
            </w:r>
            <w:r w:rsidR="003C086F" w:rsidRPr="00D160FB">
              <w:rPr>
                <w:spacing w:val="-4"/>
                <w:lang w:val="en-GB"/>
              </w:rPr>
              <w:t>.</w:t>
            </w:r>
            <w:r w:rsidR="001C3855" w:rsidRPr="00D160FB">
              <w:rPr>
                <w:spacing w:val="-4"/>
                <w:lang w:val="en-GB"/>
              </w:rPr>
              <w:t>9</w:t>
            </w:r>
            <w:r w:rsidR="003C086F" w:rsidRPr="00D160FB">
              <w:rPr>
                <w:spacing w:val="-4"/>
                <w:lang w:val="en-GB"/>
              </w:rPr>
              <w:t xml:space="preserve"> CZK bn</w:t>
            </w:r>
            <w:r w:rsidR="001C3855" w:rsidRPr="00D160FB">
              <w:rPr>
                <w:spacing w:val="-4"/>
                <w:lang w:val="en-GB"/>
              </w:rPr>
              <w:t>.</w:t>
            </w:r>
          </w:p>
        </w:tc>
      </w:tr>
      <w:tr w:rsidR="001C3855" w:rsidRPr="00D160FB" w14:paraId="2465E644" w14:textId="77777777" w:rsidTr="00C8019E">
        <w:trPr>
          <w:trHeight w:val="170"/>
        </w:trPr>
        <w:tc>
          <w:tcPr>
            <w:tcW w:w="1773" w:type="dxa"/>
            <w:shd w:val="clear" w:color="auto" w:fill="auto"/>
            <w:tcMar>
              <w:left w:w="0" w:type="dxa"/>
            </w:tcMar>
          </w:tcPr>
          <w:p w14:paraId="55871531" w14:textId="3C71C802" w:rsidR="001C3855" w:rsidRPr="00D160FB" w:rsidRDefault="001C3855" w:rsidP="003C086F">
            <w:pPr>
              <w:pStyle w:val="Marginlie"/>
              <w:rPr>
                <w:lang w:val="en-GB"/>
              </w:rPr>
            </w:pPr>
            <w:r w:rsidRPr="00D160FB">
              <w:rPr>
                <w:lang w:val="en-GB"/>
              </w:rPr>
              <w:lastRenderedPageBreak/>
              <w:t>S</w:t>
            </w:r>
            <w:r w:rsidR="003C086F" w:rsidRPr="00D160FB">
              <w:rPr>
                <w:lang w:val="en-GB"/>
              </w:rPr>
              <w:t xml:space="preserve">trong growth of outlays on non-investment purchases related mainly to the strengthening of state material reserves. Growth of outlays on servicing the state debt accelerated and approached so far record size from year </w:t>
            </w:r>
            <w:r w:rsidRPr="00D160FB">
              <w:rPr>
                <w:lang w:val="en-GB"/>
              </w:rPr>
              <w:t xml:space="preserve">2013. </w:t>
            </w:r>
          </w:p>
          <w:p w14:paraId="3A44DAF5" w14:textId="77777777" w:rsidR="001C3855" w:rsidRPr="00D160FB" w:rsidRDefault="001C3855" w:rsidP="00C8019E">
            <w:pPr>
              <w:pStyle w:val="Marginlie"/>
              <w:rPr>
                <w:lang w:val="en-GB"/>
              </w:rPr>
            </w:pPr>
          </w:p>
          <w:p w14:paraId="7E90C0E4" w14:textId="77777777" w:rsidR="001C3855" w:rsidRPr="00D160FB" w:rsidRDefault="001C3855" w:rsidP="00C8019E">
            <w:pPr>
              <w:pStyle w:val="Marginlie"/>
              <w:rPr>
                <w:lang w:val="en-GB"/>
              </w:rPr>
            </w:pPr>
          </w:p>
          <w:p w14:paraId="1244ED82" w14:textId="77777777" w:rsidR="001C3855" w:rsidRPr="00D160FB" w:rsidRDefault="001C3855" w:rsidP="00C8019E">
            <w:pPr>
              <w:pStyle w:val="Marginlie"/>
              <w:rPr>
                <w:lang w:val="en-GB"/>
              </w:rPr>
            </w:pPr>
          </w:p>
          <w:p w14:paraId="79583F4F" w14:textId="77777777" w:rsidR="001C3855" w:rsidRPr="00D160FB" w:rsidRDefault="001C3855" w:rsidP="00C8019E">
            <w:pPr>
              <w:pStyle w:val="Marginlie"/>
              <w:rPr>
                <w:lang w:val="en-GB"/>
              </w:rPr>
            </w:pPr>
          </w:p>
          <w:p w14:paraId="4981A48C" w14:textId="77777777" w:rsidR="001C3855" w:rsidRPr="00D160FB" w:rsidRDefault="001C3855" w:rsidP="00C8019E">
            <w:pPr>
              <w:pStyle w:val="Marginlie"/>
              <w:rPr>
                <w:lang w:val="en-GB"/>
              </w:rPr>
            </w:pPr>
          </w:p>
          <w:p w14:paraId="0D92699A" w14:textId="41E5524C" w:rsidR="001C3855" w:rsidRPr="00D160FB" w:rsidRDefault="002A4951" w:rsidP="00C8019E">
            <w:pPr>
              <w:pStyle w:val="Marginlie"/>
              <w:rPr>
                <w:lang w:val="en-GB"/>
              </w:rPr>
            </w:pPr>
            <w:r w:rsidRPr="00D160FB">
              <w:rPr>
                <w:lang w:val="en-GB"/>
              </w:rPr>
              <w:t xml:space="preserve">Higher current transfers to regional budgets reflected especially the mild increase of wage tariffs in education. </w:t>
            </w:r>
          </w:p>
          <w:p w14:paraId="44E9EB26" w14:textId="77777777" w:rsidR="001C3855" w:rsidRPr="00D160FB" w:rsidRDefault="001C3855" w:rsidP="00C8019E">
            <w:pPr>
              <w:pStyle w:val="Marginlie"/>
              <w:rPr>
                <w:lang w:val="en-GB"/>
              </w:rPr>
            </w:pPr>
          </w:p>
        </w:tc>
        <w:tc>
          <w:tcPr>
            <w:tcW w:w="217" w:type="dxa"/>
            <w:shd w:val="clear" w:color="auto" w:fill="auto"/>
            <w:tcMar>
              <w:left w:w="0" w:type="dxa"/>
            </w:tcMar>
          </w:tcPr>
          <w:p w14:paraId="5CEEDF1A" w14:textId="77777777" w:rsidR="001C3855" w:rsidRPr="00D160FB" w:rsidRDefault="001C3855" w:rsidP="00C8019E">
            <w:pPr>
              <w:pStyle w:val="Textpoznpodarou"/>
              <w:jc w:val="both"/>
              <w:rPr>
                <w:spacing w:val="-4"/>
                <w:lang w:val="en-GB"/>
              </w:rPr>
            </w:pPr>
          </w:p>
        </w:tc>
        <w:tc>
          <w:tcPr>
            <w:tcW w:w="7679" w:type="dxa"/>
            <w:shd w:val="clear" w:color="auto" w:fill="auto"/>
            <w:tcMar>
              <w:left w:w="0" w:type="dxa"/>
            </w:tcMar>
          </w:tcPr>
          <w:p w14:paraId="52F1E187" w14:textId="58182CA6" w:rsidR="001C3855" w:rsidRPr="00D160FB" w:rsidRDefault="009F6723" w:rsidP="00C8019E">
            <w:pPr>
              <w:spacing w:after="200"/>
              <w:rPr>
                <w:rFonts w:cs="Arial"/>
                <w:color w:val="0D0D0D" w:themeColor="text1" w:themeTint="F2"/>
                <w:spacing w:val="-5"/>
                <w:lang w:val="en-GB"/>
              </w:rPr>
            </w:pPr>
            <w:r w:rsidRPr="00D160FB">
              <w:rPr>
                <w:rFonts w:cs="Arial"/>
                <w:color w:val="0D0D0D" w:themeColor="text1" w:themeTint="F2"/>
                <w:spacing w:val="-5"/>
                <w:lang w:val="en-GB"/>
              </w:rPr>
              <w:t xml:space="preserve">All social benefits strengthened by </w:t>
            </w:r>
            <w:r w:rsidR="001C3855" w:rsidRPr="00D160FB">
              <w:rPr>
                <w:rFonts w:cs="Arial"/>
                <w:color w:val="0D0D0D" w:themeColor="text1" w:themeTint="F2"/>
                <w:spacing w:val="-5"/>
                <w:lang w:val="en-GB"/>
              </w:rPr>
              <w:t>75</w:t>
            </w:r>
            <w:r w:rsidRPr="00D160FB">
              <w:rPr>
                <w:rFonts w:cs="Arial"/>
                <w:color w:val="0D0D0D" w:themeColor="text1" w:themeTint="F2"/>
                <w:spacing w:val="-5"/>
                <w:lang w:val="en-GB"/>
              </w:rPr>
              <w:t>.</w:t>
            </w:r>
            <w:r w:rsidR="001C3855" w:rsidRPr="00D160FB">
              <w:rPr>
                <w:rFonts w:cs="Arial"/>
                <w:color w:val="0D0D0D" w:themeColor="text1" w:themeTint="F2"/>
                <w:spacing w:val="-5"/>
                <w:lang w:val="en-GB"/>
              </w:rPr>
              <w:t>7</w:t>
            </w:r>
            <w:r w:rsidRPr="00D160FB">
              <w:rPr>
                <w:rFonts w:cs="Arial"/>
                <w:color w:val="0D0D0D" w:themeColor="text1" w:themeTint="F2"/>
                <w:spacing w:val="-5"/>
                <w:lang w:val="en-GB"/>
              </w:rPr>
              <w:t xml:space="preserve"> CZK bn last year </w:t>
            </w:r>
            <w:r w:rsidR="001C3855" w:rsidRPr="00D160FB">
              <w:rPr>
                <w:rFonts w:cs="Arial"/>
                <w:color w:val="0D0D0D" w:themeColor="text1" w:themeTint="F2"/>
                <w:spacing w:val="-5"/>
                <w:lang w:val="en-GB"/>
              </w:rPr>
              <w:t>(</w:t>
            </w:r>
            <w:r w:rsidRPr="00D160FB">
              <w:rPr>
                <w:rFonts w:cs="Arial"/>
                <w:color w:val="0D0D0D" w:themeColor="text1" w:themeTint="F2"/>
                <w:spacing w:val="-5"/>
                <w:lang w:val="en-GB"/>
              </w:rPr>
              <w:t>one half of</w:t>
            </w:r>
            <w:r w:rsidR="005A4C24" w:rsidRPr="00D160FB">
              <w:rPr>
                <w:rFonts w:cs="Arial"/>
                <w:color w:val="0D0D0D" w:themeColor="text1" w:themeTint="F2"/>
                <w:spacing w:val="-5"/>
                <w:lang w:val="en-GB"/>
              </w:rPr>
              <w:t xml:space="preserve"> </w:t>
            </w:r>
            <w:r w:rsidRPr="00D160FB">
              <w:rPr>
                <w:rFonts w:cs="Arial"/>
                <w:color w:val="0D0D0D" w:themeColor="text1" w:themeTint="F2"/>
                <w:spacing w:val="-5"/>
                <w:lang w:val="en-GB"/>
              </w:rPr>
              <w:t>it pertained to the last four months of the year</w:t>
            </w:r>
            <w:r w:rsidR="001C3855" w:rsidRPr="00D160FB">
              <w:rPr>
                <w:rFonts w:cs="Arial"/>
                <w:color w:val="0D0D0D" w:themeColor="text1" w:themeTint="F2"/>
                <w:spacing w:val="-5"/>
                <w:lang w:val="en-GB"/>
              </w:rPr>
              <w:t>). T</w:t>
            </w:r>
            <w:r w:rsidRPr="00D160FB">
              <w:rPr>
                <w:rFonts w:cs="Arial"/>
                <w:color w:val="0D0D0D" w:themeColor="text1" w:themeTint="F2"/>
                <w:spacing w:val="-5"/>
                <w:lang w:val="en-GB"/>
              </w:rPr>
              <w:t xml:space="preserve">hey comprised </w:t>
            </w:r>
            <w:r w:rsidR="001C3855" w:rsidRPr="00D160FB">
              <w:rPr>
                <w:rFonts w:cs="Arial"/>
                <w:color w:val="0D0D0D" w:themeColor="text1" w:themeTint="F2"/>
                <w:spacing w:val="-5"/>
                <w:lang w:val="en-GB"/>
              </w:rPr>
              <w:t>42</w:t>
            </w:r>
            <w:r w:rsidRPr="00D160FB">
              <w:rPr>
                <w:rFonts w:cs="Arial"/>
                <w:color w:val="0D0D0D" w:themeColor="text1" w:themeTint="F2"/>
                <w:spacing w:val="-5"/>
                <w:lang w:val="en-GB"/>
              </w:rPr>
              <w:t>.</w:t>
            </w:r>
            <w:r w:rsidR="001C3855" w:rsidRPr="00D160FB">
              <w:rPr>
                <w:rFonts w:cs="Arial"/>
                <w:color w:val="0D0D0D" w:themeColor="text1" w:themeTint="F2"/>
                <w:spacing w:val="-5"/>
                <w:lang w:val="en-GB"/>
              </w:rPr>
              <w:t>7%</w:t>
            </w:r>
            <w:r w:rsidRPr="00D160FB">
              <w:rPr>
                <w:rFonts w:cs="Arial"/>
                <w:color w:val="0D0D0D" w:themeColor="text1" w:themeTint="F2"/>
                <w:spacing w:val="-5"/>
                <w:lang w:val="en-GB"/>
              </w:rPr>
              <w:t xml:space="preserve"> of all current SB outlays, which was approximately by 3</w:t>
            </w:r>
            <w:r w:rsidR="001C3855" w:rsidRPr="00D160FB">
              <w:rPr>
                <w:rFonts w:cs="Arial"/>
                <w:color w:val="0D0D0D" w:themeColor="text1" w:themeTint="F2"/>
                <w:spacing w:val="-5"/>
                <w:lang w:val="en-GB"/>
              </w:rPr>
              <w:t xml:space="preserve"> p.</w:t>
            </w:r>
            <w:r w:rsidRPr="00D160FB">
              <w:rPr>
                <w:rFonts w:cs="Arial"/>
                <w:color w:val="0D0D0D" w:themeColor="text1" w:themeTint="F2"/>
                <w:spacing w:val="-5"/>
                <w:lang w:val="en-GB"/>
              </w:rPr>
              <w:t>p</w:t>
            </w:r>
            <w:r w:rsidR="001C3855" w:rsidRPr="00D160FB">
              <w:rPr>
                <w:rFonts w:cs="Arial"/>
                <w:color w:val="0D0D0D" w:themeColor="text1" w:themeTint="F2"/>
                <w:spacing w:val="-5"/>
                <w:lang w:val="en-GB"/>
              </w:rPr>
              <w:t>.</w:t>
            </w:r>
            <w:r w:rsidRPr="00D160FB">
              <w:rPr>
                <w:rFonts w:cs="Arial"/>
                <w:color w:val="0D0D0D" w:themeColor="text1" w:themeTint="F2"/>
                <w:spacing w:val="-5"/>
                <w:lang w:val="en-GB"/>
              </w:rPr>
              <w:t xml:space="preserve"> less than in the period of the economic recession </w:t>
            </w:r>
            <w:r w:rsidR="001C3855" w:rsidRPr="00D160FB">
              <w:rPr>
                <w:rFonts w:cs="Arial"/>
                <w:color w:val="0D0D0D" w:themeColor="text1" w:themeTint="F2"/>
                <w:spacing w:val="-5"/>
                <w:lang w:val="en-GB"/>
              </w:rPr>
              <w:t>(2012</w:t>
            </w:r>
            <w:r w:rsidRPr="00D160FB">
              <w:rPr>
                <w:rFonts w:cs="Arial"/>
                <w:color w:val="0D0D0D" w:themeColor="text1" w:themeTint="F2"/>
                <w:spacing w:val="-5"/>
                <w:lang w:val="en-GB"/>
              </w:rPr>
              <w:t xml:space="preserve"> till </w:t>
            </w:r>
            <w:r w:rsidR="001C3855" w:rsidRPr="00D160FB">
              <w:rPr>
                <w:rFonts w:cs="Arial"/>
                <w:color w:val="0D0D0D" w:themeColor="text1" w:themeTint="F2"/>
                <w:spacing w:val="-5"/>
                <w:lang w:val="en-GB"/>
              </w:rPr>
              <w:t xml:space="preserve">2013). </w:t>
            </w:r>
            <w:r w:rsidR="001A77E1" w:rsidRPr="00D160FB">
              <w:rPr>
                <w:rFonts w:cs="Arial"/>
                <w:color w:val="0D0D0D" w:themeColor="text1" w:themeTint="F2"/>
                <w:spacing w:val="-5"/>
                <w:lang w:val="en-GB"/>
              </w:rPr>
              <w:t xml:space="preserve">Outside of the area of social benefits, the unexpectedly large volume of non-investment purchases of the state the most contributed to the growth of the total current expenditures </w:t>
            </w:r>
            <w:r w:rsidR="001C3855" w:rsidRPr="00D160FB">
              <w:rPr>
                <w:color w:val="0D0D0D" w:themeColor="text1" w:themeTint="F2"/>
                <w:spacing w:val="-5"/>
                <w:lang w:val="en-GB"/>
              </w:rPr>
              <w:t>(+15</w:t>
            </w:r>
            <w:r w:rsidR="001A77E1" w:rsidRPr="00D160FB">
              <w:rPr>
                <w:color w:val="0D0D0D" w:themeColor="text1" w:themeTint="F2"/>
                <w:spacing w:val="-5"/>
                <w:lang w:val="en-GB"/>
              </w:rPr>
              <w:t>.</w:t>
            </w:r>
            <w:r w:rsidR="001C3855" w:rsidRPr="00D160FB">
              <w:rPr>
                <w:color w:val="0D0D0D" w:themeColor="text1" w:themeTint="F2"/>
                <w:spacing w:val="-5"/>
                <w:lang w:val="en-GB"/>
              </w:rPr>
              <w:t>8%, 12</w:t>
            </w:r>
            <w:r w:rsidR="001A77E1" w:rsidRPr="00D160FB">
              <w:rPr>
                <w:color w:val="0D0D0D" w:themeColor="text1" w:themeTint="F2"/>
                <w:spacing w:val="-5"/>
                <w:lang w:val="en-GB"/>
              </w:rPr>
              <w:t>.</w:t>
            </w:r>
            <w:r w:rsidR="001C3855" w:rsidRPr="00D160FB">
              <w:rPr>
                <w:color w:val="0D0D0D" w:themeColor="text1" w:themeTint="F2"/>
                <w:spacing w:val="-5"/>
                <w:lang w:val="en-GB"/>
              </w:rPr>
              <w:t>4</w:t>
            </w:r>
            <w:r w:rsidR="001A77E1" w:rsidRPr="00D160FB">
              <w:rPr>
                <w:color w:val="0D0D0D" w:themeColor="text1" w:themeTint="F2"/>
                <w:spacing w:val="-5"/>
                <w:lang w:val="en-GB"/>
              </w:rPr>
              <w:t xml:space="preserve"> CZK bn</w:t>
            </w:r>
            <w:r w:rsidR="00C133BB" w:rsidRPr="00D160FB">
              <w:rPr>
                <w:color w:val="0D0D0D" w:themeColor="text1" w:themeTint="F2"/>
                <w:spacing w:val="-5"/>
                <w:lang w:val="en-GB"/>
              </w:rPr>
              <w:t xml:space="preserve"> resp.</w:t>
            </w:r>
            <w:r w:rsidR="001C3855" w:rsidRPr="00D160FB">
              <w:rPr>
                <w:color w:val="0D0D0D" w:themeColor="text1" w:themeTint="F2"/>
                <w:spacing w:val="-5"/>
                <w:lang w:val="en-GB"/>
              </w:rPr>
              <w:t xml:space="preserve">), </w:t>
            </w:r>
            <w:r w:rsidR="00A05AED" w:rsidRPr="00D160FB">
              <w:rPr>
                <w:color w:val="0D0D0D" w:themeColor="text1" w:themeTint="F2"/>
                <w:spacing w:val="-5"/>
                <w:lang w:val="en-GB"/>
              </w:rPr>
              <w:t xml:space="preserve">where the higher expenditures on strengthening of the state material reserves </w:t>
            </w:r>
            <w:r w:rsidR="001C3855" w:rsidRPr="00D160FB">
              <w:rPr>
                <w:color w:val="0D0D0D" w:themeColor="text1" w:themeTint="F2"/>
                <w:spacing w:val="-5"/>
                <w:lang w:val="en-GB"/>
              </w:rPr>
              <w:t>(</w:t>
            </w:r>
            <w:r w:rsidR="00A05AED" w:rsidRPr="00D160FB">
              <w:rPr>
                <w:color w:val="0D0D0D" w:themeColor="text1" w:themeTint="F2"/>
                <w:spacing w:val="-5"/>
                <w:lang w:val="en-GB"/>
              </w:rPr>
              <w:t>mainly natural gas</w:t>
            </w:r>
            <w:r w:rsidR="001C3855" w:rsidRPr="00D160FB">
              <w:rPr>
                <w:color w:val="0D0D0D" w:themeColor="text1" w:themeTint="F2"/>
                <w:spacing w:val="-5"/>
                <w:lang w:val="en-GB"/>
              </w:rPr>
              <w:t xml:space="preserve">), </w:t>
            </w:r>
            <w:r w:rsidR="00A05AED" w:rsidRPr="00D160FB">
              <w:rPr>
                <w:color w:val="0D0D0D" w:themeColor="text1" w:themeTint="F2"/>
                <w:spacing w:val="-5"/>
                <w:lang w:val="en-GB"/>
              </w:rPr>
              <w:t>payment of older cost to the Czech Post, rising prices for consumed energies or higher need to purchase medicine and medical manifested</w:t>
            </w:r>
            <w:r w:rsidR="001C3855" w:rsidRPr="00D160FB">
              <w:rPr>
                <w:color w:val="0D0D0D" w:themeColor="text1" w:themeTint="F2"/>
                <w:spacing w:val="-5"/>
                <w:lang w:val="en-GB"/>
              </w:rPr>
              <w:t>.</w:t>
            </w:r>
            <w:r w:rsidR="00A05AED" w:rsidRPr="00D160FB">
              <w:rPr>
                <w:color w:val="0D0D0D" w:themeColor="text1" w:themeTint="F2"/>
                <w:spacing w:val="-5"/>
                <w:lang w:val="en-GB"/>
              </w:rPr>
              <w:t xml:space="preserve"> Net expenditures on servicing the state debt also burdened the SB more</w:t>
            </w:r>
            <w:r w:rsidR="001C3855" w:rsidRPr="00D160FB">
              <w:rPr>
                <w:rStyle w:val="Znakapoznpodarou"/>
                <w:spacing w:val="-4"/>
                <w:lang w:val="en-GB"/>
              </w:rPr>
              <w:footnoteReference w:id="105"/>
            </w:r>
            <w:r w:rsidR="001C3855" w:rsidRPr="00D160FB">
              <w:rPr>
                <w:spacing w:val="-4"/>
                <w:lang w:val="en-GB"/>
              </w:rPr>
              <w:t xml:space="preserve">. </w:t>
            </w:r>
            <w:r w:rsidR="00A05AED" w:rsidRPr="00D160FB">
              <w:rPr>
                <w:spacing w:val="-4"/>
                <w:lang w:val="en-GB"/>
              </w:rPr>
              <w:t xml:space="preserve">Their growth accelerated compared to year </w:t>
            </w:r>
            <w:r w:rsidR="001C3855" w:rsidRPr="00D160FB">
              <w:rPr>
                <w:spacing w:val="-4"/>
                <w:lang w:val="en-GB"/>
              </w:rPr>
              <w:t xml:space="preserve">2021. </w:t>
            </w:r>
            <w:r w:rsidR="007C505E" w:rsidRPr="00D160FB">
              <w:rPr>
                <w:spacing w:val="-4"/>
                <w:lang w:val="en-GB"/>
              </w:rPr>
              <w:t xml:space="preserve">It attained </w:t>
            </w:r>
            <w:r w:rsidR="001C3855" w:rsidRPr="00D160FB">
              <w:rPr>
                <w:spacing w:val="-4"/>
                <w:lang w:val="en-GB"/>
              </w:rPr>
              <w:t>17</w:t>
            </w:r>
            <w:r w:rsidR="007C505E" w:rsidRPr="00D160FB">
              <w:rPr>
                <w:spacing w:val="-4"/>
                <w:lang w:val="en-GB"/>
              </w:rPr>
              <w:t>.</w:t>
            </w:r>
            <w:r w:rsidR="001C3855" w:rsidRPr="00D160FB">
              <w:rPr>
                <w:spacing w:val="-4"/>
                <w:lang w:val="en-GB"/>
              </w:rPr>
              <w:t>7%</w:t>
            </w:r>
            <w:r w:rsidR="007C505E" w:rsidRPr="00D160FB">
              <w:rPr>
                <w:spacing w:val="-4"/>
                <w:lang w:val="en-GB"/>
              </w:rPr>
              <w:t xml:space="preserve"> last year and with its size </w:t>
            </w:r>
            <w:r w:rsidR="001C3855" w:rsidRPr="00D160FB">
              <w:rPr>
                <w:spacing w:val="-4"/>
                <w:lang w:val="en-GB"/>
              </w:rPr>
              <w:t>(49</w:t>
            </w:r>
            <w:r w:rsidR="007C505E" w:rsidRPr="00D160FB">
              <w:rPr>
                <w:spacing w:val="-4"/>
                <w:lang w:val="en-GB"/>
              </w:rPr>
              <w:t>.</w:t>
            </w:r>
            <w:r w:rsidR="001C3855" w:rsidRPr="00D160FB">
              <w:rPr>
                <w:spacing w:val="-4"/>
                <w:lang w:val="en-GB"/>
              </w:rPr>
              <w:t>7</w:t>
            </w:r>
            <w:r w:rsidR="007C505E" w:rsidRPr="00D160FB">
              <w:rPr>
                <w:spacing w:val="-4"/>
                <w:lang w:val="en-GB"/>
              </w:rPr>
              <w:t xml:space="preserve"> CZK bn</w:t>
            </w:r>
            <w:r w:rsidR="001C3855" w:rsidRPr="00D160FB">
              <w:rPr>
                <w:spacing w:val="-4"/>
                <w:lang w:val="en-GB"/>
              </w:rPr>
              <w:t>)</w:t>
            </w:r>
            <w:r w:rsidR="007C505E" w:rsidRPr="00D160FB">
              <w:rPr>
                <w:spacing w:val="-4"/>
                <w:lang w:val="en-GB"/>
              </w:rPr>
              <w:t xml:space="preserve"> closely approached the record expenditures from year </w:t>
            </w:r>
            <w:r w:rsidR="001C3855" w:rsidRPr="00D160FB">
              <w:rPr>
                <w:spacing w:val="-4"/>
                <w:lang w:val="en-GB"/>
              </w:rPr>
              <w:t xml:space="preserve">2013. </w:t>
            </w:r>
            <w:r w:rsidR="007C505E" w:rsidRPr="00D160FB">
              <w:rPr>
                <w:spacing w:val="-4"/>
                <w:lang w:val="en-GB"/>
              </w:rPr>
              <w:t xml:space="preserve">It was connected with the growth of the size of debt as well as interest rates on domestic state bonds. </w:t>
            </w:r>
            <w:r w:rsidR="00A32984" w:rsidRPr="00D160FB">
              <w:rPr>
                <w:color w:val="0D0D0D" w:themeColor="text1" w:themeTint="F2"/>
                <w:spacing w:val="-5"/>
                <w:lang w:val="en-GB"/>
              </w:rPr>
              <w:t xml:space="preserve">Significant by volume current transfers towards regions and municipalities mildly grew in alignment with the budget anticipations for the last year </w:t>
            </w:r>
            <w:r w:rsidR="001C3855" w:rsidRPr="00D160FB">
              <w:rPr>
                <w:color w:val="0D0D0D" w:themeColor="text1" w:themeTint="F2"/>
                <w:spacing w:val="-6"/>
                <w:lang w:val="en-GB"/>
              </w:rPr>
              <w:t>(+2</w:t>
            </w:r>
            <w:r w:rsidR="00A32984" w:rsidRPr="00D160FB">
              <w:rPr>
                <w:color w:val="0D0D0D" w:themeColor="text1" w:themeTint="F2"/>
                <w:spacing w:val="-6"/>
                <w:lang w:val="en-GB"/>
              </w:rPr>
              <w:t>.</w:t>
            </w:r>
            <w:r w:rsidR="001C3855" w:rsidRPr="00D160FB">
              <w:rPr>
                <w:color w:val="0D0D0D" w:themeColor="text1" w:themeTint="F2"/>
                <w:spacing w:val="-6"/>
                <w:lang w:val="en-GB"/>
              </w:rPr>
              <w:t>3%, +5</w:t>
            </w:r>
            <w:r w:rsidR="00A32984" w:rsidRPr="00D160FB">
              <w:rPr>
                <w:color w:val="0D0D0D" w:themeColor="text1" w:themeTint="F2"/>
                <w:spacing w:val="-6"/>
                <w:lang w:val="en-GB"/>
              </w:rPr>
              <w:t>.</w:t>
            </w:r>
            <w:r w:rsidR="001C3855" w:rsidRPr="00D160FB">
              <w:rPr>
                <w:color w:val="0D0D0D" w:themeColor="text1" w:themeTint="F2"/>
                <w:spacing w:val="-6"/>
                <w:lang w:val="en-GB"/>
              </w:rPr>
              <w:t xml:space="preserve">3 </w:t>
            </w:r>
            <w:r w:rsidR="00A32984" w:rsidRPr="00D160FB">
              <w:rPr>
                <w:color w:val="0D0D0D" w:themeColor="text1" w:themeTint="F2"/>
                <w:spacing w:val="-6"/>
                <w:lang w:val="en-GB"/>
              </w:rPr>
              <w:t>CZK bn</w:t>
            </w:r>
            <w:r w:rsidR="001C3855" w:rsidRPr="00D160FB">
              <w:rPr>
                <w:color w:val="0D0D0D" w:themeColor="text1" w:themeTint="F2"/>
                <w:spacing w:val="-6"/>
                <w:lang w:val="en-GB"/>
              </w:rPr>
              <w:t xml:space="preserve">). </w:t>
            </w:r>
            <w:r w:rsidR="00A32984" w:rsidRPr="00D160FB">
              <w:rPr>
                <w:color w:val="0D0D0D" w:themeColor="text1" w:themeTint="F2"/>
                <w:spacing w:val="-6"/>
                <w:lang w:val="en-GB"/>
              </w:rPr>
              <w:t>Mild growth of the wage tariffs of teache</w:t>
            </w:r>
            <w:r w:rsidR="0077399F" w:rsidRPr="00D160FB">
              <w:rPr>
                <w:color w:val="0D0D0D" w:themeColor="text1" w:themeTint="F2"/>
                <w:spacing w:val="-6"/>
                <w:lang w:val="en-GB"/>
              </w:rPr>
              <w:t>r</w:t>
            </w:r>
            <w:r w:rsidR="00A32984" w:rsidRPr="00D160FB">
              <w:rPr>
                <w:color w:val="0D0D0D" w:themeColor="text1" w:themeTint="F2"/>
                <w:spacing w:val="-6"/>
                <w:lang w:val="en-GB"/>
              </w:rPr>
              <w:t xml:space="preserve">s of primary and secondary schools </w:t>
            </w:r>
            <w:r w:rsidR="001C3855" w:rsidRPr="00D160FB">
              <w:rPr>
                <w:color w:val="0D0D0D" w:themeColor="text1" w:themeTint="F2"/>
                <w:spacing w:val="-5"/>
                <w:lang w:val="en-GB"/>
              </w:rPr>
              <w:t xml:space="preserve">(+2%) </w:t>
            </w:r>
            <w:r w:rsidR="00A32984" w:rsidRPr="00D160FB">
              <w:rPr>
                <w:color w:val="0D0D0D" w:themeColor="text1" w:themeTint="F2"/>
                <w:spacing w:val="-5"/>
                <w:lang w:val="en-GB"/>
              </w:rPr>
              <w:t>as well as compensations to local authorities for the accommodation of refugees had a pro-growth effect</w:t>
            </w:r>
            <w:r w:rsidR="001C3855" w:rsidRPr="00D160FB">
              <w:rPr>
                <w:color w:val="0D0D0D" w:themeColor="text1" w:themeTint="F2"/>
                <w:spacing w:val="-5"/>
                <w:lang w:val="en-GB"/>
              </w:rPr>
              <w:t xml:space="preserve">, </w:t>
            </w:r>
            <w:r w:rsidR="00095191" w:rsidRPr="00D160FB">
              <w:rPr>
                <w:color w:val="0D0D0D" w:themeColor="text1" w:themeTint="F2"/>
                <w:spacing w:val="-5"/>
                <w:lang w:val="en-GB"/>
              </w:rPr>
              <w:t xml:space="preserve">the decline of funds on </w:t>
            </w:r>
            <w:r w:rsidR="0077399F" w:rsidRPr="00D160FB">
              <w:rPr>
                <w:color w:val="0D0D0D" w:themeColor="text1" w:themeTint="F2"/>
                <w:spacing w:val="-5"/>
                <w:lang w:val="en-GB"/>
              </w:rPr>
              <w:t>social</w:t>
            </w:r>
            <w:r w:rsidR="00095191" w:rsidRPr="00D160FB">
              <w:rPr>
                <w:color w:val="0D0D0D" w:themeColor="text1" w:themeTint="F2"/>
                <w:spacing w:val="-5"/>
                <w:lang w:val="en-GB"/>
              </w:rPr>
              <w:t xml:space="preserve"> services or inpatient care (connected to the extraordinary bonuses the year before the last) had the opposite effect. </w:t>
            </w:r>
            <w:r w:rsidR="001B75F7" w:rsidRPr="00D160FB">
              <w:rPr>
                <w:color w:val="0D0D0D" w:themeColor="text1" w:themeTint="F2"/>
                <w:spacing w:val="-5"/>
                <w:lang w:val="en-GB"/>
              </w:rPr>
              <w:t xml:space="preserve">From other current expenditures, the payments of the public health insurance for the so called state insured person </w:t>
            </w:r>
            <w:r w:rsidR="001C3855" w:rsidRPr="00D160FB">
              <w:rPr>
                <w:color w:val="0D0D0D" w:themeColor="text1" w:themeTint="F2"/>
                <w:spacing w:val="-6"/>
                <w:lang w:val="en-GB"/>
              </w:rPr>
              <w:t>(2</w:t>
            </w:r>
            <w:r w:rsidR="001B75F7" w:rsidRPr="00D160FB">
              <w:rPr>
                <w:color w:val="0D0D0D" w:themeColor="text1" w:themeTint="F2"/>
                <w:spacing w:val="-6"/>
                <w:lang w:val="en-GB"/>
              </w:rPr>
              <w:t>.</w:t>
            </w:r>
            <w:r w:rsidR="001C3855" w:rsidRPr="00D160FB">
              <w:rPr>
                <w:color w:val="0D0D0D" w:themeColor="text1" w:themeTint="F2"/>
                <w:spacing w:val="-6"/>
                <w:lang w:val="en-GB"/>
              </w:rPr>
              <w:t xml:space="preserve">4%), </w:t>
            </w:r>
            <w:r w:rsidR="001B75F7" w:rsidRPr="00D160FB">
              <w:rPr>
                <w:color w:val="0D0D0D" w:themeColor="text1" w:themeTint="F2"/>
                <w:spacing w:val="-6"/>
                <w:lang w:val="en-GB"/>
              </w:rPr>
              <w:t>which were affected both by th</w:t>
            </w:r>
            <w:r w:rsidR="0077399F" w:rsidRPr="00D160FB">
              <w:rPr>
                <w:color w:val="0D0D0D" w:themeColor="text1" w:themeTint="F2"/>
                <w:spacing w:val="-6"/>
                <w:lang w:val="en-GB"/>
              </w:rPr>
              <w:t>e</w:t>
            </w:r>
            <w:r w:rsidR="001B75F7" w:rsidRPr="00D160FB">
              <w:rPr>
                <w:color w:val="0D0D0D" w:themeColor="text1" w:themeTint="F2"/>
                <w:spacing w:val="-6"/>
                <w:lang w:val="en-GB"/>
              </w:rPr>
              <w:t xml:space="preserve"> change of the adjustment mechanism</w:t>
            </w:r>
            <w:r w:rsidR="001C3855" w:rsidRPr="00D160FB">
              <w:rPr>
                <w:rStyle w:val="Znakapoznpodarou"/>
                <w:spacing w:val="-6"/>
                <w:lang w:val="en-GB"/>
              </w:rPr>
              <w:footnoteReference w:id="106"/>
            </w:r>
            <w:r w:rsidR="001B75F7" w:rsidRPr="00D160FB">
              <w:rPr>
                <w:color w:val="0D0D0D" w:themeColor="text1" w:themeTint="F2"/>
                <w:spacing w:val="-6"/>
                <w:lang w:val="en-GB"/>
              </w:rPr>
              <w:t xml:space="preserve"> and the higher number of insured persons. </w:t>
            </w:r>
          </w:p>
        </w:tc>
      </w:tr>
      <w:tr w:rsidR="00E75B3A" w:rsidRPr="00D160FB" w14:paraId="03A39248" w14:textId="77777777" w:rsidTr="00C8019E">
        <w:trPr>
          <w:trHeight w:val="170"/>
        </w:trPr>
        <w:tc>
          <w:tcPr>
            <w:tcW w:w="1773" w:type="dxa"/>
            <w:shd w:val="clear" w:color="auto" w:fill="auto"/>
            <w:tcMar>
              <w:left w:w="0" w:type="dxa"/>
            </w:tcMar>
          </w:tcPr>
          <w:p w14:paraId="5EFFD5DB" w14:textId="39C634FA" w:rsidR="00E75B3A" w:rsidRPr="00D160FB" w:rsidRDefault="00E75B3A" w:rsidP="00E75B3A">
            <w:pPr>
              <w:pStyle w:val="Marginlie"/>
              <w:rPr>
                <w:lang w:val="en-GB"/>
              </w:rPr>
            </w:pPr>
            <w:r w:rsidRPr="00D160FB">
              <w:rPr>
                <w:lang w:val="en-GB"/>
              </w:rPr>
              <w:t xml:space="preserve">Budget anticipated downturn of current transfers to business entities was linked to the retreat of support programs in pandemics. It was however hampered by expenditures on the energy tariff in the second half of the year. </w:t>
            </w:r>
          </w:p>
        </w:tc>
        <w:tc>
          <w:tcPr>
            <w:tcW w:w="217" w:type="dxa"/>
            <w:shd w:val="clear" w:color="auto" w:fill="auto"/>
            <w:tcMar>
              <w:left w:w="0" w:type="dxa"/>
            </w:tcMar>
          </w:tcPr>
          <w:p w14:paraId="17BC1518"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2581E7BA" w14:textId="03EB3005" w:rsidR="00E75B3A" w:rsidRPr="00D160FB" w:rsidRDefault="00E75B3A" w:rsidP="00E75B3A">
            <w:pPr>
              <w:spacing w:after="0"/>
              <w:rPr>
                <w:rFonts w:cs="Arial"/>
                <w:color w:val="0D0D0D" w:themeColor="text1" w:themeTint="F2"/>
                <w:spacing w:val="-5"/>
                <w:lang w:val="en-GB"/>
              </w:rPr>
            </w:pPr>
            <w:r w:rsidRPr="00D160FB">
              <w:rPr>
                <w:color w:val="0D0D0D" w:themeColor="text1" w:themeTint="F2"/>
                <w:spacing w:val="-5"/>
                <w:lang w:val="en-GB"/>
              </w:rPr>
              <w:t xml:space="preserve">Noninvestment transfers to business entities, which plunged by 28.8% year-on-year, 36.1 CZK bn resp. significantly worked in the direction of decrease of current expenditures in line with the anticipation. The fundamental retreat of support programmes for business entities hit by the impacts of pandemics manifested here (by 60 CZK bn), lower advance subsidies to the renewable sources of energies also had a partial effect. Mainly the new subsidies on the savings of energy (so called energy tariff serving as an assistance to households) paid out this year in September (17.4 CZK bn) and to a lower extent also the </w:t>
            </w:r>
            <w:r w:rsidRPr="00D160FB">
              <w:rPr>
                <w:rFonts w:cs="Arial"/>
                <w:color w:val="000000"/>
                <w:shd w:val="clear" w:color="auto" w:fill="FFFFFF"/>
                <w:lang w:val="en-GB"/>
              </w:rPr>
              <w:t xml:space="preserve">abolition of the mandatory fee for the development of renewable energy </w:t>
            </w:r>
            <w:r w:rsidRPr="00D160FB">
              <w:rPr>
                <w:color w:val="0D0D0D" w:themeColor="text1" w:themeTint="F2"/>
                <w:spacing w:val="-5"/>
                <w:lang w:val="en-GB"/>
              </w:rPr>
              <w:t xml:space="preserve">had the opposite effect. Lowering of subsidies to budgetary organisations (−4.3%) is closely connected with the higher basis in the year before the last affected by the payment of extraordinary bonuses to medical professionals. The decrease of subsidies to the non-profit organisations was also related to the retreat of the pandemics (−11.9%), mainly in the area of education and sport. Growth of the long-time rising mandatory payments of the CR into the EU budget halted last year </w:t>
            </w:r>
            <w:r w:rsidRPr="00D160FB">
              <w:rPr>
                <w:spacing w:val="-5"/>
                <w:lang w:val="en-GB"/>
              </w:rPr>
              <w:t>(</w:t>
            </w:r>
            <w:r w:rsidRPr="00D160FB">
              <w:rPr>
                <w:color w:val="0D0D0D" w:themeColor="text1" w:themeTint="F2"/>
                <w:spacing w:val="-5"/>
                <w:lang w:val="en-GB"/>
              </w:rPr>
              <w:t xml:space="preserve">−1.8%), specifically for the first time since year 2017. Weight significant expenditures on the </w:t>
            </w:r>
            <w:r w:rsidRPr="00E75B3A">
              <w:rPr>
                <w:color w:val="0D0D0D" w:themeColor="text1" w:themeTint="F2"/>
                <w:spacing w:val="-6"/>
                <w:lang w:val="en-GB"/>
              </w:rPr>
              <w:t>salaries in the central government institutions in reality stagnated for the second year in a row.</w:t>
            </w:r>
            <w:r w:rsidRPr="00D160FB">
              <w:rPr>
                <w:color w:val="0D0D0D" w:themeColor="text1" w:themeTint="F2"/>
                <w:spacing w:val="-5"/>
                <w:lang w:val="en-GB"/>
              </w:rPr>
              <w:t xml:space="preserve"> </w:t>
            </w:r>
          </w:p>
        </w:tc>
      </w:tr>
      <w:tr w:rsidR="00E75B3A" w:rsidRPr="00D160FB" w14:paraId="370E4A72" w14:textId="77777777" w:rsidTr="00C8019E">
        <w:trPr>
          <w:trHeight w:val="170"/>
        </w:trPr>
        <w:tc>
          <w:tcPr>
            <w:tcW w:w="1773" w:type="dxa"/>
            <w:vMerge w:val="restart"/>
            <w:shd w:val="clear" w:color="auto" w:fill="auto"/>
            <w:tcMar>
              <w:left w:w="0" w:type="dxa"/>
            </w:tcMar>
          </w:tcPr>
          <w:p w14:paraId="743F7998" w14:textId="77777777" w:rsidR="00E75B3A" w:rsidRPr="00D160FB" w:rsidRDefault="00E75B3A" w:rsidP="00E75B3A">
            <w:pPr>
              <w:pStyle w:val="Marginlie"/>
              <w:rPr>
                <w:lang w:val="en-GB"/>
              </w:rPr>
            </w:pPr>
          </w:p>
        </w:tc>
        <w:tc>
          <w:tcPr>
            <w:tcW w:w="217" w:type="dxa"/>
            <w:vMerge w:val="restart"/>
            <w:shd w:val="clear" w:color="auto" w:fill="auto"/>
            <w:tcMar>
              <w:left w:w="0" w:type="dxa"/>
            </w:tcMar>
          </w:tcPr>
          <w:p w14:paraId="4228B394"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2E7E1C3E" w14:textId="055C6AA0" w:rsidR="00E75B3A" w:rsidRPr="00D160FB" w:rsidRDefault="00E75B3A" w:rsidP="00E75B3A">
            <w:pPr>
              <w:spacing w:after="20" w:line="240" w:lineRule="auto"/>
              <w:jc w:val="left"/>
              <w:rPr>
                <w:rFonts w:cs="Arial"/>
                <w:bCs/>
                <w:spacing w:val="-3"/>
                <w:lang w:val="en-GB"/>
              </w:rPr>
            </w:pPr>
            <w:r w:rsidRPr="00D160FB">
              <w:rPr>
                <w:b/>
                <w:spacing w:val="-3"/>
                <w:lang w:val="en-GB"/>
              </w:rPr>
              <w:t xml:space="preserve">Chart 19 </w:t>
            </w:r>
            <w:r w:rsidRPr="00D160FB">
              <w:rPr>
                <w:rFonts w:cs="Arial"/>
                <w:b/>
                <w:bCs/>
                <w:spacing w:val="-6"/>
                <w:lang w:val="en-GB"/>
              </w:rPr>
              <w:t xml:space="preserve">Selected expenditures of the state budget </w:t>
            </w:r>
            <w:r w:rsidRPr="00D160FB">
              <w:rPr>
                <w:rFonts w:cs="Arial"/>
                <w:bCs/>
                <w:spacing w:val="-6"/>
                <w:lang w:val="en-GB"/>
              </w:rPr>
              <w:t>(annual total, in CZK bn)</w:t>
            </w:r>
          </w:p>
        </w:tc>
      </w:tr>
      <w:tr w:rsidR="00E75B3A" w:rsidRPr="00D160FB" w14:paraId="3BD6DF79" w14:textId="77777777" w:rsidTr="00874962">
        <w:tblPrEx>
          <w:tblCellMar>
            <w:left w:w="70" w:type="dxa"/>
            <w:right w:w="70" w:type="dxa"/>
          </w:tblCellMar>
        </w:tblPrEx>
        <w:trPr>
          <w:trHeight w:val="170"/>
        </w:trPr>
        <w:tc>
          <w:tcPr>
            <w:tcW w:w="1773" w:type="dxa"/>
            <w:vMerge/>
            <w:shd w:val="clear" w:color="auto" w:fill="auto"/>
          </w:tcPr>
          <w:p w14:paraId="3A4ABBAD" w14:textId="77777777" w:rsidR="00E75B3A" w:rsidRPr="00D160FB" w:rsidRDefault="00E75B3A" w:rsidP="00E75B3A">
            <w:pPr>
              <w:pStyle w:val="Marginlie"/>
              <w:rPr>
                <w:lang w:val="en-GB"/>
              </w:rPr>
            </w:pPr>
          </w:p>
        </w:tc>
        <w:tc>
          <w:tcPr>
            <w:tcW w:w="217" w:type="dxa"/>
            <w:vMerge/>
            <w:shd w:val="clear" w:color="auto" w:fill="auto"/>
          </w:tcPr>
          <w:p w14:paraId="600EA188" w14:textId="77777777" w:rsidR="00E75B3A" w:rsidRPr="00D160FB" w:rsidRDefault="00E75B3A" w:rsidP="00E75B3A">
            <w:pPr>
              <w:pStyle w:val="Textpoznpodarou"/>
              <w:jc w:val="both"/>
              <w:rPr>
                <w:spacing w:val="-4"/>
                <w:lang w:val="en-GB"/>
              </w:rPr>
            </w:pPr>
          </w:p>
        </w:tc>
        <w:tc>
          <w:tcPr>
            <w:tcW w:w="7679" w:type="dxa"/>
            <w:shd w:val="clear" w:color="auto" w:fill="auto"/>
          </w:tcPr>
          <w:p w14:paraId="2C57B566" w14:textId="35E537F6" w:rsidR="00E75B3A" w:rsidRPr="00D160FB" w:rsidRDefault="00E75B3A" w:rsidP="00E75B3A">
            <w:pPr>
              <w:spacing w:after="0"/>
              <w:rPr>
                <w:spacing w:val="-6"/>
                <w:lang w:val="en-GB"/>
              </w:rPr>
            </w:pPr>
            <w:r>
              <w:rPr>
                <w:noProof/>
              </w:rPr>
              <w:drawing>
                <wp:inline distT="0" distB="0" distL="0" distR="0" wp14:anchorId="35A09D61" wp14:editId="550309CB">
                  <wp:extent cx="4586431" cy="3533034"/>
                  <wp:effectExtent l="0" t="0" r="5080" b="0"/>
                  <wp:docPr id="47" name="Graf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E75B3A" w:rsidRPr="00D160FB" w14:paraId="65C7AFE0" w14:textId="77777777" w:rsidTr="00C8019E">
        <w:trPr>
          <w:trHeight w:val="170"/>
        </w:trPr>
        <w:tc>
          <w:tcPr>
            <w:tcW w:w="1773" w:type="dxa"/>
            <w:vMerge/>
            <w:shd w:val="clear" w:color="auto" w:fill="auto"/>
            <w:tcMar>
              <w:left w:w="0" w:type="dxa"/>
            </w:tcMar>
          </w:tcPr>
          <w:p w14:paraId="3D48017E" w14:textId="77777777" w:rsidR="00E75B3A" w:rsidRPr="00D160FB" w:rsidRDefault="00E75B3A" w:rsidP="00E75B3A">
            <w:pPr>
              <w:pStyle w:val="Marginlie"/>
              <w:rPr>
                <w:lang w:val="en-GB"/>
              </w:rPr>
            </w:pPr>
          </w:p>
        </w:tc>
        <w:tc>
          <w:tcPr>
            <w:tcW w:w="217" w:type="dxa"/>
            <w:vMerge/>
            <w:shd w:val="clear" w:color="auto" w:fill="auto"/>
            <w:tcMar>
              <w:left w:w="0" w:type="dxa"/>
            </w:tcMar>
          </w:tcPr>
          <w:p w14:paraId="0E6E2521" w14:textId="77777777" w:rsidR="00E75B3A" w:rsidRPr="00D160FB" w:rsidRDefault="00E75B3A" w:rsidP="00E75B3A">
            <w:pPr>
              <w:pStyle w:val="Textpoznpodarou"/>
              <w:jc w:val="both"/>
              <w:rPr>
                <w:spacing w:val="-4"/>
                <w:lang w:val="en-GB"/>
              </w:rPr>
            </w:pPr>
          </w:p>
        </w:tc>
        <w:tc>
          <w:tcPr>
            <w:tcW w:w="7679" w:type="dxa"/>
            <w:shd w:val="clear" w:color="auto" w:fill="auto"/>
            <w:tcMar>
              <w:left w:w="0" w:type="dxa"/>
            </w:tcMar>
          </w:tcPr>
          <w:p w14:paraId="4B052472" w14:textId="77777777" w:rsidR="00E75B3A" w:rsidRPr="00D160FB" w:rsidRDefault="00E75B3A" w:rsidP="00E75B3A">
            <w:pPr>
              <w:pStyle w:val="Textpoznpodarou"/>
              <w:rPr>
                <w:spacing w:val="-4"/>
                <w:sz w:val="14"/>
                <w:szCs w:val="14"/>
                <w:lang w:val="en-GB"/>
              </w:rPr>
            </w:pPr>
            <w:r w:rsidRPr="00D160FB">
              <w:rPr>
                <w:spacing w:val="-4"/>
                <w:sz w:val="14"/>
                <w:szCs w:val="14"/>
                <w:lang w:val="en-GB"/>
              </w:rPr>
              <w:t>*</w:t>
            </w:r>
            <w:r w:rsidRPr="00D160FB">
              <w:rPr>
                <w:spacing w:val="-6"/>
                <w:sz w:val="14"/>
                <w:szCs w:val="14"/>
                <w:lang w:val="en-GB"/>
              </w:rPr>
              <w:t xml:space="preserve"> Covers expenditures on salaries in central government institutions. Does not include e.g. wage costs of regional education.</w:t>
            </w:r>
          </w:p>
          <w:p w14:paraId="466784F9" w14:textId="77777777" w:rsidR="00E75B3A" w:rsidRDefault="00E75B3A" w:rsidP="00E75B3A">
            <w:pPr>
              <w:pStyle w:val="Textpoznpodarou"/>
              <w:rPr>
                <w:spacing w:val="-6"/>
                <w:sz w:val="14"/>
                <w:szCs w:val="14"/>
                <w:lang w:val="en-GB"/>
              </w:rPr>
            </w:pPr>
            <w:r w:rsidRPr="00D160FB">
              <w:rPr>
                <w:spacing w:val="-6"/>
                <w:sz w:val="14"/>
                <w:szCs w:val="14"/>
                <w:lang w:val="en-GB"/>
              </w:rPr>
              <w:t>**Also include</w:t>
            </w:r>
            <w:r>
              <w:rPr>
                <w:spacing w:val="-6"/>
                <w:sz w:val="14"/>
                <w:szCs w:val="14"/>
                <w:lang w:val="en-GB"/>
              </w:rPr>
              <w:t>s the foster care benefits.</w:t>
            </w:r>
          </w:p>
          <w:p w14:paraId="1F53FBC3" w14:textId="02A9C7ED" w:rsidR="00E75B3A" w:rsidRPr="00D160FB" w:rsidRDefault="00E75B3A" w:rsidP="00E75B3A">
            <w:pPr>
              <w:pStyle w:val="Textpoznpodarou"/>
              <w:rPr>
                <w:spacing w:val="-6"/>
                <w:sz w:val="14"/>
                <w:szCs w:val="14"/>
                <w:lang w:val="en-GB"/>
              </w:rPr>
            </w:pPr>
            <w:r w:rsidRPr="00D160FB">
              <w:rPr>
                <w:spacing w:val="-6"/>
                <w:sz w:val="14"/>
                <w:szCs w:val="14"/>
                <w:lang w:val="en-GB"/>
              </w:rPr>
              <w:t>***Includes Material deprivation assistance benefits, Benefits for people with disabilities, Care benefits based on Act on State Social Support. Humanitarian aid provided for citizens of Ukraine are also included here.</w:t>
            </w:r>
          </w:p>
          <w:p w14:paraId="28482EAE" w14:textId="4B17487D" w:rsidR="00E75B3A" w:rsidRDefault="00E75B3A" w:rsidP="00E75B3A">
            <w:pPr>
              <w:pStyle w:val="Textpoznpodarou"/>
              <w:rPr>
                <w:spacing w:val="-6"/>
                <w:sz w:val="14"/>
                <w:szCs w:val="14"/>
                <w:lang w:val="en-GB"/>
              </w:rPr>
            </w:pPr>
            <w:r w:rsidRPr="00D160FB">
              <w:rPr>
                <w:spacing w:val="-6"/>
                <w:sz w:val="14"/>
                <w:szCs w:val="14"/>
                <w:lang w:val="en-GB"/>
              </w:rPr>
              <w:t xml:space="preserve">****Contains mainly expenditures on purchase of services, materials, energies or other services (e.g. expenditures on repairs </w:t>
            </w:r>
            <w:r>
              <w:rPr>
                <w:spacing w:val="-6"/>
                <w:sz w:val="14"/>
                <w:szCs w:val="14"/>
                <w:lang w:val="en-GB"/>
              </w:rPr>
              <w:t>and maintenance).</w:t>
            </w:r>
          </w:p>
          <w:p w14:paraId="73EE3337" w14:textId="5F665B25" w:rsidR="00E75B3A" w:rsidRPr="00D160FB" w:rsidRDefault="00E75B3A" w:rsidP="00E75B3A">
            <w:pPr>
              <w:pStyle w:val="Textpoznpodarou"/>
              <w:rPr>
                <w:spacing w:val="-4"/>
                <w:sz w:val="14"/>
                <w:szCs w:val="14"/>
                <w:lang w:val="en-GB"/>
              </w:rPr>
            </w:pPr>
            <w:r w:rsidRPr="00D160FB">
              <w:rPr>
                <w:spacing w:val="-6"/>
                <w:sz w:val="14"/>
                <w:szCs w:val="14"/>
                <w:lang w:val="en-GB"/>
              </w:rPr>
              <w:t xml:space="preserve">*****Corresponds to the balance of the budget </w:t>
            </w:r>
            <w:r>
              <w:rPr>
                <w:spacing w:val="-6"/>
                <w:sz w:val="14"/>
                <w:szCs w:val="14"/>
                <w:lang w:val="en-GB"/>
              </w:rPr>
              <w:t>chapter State debt.</w:t>
            </w:r>
          </w:p>
          <w:p w14:paraId="212A1080" w14:textId="51384288" w:rsidR="00E75B3A" w:rsidRPr="00874962" w:rsidRDefault="00E75B3A" w:rsidP="00E75B3A">
            <w:pPr>
              <w:pStyle w:val="Textpoznpodarou"/>
              <w:spacing w:after="160"/>
              <w:rPr>
                <w:spacing w:val="-4"/>
                <w:sz w:val="14"/>
                <w:szCs w:val="14"/>
                <w:lang w:val="en-GB"/>
              </w:rPr>
            </w:pPr>
            <w:r>
              <w:rPr>
                <w:spacing w:val="-4"/>
                <w:sz w:val="14"/>
                <w:szCs w:val="14"/>
                <w:lang w:val="en-GB"/>
              </w:rPr>
              <w:t>Source: MF CR, MLSA</w:t>
            </w:r>
          </w:p>
        </w:tc>
      </w:tr>
    </w:tbl>
    <w:p w14:paraId="38B3191D" w14:textId="77777777" w:rsidR="001C3855" w:rsidRPr="00D160FB" w:rsidRDefault="001C3855" w:rsidP="001C3855">
      <w:pPr>
        <w:pStyle w:val="Nadpis11"/>
        <w:rPr>
          <w:b w:val="0"/>
          <w:sz w:val="2"/>
          <w:szCs w:val="2"/>
          <w:lang w:val="en-GB"/>
        </w:rPr>
      </w:pPr>
    </w:p>
    <w:tbl>
      <w:tblPr>
        <w:tblW w:w="9669" w:type="dxa"/>
        <w:tblInd w:w="-20" w:type="dxa"/>
        <w:tblCellMar>
          <w:left w:w="0" w:type="dxa"/>
          <w:right w:w="0" w:type="dxa"/>
        </w:tblCellMar>
        <w:tblLook w:val="00A0" w:firstRow="1" w:lastRow="0" w:firstColumn="1" w:lastColumn="0" w:noHBand="0" w:noVBand="0"/>
      </w:tblPr>
      <w:tblGrid>
        <w:gridCol w:w="1780"/>
        <w:gridCol w:w="219"/>
        <w:gridCol w:w="7670"/>
      </w:tblGrid>
      <w:tr w:rsidR="001C3855" w:rsidRPr="00D160FB" w14:paraId="51804E6F" w14:textId="77777777" w:rsidTr="00C8019E">
        <w:trPr>
          <w:trHeight w:val="145"/>
        </w:trPr>
        <w:tc>
          <w:tcPr>
            <w:tcW w:w="1780" w:type="dxa"/>
            <w:shd w:val="clear" w:color="auto" w:fill="auto"/>
            <w:tcMar>
              <w:left w:w="0" w:type="dxa"/>
            </w:tcMar>
          </w:tcPr>
          <w:p w14:paraId="158B8556" w14:textId="7FDE9CEC" w:rsidR="001C3855" w:rsidRPr="00D160FB" w:rsidRDefault="001C3855" w:rsidP="00C8019E">
            <w:pPr>
              <w:pStyle w:val="Marginlie"/>
              <w:rPr>
                <w:spacing w:val="-4"/>
                <w:lang w:val="en-GB"/>
              </w:rPr>
            </w:pPr>
            <w:r w:rsidRPr="00D160FB">
              <w:rPr>
                <w:spacing w:val="-4"/>
                <w:lang w:val="en-GB"/>
              </w:rPr>
              <w:t>M</w:t>
            </w:r>
            <w:r w:rsidR="00C33AA6" w:rsidRPr="00D160FB">
              <w:rPr>
                <w:spacing w:val="-4"/>
                <w:lang w:val="en-GB"/>
              </w:rPr>
              <w:t xml:space="preserve">ild growth of investment reflected higher expenditures on transport infrastructure as well as the environment. Common CR and EU projects contributed. </w:t>
            </w:r>
          </w:p>
        </w:tc>
        <w:tc>
          <w:tcPr>
            <w:tcW w:w="219" w:type="dxa"/>
            <w:shd w:val="clear" w:color="auto" w:fill="auto"/>
            <w:tcMar>
              <w:left w:w="0" w:type="dxa"/>
            </w:tcMar>
          </w:tcPr>
          <w:p w14:paraId="24870312" w14:textId="77777777" w:rsidR="001C3855" w:rsidRPr="00D160FB" w:rsidRDefault="001C3855" w:rsidP="00C8019E">
            <w:pPr>
              <w:pStyle w:val="Textpoznpodarou"/>
              <w:jc w:val="both"/>
              <w:rPr>
                <w:spacing w:val="-4"/>
                <w:lang w:val="en-GB"/>
              </w:rPr>
            </w:pPr>
          </w:p>
        </w:tc>
        <w:tc>
          <w:tcPr>
            <w:tcW w:w="7670" w:type="dxa"/>
            <w:shd w:val="clear" w:color="auto" w:fill="auto"/>
            <w:tcMar>
              <w:left w:w="0" w:type="dxa"/>
            </w:tcMar>
          </w:tcPr>
          <w:p w14:paraId="6A8D804F" w14:textId="1763D1FD" w:rsidR="001C3855" w:rsidRPr="00D160FB" w:rsidRDefault="00C33AA6" w:rsidP="00C8019E">
            <w:pPr>
              <w:spacing w:after="200"/>
              <w:rPr>
                <w:color w:val="0D0D0D" w:themeColor="text1" w:themeTint="F2"/>
                <w:spacing w:val="-4"/>
                <w:lang w:val="en-GB"/>
              </w:rPr>
            </w:pPr>
            <w:r w:rsidRPr="00D160FB">
              <w:rPr>
                <w:color w:val="0D0D0D" w:themeColor="text1" w:themeTint="F2"/>
                <w:spacing w:val="-4"/>
                <w:lang w:val="en-GB"/>
              </w:rPr>
              <w:t>SB capital outlays</w:t>
            </w:r>
            <w:r w:rsidR="00CA0F40" w:rsidRPr="00D160FB">
              <w:rPr>
                <w:color w:val="0D0D0D" w:themeColor="text1" w:themeTint="F2"/>
                <w:spacing w:val="-4"/>
                <w:lang w:val="en-GB"/>
              </w:rPr>
              <w:t xml:space="preserve"> thanks to marked acceleration of drawing increased by 5.5% year-on-year at the end of the last year</w:t>
            </w:r>
            <w:r w:rsidR="001C3855" w:rsidRPr="00D160FB">
              <w:rPr>
                <w:rStyle w:val="Znakapoznpodarou"/>
                <w:color w:val="0D0D0D" w:themeColor="text1" w:themeTint="F2"/>
                <w:spacing w:val="-4"/>
                <w:lang w:val="en-GB"/>
              </w:rPr>
              <w:footnoteReference w:id="107"/>
            </w:r>
            <w:r w:rsidR="00CA0F40" w:rsidRPr="00D160FB">
              <w:rPr>
                <w:color w:val="0D0D0D" w:themeColor="text1" w:themeTint="F2"/>
                <w:spacing w:val="-4"/>
                <w:lang w:val="en-GB"/>
              </w:rPr>
              <w:t xml:space="preserve"> </w:t>
            </w:r>
            <w:r w:rsidR="001C3855" w:rsidRPr="00D160FB">
              <w:rPr>
                <w:color w:val="0D0D0D" w:themeColor="text1" w:themeTint="F2"/>
                <w:spacing w:val="-4"/>
                <w:lang w:val="en-GB"/>
              </w:rPr>
              <w:t>a</w:t>
            </w:r>
            <w:r w:rsidRPr="00D160FB">
              <w:rPr>
                <w:color w:val="0D0D0D" w:themeColor="text1" w:themeTint="F2"/>
                <w:spacing w:val="-4"/>
                <w:lang w:val="en-GB"/>
              </w:rPr>
              <w:t xml:space="preserve">nd reached record </w:t>
            </w:r>
            <w:r w:rsidR="001C3855" w:rsidRPr="00D160FB">
              <w:rPr>
                <w:color w:val="0D0D0D" w:themeColor="text1" w:themeTint="F2"/>
                <w:spacing w:val="-4"/>
                <w:lang w:val="en-GB"/>
              </w:rPr>
              <w:t>186</w:t>
            </w:r>
            <w:r w:rsidRPr="00D160FB">
              <w:rPr>
                <w:color w:val="0D0D0D" w:themeColor="text1" w:themeTint="F2"/>
                <w:spacing w:val="-4"/>
                <w:lang w:val="en-GB"/>
              </w:rPr>
              <w:t>.</w:t>
            </w:r>
            <w:r w:rsidR="001C3855" w:rsidRPr="00D160FB">
              <w:rPr>
                <w:color w:val="0D0D0D" w:themeColor="text1" w:themeTint="F2"/>
                <w:spacing w:val="-4"/>
                <w:lang w:val="en-GB"/>
              </w:rPr>
              <w:t>9</w:t>
            </w:r>
            <w:r w:rsidRPr="00D160FB">
              <w:rPr>
                <w:color w:val="0D0D0D" w:themeColor="text1" w:themeTint="F2"/>
                <w:spacing w:val="-4"/>
                <w:lang w:val="en-GB"/>
              </w:rPr>
              <w:t xml:space="preserve"> CZK bn</w:t>
            </w:r>
            <w:r w:rsidR="001C3855" w:rsidRPr="00D160FB">
              <w:rPr>
                <w:color w:val="0D0D0D" w:themeColor="text1" w:themeTint="F2"/>
                <w:spacing w:val="-4"/>
                <w:lang w:val="en-GB"/>
              </w:rPr>
              <w:t xml:space="preserve">. </w:t>
            </w:r>
            <w:r w:rsidR="00577F41" w:rsidRPr="00D160FB">
              <w:rPr>
                <w:color w:val="0D0D0D" w:themeColor="text1" w:themeTint="F2"/>
                <w:spacing w:val="-4"/>
                <w:lang w:val="en-GB"/>
              </w:rPr>
              <w:t xml:space="preserve">Still they lagged behind the budget anticipations by more than one tenth </w:t>
            </w:r>
            <w:r w:rsidR="001C3855" w:rsidRPr="00D160FB">
              <w:rPr>
                <w:color w:val="0D0D0D" w:themeColor="text1" w:themeTint="F2"/>
                <w:spacing w:val="-4"/>
                <w:lang w:val="en-GB"/>
              </w:rPr>
              <w:t>(</w:t>
            </w:r>
            <w:r w:rsidR="00577F41" w:rsidRPr="00D160FB">
              <w:rPr>
                <w:color w:val="0D0D0D" w:themeColor="text1" w:themeTint="F2"/>
                <w:spacing w:val="-4"/>
                <w:lang w:val="en-GB"/>
              </w:rPr>
              <w:t>further mildly lowered amended budget</w:t>
            </w:r>
            <w:r w:rsidR="001C3855" w:rsidRPr="00D160FB">
              <w:rPr>
                <w:color w:val="0D0D0D" w:themeColor="text1" w:themeTint="F2"/>
                <w:spacing w:val="-4"/>
                <w:lang w:val="en-GB"/>
              </w:rPr>
              <w:t xml:space="preserve">). </w:t>
            </w:r>
            <w:r w:rsidR="0073260E" w:rsidRPr="00D160FB">
              <w:rPr>
                <w:color w:val="0D0D0D" w:themeColor="text1" w:themeTint="F2"/>
                <w:spacing w:val="-4"/>
                <w:lang w:val="en-GB"/>
              </w:rPr>
              <w:t xml:space="preserve">Nearly one half of resources aimed for the state funds last year, especially the State Fund for Transport Infrastructure </w:t>
            </w:r>
            <w:r w:rsidR="001C3855" w:rsidRPr="00D160FB">
              <w:rPr>
                <w:color w:val="0D0D0D" w:themeColor="text1" w:themeTint="F2"/>
                <w:spacing w:val="-4"/>
                <w:lang w:val="en-GB"/>
              </w:rPr>
              <w:t>(</w:t>
            </w:r>
            <w:r w:rsidR="0073260E" w:rsidRPr="00D160FB">
              <w:rPr>
                <w:color w:val="0D0D0D" w:themeColor="text1" w:themeTint="F2"/>
                <w:spacing w:val="-4"/>
                <w:lang w:val="en-GB"/>
              </w:rPr>
              <w:t xml:space="preserve">by </w:t>
            </w:r>
            <w:r w:rsidR="001C3855" w:rsidRPr="00D160FB">
              <w:rPr>
                <w:color w:val="0D0D0D" w:themeColor="text1" w:themeTint="F2"/>
                <w:spacing w:val="-4"/>
                <w:lang w:val="en-GB"/>
              </w:rPr>
              <w:t>11</w:t>
            </w:r>
            <w:r w:rsidR="0073260E" w:rsidRPr="00D160FB">
              <w:rPr>
                <w:color w:val="0D0D0D" w:themeColor="text1" w:themeTint="F2"/>
                <w:spacing w:val="-4"/>
                <w:lang w:val="en-GB"/>
              </w:rPr>
              <w:t>.</w:t>
            </w:r>
            <w:r w:rsidR="001C3855" w:rsidRPr="00D160FB">
              <w:rPr>
                <w:color w:val="0D0D0D" w:themeColor="text1" w:themeTint="F2"/>
                <w:spacing w:val="-4"/>
                <w:lang w:val="en-GB"/>
              </w:rPr>
              <w:t>7</w:t>
            </w:r>
            <w:r w:rsidR="0073260E" w:rsidRPr="00D160FB">
              <w:rPr>
                <w:color w:val="0D0D0D" w:themeColor="text1" w:themeTint="F2"/>
                <w:spacing w:val="-4"/>
                <w:lang w:val="en-GB"/>
              </w:rPr>
              <w:t xml:space="preserve"> CZK bn more year-on-year</w:t>
            </w:r>
            <w:r w:rsidR="001C3855" w:rsidRPr="00D160FB">
              <w:rPr>
                <w:color w:val="0D0D0D" w:themeColor="text1" w:themeTint="F2"/>
                <w:spacing w:val="-4"/>
                <w:lang w:val="en-GB"/>
              </w:rPr>
              <w:t>) a</w:t>
            </w:r>
            <w:r w:rsidR="0073260E" w:rsidRPr="00D160FB">
              <w:rPr>
                <w:color w:val="0D0D0D" w:themeColor="text1" w:themeTint="F2"/>
                <w:spacing w:val="-4"/>
                <w:lang w:val="en-GB"/>
              </w:rPr>
              <w:t xml:space="preserve">nd </w:t>
            </w:r>
            <w:r w:rsidR="001C3855" w:rsidRPr="00D160FB">
              <w:rPr>
                <w:color w:val="0D0D0D" w:themeColor="text1" w:themeTint="F2"/>
                <w:spacing w:val="-4"/>
                <w:lang w:val="en-GB"/>
              </w:rPr>
              <w:t>St</w:t>
            </w:r>
            <w:r w:rsidR="00D45D2C" w:rsidRPr="00D160FB">
              <w:rPr>
                <w:color w:val="0D0D0D" w:themeColor="text1" w:themeTint="F2"/>
                <w:spacing w:val="-4"/>
                <w:lang w:val="en-GB"/>
              </w:rPr>
              <w:t xml:space="preserve">ate Environmental Fund </w:t>
            </w:r>
            <w:r w:rsidR="001C3855" w:rsidRPr="00D160FB">
              <w:rPr>
                <w:color w:val="0D0D0D" w:themeColor="text1" w:themeTint="F2"/>
                <w:spacing w:val="-4"/>
                <w:lang w:val="en-GB"/>
              </w:rPr>
              <w:t>(+8</w:t>
            </w:r>
            <w:r w:rsidR="00D45D2C" w:rsidRPr="00D160FB">
              <w:rPr>
                <w:color w:val="0D0D0D" w:themeColor="text1" w:themeTint="F2"/>
                <w:spacing w:val="-4"/>
                <w:lang w:val="en-GB"/>
              </w:rPr>
              <w:t>.</w:t>
            </w:r>
            <w:r w:rsidR="001C3855" w:rsidRPr="00D160FB">
              <w:rPr>
                <w:color w:val="0D0D0D" w:themeColor="text1" w:themeTint="F2"/>
                <w:spacing w:val="-4"/>
                <w:lang w:val="en-GB"/>
              </w:rPr>
              <w:t>0</w:t>
            </w:r>
            <w:r w:rsidR="00D45D2C" w:rsidRPr="00D160FB">
              <w:rPr>
                <w:color w:val="0D0D0D" w:themeColor="text1" w:themeTint="F2"/>
                <w:spacing w:val="-4"/>
                <w:lang w:val="en-GB"/>
              </w:rPr>
              <w:t xml:space="preserve"> CZK bn, mainly for the realisation of the New Green Savings programme financed from the resources of the National Programme Environment</w:t>
            </w:r>
            <w:r w:rsidR="001C3855" w:rsidRPr="00D160FB">
              <w:rPr>
                <w:color w:val="0D0D0D" w:themeColor="text1" w:themeTint="F2"/>
                <w:spacing w:val="-4"/>
                <w:lang w:val="en-GB"/>
              </w:rPr>
              <w:t>).</w:t>
            </w:r>
            <w:r w:rsidR="001C3855" w:rsidRPr="00D160FB">
              <w:rPr>
                <w:rFonts w:cs="Arial"/>
                <w:color w:val="000000"/>
                <w:sz w:val="18"/>
                <w:szCs w:val="18"/>
                <w:lang w:val="en-GB"/>
              </w:rPr>
              <w:t> </w:t>
            </w:r>
            <w:r w:rsidR="00D64B85" w:rsidRPr="00D160FB">
              <w:rPr>
                <w:rFonts w:cs="Arial"/>
                <w:color w:val="000000"/>
                <w:sz w:val="18"/>
                <w:szCs w:val="18"/>
                <w:lang w:val="en-GB"/>
              </w:rPr>
              <w:t xml:space="preserve">Investment transfers to business entities also mildly increased. </w:t>
            </w:r>
            <w:r w:rsidR="006D68E0" w:rsidRPr="00D160FB">
              <w:rPr>
                <w:rFonts w:cs="Arial"/>
                <w:color w:val="000000"/>
                <w:sz w:val="18"/>
                <w:szCs w:val="18"/>
                <w:lang w:val="en-GB"/>
              </w:rPr>
              <w:t xml:space="preserve">From the view of the source of financing. Investment on the common CR and EU projects contributed to the growth </w:t>
            </w:r>
            <w:r w:rsidR="001C3855" w:rsidRPr="00D160FB">
              <w:rPr>
                <w:color w:val="0D0D0D" w:themeColor="text1" w:themeTint="F2"/>
                <w:spacing w:val="-4"/>
                <w:lang w:val="en-GB"/>
              </w:rPr>
              <w:t xml:space="preserve">(+19 </w:t>
            </w:r>
            <w:r w:rsidR="008842AA" w:rsidRPr="00D160FB">
              <w:rPr>
                <w:color w:val="0D0D0D" w:themeColor="text1" w:themeTint="F2"/>
                <w:spacing w:val="-4"/>
                <w:lang w:val="en-GB"/>
              </w:rPr>
              <w:t>CZK bn</w:t>
            </w:r>
            <w:r w:rsidR="001C3855" w:rsidRPr="00D160FB">
              <w:rPr>
                <w:color w:val="0D0D0D" w:themeColor="text1" w:themeTint="F2"/>
                <w:spacing w:val="-4"/>
                <w:lang w:val="en-GB"/>
              </w:rPr>
              <w:t>,</w:t>
            </w:r>
            <w:r w:rsidR="008842AA" w:rsidRPr="00D160FB">
              <w:rPr>
                <w:color w:val="0D0D0D" w:themeColor="text1" w:themeTint="F2"/>
                <w:spacing w:val="-4"/>
                <w:lang w:val="en-GB"/>
              </w:rPr>
              <w:t xml:space="preserve"> to </w:t>
            </w:r>
            <w:r w:rsidR="001C3855" w:rsidRPr="00D160FB">
              <w:rPr>
                <w:color w:val="0D0D0D" w:themeColor="text1" w:themeTint="F2"/>
                <w:spacing w:val="-4"/>
                <w:lang w:val="en-GB"/>
              </w:rPr>
              <w:t>93</w:t>
            </w:r>
            <w:r w:rsidR="008842AA" w:rsidRPr="00D160FB">
              <w:rPr>
                <w:color w:val="0D0D0D" w:themeColor="text1" w:themeTint="F2"/>
                <w:spacing w:val="-4"/>
                <w:lang w:val="en-GB"/>
              </w:rPr>
              <w:t xml:space="preserve"> bn</w:t>
            </w:r>
            <w:r w:rsidR="001C3855" w:rsidRPr="00D160FB">
              <w:rPr>
                <w:color w:val="0D0D0D" w:themeColor="text1" w:themeTint="F2"/>
                <w:spacing w:val="-4"/>
                <w:lang w:val="en-GB"/>
              </w:rPr>
              <w:t xml:space="preserve">). </w:t>
            </w:r>
            <w:r w:rsidR="008842AA" w:rsidRPr="00D160FB">
              <w:rPr>
                <w:color w:val="0D0D0D" w:themeColor="text1" w:themeTint="F2"/>
                <w:spacing w:val="-4"/>
                <w:lang w:val="en-GB"/>
              </w:rPr>
              <w:t xml:space="preserve">In contrast the expenditures on projects from exclusively national resources decreased by nearly one tenth year-on-year. Total investment formed </w:t>
            </w:r>
            <w:r w:rsidR="001C3855" w:rsidRPr="00D160FB">
              <w:rPr>
                <w:color w:val="0D0D0D" w:themeColor="text1" w:themeTint="F2"/>
                <w:spacing w:val="-4"/>
                <w:lang w:val="en-GB"/>
              </w:rPr>
              <w:t>9</w:t>
            </w:r>
            <w:r w:rsidR="008842AA" w:rsidRPr="00D160FB">
              <w:rPr>
                <w:color w:val="0D0D0D" w:themeColor="text1" w:themeTint="F2"/>
                <w:spacing w:val="-4"/>
                <w:lang w:val="en-GB"/>
              </w:rPr>
              <w:t>.</w:t>
            </w:r>
            <w:r w:rsidR="001C3855" w:rsidRPr="00D160FB">
              <w:rPr>
                <w:color w:val="0D0D0D" w:themeColor="text1" w:themeTint="F2"/>
                <w:spacing w:val="-4"/>
                <w:lang w:val="en-GB"/>
              </w:rPr>
              <w:t xml:space="preserve">4% </w:t>
            </w:r>
            <w:r w:rsidR="008842AA" w:rsidRPr="00D160FB">
              <w:rPr>
                <w:color w:val="0D0D0D" w:themeColor="text1" w:themeTint="F2"/>
                <w:spacing w:val="-4"/>
                <w:lang w:val="en-GB"/>
              </w:rPr>
              <w:t>of all SB expenditures last year.</w:t>
            </w:r>
            <w:r w:rsidR="006D68E0" w:rsidRPr="00D160FB">
              <w:rPr>
                <w:color w:val="0D0D0D" w:themeColor="text1" w:themeTint="F2"/>
                <w:spacing w:val="-4"/>
                <w:lang w:val="en-GB"/>
              </w:rPr>
              <w:t xml:space="preserve"> It was the most in the last seven </w:t>
            </w:r>
            <w:r w:rsidR="00EA658A" w:rsidRPr="00D160FB">
              <w:rPr>
                <w:color w:val="0D0D0D" w:themeColor="text1" w:themeTint="F2"/>
                <w:spacing w:val="-4"/>
                <w:lang w:val="en-GB"/>
              </w:rPr>
              <w:t>years but</w:t>
            </w:r>
            <w:r w:rsidR="008842AA" w:rsidRPr="00D160FB">
              <w:rPr>
                <w:color w:val="0D0D0D" w:themeColor="text1" w:themeTint="F2"/>
                <w:spacing w:val="-4"/>
                <w:lang w:val="en-GB"/>
              </w:rPr>
              <w:t xml:space="preserve"> did not digress significantly from the long-term average </w:t>
            </w:r>
            <w:r w:rsidR="001C3855" w:rsidRPr="00D160FB">
              <w:rPr>
                <w:color w:val="0D0D0D" w:themeColor="text1" w:themeTint="F2"/>
                <w:spacing w:val="-4"/>
                <w:lang w:val="en-GB"/>
              </w:rPr>
              <w:t>(</w:t>
            </w:r>
            <w:r w:rsidR="008842AA" w:rsidRPr="00D160FB">
              <w:rPr>
                <w:color w:val="0D0D0D" w:themeColor="text1" w:themeTint="F2"/>
                <w:spacing w:val="-4"/>
                <w:lang w:val="en-GB"/>
              </w:rPr>
              <w:t>for the whole period since the CR accession to the EU</w:t>
            </w:r>
            <w:r w:rsidR="001C3855" w:rsidRPr="00D160FB">
              <w:rPr>
                <w:color w:val="0D0D0D" w:themeColor="text1" w:themeTint="F2"/>
                <w:spacing w:val="-4"/>
                <w:lang w:val="en-GB"/>
              </w:rPr>
              <w:t>)</w:t>
            </w:r>
            <w:r w:rsidR="008842AA" w:rsidRPr="00D160FB">
              <w:rPr>
                <w:color w:val="0D0D0D" w:themeColor="text1" w:themeTint="F2"/>
                <w:spacing w:val="-4"/>
                <w:lang w:val="en-GB"/>
              </w:rPr>
              <w:t xml:space="preserve">. </w:t>
            </w:r>
          </w:p>
        </w:tc>
      </w:tr>
      <w:tr w:rsidR="00E75B3A" w:rsidRPr="00D160FB" w14:paraId="24C4A761" w14:textId="77777777" w:rsidTr="00C8019E">
        <w:trPr>
          <w:trHeight w:val="145"/>
        </w:trPr>
        <w:tc>
          <w:tcPr>
            <w:tcW w:w="1780" w:type="dxa"/>
            <w:shd w:val="clear" w:color="auto" w:fill="auto"/>
            <w:tcMar>
              <w:left w:w="0" w:type="dxa"/>
            </w:tcMar>
          </w:tcPr>
          <w:p w14:paraId="57CF1693" w14:textId="6B64B49A" w:rsidR="00E75B3A" w:rsidRPr="00D160FB" w:rsidRDefault="00E75B3A" w:rsidP="00E75B3A">
            <w:pPr>
              <w:pStyle w:val="Marginlie"/>
              <w:rPr>
                <w:spacing w:val="-4"/>
                <w:lang w:val="en-GB"/>
              </w:rPr>
            </w:pPr>
            <w:r w:rsidRPr="00D160FB">
              <w:rPr>
                <w:spacing w:val="-4"/>
                <w:lang w:val="en-GB"/>
              </w:rPr>
              <w:t xml:space="preserve">Size of the state debt increased by more than 400 CZK bn for the third year in a row. The value of both internal and external debt rose last year. </w:t>
            </w:r>
          </w:p>
        </w:tc>
        <w:tc>
          <w:tcPr>
            <w:tcW w:w="219" w:type="dxa"/>
            <w:shd w:val="clear" w:color="auto" w:fill="auto"/>
            <w:tcMar>
              <w:left w:w="0" w:type="dxa"/>
            </w:tcMar>
          </w:tcPr>
          <w:p w14:paraId="3EA1D7D3"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1E18BFF" w14:textId="58DC49A2" w:rsidR="00E75B3A" w:rsidRPr="00E75B3A" w:rsidRDefault="00E75B3A" w:rsidP="00E75B3A">
            <w:pPr>
              <w:spacing w:after="200"/>
              <w:rPr>
                <w:spacing w:val="-2"/>
                <w:lang w:val="en-GB"/>
              </w:rPr>
            </w:pPr>
            <w:r w:rsidRPr="00D160FB">
              <w:rPr>
                <w:color w:val="0D0D0D" w:themeColor="text1" w:themeTint="F2"/>
                <w:spacing w:val="-2"/>
                <w:lang w:val="en-GB"/>
              </w:rPr>
              <w:t xml:space="preserve">Deep budget deficit was mirrored in the high borrowing need of the state. The state debt climbed up to </w:t>
            </w:r>
            <w:r w:rsidRPr="00D160FB">
              <w:rPr>
                <w:spacing w:val="-2"/>
                <w:lang w:val="en-GB"/>
              </w:rPr>
              <w:t xml:space="preserve">2 895 CZK bn at the end of the last year’s December, when in increased by record </w:t>
            </w:r>
            <w:r w:rsidRPr="00D160FB">
              <w:rPr>
                <w:color w:val="0D0D0D" w:themeColor="text1" w:themeTint="F2"/>
                <w:spacing w:val="-2"/>
                <w:lang w:val="en-GB"/>
              </w:rPr>
              <w:t>429 bn (+</w:t>
            </w:r>
            <w:r w:rsidRPr="00D160FB">
              <w:rPr>
                <w:spacing w:val="-2"/>
                <w:lang w:val="en-GB"/>
              </w:rPr>
              <w:t>17.4%)</w:t>
            </w:r>
            <w:r w:rsidRPr="00D160FB">
              <w:rPr>
                <w:rStyle w:val="Znakapoznpodarou"/>
                <w:spacing w:val="-2"/>
                <w:lang w:val="en-GB"/>
              </w:rPr>
              <w:footnoteReference w:id="108"/>
            </w:r>
            <w:r w:rsidRPr="00D160FB">
              <w:rPr>
                <w:spacing w:val="-2"/>
                <w:lang w:val="en-GB"/>
              </w:rPr>
              <w:t xml:space="preserve"> for the entire year 2022. The issues of medium as well as long-term koruna bonds (with maturity above 1 year) on the domestic market fundamentally participated in this, even though they did not achieve the intensity from years 2020 neither 2021</w:t>
            </w:r>
            <w:r w:rsidRPr="00D160FB">
              <w:rPr>
                <w:rStyle w:val="Znakapoznpodarou"/>
                <w:spacing w:val="-2"/>
                <w:lang w:val="en-GB"/>
              </w:rPr>
              <w:footnoteReference w:id="109"/>
            </w:r>
            <w:r w:rsidRPr="00D160FB">
              <w:rPr>
                <w:spacing w:val="-2"/>
                <w:lang w:val="en-GB"/>
              </w:rPr>
              <w:t xml:space="preserve">. State on the contrary borrowed considerably more from households last year </w:t>
            </w:r>
            <w:r w:rsidRPr="00D160FB">
              <w:rPr>
                <w:spacing w:val="-2"/>
                <w:lang w:val="en-GB"/>
              </w:rPr>
              <w:lastRenderedPageBreak/>
              <w:t xml:space="preserve">(bond issue at the beginning of the year reached 43 CZK bn) and it also more intensively utilised short-term debt instruments (treasury bills as well as loans on the euro financial market). Consequently the external indebtedness of the CR also increased for the second year in a row (by more than 110 CZK bn) – it nevertheless still participated on the total amount of the state debt by less than one tenth. </w:t>
            </w:r>
            <w:r>
              <w:rPr>
                <w:spacing w:val="-2"/>
                <w:lang w:val="en-GB"/>
              </w:rPr>
              <w:t xml:space="preserve"> </w:t>
            </w:r>
          </w:p>
        </w:tc>
      </w:tr>
      <w:tr w:rsidR="00E75B3A" w:rsidRPr="00D160FB" w14:paraId="58732197" w14:textId="77777777" w:rsidTr="00C8019E">
        <w:trPr>
          <w:trHeight w:val="145"/>
        </w:trPr>
        <w:tc>
          <w:tcPr>
            <w:tcW w:w="1780" w:type="dxa"/>
            <w:shd w:val="clear" w:color="auto" w:fill="auto"/>
            <w:tcMar>
              <w:left w:w="0" w:type="dxa"/>
            </w:tcMar>
          </w:tcPr>
          <w:p w14:paraId="424DDC34"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4005959A"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3148FF33" w14:textId="11E42446" w:rsidR="00E75B3A" w:rsidRPr="00D160FB" w:rsidRDefault="00E75B3A" w:rsidP="00E75B3A">
            <w:pPr>
              <w:spacing w:after="0"/>
              <w:rPr>
                <w:color w:val="0D0D0D" w:themeColor="text1" w:themeTint="F2"/>
                <w:spacing w:val="-4"/>
                <w:lang w:val="en-GB"/>
              </w:rPr>
            </w:pPr>
            <w:r w:rsidRPr="00D160FB">
              <w:rPr>
                <w:b/>
                <w:spacing w:val="-3"/>
                <w:lang w:val="en-GB"/>
              </w:rPr>
              <w:t xml:space="preserve">Chart 20 Budget balance of government institutions sector in selected EU states </w:t>
            </w:r>
            <w:r w:rsidRPr="00D160FB">
              <w:rPr>
                <w:rFonts w:cs="Arial"/>
                <w:bCs/>
                <w:spacing w:val="-3"/>
                <w:lang w:val="en-GB"/>
              </w:rPr>
              <w:t>(single quarters, seasonally adjusted, in % of GDP)</w:t>
            </w:r>
          </w:p>
        </w:tc>
      </w:tr>
      <w:tr w:rsidR="00E75B3A" w:rsidRPr="00D160FB" w14:paraId="6761E48C" w14:textId="77777777" w:rsidTr="00922AAE">
        <w:tblPrEx>
          <w:tblCellMar>
            <w:left w:w="70" w:type="dxa"/>
            <w:right w:w="70" w:type="dxa"/>
          </w:tblCellMar>
        </w:tblPrEx>
        <w:trPr>
          <w:trHeight w:val="145"/>
        </w:trPr>
        <w:tc>
          <w:tcPr>
            <w:tcW w:w="1780" w:type="dxa"/>
            <w:shd w:val="clear" w:color="auto" w:fill="auto"/>
          </w:tcPr>
          <w:p w14:paraId="53DC846E" w14:textId="77777777" w:rsidR="00E75B3A" w:rsidRPr="00D160FB" w:rsidRDefault="00E75B3A" w:rsidP="00E75B3A">
            <w:pPr>
              <w:pStyle w:val="Marginlie"/>
              <w:rPr>
                <w:spacing w:val="-4"/>
                <w:lang w:val="en-GB"/>
              </w:rPr>
            </w:pPr>
          </w:p>
        </w:tc>
        <w:tc>
          <w:tcPr>
            <w:tcW w:w="219" w:type="dxa"/>
            <w:shd w:val="clear" w:color="auto" w:fill="auto"/>
          </w:tcPr>
          <w:p w14:paraId="4DD1635A" w14:textId="77777777" w:rsidR="00E75B3A" w:rsidRPr="00D160FB" w:rsidRDefault="00E75B3A" w:rsidP="00E75B3A">
            <w:pPr>
              <w:pStyle w:val="Textpoznpodarou"/>
              <w:jc w:val="both"/>
              <w:rPr>
                <w:spacing w:val="-4"/>
                <w:lang w:val="en-GB"/>
              </w:rPr>
            </w:pPr>
          </w:p>
        </w:tc>
        <w:tc>
          <w:tcPr>
            <w:tcW w:w="7670" w:type="dxa"/>
            <w:shd w:val="clear" w:color="auto" w:fill="auto"/>
          </w:tcPr>
          <w:p w14:paraId="74DD430B" w14:textId="60E84541" w:rsidR="00E75B3A" w:rsidRPr="00D160FB" w:rsidRDefault="00E75B3A" w:rsidP="00E75B3A">
            <w:pPr>
              <w:spacing w:after="0"/>
              <w:rPr>
                <w:color w:val="0D0D0D" w:themeColor="text1" w:themeTint="F2"/>
                <w:spacing w:val="-4"/>
                <w:lang w:val="en-GB"/>
              </w:rPr>
            </w:pPr>
            <w:r>
              <w:rPr>
                <w:noProof/>
              </w:rPr>
              <w:drawing>
                <wp:inline distT="0" distB="0" distL="0" distR="0" wp14:anchorId="49B5AEBF" wp14:editId="2AC0C6AA">
                  <wp:extent cx="4751235" cy="3310579"/>
                  <wp:effectExtent l="0" t="0" r="11430" b="4445"/>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E75B3A" w:rsidRPr="00D160FB" w14:paraId="7DF76256" w14:textId="77777777" w:rsidTr="00C8019E">
        <w:trPr>
          <w:trHeight w:val="145"/>
        </w:trPr>
        <w:tc>
          <w:tcPr>
            <w:tcW w:w="1780" w:type="dxa"/>
            <w:shd w:val="clear" w:color="auto" w:fill="auto"/>
            <w:tcMar>
              <w:left w:w="0" w:type="dxa"/>
            </w:tcMar>
          </w:tcPr>
          <w:p w14:paraId="3189A9E6"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0947AAA2"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1D69C6AB" w14:textId="19B0D4D3" w:rsidR="00E75B3A" w:rsidRPr="00922AAE" w:rsidRDefault="00E75B3A" w:rsidP="00E75B3A">
            <w:pPr>
              <w:spacing w:after="220"/>
              <w:rPr>
                <w:spacing w:val="-4"/>
                <w:sz w:val="14"/>
                <w:szCs w:val="14"/>
                <w:lang w:val="en-GB"/>
              </w:rPr>
            </w:pPr>
            <w:r w:rsidRPr="00D160FB">
              <w:rPr>
                <w:spacing w:val="-4"/>
                <w:sz w:val="14"/>
                <w:szCs w:val="14"/>
                <w:lang w:val="en-GB"/>
              </w:rPr>
              <w:t>Source</w:t>
            </w:r>
            <w:r>
              <w:rPr>
                <w:spacing w:val="-4"/>
                <w:sz w:val="14"/>
                <w:szCs w:val="14"/>
                <w:lang w:val="en-GB"/>
              </w:rPr>
              <w:t xml:space="preserve">: </w:t>
            </w:r>
            <w:proofErr w:type="spellStart"/>
            <w:r>
              <w:rPr>
                <w:spacing w:val="-4"/>
                <w:sz w:val="14"/>
                <w:szCs w:val="14"/>
                <w:lang w:val="en-GB"/>
              </w:rPr>
              <w:t>Eurosta</w:t>
            </w:r>
            <w:proofErr w:type="spellEnd"/>
          </w:p>
        </w:tc>
      </w:tr>
      <w:tr w:rsidR="00E75B3A" w:rsidRPr="00D160FB" w14:paraId="3E69B797" w14:textId="77777777" w:rsidTr="00C8019E">
        <w:trPr>
          <w:trHeight w:val="145"/>
        </w:trPr>
        <w:tc>
          <w:tcPr>
            <w:tcW w:w="1780" w:type="dxa"/>
            <w:shd w:val="clear" w:color="auto" w:fill="auto"/>
            <w:tcMar>
              <w:left w:w="0" w:type="dxa"/>
            </w:tcMar>
          </w:tcPr>
          <w:p w14:paraId="5C5B6ED5" w14:textId="02D70219" w:rsidR="00E75B3A" w:rsidRPr="00D160FB" w:rsidRDefault="00E75B3A" w:rsidP="00E75B3A">
            <w:pPr>
              <w:pStyle w:val="Marginlie"/>
              <w:rPr>
                <w:spacing w:val="-4"/>
                <w:lang w:val="en-GB"/>
              </w:rPr>
            </w:pPr>
            <w:r w:rsidRPr="00D160FB">
              <w:rPr>
                <w:spacing w:val="-4"/>
                <w:lang w:val="en-GB"/>
              </w:rPr>
              <w:t xml:space="preserve">Budget deficit of the sector of government institutions in the CR shrank by one third year-on-year for the three quarters. </w:t>
            </w:r>
          </w:p>
          <w:p w14:paraId="3AB7D8AA" w14:textId="77777777" w:rsidR="00E75B3A" w:rsidRPr="00D160FB" w:rsidRDefault="00E75B3A" w:rsidP="00E75B3A">
            <w:pPr>
              <w:pStyle w:val="Marginlie"/>
              <w:rPr>
                <w:spacing w:val="-4"/>
                <w:lang w:val="en-GB"/>
              </w:rPr>
            </w:pPr>
          </w:p>
          <w:p w14:paraId="39FFD231" w14:textId="77777777" w:rsidR="00E75B3A" w:rsidRPr="00D160FB" w:rsidRDefault="00E75B3A" w:rsidP="00E75B3A">
            <w:pPr>
              <w:pStyle w:val="Marginlie"/>
              <w:rPr>
                <w:spacing w:val="-4"/>
                <w:lang w:val="en-GB"/>
              </w:rPr>
            </w:pPr>
          </w:p>
          <w:p w14:paraId="262F72E0" w14:textId="77777777" w:rsidR="00E75B3A" w:rsidRPr="00D160FB" w:rsidRDefault="00E75B3A" w:rsidP="00E75B3A">
            <w:pPr>
              <w:pStyle w:val="Marginlie"/>
              <w:rPr>
                <w:spacing w:val="-4"/>
                <w:lang w:val="en-GB"/>
              </w:rPr>
            </w:pPr>
          </w:p>
          <w:p w14:paraId="0556C363" w14:textId="77777777" w:rsidR="00E75B3A" w:rsidRPr="00D160FB" w:rsidRDefault="00E75B3A" w:rsidP="00E75B3A">
            <w:pPr>
              <w:pStyle w:val="Marginlie"/>
              <w:rPr>
                <w:spacing w:val="-4"/>
                <w:lang w:val="en-GB"/>
              </w:rPr>
            </w:pPr>
          </w:p>
          <w:p w14:paraId="6C924F6E" w14:textId="43B79393" w:rsidR="00E75B3A" w:rsidRPr="00D160FB" w:rsidRDefault="00E75B3A" w:rsidP="00E75B3A">
            <w:pPr>
              <w:pStyle w:val="Marginlie"/>
              <w:rPr>
                <w:spacing w:val="-4"/>
                <w:lang w:val="en-GB"/>
              </w:rPr>
            </w:pPr>
            <w:r w:rsidRPr="00D160FB">
              <w:rPr>
                <w:spacing w:val="-4"/>
                <w:lang w:val="en-GB"/>
              </w:rPr>
              <w:t xml:space="preserve">Acceleration of the dynamics of expenditures of sector VI in Q3 was also one of the impacts of the unusually high surge of prices in the economy. </w:t>
            </w:r>
          </w:p>
          <w:p w14:paraId="43FE1E14" w14:textId="77777777" w:rsidR="00E75B3A" w:rsidRPr="00D160FB" w:rsidRDefault="00E75B3A" w:rsidP="00E75B3A">
            <w:pPr>
              <w:pStyle w:val="Marginlie"/>
              <w:rPr>
                <w:spacing w:val="-4"/>
                <w:lang w:val="en-GB"/>
              </w:rPr>
            </w:pPr>
          </w:p>
          <w:p w14:paraId="06D4CD7F" w14:textId="77777777" w:rsidR="00E75B3A" w:rsidRPr="00D160FB" w:rsidRDefault="00E75B3A" w:rsidP="00E75B3A">
            <w:pPr>
              <w:pStyle w:val="Marginlie"/>
              <w:rPr>
                <w:spacing w:val="-4"/>
                <w:lang w:val="en-GB"/>
              </w:rPr>
            </w:pPr>
          </w:p>
          <w:p w14:paraId="2CDC27A7"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14E9F315"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E1F360E" w14:textId="74A54ED5" w:rsidR="00E75B3A" w:rsidRPr="00D160FB" w:rsidRDefault="00E75B3A" w:rsidP="00E75B3A">
            <w:pPr>
              <w:spacing w:after="220"/>
              <w:rPr>
                <w:color w:val="0D0D0D" w:themeColor="text1" w:themeTint="F2"/>
                <w:spacing w:val="-3"/>
                <w:lang w:val="en-GB"/>
              </w:rPr>
            </w:pPr>
            <w:r w:rsidRPr="00D160FB">
              <w:rPr>
                <w:color w:val="0D0D0D" w:themeColor="text1" w:themeTint="F2"/>
                <w:spacing w:val="-3"/>
                <w:lang w:val="en-GB"/>
              </w:rPr>
              <w:t>The whole sector of government institutions (VI) in the CR recorded deficit 145 CZK bn</w:t>
            </w:r>
            <w:r w:rsidRPr="00D160FB">
              <w:rPr>
                <w:rStyle w:val="Znakapoznpodarou"/>
                <w:color w:val="0D0D0D" w:themeColor="text1" w:themeTint="F2"/>
                <w:spacing w:val="-3"/>
                <w:lang w:val="en-GB"/>
              </w:rPr>
              <w:footnoteReference w:id="110"/>
            </w:r>
            <w:r w:rsidRPr="00D160FB">
              <w:rPr>
                <w:color w:val="0D0D0D" w:themeColor="text1" w:themeTint="F2"/>
                <w:spacing w:val="-3"/>
                <w:lang w:val="en-GB"/>
              </w:rPr>
              <w:t xml:space="preserve"> for Q1 to Q3</w:t>
            </w:r>
            <w:r w:rsidRPr="00D160FB">
              <w:rPr>
                <w:rStyle w:val="Znakapoznpodarou"/>
                <w:color w:val="0D0D0D" w:themeColor="text1" w:themeTint="F2"/>
                <w:spacing w:val="-3"/>
                <w:lang w:val="en-GB"/>
              </w:rPr>
              <w:footnoteReference w:id="111"/>
            </w:r>
            <w:r w:rsidRPr="00D160FB">
              <w:rPr>
                <w:color w:val="0D0D0D" w:themeColor="text1" w:themeTint="F2"/>
                <w:spacing w:val="-3"/>
                <w:lang w:val="en-GB"/>
              </w:rPr>
              <w:t xml:space="preserve">, which represented by nearly one third more favourable result against the record deficit from the same period last year. Development in the first half of the year, when the impact of the post-pandemics revival of the economy was still more notably evident stood exclusively behind this improvement. In contrast the deficit deepened to 60 CZK bn in Q3 (worse result was in this time period observed only in the crisis year 2009). Strengthening year-on-year growth of expenditures of sector VI manifested here (from 5.5% in Q2 to 12.2% in Q3), caused by higher social benefits (incl. extraordinary pension adjustments) as well as other current transfers (effect of introducing the Energy-saving tariff), growth of paid out owner income (due to higher interest) and larger volume in intermediate consumption and investment (also as a result of growth of prices in the economy). On the contrary the volume of paid out subsidies reduced significantly, it however remained above the level from year 2019. Total revenues of sector VI, unlike the expenditures, grew by stable pace during the last year (by 10.7% in total for three quarters). Especially the collection of tax on production and from import exhibit positive results, however its growth pace was decreasing due to the weakening consumption of households (from 13.1% in Q2 to 8.7% in Q3). The collection of common taxes on income or social </w:t>
            </w:r>
            <w:r w:rsidRPr="00D160FB">
              <w:rPr>
                <w:color w:val="0D0D0D" w:themeColor="text1" w:themeTint="F2"/>
                <w:spacing w:val="-3"/>
                <w:lang w:val="en-GB"/>
              </w:rPr>
              <w:lastRenderedPageBreak/>
              <w:t xml:space="preserve">contributions in contrast displayed a stable growth thanks to the good condition of the labour market. </w:t>
            </w:r>
          </w:p>
        </w:tc>
      </w:tr>
      <w:tr w:rsidR="00E75B3A" w:rsidRPr="00D160FB" w14:paraId="2AE7B34A" w14:textId="77777777" w:rsidTr="00C8019E">
        <w:trPr>
          <w:trHeight w:val="145"/>
        </w:trPr>
        <w:tc>
          <w:tcPr>
            <w:tcW w:w="1780" w:type="dxa"/>
            <w:shd w:val="clear" w:color="auto" w:fill="auto"/>
            <w:tcMar>
              <w:left w:w="0" w:type="dxa"/>
            </w:tcMar>
          </w:tcPr>
          <w:p w14:paraId="78B4E31C" w14:textId="50440930" w:rsidR="00E75B3A" w:rsidRPr="00D160FB" w:rsidRDefault="00E75B3A" w:rsidP="00E75B3A">
            <w:pPr>
              <w:pStyle w:val="Marginlie"/>
              <w:rPr>
                <w:spacing w:val="-4"/>
                <w:lang w:val="en-GB"/>
              </w:rPr>
            </w:pPr>
            <w:r w:rsidRPr="00D160FB">
              <w:rPr>
                <w:spacing w:val="-4"/>
                <w:lang w:val="en-GB"/>
              </w:rPr>
              <w:lastRenderedPageBreak/>
              <w:t>Trend of the decrease of relative budget deficit of sector VI halted in both the EU and euro area in Q3.</w:t>
            </w:r>
          </w:p>
          <w:p w14:paraId="4E799F68"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2AE54AE6"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39772588" w14:textId="03C1E326" w:rsidR="00E75B3A" w:rsidRPr="00D160FB" w:rsidRDefault="00E75B3A" w:rsidP="00E75B3A">
            <w:pPr>
              <w:spacing w:after="220"/>
              <w:rPr>
                <w:color w:val="0D0D0D" w:themeColor="text1" w:themeTint="F2"/>
                <w:spacing w:val="-4"/>
                <w:lang w:val="en-GB"/>
              </w:rPr>
            </w:pPr>
            <w:r w:rsidRPr="00D160FB">
              <w:rPr>
                <w:color w:val="0D0D0D" w:themeColor="text1" w:themeTint="F2"/>
                <w:spacing w:val="-4"/>
                <w:lang w:val="en-GB"/>
              </w:rPr>
              <w:t>Improvement of the shape of public finances in the EU as well as the euro area states (also associated with the significant reduction of extraordinary public outlays connected to the pandemics) apparent since the beginning of year 2021, halted. The budget deficit of sector VI deepened to 3.2% of GDP in the Union in Q3 2022 (since it was 1.8% of GDP in the preceding quarter – the least since the end of year 2019)</w:t>
            </w:r>
            <w:r w:rsidRPr="00D160FB">
              <w:rPr>
                <w:rStyle w:val="Znakapoznpodarou"/>
                <w:color w:val="0D0D0D" w:themeColor="text1" w:themeTint="F2"/>
                <w:spacing w:val="-4"/>
                <w:lang w:val="en-GB"/>
              </w:rPr>
              <w:footnoteReference w:id="112"/>
            </w:r>
            <w:r w:rsidRPr="00D160FB">
              <w:rPr>
                <w:color w:val="0D0D0D" w:themeColor="text1" w:themeTint="F2"/>
                <w:spacing w:val="-4"/>
                <w:lang w:val="en-GB"/>
              </w:rPr>
              <w:t xml:space="preserve">. The deficit also deepened in the CR in Q3 (to 4.4% of GDP). It thus recorded worse result compared to both the EU and euro area for the fifth quarter in a row. Despite worsening macroeconomic situation still approximately one third (generally middle and smaller) states of the Union maintained mild budget surpluses last year in Autumn. In contrast, deep, more than 5% deficit troubled sector VI in Belgium, Hungary and Romania. </w:t>
            </w:r>
          </w:p>
        </w:tc>
      </w:tr>
      <w:tr w:rsidR="00E75B3A" w:rsidRPr="00D160FB" w14:paraId="67BD71C2" w14:textId="77777777" w:rsidTr="00C8019E">
        <w:trPr>
          <w:trHeight w:val="145"/>
        </w:trPr>
        <w:tc>
          <w:tcPr>
            <w:tcW w:w="1780" w:type="dxa"/>
            <w:shd w:val="clear" w:color="auto" w:fill="auto"/>
            <w:tcMar>
              <w:left w:w="0" w:type="dxa"/>
            </w:tcMar>
          </w:tcPr>
          <w:p w14:paraId="15D5F268" w14:textId="063CE042" w:rsidR="00E75B3A" w:rsidRPr="00D160FB" w:rsidRDefault="00E75B3A" w:rsidP="00E75B3A">
            <w:pPr>
              <w:pStyle w:val="Marginlie"/>
              <w:rPr>
                <w:color w:val="0D0D0D" w:themeColor="text1" w:themeTint="F2"/>
                <w:spacing w:val="-4"/>
                <w:lang w:val="en-GB"/>
              </w:rPr>
            </w:pPr>
            <w:r w:rsidRPr="00D160FB">
              <w:rPr>
                <w:color w:val="0D0D0D" w:themeColor="text1" w:themeTint="F2"/>
                <w:spacing w:val="-4"/>
                <w:lang w:val="en-GB"/>
              </w:rPr>
              <w:t xml:space="preserve">The indebtedness rate was mildly falling for the second year in a row in the EU. It however increased in the CR as the only member country during the last year. </w:t>
            </w:r>
          </w:p>
          <w:p w14:paraId="4BC12F10" w14:textId="77777777" w:rsidR="00E75B3A" w:rsidRPr="00D160FB" w:rsidRDefault="00E75B3A" w:rsidP="00E75B3A">
            <w:pPr>
              <w:pStyle w:val="Marginlie"/>
              <w:rPr>
                <w:color w:val="0D0D0D" w:themeColor="text1" w:themeTint="F2"/>
                <w:spacing w:val="-4"/>
                <w:lang w:val="en-GB"/>
              </w:rPr>
            </w:pPr>
          </w:p>
          <w:p w14:paraId="4D3743E4" w14:textId="77777777" w:rsidR="00E75B3A" w:rsidRPr="00D160FB" w:rsidRDefault="00E75B3A" w:rsidP="00E75B3A">
            <w:pPr>
              <w:pStyle w:val="Marginlie"/>
              <w:rPr>
                <w:color w:val="0D0D0D" w:themeColor="text1" w:themeTint="F2"/>
                <w:spacing w:val="-4"/>
                <w:lang w:val="en-GB"/>
              </w:rPr>
            </w:pPr>
          </w:p>
          <w:p w14:paraId="5C345BD1" w14:textId="77777777" w:rsidR="00E75B3A" w:rsidRPr="00D160FB" w:rsidRDefault="00E75B3A" w:rsidP="00E75B3A">
            <w:pPr>
              <w:pStyle w:val="Marginlie"/>
              <w:rPr>
                <w:color w:val="0D0D0D" w:themeColor="text1" w:themeTint="F2"/>
                <w:spacing w:val="-4"/>
                <w:lang w:val="en-GB"/>
              </w:rPr>
            </w:pPr>
          </w:p>
          <w:p w14:paraId="5FB34088" w14:textId="77777777" w:rsidR="00E75B3A" w:rsidRPr="00D160FB" w:rsidRDefault="00E75B3A" w:rsidP="00E75B3A">
            <w:pPr>
              <w:pStyle w:val="Marginlie"/>
              <w:rPr>
                <w:color w:val="0D0D0D" w:themeColor="text1" w:themeTint="F2"/>
                <w:spacing w:val="-4"/>
                <w:lang w:val="en-GB"/>
              </w:rPr>
            </w:pPr>
          </w:p>
          <w:p w14:paraId="7ABF98EA" w14:textId="77777777" w:rsidR="00E75B3A" w:rsidRPr="00D160FB" w:rsidRDefault="00E75B3A" w:rsidP="00E75B3A">
            <w:pPr>
              <w:pStyle w:val="Marginlie"/>
              <w:rPr>
                <w:color w:val="0D0D0D" w:themeColor="text1" w:themeTint="F2"/>
                <w:spacing w:val="-4"/>
                <w:lang w:val="en-GB"/>
              </w:rPr>
            </w:pPr>
          </w:p>
          <w:p w14:paraId="235A3E59" w14:textId="608AFDFA" w:rsidR="00E75B3A" w:rsidRPr="00D160FB" w:rsidRDefault="00E75B3A" w:rsidP="00E75B3A">
            <w:pPr>
              <w:pStyle w:val="Marginlie"/>
              <w:rPr>
                <w:color w:val="0D0D0D" w:themeColor="text1" w:themeTint="F2"/>
                <w:spacing w:val="-4"/>
                <w:lang w:val="en-GB"/>
              </w:rPr>
            </w:pPr>
            <w:r w:rsidRPr="00D160FB">
              <w:rPr>
                <w:color w:val="0D0D0D" w:themeColor="text1" w:themeTint="F2"/>
                <w:spacing w:val="-4"/>
                <w:lang w:val="en-GB"/>
              </w:rPr>
              <w:t xml:space="preserve">Ratio of revenues of sector VI to GDP remained below the level of year 2019 in the CR. </w:t>
            </w:r>
          </w:p>
          <w:p w14:paraId="5816A131" w14:textId="77777777" w:rsidR="00E75B3A" w:rsidRPr="00D160FB" w:rsidRDefault="00E75B3A" w:rsidP="00E75B3A">
            <w:pPr>
              <w:pStyle w:val="Marginlie"/>
              <w:rPr>
                <w:spacing w:val="-4"/>
                <w:lang w:val="en-GB"/>
              </w:rPr>
            </w:pPr>
          </w:p>
        </w:tc>
        <w:tc>
          <w:tcPr>
            <w:tcW w:w="219" w:type="dxa"/>
            <w:shd w:val="clear" w:color="auto" w:fill="auto"/>
            <w:tcMar>
              <w:left w:w="0" w:type="dxa"/>
            </w:tcMar>
          </w:tcPr>
          <w:p w14:paraId="7732ABDD" w14:textId="77777777" w:rsidR="00E75B3A" w:rsidRPr="00D160FB" w:rsidRDefault="00E75B3A" w:rsidP="00E75B3A">
            <w:pPr>
              <w:pStyle w:val="Textpoznpodarou"/>
              <w:jc w:val="both"/>
              <w:rPr>
                <w:spacing w:val="-4"/>
                <w:lang w:val="en-GB"/>
              </w:rPr>
            </w:pPr>
          </w:p>
        </w:tc>
        <w:tc>
          <w:tcPr>
            <w:tcW w:w="7670" w:type="dxa"/>
            <w:shd w:val="clear" w:color="auto" w:fill="auto"/>
            <w:tcMar>
              <w:left w:w="0" w:type="dxa"/>
            </w:tcMar>
          </w:tcPr>
          <w:p w14:paraId="6DF84008" w14:textId="7D56BE50" w:rsidR="00E75B3A" w:rsidRPr="00D160FB" w:rsidRDefault="00E75B3A" w:rsidP="00E75B3A">
            <w:pPr>
              <w:spacing w:after="0"/>
              <w:rPr>
                <w:color w:val="0D0D0D" w:themeColor="text1" w:themeTint="F2"/>
                <w:spacing w:val="-4"/>
                <w:lang w:val="en-GB"/>
              </w:rPr>
            </w:pPr>
            <w:r w:rsidRPr="00D160FB">
              <w:rPr>
                <w:color w:val="0D0D0D" w:themeColor="text1" w:themeTint="F2"/>
                <w:spacing w:val="-4"/>
                <w:lang w:val="en-GB"/>
              </w:rPr>
              <w:t xml:space="preserve">The indebtedness of the sector VI in the EU was continuously mildly decreasing following reaching absolute maximum at the beginning of year 2021 (92% of GDP). It was 85.1% of GDP last year at the end of Q3 and fell by 4.6 p.p. year-on-year. Reduction of indebtedness occurred exclusively thanks to the effect of the nominal growth of the economic performance in both the Union and euro area since the absolute size of the debt kept growing (even though only slowly contrary e.g. to the situation in the CR). Some long-time highly indebted states achieved the largest improvement – Greece (by 25 p.p.) and Cyprus (by 15 p.p.), it was however significant also among traditionally fiscally stabilised countries (Ireland, Denmark, Lithuania). The CR presented the only member state of the Union, where the indebtedness increased year-on-year (from 40.4% of GDP to record 45.3%). The indebtedness rate of the CR ranked the eighth lowest among the member states in Q3 (it was the worst position after year 2014), it still however did not reach even one half of the euro area level. The ratio of total revenues of sector VI to GDP still stayed behind the level from 2019 in the CR in last year’s Q1 to Q3 unlike the EU. On the contrary, the relative volume of expenditures grew faster in the CR than in the Union for the same time period. Compared to the lowest level of indebtedness from the era of the pre-pandemic boom (period 2015 to 2019) the debt of the sector VI of the EU countries was higher by 7.6  p.p. last year in Q3 – even in the range 17 to 18 p.p. in the most affected states (Spain, France), by 15 p.p. in the CR. On the contrary, only Ireland was in better situation than before the pandemics (by 8 p.p.), with large distance then Denmark, Sweden and Croatia.  </w:t>
            </w:r>
          </w:p>
        </w:tc>
      </w:tr>
    </w:tbl>
    <w:p w14:paraId="6D687C14" w14:textId="3DB28A8F" w:rsidR="001C3855" w:rsidRPr="00D160FB" w:rsidRDefault="001C3855" w:rsidP="00C15537">
      <w:pPr>
        <w:pStyle w:val="Nadpis11"/>
        <w:rPr>
          <w:sz w:val="2"/>
          <w:szCs w:val="2"/>
          <w:lang w:val="en-GB"/>
        </w:rPr>
      </w:pPr>
    </w:p>
    <w:sectPr w:rsidR="001C3855" w:rsidRPr="00D160FB" w:rsidSect="00A03B10">
      <w:headerReference w:type="even" r:id="rId33"/>
      <w:headerReference w:type="default" r:id="rId34"/>
      <w:footerReference w:type="even" r:id="rId35"/>
      <w:footerReference w:type="default" r:id="rId36"/>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25A2F9F0" w14:textId="17225AC2" w:rsidR="00E37C1C" w:rsidRDefault="00E37C1C" w:rsidP="00C21CA0">
      <w:pPr>
        <w:pStyle w:val="Textpoznpodarou"/>
        <w:jc w:val="both"/>
        <w:rPr>
          <w:spacing w:val="-2"/>
          <w:sz w:val="16"/>
          <w:szCs w:val="16"/>
        </w:rPr>
      </w:pPr>
      <w:r>
        <w:rPr>
          <w:rStyle w:val="Znakapoznpodarou"/>
          <w:spacing w:val="-2"/>
          <w:sz w:val="16"/>
          <w:szCs w:val="16"/>
        </w:rPr>
        <w:footnoteRef/>
      </w:r>
      <w:r>
        <w:rPr>
          <w:spacing w:val="-2"/>
          <w:sz w:val="16"/>
          <w:szCs w:val="16"/>
        </w:rPr>
        <w:t xml:space="preserve"> </w:t>
      </w:r>
      <w:r w:rsidRPr="00D060D1">
        <w:rPr>
          <w:spacing w:val="-2"/>
          <w:sz w:val="16"/>
          <w:szCs w:val="16"/>
          <w:lang w:val="en-GB"/>
        </w:rPr>
        <w:t>Data regarding the GDP, gross value added and their components are expressed in constant prices and adjusted for seasonal and calendar effects.</w:t>
      </w:r>
    </w:p>
  </w:footnote>
  <w:footnote w:id="2">
    <w:p w14:paraId="785B41FA" w14:textId="5A5F561C" w:rsidR="00E37C1C" w:rsidRDefault="00E37C1C" w:rsidP="00C21CA0">
      <w:pPr>
        <w:pStyle w:val="Textpoznpodarou"/>
        <w:jc w:val="both"/>
        <w:rPr>
          <w:sz w:val="16"/>
          <w:szCs w:val="16"/>
        </w:rPr>
      </w:pPr>
      <w:r>
        <w:rPr>
          <w:rStyle w:val="Znakapoznpodarou"/>
          <w:sz w:val="16"/>
          <w:szCs w:val="16"/>
        </w:rPr>
        <w:footnoteRef/>
      </w:r>
      <w:r>
        <w:rPr>
          <w:sz w:val="16"/>
          <w:szCs w:val="16"/>
        </w:rPr>
        <w:t xml:space="preserve"> </w:t>
      </w:r>
      <w:r w:rsidRPr="009011BB">
        <w:rPr>
          <w:sz w:val="16"/>
          <w:szCs w:val="16"/>
          <w:lang w:val="en-GB"/>
        </w:rPr>
        <w:t>According to the methodology of quarterly national accounts (export and import in FOB/FOB prices).</w:t>
      </w:r>
    </w:p>
  </w:footnote>
  <w:footnote w:id="3">
    <w:p w14:paraId="5FFF1332" w14:textId="3A4443BA" w:rsidR="00E37C1C" w:rsidRDefault="00E37C1C" w:rsidP="00C21CA0">
      <w:pPr>
        <w:pStyle w:val="Textpoznpodarou"/>
        <w:jc w:val="both"/>
        <w:rPr>
          <w:sz w:val="16"/>
          <w:szCs w:val="16"/>
        </w:rPr>
      </w:pPr>
      <w:r>
        <w:rPr>
          <w:rStyle w:val="Znakapoznpodarou"/>
          <w:spacing w:val="-2"/>
          <w:sz w:val="16"/>
          <w:szCs w:val="16"/>
        </w:rPr>
        <w:footnoteRef/>
      </w:r>
      <w:r>
        <w:rPr>
          <w:spacing w:val="-2"/>
          <w:sz w:val="16"/>
          <w:szCs w:val="16"/>
        </w:rPr>
        <w:t xml:space="preserve"> </w:t>
      </w:r>
      <w:r>
        <w:rPr>
          <w:sz w:val="16"/>
          <w:szCs w:val="16"/>
          <w:lang w:val="en-GB"/>
        </w:rPr>
        <w:t>Employment data are in the national accounts conception and adjusted for seasonal effects</w:t>
      </w:r>
      <w:r>
        <w:rPr>
          <w:spacing w:val="-2"/>
          <w:sz w:val="16"/>
          <w:szCs w:val="16"/>
        </w:rPr>
        <w:t>.</w:t>
      </w:r>
    </w:p>
  </w:footnote>
  <w:footnote w:id="4">
    <w:p w14:paraId="59991990" w14:textId="7DD237B8" w:rsidR="00E37C1C" w:rsidRPr="000348AF" w:rsidRDefault="00E37C1C" w:rsidP="00693F29">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3rd</w:t>
      </w:r>
      <w:r w:rsidRPr="00CE719A">
        <w:rPr>
          <w:sz w:val="16"/>
          <w:szCs w:val="16"/>
          <w:lang w:val="en-GB"/>
        </w:rPr>
        <w:t xml:space="preserve"> </w:t>
      </w:r>
      <w:r>
        <w:rPr>
          <w:sz w:val="16"/>
          <w:szCs w:val="16"/>
          <w:lang w:val="en-GB"/>
        </w:rPr>
        <w:t xml:space="preserve">March </w:t>
      </w:r>
      <w:r w:rsidRPr="00CE719A">
        <w:rPr>
          <w:sz w:val="16"/>
          <w:szCs w:val="16"/>
          <w:lang w:val="en-GB"/>
        </w:rPr>
        <w:t>202</w:t>
      </w:r>
      <w:r>
        <w:rPr>
          <w:sz w:val="16"/>
          <w:szCs w:val="16"/>
          <w:lang w:val="en-GB"/>
        </w:rPr>
        <w:t>3</w:t>
      </w:r>
      <w:r w:rsidRPr="00CE719A">
        <w:rPr>
          <w:sz w:val="16"/>
          <w:szCs w:val="16"/>
          <w:lang w:val="en-GB"/>
        </w:rPr>
        <w:t>.</w:t>
      </w:r>
    </w:p>
  </w:footnote>
  <w:footnote w:id="5">
    <w:p w14:paraId="69B6BB68" w14:textId="77777777" w:rsidR="00E37C1C" w:rsidRPr="001E74E3" w:rsidRDefault="00E37C1C" w:rsidP="00693F29">
      <w:pPr>
        <w:pStyle w:val="Textpoznpodarou"/>
        <w:jc w:val="both"/>
        <w:rPr>
          <w:sz w:val="16"/>
          <w:szCs w:val="16"/>
        </w:rPr>
      </w:pPr>
      <w:r w:rsidRPr="001E74E3">
        <w:rPr>
          <w:rStyle w:val="Znakapoznpodarou"/>
          <w:sz w:val="16"/>
          <w:szCs w:val="16"/>
        </w:rPr>
        <w:footnoteRef/>
      </w:r>
      <w:r w:rsidRPr="001E74E3">
        <w:rPr>
          <w:sz w:val="16"/>
          <w:szCs w:val="16"/>
        </w:rPr>
        <w:t xml:space="preserve"> </w:t>
      </w:r>
      <w:r w:rsidRPr="009D3F73">
        <w:rPr>
          <w:sz w:val="16"/>
          <w:szCs w:val="16"/>
          <w:lang w:val="en-GB"/>
        </w:rPr>
        <w:t xml:space="preserve">Data </w:t>
      </w:r>
      <w:r>
        <w:rPr>
          <w:sz w:val="16"/>
          <w:szCs w:val="16"/>
          <w:lang w:val="en-GB"/>
        </w:rPr>
        <w:t xml:space="preserve">for Luxembourg were not available. </w:t>
      </w:r>
    </w:p>
  </w:footnote>
  <w:footnote w:id="6">
    <w:p w14:paraId="1A5023D1" w14:textId="00029B5B" w:rsidR="00E37C1C" w:rsidRPr="00FD125F" w:rsidRDefault="00E37C1C" w:rsidP="00125D17">
      <w:pPr>
        <w:pStyle w:val="Textpoznpodarou"/>
        <w:jc w:val="both"/>
        <w:rPr>
          <w:lang w:val="en-GB"/>
        </w:rPr>
      </w:pPr>
      <w:r w:rsidRPr="009C6EA8">
        <w:rPr>
          <w:rStyle w:val="Znakapoznpodarou"/>
          <w:sz w:val="16"/>
          <w:szCs w:val="16"/>
        </w:rPr>
        <w:footnoteRef/>
      </w:r>
      <w:r w:rsidRPr="009C6EA8">
        <w:rPr>
          <w:sz w:val="16"/>
          <w:szCs w:val="16"/>
        </w:rPr>
        <w:t xml:space="preserve"> </w:t>
      </w:r>
      <w:r w:rsidRPr="00FD125F">
        <w:rPr>
          <w:sz w:val="16"/>
          <w:szCs w:val="16"/>
          <w:lang w:val="en-GB"/>
        </w:rPr>
        <w:t xml:space="preserve">Employment data in the national accounts conception (persons), figure seasonally adjusted.  </w:t>
      </w:r>
    </w:p>
  </w:footnote>
  <w:footnote w:id="7">
    <w:p w14:paraId="0F7ACE03" w14:textId="706F0AE9" w:rsidR="00E37C1C" w:rsidRPr="00FD125F" w:rsidRDefault="00E37C1C" w:rsidP="00125D17">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Converted into the real expression using the deflator of household consumption.</w:t>
      </w:r>
    </w:p>
  </w:footnote>
  <w:footnote w:id="8">
    <w:p w14:paraId="753E0EB2" w14:textId="64CF8798" w:rsidR="00E37C1C" w:rsidRPr="00FD125F" w:rsidRDefault="00E37C1C" w:rsidP="00125D17">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T</w:t>
      </w:r>
      <w:r>
        <w:rPr>
          <w:sz w:val="16"/>
          <w:szCs w:val="16"/>
          <w:lang w:val="en-GB"/>
        </w:rPr>
        <w:t xml:space="preserve">his section includes activities of organisations uniting persons for the purpose of advancing their common interests, repairs of computers and personal and household goods and number of other personal services </w:t>
      </w:r>
      <w:r w:rsidRPr="00FD125F">
        <w:rPr>
          <w:sz w:val="16"/>
          <w:szCs w:val="16"/>
          <w:lang w:val="en-GB"/>
        </w:rPr>
        <w:t>(</w:t>
      </w:r>
      <w:r>
        <w:rPr>
          <w:sz w:val="16"/>
          <w:szCs w:val="16"/>
          <w:lang w:val="en-GB"/>
        </w:rPr>
        <w:t>hairdressing and other beauty treatment etc.</w:t>
      </w:r>
      <w:r w:rsidRPr="00FD125F">
        <w:rPr>
          <w:sz w:val="16"/>
          <w:szCs w:val="16"/>
          <w:lang w:val="en-GB"/>
        </w:rPr>
        <w:t>).</w:t>
      </w:r>
    </w:p>
  </w:footnote>
  <w:footnote w:id="9">
    <w:p w14:paraId="4D26F1E3" w14:textId="77777777" w:rsidR="00E37C1C" w:rsidRPr="00FD125F" w:rsidRDefault="00E37C1C" w:rsidP="005E3854">
      <w:pPr>
        <w:pStyle w:val="Textpoznpodarou"/>
        <w:jc w:val="both"/>
        <w:rPr>
          <w:sz w:val="16"/>
          <w:szCs w:val="16"/>
          <w:lang w:val="en-GB"/>
        </w:rPr>
      </w:pPr>
      <w:r w:rsidRPr="00FD125F">
        <w:rPr>
          <w:rStyle w:val="Znakapoznpodarou"/>
          <w:sz w:val="16"/>
          <w:szCs w:val="16"/>
          <w:lang w:val="en-GB"/>
        </w:rPr>
        <w:footnoteRef/>
      </w:r>
      <w:r w:rsidRPr="00FD125F">
        <w:rPr>
          <w:sz w:val="16"/>
          <w:szCs w:val="16"/>
          <w:lang w:val="en-GB"/>
        </w:rPr>
        <w:t xml:space="preserve"> Public administration, education, health and social work. </w:t>
      </w:r>
    </w:p>
  </w:footnote>
  <w:footnote w:id="10">
    <w:p w14:paraId="2AB60143" w14:textId="0D8870FE" w:rsidR="00E37C1C" w:rsidRPr="009C6EA8" w:rsidRDefault="00E37C1C" w:rsidP="008C3A32">
      <w:pPr>
        <w:pStyle w:val="Textpoznpodarou"/>
        <w:rPr>
          <w:sz w:val="16"/>
          <w:szCs w:val="16"/>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11">
    <w:p w14:paraId="235B4381" w14:textId="402C0123" w:rsidR="00E37C1C" w:rsidRPr="000456B6" w:rsidRDefault="00E37C1C" w:rsidP="000456B6">
      <w:pPr>
        <w:pStyle w:val="Textpoznpodarou"/>
        <w:jc w:val="both"/>
        <w:rPr>
          <w:sz w:val="16"/>
          <w:szCs w:val="16"/>
          <w:lang w:val="en-GB"/>
        </w:rPr>
      </w:pPr>
      <w:r w:rsidRPr="00954992">
        <w:rPr>
          <w:rStyle w:val="Znakapoznpodarou"/>
          <w:sz w:val="16"/>
          <w:szCs w:val="16"/>
        </w:rPr>
        <w:footnoteRef/>
      </w:r>
      <w:r w:rsidRPr="00954992">
        <w:rPr>
          <w:sz w:val="16"/>
          <w:szCs w:val="16"/>
        </w:rPr>
        <w:t xml:space="preserve"> </w:t>
      </w:r>
      <w:r w:rsidRPr="000456B6">
        <w:rPr>
          <w:sz w:val="16"/>
          <w:szCs w:val="16"/>
          <w:lang w:val="en-GB"/>
        </w:rPr>
        <w:t>Data regarding consumption based on durability are in domestic conception.</w:t>
      </w:r>
    </w:p>
  </w:footnote>
  <w:footnote w:id="12">
    <w:p w14:paraId="7F396F5F" w14:textId="1A27475A" w:rsidR="00E37C1C" w:rsidRPr="004831F6" w:rsidRDefault="00E37C1C" w:rsidP="000456B6">
      <w:pPr>
        <w:pStyle w:val="Textpoznpodarou"/>
        <w:jc w:val="both"/>
        <w:rPr>
          <w:sz w:val="16"/>
          <w:szCs w:val="16"/>
        </w:rPr>
      </w:pPr>
      <w:r w:rsidRPr="000456B6">
        <w:rPr>
          <w:rStyle w:val="Znakapoznpodarou"/>
          <w:sz w:val="16"/>
          <w:szCs w:val="16"/>
          <w:lang w:val="en-GB"/>
        </w:rPr>
        <w:footnoteRef/>
      </w:r>
      <w:r w:rsidRPr="000456B6">
        <w:rPr>
          <w:sz w:val="16"/>
          <w:szCs w:val="16"/>
          <w:lang w:val="en-GB"/>
        </w:rPr>
        <w:t xml:space="preserve"> Change of inventories (in current prices and seasonally adjusted) attained 392.4 CZK bn last year and 104.9 bn in Q4 itself. The indicator in constant prices grew in total last year due to the development in H1. The change of the inventory stock was slightly </w:t>
      </w:r>
      <w:proofErr w:type="gramStart"/>
      <w:r w:rsidRPr="000456B6">
        <w:rPr>
          <w:sz w:val="16"/>
          <w:szCs w:val="16"/>
          <w:lang w:val="en-GB"/>
        </w:rPr>
        <w:t>lower  in</w:t>
      </w:r>
      <w:proofErr w:type="gramEnd"/>
      <w:r w:rsidRPr="000456B6">
        <w:rPr>
          <w:sz w:val="16"/>
          <w:szCs w:val="16"/>
          <w:lang w:val="en-GB"/>
        </w:rPr>
        <w:t xml:space="preserve"> real terms year-on-year in Q4 2022.</w:t>
      </w:r>
      <w:r>
        <w:rPr>
          <w:sz w:val="16"/>
          <w:szCs w:val="16"/>
        </w:rPr>
        <w:t xml:space="preserve"> </w:t>
      </w:r>
    </w:p>
  </w:footnote>
  <w:footnote w:id="13">
    <w:p w14:paraId="5972829A" w14:textId="16ED2D9E" w:rsidR="00E37C1C" w:rsidRPr="00167B30" w:rsidRDefault="00E37C1C" w:rsidP="008C3A32">
      <w:pPr>
        <w:pStyle w:val="Textpoznpodarou"/>
        <w:rPr>
          <w:sz w:val="16"/>
          <w:szCs w:val="16"/>
        </w:rPr>
      </w:pPr>
      <w:r w:rsidRPr="00167B30">
        <w:rPr>
          <w:rStyle w:val="Znakapoznpodarou"/>
          <w:sz w:val="16"/>
          <w:szCs w:val="16"/>
        </w:rPr>
        <w:footnoteRef/>
      </w:r>
      <w:r w:rsidRPr="00167B30">
        <w:rPr>
          <w:sz w:val="16"/>
          <w:szCs w:val="16"/>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r>
        <w:rPr>
          <w:sz w:val="16"/>
          <w:szCs w:val="16"/>
          <w:lang w:val="en-GB"/>
        </w:rPr>
        <w:t xml:space="preserve"> Foreign trade balance in current prices and after seasonal adjustment. </w:t>
      </w:r>
    </w:p>
  </w:footnote>
  <w:footnote w:id="14">
    <w:p w14:paraId="157A1ECA" w14:textId="4799D253" w:rsidR="00E37C1C" w:rsidRPr="00A35E98" w:rsidRDefault="00E37C1C" w:rsidP="00A35E98">
      <w:pPr>
        <w:pStyle w:val="Textpoznpodarou"/>
        <w:jc w:val="both"/>
        <w:rPr>
          <w:rFonts w:cs="Arial"/>
          <w:color w:val="0D0D0D" w:themeColor="text1" w:themeTint="F2"/>
          <w:spacing w:val="-2"/>
          <w:sz w:val="16"/>
          <w:szCs w:val="16"/>
          <w:lang w:val="en-GB"/>
        </w:rPr>
      </w:pPr>
      <w:r w:rsidRPr="007163BD">
        <w:rPr>
          <w:rStyle w:val="Znakapoznpodarou"/>
          <w:rFonts w:cs="Arial"/>
          <w:color w:val="0D0D0D" w:themeColor="text1" w:themeTint="F2"/>
          <w:spacing w:val="-2"/>
          <w:sz w:val="16"/>
          <w:szCs w:val="16"/>
        </w:rPr>
        <w:footnoteRef/>
      </w:r>
      <w:r w:rsidRPr="007163BD">
        <w:rPr>
          <w:rFonts w:cs="Arial"/>
          <w:color w:val="0D0D0D" w:themeColor="text1" w:themeTint="F2"/>
          <w:spacing w:val="-2"/>
          <w:sz w:val="16"/>
          <w:szCs w:val="16"/>
        </w:rPr>
        <w:t xml:space="preserve"> </w:t>
      </w:r>
      <w:r w:rsidRPr="00A35E98">
        <w:rPr>
          <w:rFonts w:cs="Arial"/>
          <w:color w:val="0D0D0D" w:themeColor="text1" w:themeTint="F2"/>
          <w:spacing w:val="-2"/>
          <w:sz w:val="16"/>
          <w:szCs w:val="16"/>
          <w:lang w:val="en-GB"/>
        </w:rPr>
        <w:t xml:space="preserve">Data regarding GVA are expressed in constant prices and adjusted for both seasonal and calendar effects. </w:t>
      </w:r>
    </w:p>
  </w:footnote>
  <w:footnote w:id="15">
    <w:p w14:paraId="08FBDC77" w14:textId="11D96DBE" w:rsidR="00E37C1C" w:rsidRPr="00A35E98" w:rsidRDefault="00E37C1C" w:rsidP="00A35E98">
      <w:pPr>
        <w:pStyle w:val="Textpoznpodarou"/>
        <w:jc w:val="both"/>
        <w:rPr>
          <w:sz w:val="16"/>
          <w:szCs w:val="16"/>
          <w:lang w:val="en-GB"/>
        </w:rPr>
      </w:pPr>
      <w:r w:rsidRPr="00A35E98">
        <w:rPr>
          <w:rStyle w:val="Znakapoznpodarou"/>
          <w:sz w:val="16"/>
          <w:szCs w:val="16"/>
          <w:lang w:val="en-GB"/>
        </w:rPr>
        <w:footnoteRef/>
      </w:r>
      <w:r w:rsidRPr="00A35E98">
        <w:rPr>
          <w:sz w:val="16"/>
          <w:szCs w:val="16"/>
          <w:lang w:val="en-GB"/>
        </w:rPr>
        <w:t xml:space="preserve"> </w:t>
      </w:r>
      <w:r>
        <w:rPr>
          <w:sz w:val="16"/>
          <w:szCs w:val="16"/>
          <w:lang w:val="en-GB"/>
        </w:rPr>
        <w:t>For simplification, branches p</w:t>
      </w:r>
      <w:r w:rsidRPr="0020473C">
        <w:rPr>
          <w:sz w:val="16"/>
          <w:szCs w:val="16"/>
          <w:lang w:val="en-GB"/>
        </w:rPr>
        <w:t>ublic administration, education, health and social work</w:t>
      </w:r>
      <w:r>
        <w:rPr>
          <w:sz w:val="16"/>
          <w:szCs w:val="16"/>
          <w:lang w:val="en-GB"/>
        </w:rPr>
        <w:t xml:space="preserve"> are included here</w:t>
      </w:r>
      <w:r w:rsidRPr="00A35E98">
        <w:rPr>
          <w:sz w:val="16"/>
          <w:szCs w:val="16"/>
          <w:lang w:val="en-GB"/>
        </w:rPr>
        <w:t>.</w:t>
      </w:r>
    </w:p>
  </w:footnote>
  <w:footnote w:id="16">
    <w:p w14:paraId="414573BB" w14:textId="3FCBDD0A" w:rsidR="00E37C1C" w:rsidRPr="00A35E98" w:rsidRDefault="00E37C1C" w:rsidP="00A35E98">
      <w:pPr>
        <w:pStyle w:val="Textpoznpodarou"/>
        <w:jc w:val="both"/>
        <w:rPr>
          <w:sz w:val="16"/>
          <w:szCs w:val="16"/>
          <w:lang w:val="en-GB"/>
        </w:rPr>
      </w:pPr>
      <w:r w:rsidRPr="00A35E98">
        <w:rPr>
          <w:rStyle w:val="Znakapoznpodarou"/>
          <w:sz w:val="16"/>
          <w:szCs w:val="16"/>
          <w:lang w:val="en-GB"/>
        </w:rPr>
        <w:footnoteRef/>
      </w:r>
      <w:r w:rsidRPr="00A35E98">
        <w:rPr>
          <w:sz w:val="16"/>
          <w:szCs w:val="16"/>
          <w:lang w:val="en-GB"/>
        </w:rPr>
        <w:t xml:space="preserve"> </w:t>
      </w:r>
      <w:r>
        <w:rPr>
          <w:sz w:val="16"/>
          <w:szCs w:val="16"/>
          <w:lang w:val="en-GB"/>
        </w:rPr>
        <w:t xml:space="preserve">Within the EU countries, it was valid only for Spain, among other European countries for instance for the Great Britain. </w:t>
      </w:r>
    </w:p>
  </w:footnote>
  <w:footnote w:id="17">
    <w:p w14:paraId="2075B71C" w14:textId="6202EC9F" w:rsidR="00E37C1C" w:rsidRPr="00A35E98" w:rsidRDefault="00E37C1C" w:rsidP="00A35E98">
      <w:pPr>
        <w:pStyle w:val="Textpoznpodarou"/>
        <w:jc w:val="both"/>
        <w:rPr>
          <w:lang w:val="en-GB"/>
        </w:rPr>
      </w:pPr>
      <w:r w:rsidRPr="00A35E98">
        <w:rPr>
          <w:rStyle w:val="Znakapoznpodarou"/>
          <w:sz w:val="16"/>
          <w:szCs w:val="16"/>
          <w:lang w:val="en-GB"/>
        </w:rPr>
        <w:footnoteRef/>
      </w:r>
      <w:r w:rsidRPr="00A35E98">
        <w:rPr>
          <w:sz w:val="16"/>
          <w:szCs w:val="16"/>
          <w:lang w:val="en-GB"/>
        </w:rPr>
        <w:t xml:space="preserve"> </w:t>
      </w:r>
      <w:r>
        <w:rPr>
          <w:spacing w:val="-4"/>
          <w:sz w:val="16"/>
          <w:szCs w:val="16"/>
          <w:lang w:val="en-GB"/>
        </w:rPr>
        <w:t xml:space="preserve">Includes arts, entertainment and recreational activities and further provision of personal services </w:t>
      </w:r>
      <w:r w:rsidRPr="00A35E98">
        <w:rPr>
          <w:sz w:val="16"/>
          <w:szCs w:val="16"/>
          <w:lang w:val="en-GB"/>
        </w:rPr>
        <w:t>(</w:t>
      </w:r>
      <w:r>
        <w:rPr>
          <w:sz w:val="16"/>
          <w:szCs w:val="16"/>
          <w:lang w:val="en-GB"/>
        </w:rPr>
        <w:t>e.g. hairdressing, beauty treatment services, cleaning services or repair of products for personal use and mainly for households</w:t>
      </w:r>
      <w:r w:rsidRPr="00A35E98">
        <w:rPr>
          <w:sz w:val="16"/>
          <w:szCs w:val="16"/>
          <w:lang w:val="en-GB"/>
        </w:rPr>
        <w:t>).</w:t>
      </w:r>
    </w:p>
  </w:footnote>
  <w:footnote w:id="18">
    <w:p w14:paraId="5EFE6F68" w14:textId="5630AA25" w:rsidR="00E37C1C" w:rsidRPr="00A35E98" w:rsidRDefault="00E37C1C" w:rsidP="00A35E98">
      <w:pPr>
        <w:pStyle w:val="Textpoznpodarou"/>
        <w:jc w:val="both"/>
        <w:rPr>
          <w:spacing w:val="-4"/>
          <w:sz w:val="16"/>
          <w:szCs w:val="16"/>
          <w:lang w:val="en-GB"/>
        </w:rPr>
      </w:pPr>
      <w:r w:rsidRPr="00A35E98">
        <w:rPr>
          <w:rStyle w:val="Znakapoznpodarou"/>
          <w:spacing w:val="-4"/>
          <w:sz w:val="16"/>
          <w:szCs w:val="16"/>
          <w:lang w:val="en-GB"/>
        </w:rPr>
        <w:footnoteRef/>
      </w:r>
      <w:r w:rsidRPr="00A35E98">
        <w:rPr>
          <w:spacing w:val="-4"/>
          <w:sz w:val="16"/>
          <w:szCs w:val="16"/>
          <w:lang w:val="en-GB"/>
        </w:rPr>
        <w:t xml:space="preserve"> </w:t>
      </w:r>
      <w:r>
        <w:rPr>
          <w:spacing w:val="-4"/>
          <w:sz w:val="16"/>
          <w:szCs w:val="16"/>
          <w:lang w:val="en-GB"/>
        </w:rPr>
        <w:t xml:space="preserve">Based on the final data for year 2022, it in total </w:t>
      </w:r>
      <w:r w:rsidRPr="00A35E98">
        <w:rPr>
          <w:spacing w:val="-4"/>
          <w:sz w:val="16"/>
          <w:szCs w:val="16"/>
          <w:lang w:val="en-GB"/>
        </w:rPr>
        <w:t>(</w:t>
      </w:r>
      <w:r>
        <w:rPr>
          <w:spacing w:val="-4"/>
          <w:sz w:val="16"/>
          <w:szCs w:val="16"/>
          <w:lang w:val="en-GB"/>
        </w:rPr>
        <w:t>incl. grain maize</w:t>
      </w:r>
      <w:r w:rsidRPr="00A35E98">
        <w:rPr>
          <w:spacing w:val="-4"/>
          <w:sz w:val="16"/>
          <w:szCs w:val="16"/>
          <w:lang w:val="en-GB"/>
        </w:rPr>
        <w:t>)</w:t>
      </w:r>
      <w:r>
        <w:rPr>
          <w:spacing w:val="-4"/>
          <w:sz w:val="16"/>
          <w:szCs w:val="16"/>
          <w:lang w:val="en-GB"/>
        </w:rPr>
        <w:t xml:space="preserve"> attained </w:t>
      </w:r>
      <w:r w:rsidRPr="00A35E98">
        <w:rPr>
          <w:spacing w:val="-4"/>
          <w:sz w:val="16"/>
          <w:szCs w:val="16"/>
          <w:lang w:val="en-GB"/>
        </w:rPr>
        <w:t>8</w:t>
      </w:r>
      <w:r>
        <w:rPr>
          <w:spacing w:val="-4"/>
          <w:sz w:val="16"/>
          <w:szCs w:val="16"/>
          <w:lang w:val="en-GB"/>
        </w:rPr>
        <w:t>.</w:t>
      </w:r>
      <w:r w:rsidRPr="00A35E98">
        <w:rPr>
          <w:spacing w:val="-4"/>
          <w:sz w:val="16"/>
          <w:szCs w:val="16"/>
          <w:lang w:val="en-GB"/>
        </w:rPr>
        <w:t>22 mil</w:t>
      </w:r>
      <w:r>
        <w:rPr>
          <w:spacing w:val="-4"/>
          <w:sz w:val="16"/>
          <w:szCs w:val="16"/>
          <w:lang w:val="en-GB"/>
        </w:rPr>
        <w:t xml:space="preserve"> of tuns</w:t>
      </w:r>
      <w:r w:rsidRPr="00A35E98">
        <w:rPr>
          <w:spacing w:val="-4"/>
          <w:sz w:val="16"/>
          <w:szCs w:val="16"/>
          <w:lang w:val="en-GB"/>
        </w:rPr>
        <w:t xml:space="preserve">. </w:t>
      </w:r>
      <w:r>
        <w:rPr>
          <w:spacing w:val="-4"/>
          <w:sz w:val="16"/>
          <w:szCs w:val="16"/>
          <w:lang w:val="en-GB"/>
        </w:rPr>
        <w:t xml:space="preserve">It overtook the average of harvests from previous five years by </w:t>
      </w:r>
      <w:r w:rsidRPr="00A35E98">
        <w:rPr>
          <w:spacing w:val="-4"/>
          <w:sz w:val="16"/>
          <w:szCs w:val="16"/>
          <w:lang w:val="en-GB"/>
        </w:rPr>
        <w:t>6</w:t>
      </w:r>
      <w:r>
        <w:rPr>
          <w:spacing w:val="-4"/>
          <w:sz w:val="16"/>
          <w:szCs w:val="16"/>
          <w:lang w:val="en-GB"/>
        </w:rPr>
        <w:t>.</w:t>
      </w:r>
      <w:r w:rsidRPr="00A35E98">
        <w:rPr>
          <w:spacing w:val="-4"/>
          <w:sz w:val="16"/>
          <w:szCs w:val="16"/>
          <w:lang w:val="en-GB"/>
        </w:rPr>
        <w:t>9%,</w:t>
      </w:r>
      <w:r>
        <w:rPr>
          <w:spacing w:val="-4"/>
          <w:sz w:val="16"/>
          <w:szCs w:val="16"/>
          <w:lang w:val="en-GB"/>
        </w:rPr>
        <w:t xml:space="preserve"> ten year average then by </w:t>
      </w:r>
      <w:r w:rsidRPr="00A35E98">
        <w:rPr>
          <w:spacing w:val="-4"/>
          <w:sz w:val="16"/>
          <w:szCs w:val="16"/>
          <w:lang w:val="en-GB"/>
        </w:rPr>
        <w:t>5</w:t>
      </w:r>
      <w:r>
        <w:rPr>
          <w:spacing w:val="-4"/>
          <w:sz w:val="16"/>
          <w:szCs w:val="16"/>
          <w:lang w:val="en-GB"/>
        </w:rPr>
        <w:t>.</w:t>
      </w:r>
      <w:r w:rsidRPr="00A35E98">
        <w:rPr>
          <w:spacing w:val="-4"/>
          <w:sz w:val="16"/>
          <w:szCs w:val="16"/>
          <w:lang w:val="en-GB"/>
        </w:rPr>
        <w:t>2%.</w:t>
      </w:r>
    </w:p>
  </w:footnote>
  <w:footnote w:id="19">
    <w:p w14:paraId="6204D87F" w14:textId="1ED981CF" w:rsidR="00E37C1C" w:rsidRPr="00B73D35" w:rsidRDefault="00E37C1C" w:rsidP="00E87D5B">
      <w:pPr>
        <w:pStyle w:val="Textpoznpodarou"/>
        <w:rPr>
          <w:sz w:val="16"/>
          <w:szCs w:val="16"/>
          <w:lang w:val="en-GB"/>
        </w:rPr>
      </w:pPr>
      <w:r w:rsidRPr="002F02F1">
        <w:rPr>
          <w:rStyle w:val="Znakapoznpodarou"/>
          <w:sz w:val="16"/>
          <w:szCs w:val="16"/>
        </w:rPr>
        <w:footnoteRef/>
      </w:r>
      <w:r w:rsidRPr="002F02F1">
        <w:rPr>
          <w:sz w:val="16"/>
          <w:szCs w:val="16"/>
        </w:rPr>
        <w:t xml:space="preserve"> </w:t>
      </w:r>
      <w:r w:rsidRPr="00B73D35">
        <w:rPr>
          <w:sz w:val="16"/>
          <w:szCs w:val="16"/>
          <w:lang w:val="en-GB"/>
        </w:rPr>
        <w:t xml:space="preserve">Its harvest dived by 46% year-on-year. The crop from the </w:t>
      </w:r>
      <w:r>
        <w:rPr>
          <w:sz w:val="16"/>
          <w:szCs w:val="16"/>
          <w:lang w:val="en-GB"/>
        </w:rPr>
        <w:t>preceding year 2021</w:t>
      </w:r>
      <w:r w:rsidRPr="00B73D35">
        <w:rPr>
          <w:sz w:val="16"/>
          <w:szCs w:val="16"/>
          <w:lang w:val="en-GB"/>
        </w:rPr>
        <w:t xml:space="preserve"> (8.3 thousand tons) was the highest in the CR after year 1996.</w:t>
      </w:r>
    </w:p>
  </w:footnote>
  <w:footnote w:id="20">
    <w:p w14:paraId="6EF279AB" w14:textId="6DB7D770" w:rsidR="00E37C1C" w:rsidRPr="00B73D35" w:rsidRDefault="00E37C1C" w:rsidP="00E87D5B">
      <w:pPr>
        <w:spacing w:after="0" w:line="240" w:lineRule="auto"/>
        <w:rPr>
          <w:rFonts w:cs="Arial"/>
          <w:color w:val="0D0D0D" w:themeColor="text1" w:themeTint="F2"/>
          <w:spacing w:val="-2"/>
          <w:sz w:val="16"/>
          <w:szCs w:val="16"/>
          <w:lang w:val="en-GB"/>
        </w:rPr>
      </w:pPr>
      <w:r w:rsidRPr="00B73D35">
        <w:rPr>
          <w:rStyle w:val="Znakapoznpodarou"/>
          <w:spacing w:val="-2"/>
          <w:sz w:val="16"/>
          <w:szCs w:val="16"/>
          <w:lang w:val="en-GB"/>
        </w:rPr>
        <w:footnoteRef/>
      </w:r>
      <w:r w:rsidRPr="00B73D35">
        <w:rPr>
          <w:spacing w:val="-2"/>
          <w:sz w:val="16"/>
          <w:szCs w:val="16"/>
          <w:lang w:val="en-GB"/>
        </w:rPr>
        <w:t xml:space="preserve"> </w:t>
      </w:r>
      <w:r w:rsidRPr="00B73D35">
        <w:rPr>
          <w:rFonts w:cs="Arial"/>
          <w:color w:val="0D0D0D" w:themeColor="text1" w:themeTint="F2"/>
          <w:spacing w:val="-2"/>
          <w:sz w:val="16"/>
          <w:szCs w:val="16"/>
          <w:lang w:val="en-GB"/>
        </w:rPr>
        <w:t>Includes branches of mining and quarrying, manufacturing and also energetics (here as activities of production and distribution of electricity, gas, heat and air conditioning supply). All year-on-year rates of growth of output (at the level of branch sections as well as divisions) are adjusted for calendar effects, quarter-on-quarter rates then also for seasonal effects.</w:t>
      </w:r>
    </w:p>
  </w:footnote>
  <w:footnote w:id="21">
    <w:p w14:paraId="673286C9" w14:textId="59A1ACF7" w:rsidR="00E37C1C" w:rsidRPr="00B73D35" w:rsidRDefault="00E37C1C" w:rsidP="00C23B82">
      <w:pPr>
        <w:spacing w:after="0" w:line="240" w:lineRule="auto"/>
        <w:rPr>
          <w:spacing w:val="-4"/>
          <w:sz w:val="16"/>
          <w:szCs w:val="16"/>
          <w:lang w:val="en-GB"/>
        </w:rPr>
      </w:pPr>
      <w:r w:rsidRPr="00B73D35">
        <w:rPr>
          <w:rStyle w:val="Znakapoznpodarou"/>
          <w:spacing w:val="-4"/>
          <w:sz w:val="16"/>
          <w:szCs w:val="16"/>
          <w:lang w:val="en-GB"/>
        </w:rPr>
        <w:footnoteRef/>
      </w:r>
      <w:r w:rsidRPr="00B73D35">
        <w:rPr>
          <w:spacing w:val="-4"/>
          <w:sz w:val="16"/>
          <w:szCs w:val="16"/>
          <w:lang w:val="en-GB"/>
        </w:rPr>
        <w:t xml:space="preserve"> </w:t>
      </w:r>
      <w:r>
        <w:rPr>
          <w:spacing w:val="-4"/>
          <w:sz w:val="16"/>
          <w:szCs w:val="16"/>
          <w:lang w:val="en-GB"/>
        </w:rPr>
        <w:t xml:space="preserve">The industrial output was closely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0</w:t>
      </w:r>
      <w:r>
        <w:rPr>
          <w:spacing w:val="-4"/>
          <w:sz w:val="16"/>
          <w:szCs w:val="16"/>
          <w:lang w:val="en-GB"/>
        </w:rPr>
        <w:t>.</w:t>
      </w:r>
      <w:r w:rsidRPr="00B73D35">
        <w:rPr>
          <w:spacing w:val="-4"/>
          <w:sz w:val="16"/>
          <w:szCs w:val="16"/>
          <w:lang w:val="en-GB"/>
        </w:rPr>
        <w:t>1%)</w:t>
      </w:r>
      <w:r>
        <w:rPr>
          <w:spacing w:val="-4"/>
          <w:sz w:val="16"/>
          <w:szCs w:val="16"/>
          <w:lang w:val="en-GB"/>
        </w:rPr>
        <w:t xml:space="preserve"> above the level of the previously record period (Q2 2019)</w:t>
      </w:r>
      <w:r w:rsidRPr="00B73D35">
        <w:rPr>
          <w:spacing w:val="-4"/>
          <w:sz w:val="16"/>
          <w:szCs w:val="16"/>
          <w:lang w:val="en-GB"/>
        </w:rPr>
        <w:t xml:space="preserve"> </w:t>
      </w:r>
      <w:r>
        <w:rPr>
          <w:spacing w:val="-4"/>
          <w:sz w:val="16"/>
          <w:szCs w:val="16"/>
          <w:lang w:val="en-GB"/>
        </w:rPr>
        <w:t>in Q4 2022</w:t>
      </w:r>
      <w:r w:rsidRPr="00B73D35">
        <w:rPr>
          <w:spacing w:val="-4"/>
          <w:sz w:val="16"/>
          <w:szCs w:val="16"/>
          <w:lang w:val="en-GB"/>
        </w:rPr>
        <w:t xml:space="preserve">. </w:t>
      </w:r>
      <w:r>
        <w:rPr>
          <w:spacing w:val="-4"/>
          <w:sz w:val="16"/>
          <w:szCs w:val="16"/>
          <w:lang w:val="en-GB"/>
        </w:rPr>
        <w:t xml:space="preserve">However three fifths (out of nearly thirty) of main industrial branches stayed behind theirs peak from the pre-pandemic boom era </w:t>
      </w:r>
      <w:r w:rsidRPr="00B73D35">
        <w:rPr>
          <w:spacing w:val="-4"/>
          <w:sz w:val="16"/>
          <w:szCs w:val="16"/>
          <w:lang w:val="en-GB"/>
        </w:rPr>
        <w:t>(</w:t>
      </w:r>
      <w:r>
        <w:rPr>
          <w:spacing w:val="-4"/>
          <w:sz w:val="16"/>
          <w:szCs w:val="16"/>
          <w:lang w:val="en-GB"/>
        </w:rPr>
        <w:t xml:space="preserve">years </w:t>
      </w:r>
      <w:r w:rsidRPr="00B73D35">
        <w:rPr>
          <w:spacing w:val="-4"/>
          <w:sz w:val="16"/>
          <w:szCs w:val="16"/>
          <w:lang w:val="en-GB"/>
        </w:rPr>
        <w:t xml:space="preserve">2014 </w:t>
      </w:r>
      <w:r>
        <w:rPr>
          <w:spacing w:val="-4"/>
          <w:sz w:val="16"/>
          <w:szCs w:val="16"/>
          <w:lang w:val="en-GB"/>
        </w:rPr>
        <w:t xml:space="preserve">till </w:t>
      </w:r>
      <w:r w:rsidRPr="00B73D35">
        <w:rPr>
          <w:spacing w:val="-4"/>
          <w:sz w:val="16"/>
          <w:szCs w:val="16"/>
          <w:lang w:val="en-GB"/>
        </w:rPr>
        <w:t xml:space="preserve">2019). </w:t>
      </w:r>
      <w:r>
        <w:rPr>
          <w:spacing w:val="-4"/>
          <w:sz w:val="16"/>
          <w:szCs w:val="16"/>
          <w:lang w:val="en-GB"/>
        </w:rPr>
        <w:t xml:space="preserve">It was mainly mining and quarrying of coal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 xml:space="preserve">39%), </w:t>
      </w:r>
      <w:r>
        <w:rPr>
          <w:spacing w:val="-4"/>
          <w:sz w:val="16"/>
          <w:szCs w:val="16"/>
          <w:lang w:val="en-GB"/>
        </w:rPr>
        <w:t xml:space="preserve">leatherworking and footwear industries </w:t>
      </w:r>
      <w:r w:rsidRPr="00B73D35">
        <w:rPr>
          <w:spacing w:val="-4"/>
          <w:sz w:val="16"/>
          <w:szCs w:val="16"/>
          <w:lang w:val="en-GB"/>
        </w:rPr>
        <w:t xml:space="preserve">(28%), </w:t>
      </w:r>
      <w:r>
        <w:rPr>
          <w:spacing w:val="-4"/>
          <w:sz w:val="16"/>
          <w:szCs w:val="16"/>
          <w:lang w:val="en-GB"/>
        </w:rPr>
        <w:t xml:space="preserve">metallurgy </w:t>
      </w:r>
      <w:r w:rsidRPr="00B73D35">
        <w:rPr>
          <w:spacing w:val="-4"/>
          <w:sz w:val="16"/>
          <w:szCs w:val="16"/>
          <w:lang w:val="en-GB"/>
        </w:rPr>
        <w:t xml:space="preserve"> (22%)</w:t>
      </w:r>
      <w:r>
        <w:rPr>
          <w:spacing w:val="-4"/>
          <w:sz w:val="16"/>
          <w:szCs w:val="16"/>
          <w:lang w:val="en-GB"/>
        </w:rPr>
        <w:t>,</w:t>
      </w:r>
      <w:r w:rsidRPr="00B73D35">
        <w:rPr>
          <w:spacing w:val="-4"/>
          <w:sz w:val="16"/>
          <w:szCs w:val="16"/>
          <w:lang w:val="en-GB"/>
        </w:rPr>
        <w:t xml:space="preserve"> </w:t>
      </w:r>
      <w:r>
        <w:rPr>
          <w:spacing w:val="-4"/>
          <w:sz w:val="16"/>
          <w:szCs w:val="16"/>
          <w:lang w:val="en-GB"/>
        </w:rPr>
        <w:t xml:space="preserve">wood industry </w:t>
      </w:r>
      <w:r w:rsidRPr="00B73D35">
        <w:rPr>
          <w:spacing w:val="-4"/>
          <w:sz w:val="16"/>
          <w:szCs w:val="16"/>
          <w:lang w:val="en-GB"/>
        </w:rPr>
        <w:t xml:space="preserve">(20%), </w:t>
      </w:r>
      <w:r>
        <w:rPr>
          <w:spacing w:val="-4"/>
          <w:sz w:val="16"/>
          <w:szCs w:val="16"/>
          <w:lang w:val="en-GB"/>
        </w:rPr>
        <w:t xml:space="preserve">textile industry </w:t>
      </w:r>
      <w:r w:rsidRPr="00B73D35">
        <w:rPr>
          <w:spacing w:val="-4"/>
          <w:sz w:val="16"/>
          <w:szCs w:val="16"/>
          <w:lang w:val="en-GB"/>
        </w:rPr>
        <w:t>(15%)</w:t>
      </w:r>
      <w:r>
        <w:rPr>
          <w:spacing w:val="-4"/>
          <w:sz w:val="16"/>
          <w:szCs w:val="16"/>
          <w:lang w:val="en-GB"/>
        </w:rPr>
        <w:t xml:space="preserve"> and among the more significant branches e.g. the energy industry </w:t>
      </w:r>
      <w:r w:rsidRPr="00B73D35">
        <w:rPr>
          <w:spacing w:val="-4"/>
          <w:sz w:val="16"/>
          <w:szCs w:val="16"/>
          <w:lang w:val="en-GB"/>
        </w:rPr>
        <w:t>(14%),</w:t>
      </w:r>
      <w:r>
        <w:rPr>
          <w:spacing w:val="-4"/>
          <w:sz w:val="16"/>
          <w:szCs w:val="16"/>
          <w:lang w:val="en-GB"/>
        </w:rPr>
        <w:t xml:space="preserve"> chemical industry </w:t>
      </w:r>
      <w:r w:rsidRPr="00B73D35">
        <w:rPr>
          <w:spacing w:val="-4"/>
          <w:sz w:val="16"/>
          <w:szCs w:val="16"/>
          <w:lang w:val="en-GB"/>
        </w:rPr>
        <w:t xml:space="preserve">(10%) </w:t>
      </w:r>
      <w:r>
        <w:rPr>
          <w:spacing w:val="-4"/>
          <w:sz w:val="16"/>
          <w:szCs w:val="16"/>
          <w:lang w:val="en-GB"/>
        </w:rPr>
        <w:t xml:space="preserve">or manufacturing of computers, electronic and optical appliances </w:t>
      </w:r>
      <w:r w:rsidRPr="00B73D35">
        <w:rPr>
          <w:spacing w:val="-4"/>
          <w:sz w:val="16"/>
          <w:szCs w:val="16"/>
          <w:lang w:val="en-GB"/>
        </w:rPr>
        <w:t>(7%),</w:t>
      </w:r>
      <w:r>
        <w:rPr>
          <w:spacing w:val="-4"/>
          <w:sz w:val="16"/>
          <w:szCs w:val="16"/>
          <w:lang w:val="en-GB"/>
        </w:rPr>
        <w:t xml:space="preserve"> fabricated metal product industry and also rubber and plastic industries </w:t>
      </w:r>
      <w:r w:rsidRPr="00B73D35">
        <w:rPr>
          <w:spacing w:val="-4"/>
          <w:sz w:val="16"/>
          <w:szCs w:val="16"/>
          <w:lang w:val="en-GB"/>
        </w:rPr>
        <w:t>(s</w:t>
      </w:r>
      <w:r>
        <w:rPr>
          <w:spacing w:val="-4"/>
          <w:sz w:val="16"/>
          <w:szCs w:val="16"/>
          <w:lang w:val="en-GB"/>
        </w:rPr>
        <w:t xml:space="preserve">imilarly </w:t>
      </w:r>
      <w:r w:rsidRPr="00B73D35">
        <w:rPr>
          <w:spacing w:val="-4"/>
          <w:sz w:val="16"/>
          <w:szCs w:val="16"/>
          <w:lang w:val="en-GB"/>
        </w:rPr>
        <w:t xml:space="preserve">5%). </w:t>
      </w:r>
      <w:r>
        <w:rPr>
          <w:spacing w:val="-4"/>
          <w:sz w:val="16"/>
          <w:szCs w:val="16"/>
          <w:lang w:val="en-GB"/>
        </w:rPr>
        <w:t xml:space="preserve">On the contrary, especially manufacturers of electrical equipment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12%) a</w:t>
      </w:r>
      <w:r>
        <w:rPr>
          <w:spacing w:val="-4"/>
          <w:sz w:val="16"/>
          <w:szCs w:val="16"/>
          <w:lang w:val="en-GB"/>
        </w:rPr>
        <w:t xml:space="preserve">nd manufacturers of motor vehicles </w:t>
      </w:r>
      <w:r w:rsidRPr="00B73D35">
        <w:rPr>
          <w:spacing w:val="-4"/>
          <w:sz w:val="16"/>
          <w:szCs w:val="16"/>
          <w:lang w:val="en-GB"/>
        </w:rPr>
        <w:t>(</w:t>
      </w:r>
      <w:r>
        <w:rPr>
          <w:spacing w:val="-4"/>
          <w:sz w:val="16"/>
          <w:szCs w:val="16"/>
          <w:lang w:val="en-GB"/>
        </w:rPr>
        <w:t xml:space="preserve">by </w:t>
      </w:r>
      <w:r w:rsidRPr="00B73D35">
        <w:rPr>
          <w:spacing w:val="-4"/>
          <w:sz w:val="16"/>
          <w:szCs w:val="16"/>
          <w:lang w:val="en-GB"/>
        </w:rPr>
        <w:t xml:space="preserve">7%), </w:t>
      </w:r>
      <w:r>
        <w:rPr>
          <w:spacing w:val="-4"/>
          <w:sz w:val="16"/>
          <w:szCs w:val="16"/>
          <w:lang w:val="en-GB"/>
        </w:rPr>
        <w:t>from the smaller activities then e.g. pharmaceutical, paper and wearing apparel industries already overtook the pre-crisis level</w:t>
      </w:r>
      <w:r w:rsidRPr="00B73D35">
        <w:rPr>
          <w:spacing w:val="-4"/>
          <w:sz w:val="16"/>
          <w:szCs w:val="16"/>
          <w:lang w:val="en-GB"/>
        </w:rPr>
        <w:t>.</w:t>
      </w:r>
      <w:r w:rsidRPr="00D364E1">
        <w:rPr>
          <w:rStyle w:val="Znakapoznpodarou"/>
          <w:spacing w:val="-6"/>
          <w:sz w:val="16"/>
          <w:szCs w:val="16"/>
          <w:lang w:val="en-GB"/>
        </w:rPr>
        <w:t xml:space="preserve"> </w:t>
      </w:r>
    </w:p>
  </w:footnote>
  <w:footnote w:id="22">
    <w:p w14:paraId="1869BBFE" w14:textId="0453C861" w:rsidR="00E37C1C" w:rsidRPr="00483BDD" w:rsidRDefault="00E37C1C" w:rsidP="00E87D5B">
      <w:pPr>
        <w:pStyle w:val="Textpoznpodarou"/>
        <w:jc w:val="both"/>
        <w:rPr>
          <w:spacing w:val="-3"/>
          <w:sz w:val="16"/>
          <w:szCs w:val="16"/>
          <w:lang w:val="en-GB"/>
        </w:rPr>
      </w:pPr>
      <w:r w:rsidRPr="00B73D35">
        <w:rPr>
          <w:rStyle w:val="Znakapoznpodarou"/>
          <w:spacing w:val="-3"/>
          <w:sz w:val="16"/>
          <w:szCs w:val="16"/>
          <w:lang w:val="en-GB"/>
        </w:rPr>
        <w:footnoteRef/>
      </w:r>
      <w:r w:rsidRPr="00B73D35">
        <w:rPr>
          <w:spacing w:val="-3"/>
          <w:sz w:val="16"/>
          <w:szCs w:val="16"/>
          <w:lang w:val="en-GB"/>
        </w:rPr>
        <w:t xml:space="preserve"> </w:t>
      </w:r>
      <w:r>
        <w:rPr>
          <w:spacing w:val="-3"/>
          <w:sz w:val="16"/>
          <w:szCs w:val="16"/>
          <w:lang w:val="en-GB"/>
        </w:rPr>
        <w:t xml:space="preserve">Based on the </w:t>
      </w:r>
      <w:r>
        <w:rPr>
          <w:spacing w:val="-6"/>
          <w:sz w:val="16"/>
          <w:szCs w:val="16"/>
          <w:lang w:val="en-GB"/>
        </w:rPr>
        <w:t xml:space="preserve">Automotive Industry Association data, monthly production usually exceeded the boundary of 100 thousand personal vehicles from May till September last year. As a result these months approached the level from the same period of years </w:t>
      </w:r>
      <w:r w:rsidRPr="00B73D35">
        <w:rPr>
          <w:spacing w:val="-3"/>
          <w:sz w:val="16"/>
          <w:szCs w:val="16"/>
          <w:lang w:val="en-GB"/>
        </w:rPr>
        <w:t>2017</w:t>
      </w:r>
      <w:r>
        <w:rPr>
          <w:spacing w:val="-3"/>
          <w:sz w:val="16"/>
          <w:szCs w:val="16"/>
          <w:lang w:val="en-GB"/>
        </w:rPr>
        <w:t xml:space="preserve"> till </w:t>
      </w:r>
      <w:r w:rsidRPr="00B73D35">
        <w:rPr>
          <w:spacing w:val="-3"/>
          <w:sz w:val="16"/>
          <w:szCs w:val="16"/>
          <w:lang w:val="en-GB"/>
        </w:rPr>
        <w:t xml:space="preserve">2019, </w:t>
      </w:r>
      <w:r>
        <w:rPr>
          <w:spacing w:val="-3"/>
          <w:sz w:val="16"/>
          <w:szCs w:val="16"/>
          <w:lang w:val="en-GB"/>
        </w:rPr>
        <w:t xml:space="preserve">when the motor vehicle manufacturing peaked locally. The manufacturing of motor vehicles reached </w:t>
      </w:r>
      <w:r w:rsidRPr="00B73D35">
        <w:rPr>
          <w:spacing w:val="-3"/>
          <w:sz w:val="16"/>
          <w:szCs w:val="16"/>
          <w:lang w:val="en-GB"/>
        </w:rPr>
        <w:t>1</w:t>
      </w:r>
      <w:r>
        <w:rPr>
          <w:spacing w:val="-3"/>
          <w:sz w:val="16"/>
          <w:szCs w:val="16"/>
          <w:lang w:val="en-GB"/>
        </w:rPr>
        <w:t>.</w:t>
      </w:r>
      <w:r w:rsidRPr="00B73D35">
        <w:rPr>
          <w:spacing w:val="-3"/>
          <w:sz w:val="16"/>
          <w:szCs w:val="16"/>
          <w:lang w:val="en-GB"/>
        </w:rPr>
        <w:t>218 mil</w:t>
      </w:r>
      <w:r>
        <w:rPr>
          <w:spacing w:val="-3"/>
          <w:sz w:val="16"/>
          <w:szCs w:val="16"/>
          <w:lang w:val="en-GB"/>
        </w:rPr>
        <w:t xml:space="preserve"> in total for year 2022 </w:t>
      </w:r>
      <w:r w:rsidRPr="00B73D35">
        <w:rPr>
          <w:spacing w:val="-3"/>
          <w:sz w:val="16"/>
          <w:szCs w:val="16"/>
          <w:lang w:val="en-GB"/>
        </w:rPr>
        <w:t>(</w:t>
      </w:r>
      <w:r>
        <w:rPr>
          <w:spacing w:val="-3"/>
          <w:sz w:val="16"/>
          <w:szCs w:val="16"/>
          <w:lang w:val="en-GB"/>
        </w:rPr>
        <w:t xml:space="preserve">by </w:t>
      </w:r>
      <w:r w:rsidRPr="00B73D35">
        <w:rPr>
          <w:spacing w:val="-3"/>
          <w:sz w:val="16"/>
          <w:szCs w:val="16"/>
          <w:lang w:val="en-GB"/>
        </w:rPr>
        <w:t xml:space="preserve">10% </w:t>
      </w:r>
      <w:r>
        <w:rPr>
          <w:spacing w:val="-3"/>
          <w:sz w:val="16"/>
          <w:szCs w:val="16"/>
          <w:lang w:val="en-GB"/>
        </w:rPr>
        <w:t>more year-on-year</w:t>
      </w:r>
      <w:r w:rsidRPr="00B73D35">
        <w:rPr>
          <w:spacing w:val="-3"/>
          <w:sz w:val="16"/>
          <w:szCs w:val="16"/>
          <w:lang w:val="en-GB"/>
        </w:rPr>
        <w:t xml:space="preserve">, </w:t>
      </w:r>
      <w:r>
        <w:rPr>
          <w:spacing w:val="-3"/>
          <w:sz w:val="16"/>
          <w:szCs w:val="16"/>
          <w:lang w:val="en-GB"/>
        </w:rPr>
        <w:t>but by</w:t>
      </w:r>
      <w:r w:rsidRPr="00B73D35">
        <w:rPr>
          <w:spacing w:val="-3"/>
          <w:sz w:val="16"/>
          <w:szCs w:val="16"/>
          <w:lang w:val="en-GB"/>
        </w:rPr>
        <w:t xml:space="preserve"> </w:t>
      </w:r>
      <w:r w:rsidRPr="00483BDD">
        <w:rPr>
          <w:spacing w:val="-3"/>
          <w:sz w:val="16"/>
          <w:szCs w:val="16"/>
          <w:lang w:val="en-GB"/>
        </w:rPr>
        <w:t xml:space="preserve">15% less compared to both years 2018 and 2019). Already more than one tenth of the manufactured personal vehicles concerned electrical vehicles (incl. vehicles hybrid cars). </w:t>
      </w:r>
      <w:r>
        <w:rPr>
          <w:spacing w:val="-3"/>
          <w:sz w:val="16"/>
          <w:szCs w:val="16"/>
          <w:lang w:val="en-GB"/>
        </w:rPr>
        <w:t xml:space="preserve">Producers of other motor vehicles (motorcycles, buses) also registered an increase of output compared to year </w:t>
      </w:r>
      <w:r w:rsidRPr="00483BDD">
        <w:rPr>
          <w:spacing w:val="-3"/>
          <w:sz w:val="16"/>
          <w:szCs w:val="16"/>
          <w:lang w:val="en-GB"/>
        </w:rPr>
        <w:t>2021</w:t>
      </w:r>
      <w:r>
        <w:rPr>
          <w:spacing w:val="-3"/>
          <w:sz w:val="16"/>
          <w:szCs w:val="16"/>
          <w:lang w:val="en-GB"/>
        </w:rPr>
        <w:t xml:space="preserve">, </w:t>
      </w:r>
      <w:r w:rsidRPr="00483BDD">
        <w:rPr>
          <w:spacing w:val="-3"/>
          <w:sz w:val="16"/>
          <w:szCs w:val="16"/>
          <w:lang w:val="en-GB"/>
        </w:rPr>
        <w:t xml:space="preserve">simultaneously their output was exceeding the pre-crisis level. </w:t>
      </w:r>
    </w:p>
  </w:footnote>
  <w:footnote w:id="23">
    <w:p w14:paraId="2B5DB320" w14:textId="5E10FBB4" w:rsidR="00E37C1C" w:rsidRPr="00483BDD" w:rsidRDefault="00E37C1C" w:rsidP="00E87D5B">
      <w:pPr>
        <w:pStyle w:val="Textpoznpodarou"/>
        <w:jc w:val="both"/>
        <w:rPr>
          <w:sz w:val="16"/>
          <w:szCs w:val="16"/>
          <w:lang w:val="en-GB"/>
        </w:rPr>
      </w:pPr>
      <w:r w:rsidRPr="00483BDD">
        <w:rPr>
          <w:rStyle w:val="Znakapoznpodarou"/>
          <w:spacing w:val="-2"/>
          <w:sz w:val="16"/>
          <w:szCs w:val="16"/>
          <w:lang w:val="en-GB"/>
        </w:rPr>
        <w:footnoteRef/>
      </w:r>
      <w:r w:rsidRPr="00483BDD">
        <w:rPr>
          <w:spacing w:val="-2"/>
          <w:sz w:val="16"/>
          <w:szCs w:val="16"/>
          <w:lang w:val="en-GB"/>
        </w:rPr>
        <w:t xml:space="preserve"> </w:t>
      </w:r>
      <w:r w:rsidRPr="00483BDD">
        <w:rPr>
          <w:spacing w:val="-6"/>
          <w:sz w:val="16"/>
          <w:szCs w:val="16"/>
          <w:lang w:val="en-GB"/>
        </w:rPr>
        <w:t>Businesses could have ind</w:t>
      </w:r>
      <w:r>
        <w:rPr>
          <w:spacing w:val="-6"/>
          <w:sz w:val="16"/>
          <w:szCs w:val="16"/>
          <w:lang w:val="en-GB"/>
        </w:rPr>
        <w:t>icated more main growth barriers</w:t>
      </w:r>
      <w:r w:rsidRPr="00483BDD">
        <w:rPr>
          <w:spacing w:val="-6"/>
          <w:sz w:val="16"/>
          <w:szCs w:val="16"/>
          <w:lang w:val="en-GB"/>
        </w:rPr>
        <w:t xml:space="preserve"> simultaneously. </w:t>
      </w:r>
    </w:p>
  </w:footnote>
  <w:footnote w:id="24">
    <w:p w14:paraId="7A0AB914" w14:textId="77777777" w:rsidR="00E37C1C" w:rsidRPr="00483BDD" w:rsidRDefault="00E37C1C" w:rsidP="00E87D5B">
      <w:pPr>
        <w:pStyle w:val="Textpoznpodarou"/>
        <w:rPr>
          <w:sz w:val="16"/>
          <w:szCs w:val="16"/>
          <w:lang w:val="en-GB"/>
        </w:rPr>
      </w:pPr>
      <w:r w:rsidRPr="00483BDD">
        <w:rPr>
          <w:rStyle w:val="Znakapoznpodarou"/>
          <w:sz w:val="16"/>
          <w:szCs w:val="16"/>
          <w:lang w:val="en-GB"/>
        </w:rPr>
        <w:footnoteRef/>
      </w:r>
      <w:r w:rsidRPr="00483BDD">
        <w:rPr>
          <w:sz w:val="16"/>
          <w:szCs w:val="16"/>
          <w:lang w:val="en-GB"/>
        </w:rPr>
        <w:t xml:space="preserve"> It however worked in the direction of the decrease of the whole industry only marginally </w:t>
      </w:r>
      <w:r w:rsidRPr="00483BDD">
        <w:rPr>
          <w:color w:val="0D0D0D" w:themeColor="text1" w:themeTint="F2"/>
          <w:spacing w:val="-4"/>
          <w:sz w:val="16"/>
          <w:szCs w:val="16"/>
          <w:lang w:val="en-GB"/>
        </w:rPr>
        <w:t>(-0.2 p.p.).</w:t>
      </w:r>
    </w:p>
  </w:footnote>
  <w:footnote w:id="25">
    <w:p w14:paraId="53FDB714" w14:textId="553E0399" w:rsidR="00E37C1C" w:rsidRPr="005C41BD" w:rsidRDefault="00E37C1C" w:rsidP="005C41BD">
      <w:pPr>
        <w:pStyle w:val="Textpoznpodarou"/>
        <w:jc w:val="both"/>
        <w:rPr>
          <w:spacing w:val="-2"/>
          <w:sz w:val="16"/>
          <w:szCs w:val="16"/>
          <w:lang w:val="en-GB"/>
        </w:rPr>
      </w:pPr>
      <w:r w:rsidRPr="00F33536">
        <w:rPr>
          <w:rStyle w:val="Znakapoznpodarou"/>
          <w:spacing w:val="-2"/>
          <w:sz w:val="16"/>
          <w:szCs w:val="16"/>
        </w:rPr>
        <w:footnoteRef/>
      </w:r>
      <w:r w:rsidRPr="00F33536">
        <w:rPr>
          <w:spacing w:val="-2"/>
          <w:sz w:val="16"/>
          <w:szCs w:val="16"/>
        </w:rPr>
        <w:t xml:space="preserve"> </w:t>
      </w:r>
      <w:r w:rsidRPr="00AA7871">
        <w:rPr>
          <w:rFonts w:cs="Arial"/>
          <w:color w:val="0D0D0D" w:themeColor="text1" w:themeTint="F2"/>
          <w:spacing w:val="-3"/>
          <w:sz w:val="16"/>
          <w:szCs w:val="16"/>
          <w:lang w:val="en-GB"/>
        </w:rPr>
        <w:t>According to the data of the Energy Regulatory Office of the CR</w:t>
      </w:r>
      <w:r>
        <w:rPr>
          <w:rFonts w:cs="Arial"/>
          <w:color w:val="0D0D0D" w:themeColor="text1" w:themeTint="F2"/>
          <w:spacing w:val="-3"/>
          <w:sz w:val="16"/>
          <w:szCs w:val="16"/>
          <w:lang w:val="en-GB"/>
        </w:rPr>
        <w:t xml:space="preserve"> (ERO)</w:t>
      </w:r>
      <w:r w:rsidRPr="00AA7871">
        <w:rPr>
          <w:rFonts w:cs="Arial"/>
          <w:color w:val="0D0D0D" w:themeColor="text1" w:themeTint="F2"/>
          <w:spacing w:val="-3"/>
          <w:sz w:val="16"/>
          <w:szCs w:val="16"/>
          <w:lang w:val="en-GB"/>
        </w:rPr>
        <w:t xml:space="preserve">, the total </w:t>
      </w:r>
      <w:r>
        <w:rPr>
          <w:rFonts w:cs="Arial"/>
          <w:color w:val="0D0D0D" w:themeColor="text1" w:themeTint="F2"/>
          <w:spacing w:val="-3"/>
          <w:sz w:val="16"/>
          <w:szCs w:val="16"/>
          <w:lang w:val="en-GB"/>
        </w:rPr>
        <w:t xml:space="preserve">consumption of natural gas after adjustment for long-term thermal standard plummeted by 16.5% last year. The absolute size of such expressed consumption reached a minimum in the comparative time series since year 2001. The non-adjusted consumption was falling in all months of the year (mainly in May by 33%). For the whole year, the consumption decreased the most for wholesale customers – e.g. the largest businesses </w:t>
      </w:r>
      <w:r w:rsidRPr="005C41BD">
        <w:rPr>
          <w:spacing w:val="-2"/>
          <w:sz w:val="16"/>
          <w:szCs w:val="16"/>
          <w:lang w:val="en-GB"/>
        </w:rPr>
        <w:t>(</w:t>
      </w:r>
      <w:r>
        <w:rPr>
          <w:spacing w:val="-2"/>
          <w:sz w:val="16"/>
          <w:szCs w:val="16"/>
          <w:lang w:val="en-GB"/>
        </w:rPr>
        <w:t xml:space="preserve">by </w:t>
      </w:r>
      <w:r w:rsidRPr="005C41BD">
        <w:rPr>
          <w:spacing w:val="-2"/>
          <w:sz w:val="16"/>
          <w:szCs w:val="16"/>
          <w:lang w:val="en-GB"/>
        </w:rPr>
        <w:t>22%)</w:t>
      </w:r>
      <w:r>
        <w:rPr>
          <w:spacing w:val="-2"/>
          <w:sz w:val="16"/>
          <w:szCs w:val="16"/>
          <w:lang w:val="en-GB"/>
        </w:rPr>
        <w:t xml:space="preserve"> and households </w:t>
      </w:r>
      <w:r w:rsidRPr="005C41BD">
        <w:rPr>
          <w:spacing w:val="-2"/>
          <w:sz w:val="16"/>
          <w:szCs w:val="16"/>
          <w:lang w:val="en-GB"/>
        </w:rPr>
        <w:t>(21%),</w:t>
      </w:r>
      <w:r>
        <w:rPr>
          <w:spacing w:val="-2"/>
          <w:sz w:val="16"/>
          <w:szCs w:val="16"/>
          <w:lang w:val="en-GB"/>
        </w:rPr>
        <w:t xml:space="preserve"> the least for businesses in the retail (small) customer category </w:t>
      </w:r>
      <w:r w:rsidRPr="005C41BD">
        <w:rPr>
          <w:spacing w:val="-2"/>
          <w:sz w:val="16"/>
          <w:szCs w:val="16"/>
          <w:lang w:val="en-GB"/>
        </w:rPr>
        <w:t xml:space="preserve">(14%). </w:t>
      </w:r>
    </w:p>
  </w:footnote>
  <w:footnote w:id="26">
    <w:p w14:paraId="47654A5D" w14:textId="6887E8B0" w:rsidR="00E37C1C" w:rsidRPr="005C41BD" w:rsidRDefault="00E37C1C" w:rsidP="00440C2F">
      <w:pPr>
        <w:pStyle w:val="Textpoznpodarou"/>
        <w:jc w:val="both"/>
        <w:rPr>
          <w:spacing w:val="-2"/>
          <w:sz w:val="16"/>
          <w:szCs w:val="16"/>
          <w:lang w:val="en-GB"/>
        </w:rPr>
      </w:pPr>
      <w:r w:rsidRPr="005C41BD">
        <w:rPr>
          <w:rStyle w:val="Znakapoznpodarou"/>
          <w:spacing w:val="-2"/>
          <w:sz w:val="16"/>
          <w:szCs w:val="16"/>
          <w:lang w:val="en-GB"/>
        </w:rPr>
        <w:footnoteRef/>
      </w:r>
      <w:r w:rsidRPr="005C41BD">
        <w:rPr>
          <w:spacing w:val="-2"/>
          <w:sz w:val="16"/>
          <w:szCs w:val="16"/>
          <w:lang w:val="en-GB"/>
        </w:rPr>
        <w:t xml:space="preserve"> </w:t>
      </w:r>
      <w:r>
        <w:rPr>
          <w:spacing w:val="-2"/>
          <w:sz w:val="16"/>
          <w:szCs w:val="16"/>
          <w:lang w:val="en-GB"/>
        </w:rPr>
        <w:t>According to the up to date ERO data, the total gross production of heat dropped by 6.6% for Q</w:t>
      </w:r>
      <w:r w:rsidRPr="005C41BD">
        <w:rPr>
          <w:spacing w:val="-2"/>
          <w:sz w:val="16"/>
          <w:szCs w:val="16"/>
          <w:lang w:val="en-GB"/>
        </w:rPr>
        <w:t>1</w:t>
      </w:r>
      <w:r>
        <w:rPr>
          <w:spacing w:val="-2"/>
          <w:sz w:val="16"/>
          <w:szCs w:val="16"/>
          <w:lang w:val="en-GB"/>
        </w:rPr>
        <w:t xml:space="preserve"> to Q</w:t>
      </w:r>
      <w:r w:rsidRPr="005C41BD">
        <w:rPr>
          <w:spacing w:val="-2"/>
          <w:sz w:val="16"/>
          <w:szCs w:val="16"/>
          <w:lang w:val="en-GB"/>
        </w:rPr>
        <w:t>3</w:t>
      </w:r>
      <w:r>
        <w:rPr>
          <w:spacing w:val="-2"/>
          <w:sz w:val="16"/>
          <w:szCs w:val="16"/>
          <w:lang w:val="en-GB"/>
        </w:rPr>
        <w:t xml:space="preserve"> </w:t>
      </w:r>
      <w:r w:rsidRPr="005C41BD">
        <w:rPr>
          <w:spacing w:val="-2"/>
          <w:sz w:val="16"/>
          <w:szCs w:val="16"/>
          <w:lang w:val="en-GB"/>
        </w:rPr>
        <w:t>2022</w:t>
      </w:r>
      <w:r>
        <w:rPr>
          <w:spacing w:val="-2"/>
          <w:sz w:val="16"/>
          <w:szCs w:val="16"/>
          <w:lang w:val="en-GB"/>
        </w:rPr>
        <w:t xml:space="preserve">, mainly due to the lower utilisation of natural gas and black coal </w:t>
      </w:r>
      <w:r w:rsidRPr="005C41BD">
        <w:rPr>
          <w:spacing w:val="-2"/>
          <w:sz w:val="16"/>
          <w:szCs w:val="16"/>
          <w:lang w:val="en-GB"/>
        </w:rPr>
        <w:t>(</w:t>
      </w:r>
      <w:r>
        <w:rPr>
          <w:spacing w:val="-2"/>
          <w:sz w:val="16"/>
          <w:szCs w:val="16"/>
          <w:lang w:val="en-GB"/>
        </w:rPr>
        <w:t xml:space="preserve">in contrast the weight of the brown coal and heating </w:t>
      </w:r>
      <w:proofErr w:type="spellStart"/>
      <w:r>
        <w:rPr>
          <w:spacing w:val="-2"/>
          <w:sz w:val="16"/>
          <w:szCs w:val="16"/>
          <w:lang w:val="en-GB"/>
        </w:rPr>
        <w:t>oils</w:t>
      </w:r>
      <w:proofErr w:type="spellEnd"/>
      <w:r>
        <w:rPr>
          <w:spacing w:val="-2"/>
          <w:sz w:val="16"/>
          <w:szCs w:val="16"/>
          <w:lang w:val="en-GB"/>
        </w:rPr>
        <w:t xml:space="preserve"> grew</w:t>
      </w:r>
      <w:r w:rsidRPr="005C41BD">
        <w:rPr>
          <w:spacing w:val="-2"/>
          <w:sz w:val="16"/>
          <w:szCs w:val="16"/>
          <w:lang w:val="en-GB"/>
        </w:rPr>
        <w:t xml:space="preserve">). </w:t>
      </w:r>
      <w:r>
        <w:rPr>
          <w:spacing w:val="-2"/>
          <w:sz w:val="16"/>
          <w:szCs w:val="16"/>
          <w:lang w:val="en-GB"/>
        </w:rPr>
        <w:t xml:space="preserve">The amount of consumed heat decreased faster </w:t>
      </w:r>
      <w:r w:rsidRPr="005C41BD">
        <w:rPr>
          <w:spacing w:val="-2"/>
          <w:sz w:val="16"/>
          <w:szCs w:val="16"/>
          <w:lang w:val="en-GB"/>
        </w:rPr>
        <w:t>(</w:t>
      </w:r>
      <w:r>
        <w:rPr>
          <w:spacing w:val="-2"/>
          <w:sz w:val="16"/>
          <w:szCs w:val="16"/>
          <w:lang w:val="en-GB"/>
        </w:rPr>
        <w:t xml:space="preserve">by </w:t>
      </w:r>
      <w:r w:rsidRPr="005C41BD">
        <w:rPr>
          <w:spacing w:val="-2"/>
          <w:sz w:val="16"/>
          <w:szCs w:val="16"/>
          <w:lang w:val="en-GB"/>
        </w:rPr>
        <w:t>10</w:t>
      </w:r>
      <w:r>
        <w:rPr>
          <w:spacing w:val="-2"/>
          <w:sz w:val="16"/>
          <w:szCs w:val="16"/>
          <w:lang w:val="en-GB"/>
        </w:rPr>
        <w:t>.</w:t>
      </w:r>
      <w:r w:rsidRPr="005C41BD">
        <w:rPr>
          <w:spacing w:val="-2"/>
          <w:sz w:val="16"/>
          <w:szCs w:val="16"/>
          <w:lang w:val="en-GB"/>
        </w:rPr>
        <w:t xml:space="preserve">3%), </w:t>
      </w:r>
      <w:r>
        <w:rPr>
          <w:spacing w:val="-2"/>
          <w:sz w:val="16"/>
          <w:szCs w:val="16"/>
          <w:lang w:val="en-GB"/>
        </w:rPr>
        <w:t xml:space="preserve">in that by </w:t>
      </w:r>
      <w:r w:rsidRPr="005C41BD">
        <w:rPr>
          <w:spacing w:val="-2"/>
          <w:sz w:val="16"/>
          <w:szCs w:val="16"/>
          <w:lang w:val="en-GB"/>
        </w:rPr>
        <w:t>12%</w:t>
      </w:r>
      <w:r>
        <w:rPr>
          <w:spacing w:val="-2"/>
          <w:sz w:val="16"/>
          <w:szCs w:val="16"/>
          <w:lang w:val="en-GB"/>
        </w:rPr>
        <w:t xml:space="preserve"> in households</w:t>
      </w:r>
      <w:r w:rsidRPr="005C41BD">
        <w:rPr>
          <w:spacing w:val="-2"/>
          <w:sz w:val="16"/>
          <w:szCs w:val="16"/>
          <w:lang w:val="en-GB"/>
        </w:rPr>
        <w:t>,</w:t>
      </w:r>
      <w:r>
        <w:rPr>
          <w:spacing w:val="-2"/>
          <w:sz w:val="16"/>
          <w:szCs w:val="16"/>
          <w:lang w:val="en-GB"/>
        </w:rPr>
        <w:t xml:space="preserve"> decrease also occurred across the business sphere </w:t>
      </w:r>
      <w:r w:rsidRPr="005C41BD">
        <w:rPr>
          <w:spacing w:val="-2"/>
          <w:sz w:val="16"/>
          <w:szCs w:val="16"/>
          <w:lang w:val="en-GB"/>
        </w:rPr>
        <w:t>(4%</w:t>
      </w:r>
      <w:r>
        <w:rPr>
          <w:spacing w:val="-2"/>
          <w:sz w:val="16"/>
          <w:szCs w:val="16"/>
          <w:lang w:val="en-GB"/>
        </w:rPr>
        <w:t xml:space="preserve"> in industry</w:t>
      </w:r>
      <w:r w:rsidRPr="005C41BD">
        <w:rPr>
          <w:spacing w:val="-2"/>
          <w:sz w:val="16"/>
          <w:szCs w:val="16"/>
          <w:lang w:val="en-GB"/>
        </w:rPr>
        <w:t>, 24%</w:t>
      </w:r>
      <w:r>
        <w:rPr>
          <w:spacing w:val="-2"/>
          <w:sz w:val="16"/>
          <w:szCs w:val="16"/>
          <w:lang w:val="en-GB"/>
        </w:rPr>
        <w:t xml:space="preserve"> in energy industry</w:t>
      </w:r>
      <w:r w:rsidRPr="005C41BD">
        <w:rPr>
          <w:spacing w:val="-2"/>
          <w:sz w:val="16"/>
          <w:szCs w:val="16"/>
          <w:lang w:val="en-GB"/>
        </w:rPr>
        <w:t>).</w:t>
      </w:r>
      <w:r>
        <w:rPr>
          <w:spacing w:val="-2"/>
          <w:sz w:val="16"/>
          <w:szCs w:val="16"/>
          <w:lang w:val="en-GB"/>
        </w:rPr>
        <w:t xml:space="preserve"> </w:t>
      </w:r>
    </w:p>
  </w:footnote>
  <w:footnote w:id="27">
    <w:p w14:paraId="13E2B24C" w14:textId="1F385084" w:rsidR="00E37C1C" w:rsidRPr="005C41BD" w:rsidRDefault="00E37C1C" w:rsidP="00A37262">
      <w:pPr>
        <w:pStyle w:val="Textpoznpodarou"/>
        <w:jc w:val="both"/>
        <w:rPr>
          <w:spacing w:val="-2"/>
          <w:sz w:val="16"/>
          <w:szCs w:val="16"/>
          <w:lang w:val="en-GB"/>
        </w:rPr>
      </w:pPr>
      <w:r w:rsidRPr="005C41BD">
        <w:rPr>
          <w:rStyle w:val="Znakapoznpodarou"/>
          <w:spacing w:val="-2"/>
          <w:sz w:val="16"/>
          <w:szCs w:val="16"/>
          <w:lang w:val="en-GB"/>
        </w:rPr>
        <w:footnoteRef/>
      </w:r>
      <w:r w:rsidRPr="005C41BD">
        <w:rPr>
          <w:spacing w:val="-2"/>
          <w:sz w:val="16"/>
          <w:szCs w:val="16"/>
          <w:lang w:val="en-GB"/>
        </w:rPr>
        <w:t xml:space="preserve"> </w:t>
      </w:r>
      <w:r>
        <w:rPr>
          <w:spacing w:val="-2"/>
          <w:sz w:val="16"/>
          <w:szCs w:val="16"/>
          <w:lang w:val="en-GB"/>
        </w:rPr>
        <w:t xml:space="preserve">Combined gas/steam plants contributed mainly to the decrease of the total gross generated electricity according to the ERO data in year </w:t>
      </w:r>
      <w:r w:rsidRPr="005C41BD">
        <w:rPr>
          <w:spacing w:val="-2"/>
          <w:sz w:val="16"/>
          <w:szCs w:val="16"/>
          <w:lang w:val="en-GB"/>
        </w:rPr>
        <w:t>2022</w:t>
      </w:r>
      <w:r>
        <w:rPr>
          <w:spacing w:val="-2"/>
          <w:sz w:val="16"/>
          <w:szCs w:val="16"/>
          <w:lang w:val="en-GB"/>
        </w:rPr>
        <w:t xml:space="preserve"> </w:t>
      </w:r>
      <w:r w:rsidRPr="005C41BD">
        <w:rPr>
          <w:spacing w:val="-2"/>
          <w:sz w:val="16"/>
          <w:szCs w:val="16"/>
          <w:lang w:val="en-GB"/>
        </w:rPr>
        <w:t>(</w:t>
      </w:r>
      <w:r>
        <w:rPr>
          <w:spacing w:val="-2"/>
          <w:sz w:val="16"/>
          <w:szCs w:val="16"/>
          <w:lang w:val="en-GB"/>
        </w:rPr>
        <w:t>their production sank by one half year-on-year</w:t>
      </w:r>
      <w:r w:rsidRPr="005C41BD">
        <w:rPr>
          <w:spacing w:val="-2"/>
          <w:sz w:val="16"/>
          <w:szCs w:val="16"/>
          <w:lang w:val="en-GB"/>
        </w:rPr>
        <w:t xml:space="preserve">), </w:t>
      </w:r>
      <w:r>
        <w:rPr>
          <w:spacing w:val="-2"/>
          <w:sz w:val="16"/>
          <w:szCs w:val="16"/>
          <w:lang w:val="en-GB"/>
        </w:rPr>
        <w:t>water stations were also less utilised</w:t>
      </w:r>
      <w:r w:rsidRPr="005C41BD">
        <w:rPr>
          <w:spacing w:val="-2"/>
          <w:sz w:val="16"/>
          <w:szCs w:val="16"/>
          <w:lang w:val="en-GB"/>
        </w:rPr>
        <w:t xml:space="preserve">. </w:t>
      </w:r>
      <w:r>
        <w:rPr>
          <w:spacing w:val="-2"/>
          <w:sz w:val="16"/>
          <w:szCs w:val="16"/>
          <w:lang w:val="en-GB"/>
        </w:rPr>
        <w:t>Thermal (steam) power plants on the contrary contributed positively</w:t>
      </w:r>
      <w:r w:rsidRPr="005C41BD">
        <w:rPr>
          <w:spacing w:val="-2"/>
          <w:sz w:val="16"/>
          <w:szCs w:val="16"/>
          <w:lang w:val="en-GB"/>
        </w:rPr>
        <w:t xml:space="preserve"> (</w:t>
      </w:r>
      <w:r>
        <w:rPr>
          <w:spacing w:val="-2"/>
          <w:sz w:val="16"/>
          <w:szCs w:val="16"/>
          <w:lang w:val="en-GB"/>
        </w:rPr>
        <w:t xml:space="preserve">output growth of </w:t>
      </w:r>
      <w:r w:rsidRPr="005C41BD">
        <w:rPr>
          <w:spacing w:val="-2"/>
          <w:sz w:val="16"/>
          <w:szCs w:val="16"/>
          <w:lang w:val="en-GB"/>
        </w:rPr>
        <w:t>6</w:t>
      </w:r>
      <w:r>
        <w:rPr>
          <w:spacing w:val="-2"/>
          <w:sz w:val="16"/>
          <w:szCs w:val="16"/>
          <w:lang w:val="en-GB"/>
        </w:rPr>
        <w:t>.</w:t>
      </w:r>
      <w:r w:rsidRPr="005C41BD">
        <w:rPr>
          <w:spacing w:val="-2"/>
          <w:sz w:val="16"/>
          <w:szCs w:val="16"/>
          <w:lang w:val="en-GB"/>
        </w:rPr>
        <w:t>3%),</w:t>
      </w:r>
      <w:r>
        <w:rPr>
          <w:spacing w:val="-2"/>
          <w:sz w:val="16"/>
          <w:szCs w:val="16"/>
          <w:lang w:val="en-GB"/>
        </w:rPr>
        <w:t xml:space="preserve"> specifically mainly due to the higher utilisation of coal</w:t>
      </w:r>
      <w:r w:rsidRPr="005C41BD">
        <w:rPr>
          <w:spacing w:val="-2"/>
          <w:sz w:val="16"/>
          <w:szCs w:val="16"/>
          <w:lang w:val="en-GB"/>
        </w:rPr>
        <w:t xml:space="preserve">. </w:t>
      </w:r>
      <w:r>
        <w:rPr>
          <w:spacing w:val="-2"/>
          <w:sz w:val="16"/>
          <w:szCs w:val="16"/>
          <w:lang w:val="en-GB"/>
        </w:rPr>
        <w:t xml:space="preserve">Production in nuclear power plants also mildly strengthened </w:t>
      </w:r>
      <w:r w:rsidRPr="005C41BD">
        <w:rPr>
          <w:spacing w:val="-2"/>
          <w:sz w:val="16"/>
          <w:szCs w:val="16"/>
          <w:lang w:val="en-GB"/>
        </w:rPr>
        <w:t>(+0</w:t>
      </w:r>
      <w:r>
        <w:rPr>
          <w:spacing w:val="-2"/>
          <w:sz w:val="16"/>
          <w:szCs w:val="16"/>
          <w:lang w:val="en-GB"/>
        </w:rPr>
        <w:t>.</w:t>
      </w:r>
      <w:r w:rsidRPr="005C41BD">
        <w:rPr>
          <w:spacing w:val="-2"/>
          <w:sz w:val="16"/>
          <w:szCs w:val="16"/>
          <w:lang w:val="en-GB"/>
        </w:rPr>
        <w:t xml:space="preserve">9%), </w:t>
      </w:r>
      <w:r>
        <w:rPr>
          <w:spacing w:val="-2"/>
          <w:sz w:val="16"/>
          <w:szCs w:val="16"/>
          <w:lang w:val="en-GB"/>
        </w:rPr>
        <w:t xml:space="preserve">its size totalled record </w:t>
      </w:r>
      <w:r w:rsidRPr="005C41BD">
        <w:rPr>
          <w:spacing w:val="-2"/>
          <w:sz w:val="16"/>
          <w:szCs w:val="16"/>
          <w:lang w:val="en-GB"/>
        </w:rPr>
        <w:t xml:space="preserve">31 </w:t>
      </w:r>
      <w:proofErr w:type="spellStart"/>
      <w:r w:rsidRPr="005C41BD">
        <w:rPr>
          <w:spacing w:val="-2"/>
          <w:sz w:val="16"/>
          <w:szCs w:val="16"/>
          <w:lang w:val="en-GB"/>
        </w:rPr>
        <w:t>TWh</w:t>
      </w:r>
      <w:proofErr w:type="spellEnd"/>
      <w:r w:rsidRPr="005C41BD">
        <w:rPr>
          <w:spacing w:val="-2"/>
          <w:sz w:val="16"/>
          <w:szCs w:val="16"/>
          <w:lang w:val="en-GB"/>
        </w:rPr>
        <w:t xml:space="preserve"> (37%</w:t>
      </w:r>
      <w:r>
        <w:rPr>
          <w:spacing w:val="-2"/>
          <w:sz w:val="16"/>
          <w:szCs w:val="16"/>
          <w:lang w:val="en-GB"/>
        </w:rPr>
        <w:t xml:space="preserve"> of all electricity generated in the CR</w:t>
      </w:r>
      <w:r w:rsidRPr="005C41BD">
        <w:rPr>
          <w:spacing w:val="-2"/>
          <w:sz w:val="16"/>
          <w:szCs w:val="16"/>
          <w:lang w:val="en-GB"/>
        </w:rPr>
        <w:t xml:space="preserve">). </w:t>
      </w:r>
      <w:r>
        <w:rPr>
          <w:spacing w:val="-2"/>
          <w:sz w:val="16"/>
          <w:szCs w:val="16"/>
          <w:lang w:val="en-GB"/>
        </w:rPr>
        <w:t>Total gross domestic consumption of electricity was slightly falling year-on-year for the whole last year, however the most in Q</w:t>
      </w:r>
      <w:r w:rsidRPr="005C41BD">
        <w:rPr>
          <w:spacing w:val="-2"/>
          <w:sz w:val="16"/>
          <w:szCs w:val="16"/>
          <w:lang w:val="en-GB"/>
        </w:rPr>
        <w:t>4</w:t>
      </w:r>
      <w:r>
        <w:rPr>
          <w:spacing w:val="-2"/>
          <w:sz w:val="16"/>
          <w:szCs w:val="16"/>
          <w:lang w:val="en-GB"/>
        </w:rPr>
        <w:t xml:space="preserve"> </w:t>
      </w:r>
      <w:r w:rsidRPr="005C41BD">
        <w:rPr>
          <w:spacing w:val="-2"/>
          <w:sz w:val="16"/>
          <w:szCs w:val="16"/>
          <w:lang w:val="en-GB"/>
        </w:rPr>
        <w:t>(-6</w:t>
      </w:r>
      <w:r>
        <w:rPr>
          <w:spacing w:val="-2"/>
          <w:sz w:val="16"/>
          <w:szCs w:val="16"/>
          <w:lang w:val="en-GB"/>
        </w:rPr>
        <w:t>.</w:t>
      </w:r>
      <w:r w:rsidRPr="005C41BD">
        <w:rPr>
          <w:spacing w:val="-2"/>
          <w:sz w:val="16"/>
          <w:szCs w:val="16"/>
          <w:lang w:val="en-GB"/>
        </w:rPr>
        <w:t xml:space="preserve">6%). </w:t>
      </w:r>
      <w:r>
        <w:rPr>
          <w:spacing w:val="-2"/>
          <w:sz w:val="16"/>
          <w:szCs w:val="16"/>
          <w:lang w:val="en-GB"/>
        </w:rPr>
        <w:t xml:space="preserve">Mainly households participated on the yearly savings </w:t>
      </w:r>
      <w:r w:rsidRPr="005C41BD">
        <w:rPr>
          <w:spacing w:val="-2"/>
          <w:sz w:val="16"/>
          <w:szCs w:val="16"/>
          <w:lang w:val="en-GB"/>
        </w:rPr>
        <w:t>(t</w:t>
      </w:r>
      <w:r>
        <w:rPr>
          <w:spacing w:val="-2"/>
          <w:sz w:val="16"/>
          <w:szCs w:val="16"/>
          <w:lang w:val="en-GB"/>
        </w:rPr>
        <w:t xml:space="preserve">hey decreased their consumption by </w:t>
      </w:r>
      <w:r w:rsidRPr="005C41BD">
        <w:rPr>
          <w:spacing w:val="-2"/>
          <w:sz w:val="16"/>
          <w:szCs w:val="16"/>
          <w:lang w:val="en-GB"/>
        </w:rPr>
        <w:t>9%,</w:t>
      </w:r>
      <w:r>
        <w:rPr>
          <w:spacing w:val="-2"/>
          <w:sz w:val="16"/>
          <w:szCs w:val="16"/>
          <w:lang w:val="en-GB"/>
        </w:rPr>
        <w:t xml:space="preserve"> the most in the last </w:t>
      </w:r>
      <w:r w:rsidRPr="005C41BD">
        <w:rPr>
          <w:spacing w:val="-2"/>
          <w:sz w:val="16"/>
          <w:szCs w:val="16"/>
          <w:lang w:val="en-GB"/>
        </w:rPr>
        <w:t xml:space="preserve">20 </w:t>
      </w:r>
      <w:r>
        <w:rPr>
          <w:spacing w:val="-2"/>
          <w:sz w:val="16"/>
          <w:szCs w:val="16"/>
          <w:lang w:val="en-GB"/>
        </w:rPr>
        <w:t>years</w:t>
      </w:r>
      <w:r w:rsidRPr="005C41BD">
        <w:rPr>
          <w:spacing w:val="-2"/>
          <w:sz w:val="16"/>
          <w:szCs w:val="16"/>
          <w:lang w:val="en-GB"/>
        </w:rPr>
        <w:t xml:space="preserve">). </w:t>
      </w:r>
      <w:r>
        <w:rPr>
          <w:spacing w:val="-2"/>
          <w:sz w:val="16"/>
          <w:szCs w:val="16"/>
          <w:lang w:val="en-GB"/>
        </w:rPr>
        <w:t xml:space="preserve">Savings in the business sphere were in much lower range </w:t>
      </w:r>
      <w:r w:rsidRPr="005C41BD">
        <w:rPr>
          <w:spacing w:val="-2"/>
          <w:sz w:val="16"/>
          <w:szCs w:val="16"/>
          <w:lang w:val="en-GB"/>
        </w:rPr>
        <w:t xml:space="preserve">– </w:t>
      </w:r>
      <w:r>
        <w:rPr>
          <w:spacing w:val="-2"/>
          <w:sz w:val="16"/>
          <w:szCs w:val="16"/>
          <w:lang w:val="en-GB"/>
        </w:rPr>
        <w:t xml:space="preserve">for </w:t>
      </w:r>
      <w:r w:rsidRPr="0046041E">
        <w:rPr>
          <w:spacing w:val="-2"/>
          <w:sz w:val="16"/>
          <w:szCs w:val="16"/>
          <w:lang w:val="en-GB"/>
        </w:rPr>
        <w:t>wholesale customers (-2.5%), for retail customers</w:t>
      </w:r>
      <w:r>
        <w:rPr>
          <w:spacing w:val="-2"/>
          <w:sz w:val="16"/>
          <w:szCs w:val="16"/>
          <w:lang w:val="en-GB"/>
        </w:rPr>
        <w:t xml:space="preserve"> - e.g. small entrepreneurs</w:t>
      </w:r>
      <w:r w:rsidRPr="0046041E">
        <w:rPr>
          <w:spacing w:val="-2"/>
          <w:sz w:val="16"/>
          <w:szCs w:val="16"/>
          <w:lang w:val="en-GB"/>
        </w:rPr>
        <w:t xml:space="preserve"> (-0.1%). The electricity consumption was higher only for households last year (+2.9%) compared to year 2019, it lagged behind the pre-crisis level in the business sphere</w:t>
      </w:r>
      <w:r>
        <w:rPr>
          <w:spacing w:val="-2"/>
          <w:sz w:val="16"/>
          <w:szCs w:val="16"/>
          <w:lang w:val="en-GB"/>
        </w:rPr>
        <w:t xml:space="preserve"> (5.6% for </w:t>
      </w:r>
      <w:r w:rsidRPr="0046041E">
        <w:rPr>
          <w:spacing w:val="-2"/>
          <w:sz w:val="16"/>
          <w:szCs w:val="16"/>
          <w:lang w:val="en-GB"/>
        </w:rPr>
        <w:t>wholesale customers, by 3.5% for retail customers).</w:t>
      </w:r>
      <w:r w:rsidRPr="005C41BD">
        <w:rPr>
          <w:spacing w:val="-2"/>
          <w:sz w:val="16"/>
          <w:szCs w:val="16"/>
          <w:lang w:val="en-GB"/>
        </w:rPr>
        <w:t xml:space="preserve"> </w:t>
      </w:r>
    </w:p>
  </w:footnote>
  <w:footnote w:id="28">
    <w:p w14:paraId="7ADEBF49" w14:textId="4CA7865C" w:rsidR="00E37C1C" w:rsidRPr="002D67BD" w:rsidRDefault="00E37C1C" w:rsidP="002D67BD">
      <w:pPr>
        <w:pStyle w:val="Textpoznpodarou"/>
        <w:jc w:val="both"/>
        <w:rPr>
          <w:spacing w:val="-2"/>
          <w:lang w:val="en-GB"/>
        </w:rPr>
      </w:pPr>
      <w:r w:rsidRPr="00F33536">
        <w:rPr>
          <w:spacing w:val="-2"/>
          <w:sz w:val="16"/>
          <w:szCs w:val="16"/>
          <w:vertAlign w:val="superscript"/>
        </w:rPr>
        <w:footnoteRef/>
      </w:r>
      <w:r w:rsidRPr="00F33536">
        <w:rPr>
          <w:spacing w:val="-2"/>
          <w:sz w:val="16"/>
          <w:szCs w:val="16"/>
        </w:rPr>
        <w:t xml:space="preserve"> </w:t>
      </w:r>
      <w:r w:rsidRPr="002D67BD">
        <w:rPr>
          <w:spacing w:val="-2"/>
          <w:sz w:val="16"/>
          <w:szCs w:val="16"/>
          <w:lang w:val="en-GB"/>
        </w:rPr>
        <w:t xml:space="preserve">According to the ERO data, the value of </w:t>
      </w:r>
      <w:r>
        <w:rPr>
          <w:spacing w:val="-2"/>
          <w:sz w:val="16"/>
          <w:szCs w:val="16"/>
          <w:lang w:val="en-GB"/>
        </w:rPr>
        <w:t xml:space="preserve">difference between export and import increased by </w:t>
      </w:r>
      <w:r w:rsidRPr="002D67BD">
        <w:rPr>
          <w:spacing w:val="-2"/>
          <w:sz w:val="16"/>
          <w:szCs w:val="16"/>
          <w:lang w:val="en-GB"/>
        </w:rPr>
        <w:t xml:space="preserve">22%, </w:t>
      </w:r>
      <w:r>
        <w:rPr>
          <w:spacing w:val="-2"/>
          <w:sz w:val="16"/>
          <w:szCs w:val="16"/>
          <w:lang w:val="en-GB"/>
        </w:rPr>
        <w:t>to total +</w:t>
      </w:r>
      <w:r w:rsidRPr="002D67BD">
        <w:rPr>
          <w:spacing w:val="-2"/>
          <w:sz w:val="16"/>
          <w:szCs w:val="16"/>
          <w:lang w:val="en-GB"/>
        </w:rPr>
        <w:t>13</w:t>
      </w:r>
      <w:r>
        <w:rPr>
          <w:spacing w:val="-2"/>
          <w:sz w:val="16"/>
          <w:szCs w:val="16"/>
          <w:lang w:val="en-GB"/>
        </w:rPr>
        <w:t>.</w:t>
      </w:r>
      <w:r w:rsidRPr="002D67BD">
        <w:rPr>
          <w:spacing w:val="-2"/>
          <w:sz w:val="16"/>
          <w:szCs w:val="16"/>
          <w:lang w:val="en-GB"/>
        </w:rPr>
        <w:t>5 </w:t>
      </w:r>
      <w:proofErr w:type="spellStart"/>
      <w:r w:rsidRPr="002D67BD">
        <w:rPr>
          <w:spacing w:val="-2"/>
          <w:sz w:val="16"/>
          <w:szCs w:val="16"/>
          <w:lang w:val="en-GB"/>
        </w:rPr>
        <w:t>TWh</w:t>
      </w:r>
      <w:proofErr w:type="spellEnd"/>
      <w:r w:rsidRPr="002D67BD">
        <w:rPr>
          <w:spacing w:val="-2"/>
          <w:sz w:val="16"/>
          <w:szCs w:val="16"/>
          <w:lang w:val="en-GB"/>
        </w:rPr>
        <w:t xml:space="preserve"> in year 2022.</w:t>
      </w:r>
    </w:p>
  </w:footnote>
  <w:footnote w:id="29">
    <w:p w14:paraId="4E5D3DC4" w14:textId="63D9670C" w:rsidR="00E37C1C" w:rsidRPr="002D67BD" w:rsidRDefault="00E37C1C" w:rsidP="002D67BD">
      <w:pPr>
        <w:pStyle w:val="Textpoznpodarou"/>
        <w:jc w:val="both"/>
        <w:rPr>
          <w:spacing w:val="-2"/>
          <w:sz w:val="16"/>
          <w:szCs w:val="16"/>
          <w:lang w:val="en-GB"/>
        </w:rPr>
      </w:pPr>
      <w:r w:rsidRPr="002D67BD">
        <w:rPr>
          <w:rStyle w:val="Znakapoznpodarou"/>
          <w:spacing w:val="-2"/>
          <w:sz w:val="16"/>
          <w:szCs w:val="16"/>
          <w:lang w:val="en-GB"/>
        </w:rPr>
        <w:footnoteRef/>
      </w:r>
      <w:r w:rsidRPr="002D67BD">
        <w:rPr>
          <w:spacing w:val="-2"/>
          <w:sz w:val="16"/>
          <w:szCs w:val="16"/>
          <w:lang w:val="en-GB"/>
        </w:rPr>
        <w:t xml:space="preserve"> </w:t>
      </w:r>
      <w:r>
        <w:rPr>
          <w:spacing w:val="-2"/>
          <w:sz w:val="16"/>
          <w:szCs w:val="16"/>
          <w:lang w:val="en-GB"/>
        </w:rPr>
        <w:t xml:space="preserve">It concerns sales from the industrial activity only. The year-on-year rates of growth are adjusted for calendar effects. </w:t>
      </w:r>
    </w:p>
  </w:footnote>
  <w:footnote w:id="30">
    <w:p w14:paraId="6A1777EB" w14:textId="35709197" w:rsidR="00E37C1C" w:rsidRPr="002D67BD" w:rsidRDefault="00E37C1C" w:rsidP="00D7329C">
      <w:pPr>
        <w:pStyle w:val="Textpoznpodarou"/>
        <w:jc w:val="both"/>
        <w:rPr>
          <w:rFonts w:cs="Arial"/>
          <w:color w:val="0D0D0D" w:themeColor="text1" w:themeTint="F2"/>
          <w:spacing w:val="-2"/>
          <w:sz w:val="16"/>
          <w:szCs w:val="16"/>
          <w:lang w:val="en-GB"/>
        </w:rPr>
      </w:pPr>
      <w:r w:rsidRPr="002D67BD">
        <w:rPr>
          <w:rStyle w:val="Znakapoznpodarou"/>
          <w:rFonts w:cs="Arial"/>
          <w:color w:val="0D0D0D" w:themeColor="text1" w:themeTint="F2"/>
          <w:spacing w:val="-2"/>
          <w:sz w:val="16"/>
          <w:szCs w:val="16"/>
          <w:lang w:val="en-GB"/>
        </w:rPr>
        <w:footnoteRef/>
      </w:r>
      <w:r w:rsidRPr="002D67BD">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Survey of orders is performed only in twelve manufacturing branches </w:t>
      </w:r>
      <w:r>
        <w:rPr>
          <w:rFonts w:cs="Arial"/>
          <w:color w:val="0D0D0D" w:themeColor="text1" w:themeTint="F2"/>
          <w:sz w:val="16"/>
          <w:szCs w:val="16"/>
          <w:lang w:val="en-GB"/>
        </w:rPr>
        <w:t xml:space="preserve">producing mostly custom-made products, with longer production cycle and larger stocks of orders. Year-on-year growth rates of orders are adjusted for calendar effects, quarter-on-quarter rates also for seasonal effects. </w:t>
      </w:r>
    </w:p>
  </w:footnote>
  <w:footnote w:id="31">
    <w:p w14:paraId="350DEA22" w14:textId="66D24E50" w:rsidR="00E37C1C" w:rsidRPr="002D67BD" w:rsidRDefault="00E37C1C" w:rsidP="002D67BD">
      <w:pPr>
        <w:pStyle w:val="Textpoznpodarou"/>
        <w:jc w:val="both"/>
        <w:rPr>
          <w:spacing w:val="-2"/>
          <w:sz w:val="16"/>
          <w:szCs w:val="16"/>
          <w:lang w:val="en-GB"/>
        </w:rPr>
      </w:pPr>
      <w:r w:rsidRPr="002D67BD">
        <w:rPr>
          <w:rStyle w:val="Znakapoznpodarou"/>
          <w:spacing w:val="-2"/>
          <w:sz w:val="16"/>
          <w:szCs w:val="16"/>
          <w:lang w:val="en-GB"/>
        </w:rPr>
        <w:footnoteRef/>
      </w:r>
      <w:r w:rsidRPr="002D67BD">
        <w:rPr>
          <w:spacing w:val="-2"/>
          <w:sz w:val="16"/>
          <w:szCs w:val="16"/>
          <w:lang w:val="en-GB"/>
        </w:rPr>
        <w:t xml:space="preserve"> T</w:t>
      </w:r>
      <w:r>
        <w:rPr>
          <w:spacing w:val="-2"/>
          <w:sz w:val="16"/>
          <w:szCs w:val="16"/>
          <w:lang w:val="en-GB"/>
        </w:rPr>
        <w:t>hey were the lowest in the last two and a half years. They can also be compared to year 2</w:t>
      </w:r>
      <w:r w:rsidRPr="002D67BD">
        <w:rPr>
          <w:spacing w:val="-2"/>
          <w:sz w:val="16"/>
          <w:szCs w:val="16"/>
          <w:lang w:val="en-GB"/>
        </w:rPr>
        <w:t xml:space="preserve">013, </w:t>
      </w:r>
      <w:r>
        <w:rPr>
          <w:spacing w:val="-2"/>
          <w:sz w:val="16"/>
          <w:szCs w:val="16"/>
          <w:lang w:val="en-GB"/>
        </w:rPr>
        <w:t xml:space="preserve">when both the domestic economy and industry were in the clutches of a mild recession. Number of registered employees fell by </w:t>
      </w:r>
      <w:r w:rsidRPr="002D67BD">
        <w:rPr>
          <w:color w:val="0D0D0D" w:themeColor="text1" w:themeTint="F2"/>
          <w:spacing w:val="-4"/>
          <w:sz w:val="16"/>
          <w:szCs w:val="16"/>
          <w:lang w:val="en-GB"/>
        </w:rPr>
        <w:t>0</w:t>
      </w:r>
      <w:r>
        <w:rPr>
          <w:color w:val="0D0D0D" w:themeColor="text1" w:themeTint="F2"/>
          <w:spacing w:val="-4"/>
          <w:sz w:val="16"/>
          <w:szCs w:val="16"/>
          <w:lang w:val="en-GB"/>
        </w:rPr>
        <w:t>.</w:t>
      </w:r>
      <w:r w:rsidRPr="002D67BD">
        <w:rPr>
          <w:color w:val="0D0D0D" w:themeColor="text1" w:themeTint="F2"/>
          <w:spacing w:val="-4"/>
          <w:sz w:val="16"/>
          <w:szCs w:val="16"/>
          <w:lang w:val="en-GB"/>
        </w:rPr>
        <w:t>4%</w:t>
      </w:r>
      <w:r>
        <w:rPr>
          <w:color w:val="0D0D0D" w:themeColor="text1" w:themeTint="F2"/>
          <w:spacing w:val="-4"/>
          <w:sz w:val="16"/>
          <w:szCs w:val="16"/>
          <w:lang w:val="en-GB"/>
        </w:rPr>
        <w:t xml:space="preserve"> year-on-year in Q4 2022</w:t>
      </w:r>
      <w:r w:rsidRPr="002D67BD">
        <w:rPr>
          <w:color w:val="0D0D0D" w:themeColor="text1" w:themeTint="F2"/>
          <w:spacing w:val="-4"/>
          <w:sz w:val="16"/>
          <w:szCs w:val="16"/>
          <w:lang w:val="en-GB"/>
        </w:rPr>
        <w:t>.</w:t>
      </w:r>
    </w:p>
  </w:footnote>
  <w:footnote w:id="32">
    <w:p w14:paraId="71DBE5BA" w14:textId="696F5658" w:rsidR="00E37C1C" w:rsidRPr="002D67BD" w:rsidRDefault="00E37C1C" w:rsidP="002D67BD">
      <w:pPr>
        <w:pStyle w:val="Textpoznpodarou"/>
        <w:jc w:val="both"/>
        <w:rPr>
          <w:sz w:val="16"/>
          <w:szCs w:val="16"/>
          <w:lang w:val="en-GB"/>
        </w:rPr>
      </w:pPr>
      <w:r w:rsidRPr="002D67BD">
        <w:rPr>
          <w:rStyle w:val="Znakapoznpodarou"/>
          <w:sz w:val="16"/>
          <w:szCs w:val="16"/>
          <w:lang w:val="en-GB"/>
        </w:rPr>
        <w:footnoteRef/>
      </w:r>
      <w:r w:rsidRPr="002D67BD">
        <w:rPr>
          <w:sz w:val="16"/>
          <w:szCs w:val="16"/>
          <w:lang w:val="en-GB"/>
        </w:rPr>
        <w:t xml:space="preserve"> </w:t>
      </w:r>
      <w:r>
        <w:rPr>
          <w:sz w:val="16"/>
          <w:szCs w:val="16"/>
          <w:lang w:val="en-GB"/>
        </w:rPr>
        <w:t>In the time horizon from March till May 2</w:t>
      </w:r>
      <w:r w:rsidRPr="002D67BD">
        <w:rPr>
          <w:sz w:val="16"/>
          <w:szCs w:val="16"/>
          <w:lang w:val="en-GB"/>
        </w:rPr>
        <w:t>023</w:t>
      </w:r>
      <w:r>
        <w:rPr>
          <w:sz w:val="16"/>
          <w:szCs w:val="16"/>
          <w:lang w:val="en-GB"/>
        </w:rPr>
        <w:t>,</w:t>
      </w:r>
      <w:r w:rsidRPr="002D67BD">
        <w:rPr>
          <w:sz w:val="16"/>
          <w:szCs w:val="16"/>
          <w:lang w:val="en-GB"/>
        </w:rPr>
        <w:t xml:space="preserve"> 10%</w:t>
      </w:r>
      <w:r>
        <w:rPr>
          <w:sz w:val="16"/>
          <w:szCs w:val="16"/>
          <w:lang w:val="en-GB"/>
        </w:rPr>
        <w:t xml:space="preserve"> of businesses anticipated worsening of their own economic situation </w:t>
      </w:r>
      <w:r w:rsidRPr="002D67BD">
        <w:rPr>
          <w:sz w:val="16"/>
          <w:szCs w:val="16"/>
          <w:lang w:val="en-GB"/>
        </w:rPr>
        <w:t>(</w:t>
      </w:r>
      <w:r>
        <w:rPr>
          <w:sz w:val="16"/>
          <w:szCs w:val="16"/>
          <w:lang w:val="en-GB"/>
        </w:rPr>
        <w:t xml:space="preserve">improvement </w:t>
      </w:r>
      <w:r w:rsidRPr="002D67BD">
        <w:rPr>
          <w:sz w:val="16"/>
          <w:szCs w:val="16"/>
          <w:lang w:val="en-GB"/>
        </w:rPr>
        <w:t>8%),</w:t>
      </w:r>
      <w:r>
        <w:rPr>
          <w:sz w:val="16"/>
          <w:szCs w:val="16"/>
          <w:lang w:val="en-GB"/>
        </w:rPr>
        <w:t xml:space="preserve"> for the period of Q3 2023 </w:t>
      </w:r>
      <w:r w:rsidRPr="002D67BD">
        <w:rPr>
          <w:sz w:val="16"/>
          <w:szCs w:val="16"/>
          <w:lang w:val="en-GB"/>
        </w:rPr>
        <w:t>9%</w:t>
      </w:r>
      <w:r>
        <w:rPr>
          <w:sz w:val="16"/>
          <w:szCs w:val="16"/>
          <w:lang w:val="en-GB"/>
        </w:rPr>
        <w:t xml:space="preserve"> assumed worsening</w:t>
      </w:r>
      <w:r w:rsidRPr="002D67BD">
        <w:rPr>
          <w:sz w:val="16"/>
          <w:szCs w:val="16"/>
          <w:lang w:val="en-GB"/>
        </w:rPr>
        <w:t>,</w:t>
      </w:r>
      <w:r>
        <w:rPr>
          <w:sz w:val="16"/>
          <w:szCs w:val="16"/>
          <w:lang w:val="en-GB"/>
        </w:rPr>
        <w:t xml:space="preserve"> but already </w:t>
      </w:r>
      <w:r w:rsidRPr="002D67BD">
        <w:rPr>
          <w:sz w:val="16"/>
          <w:szCs w:val="16"/>
          <w:lang w:val="en-GB"/>
        </w:rPr>
        <w:t xml:space="preserve">29% </w:t>
      </w:r>
      <w:r>
        <w:rPr>
          <w:sz w:val="16"/>
          <w:szCs w:val="16"/>
          <w:lang w:val="en-GB"/>
        </w:rPr>
        <w:t xml:space="preserve">of businesses improvement. </w:t>
      </w:r>
    </w:p>
  </w:footnote>
  <w:footnote w:id="33">
    <w:p w14:paraId="1C09066F" w14:textId="77777777" w:rsidR="00E37C1C" w:rsidRPr="002D67BD" w:rsidRDefault="00E37C1C" w:rsidP="002D67BD">
      <w:pPr>
        <w:pStyle w:val="Textpoznpodarou"/>
        <w:jc w:val="both"/>
        <w:rPr>
          <w:sz w:val="16"/>
          <w:szCs w:val="16"/>
          <w:lang w:val="en-GB"/>
        </w:rPr>
      </w:pPr>
      <w:r w:rsidRPr="002D67BD">
        <w:rPr>
          <w:rStyle w:val="Znakapoznpodarou"/>
          <w:sz w:val="16"/>
          <w:szCs w:val="16"/>
          <w:lang w:val="en-GB"/>
        </w:rPr>
        <w:footnoteRef/>
      </w:r>
      <w:r w:rsidRPr="002D67BD">
        <w:rPr>
          <w:sz w:val="16"/>
          <w:szCs w:val="16"/>
          <w:lang w:val="en-GB"/>
        </w:rPr>
        <w:t xml:space="preserve"> Businesses coul</w:t>
      </w:r>
      <w:r>
        <w:rPr>
          <w:sz w:val="16"/>
          <w:szCs w:val="16"/>
          <w:lang w:val="en-GB"/>
        </w:rPr>
        <w:t>d have stated more main barriers</w:t>
      </w:r>
      <w:r w:rsidRPr="002D67BD">
        <w:rPr>
          <w:sz w:val="16"/>
          <w:szCs w:val="16"/>
          <w:lang w:val="en-GB"/>
        </w:rPr>
        <w:t xml:space="preserve"> simultaneously. Barriers are adjusted for the seasonality effect. </w:t>
      </w:r>
    </w:p>
  </w:footnote>
  <w:footnote w:id="34">
    <w:p w14:paraId="04336E6E" w14:textId="0DC65466" w:rsidR="00E37C1C" w:rsidRPr="00797B18" w:rsidRDefault="00E37C1C" w:rsidP="00E87D5B">
      <w:pPr>
        <w:pStyle w:val="Textpoznpodarou"/>
        <w:jc w:val="both"/>
        <w:rPr>
          <w:sz w:val="16"/>
          <w:szCs w:val="16"/>
          <w:lang w:val="en-GB"/>
        </w:rPr>
      </w:pPr>
      <w:r w:rsidRPr="00797B18">
        <w:rPr>
          <w:rStyle w:val="Znakapoznpodarou"/>
          <w:rFonts w:cs="Arial"/>
          <w:color w:val="0D0D0D" w:themeColor="text1" w:themeTint="F2"/>
          <w:sz w:val="16"/>
          <w:szCs w:val="16"/>
          <w:lang w:val="en-GB"/>
        </w:rPr>
        <w:footnoteRef/>
      </w:r>
      <w:r w:rsidRPr="00797B18">
        <w:rPr>
          <w:rFonts w:cs="Arial"/>
          <w:color w:val="0D0D0D" w:themeColor="text1" w:themeTint="F2"/>
          <w:sz w:val="16"/>
          <w:szCs w:val="16"/>
          <w:lang w:val="en-GB"/>
        </w:rPr>
        <w:t xml:space="preserve"> </w:t>
      </w:r>
      <w:r>
        <w:rPr>
          <w:rFonts w:cs="Arial"/>
          <w:color w:val="0D0D0D" w:themeColor="text1" w:themeTint="F2"/>
          <w:sz w:val="16"/>
          <w:szCs w:val="16"/>
          <w:lang w:val="en-GB"/>
        </w:rPr>
        <w:t xml:space="preserve">Data regarding the construction output are in constant prices, year-on-year rates of growth are adjusted for calendar effects, quarter-on-quarter rates also for seasonality effects. </w:t>
      </w:r>
    </w:p>
  </w:footnote>
  <w:footnote w:id="35">
    <w:p w14:paraId="44201DDE" w14:textId="262E435D" w:rsidR="00E37C1C" w:rsidRPr="007012CB" w:rsidRDefault="00E37C1C" w:rsidP="007012CB">
      <w:pPr>
        <w:pStyle w:val="Textpoznpodarou"/>
        <w:jc w:val="both"/>
        <w:rPr>
          <w:lang w:val="en-GB"/>
        </w:rPr>
      </w:pPr>
      <w:r w:rsidRPr="00797B18">
        <w:rPr>
          <w:rStyle w:val="Znakapoznpodarou"/>
          <w:sz w:val="16"/>
          <w:szCs w:val="16"/>
          <w:lang w:val="en-GB"/>
        </w:rPr>
        <w:footnoteRef/>
      </w:r>
      <w:r w:rsidRPr="00797B18">
        <w:rPr>
          <w:sz w:val="16"/>
          <w:szCs w:val="16"/>
          <w:lang w:val="en-GB"/>
        </w:rPr>
        <w:t xml:space="preserve"> </w:t>
      </w:r>
      <w:r w:rsidRPr="007012CB">
        <w:rPr>
          <w:sz w:val="16"/>
          <w:szCs w:val="16"/>
          <w:lang w:val="en-GB"/>
        </w:rPr>
        <w:t>The highest number of dwellings has been completed in the boom year 2007 so far (41.6 thousand).</w:t>
      </w:r>
    </w:p>
  </w:footnote>
  <w:footnote w:id="36">
    <w:p w14:paraId="5F7D435A" w14:textId="7D764E0F" w:rsidR="00E37C1C" w:rsidRPr="007012CB" w:rsidRDefault="00E37C1C" w:rsidP="003369B0">
      <w:pPr>
        <w:pStyle w:val="Textpoznpodarou"/>
        <w:jc w:val="both"/>
        <w:rPr>
          <w:spacing w:val="-2"/>
          <w:sz w:val="16"/>
          <w:szCs w:val="16"/>
          <w:lang w:val="en-GB"/>
        </w:rPr>
      </w:pPr>
      <w:r w:rsidRPr="007012CB">
        <w:rPr>
          <w:rStyle w:val="Znakapoznpodarou"/>
          <w:spacing w:val="-2"/>
          <w:sz w:val="16"/>
          <w:szCs w:val="16"/>
          <w:lang w:val="en-GB"/>
        </w:rPr>
        <w:footnoteRef/>
      </w:r>
      <w:r w:rsidRPr="007012CB">
        <w:rPr>
          <w:spacing w:val="-2"/>
          <w:sz w:val="16"/>
          <w:szCs w:val="16"/>
          <w:lang w:val="en-GB"/>
        </w:rPr>
        <w:t xml:space="preserve"> </w:t>
      </w:r>
      <w:r>
        <w:rPr>
          <w:spacing w:val="-2"/>
          <w:sz w:val="16"/>
          <w:szCs w:val="16"/>
          <w:lang w:val="en-GB"/>
        </w:rPr>
        <w:t xml:space="preserve">The decrease of the number of all commenced dwellings was more than </w:t>
      </w:r>
      <w:r w:rsidRPr="007012CB">
        <w:rPr>
          <w:spacing w:val="-2"/>
          <w:sz w:val="16"/>
          <w:szCs w:val="16"/>
          <w:lang w:val="en-GB"/>
        </w:rPr>
        <w:t>30%</w:t>
      </w:r>
      <w:r>
        <w:rPr>
          <w:spacing w:val="-2"/>
          <w:sz w:val="16"/>
          <w:szCs w:val="16"/>
          <w:lang w:val="en-GB"/>
        </w:rPr>
        <w:t xml:space="preserve"> in Prague year-on-year last year</w:t>
      </w:r>
      <w:r w:rsidRPr="007012CB">
        <w:rPr>
          <w:spacing w:val="-2"/>
          <w:sz w:val="16"/>
          <w:szCs w:val="16"/>
          <w:lang w:val="en-GB"/>
        </w:rPr>
        <w:t xml:space="preserve">, </w:t>
      </w:r>
      <w:r>
        <w:rPr>
          <w:spacing w:val="-2"/>
          <w:sz w:val="16"/>
          <w:szCs w:val="16"/>
          <w:lang w:val="en-GB"/>
        </w:rPr>
        <w:t xml:space="preserve">still the construction of </w:t>
      </w:r>
      <w:r w:rsidRPr="007012CB">
        <w:rPr>
          <w:spacing w:val="-2"/>
          <w:sz w:val="16"/>
          <w:szCs w:val="16"/>
          <w:lang w:val="en-GB"/>
        </w:rPr>
        <w:t>6</w:t>
      </w:r>
      <w:r>
        <w:rPr>
          <w:spacing w:val="-2"/>
          <w:sz w:val="16"/>
          <w:szCs w:val="16"/>
          <w:lang w:val="en-GB"/>
        </w:rPr>
        <w:t>.</w:t>
      </w:r>
      <w:r w:rsidRPr="007012CB">
        <w:rPr>
          <w:spacing w:val="-2"/>
          <w:sz w:val="16"/>
          <w:szCs w:val="16"/>
          <w:lang w:val="en-GB"/>
        </w:rPr>
        <w:t>5 t</w:t>
      </w:r>
      <w:r>
        <w:rPr>
          <w:spacing w:val="-2"/>
          <w:sz w:val="16"/>
          <w:szCs w:val="16"/>
          <w:lang w:val="en-GB"/>
        </w:rPr>
        <w:t xml:space="preserve">housand flats was started there </w:t>
      </w:r>
      <w:r w:rsidRPr="007012CB">
        <w:rPr>
          <w:spacing w:val="-2"/>
          <w:sz w:val="16"/>
          <w:szCs w:val="16"/>
          <w:lang w:val="en-GB"/>
        </w:rPr>
        <w:t>(</w:t>
      </w:r>
      <w:r>
        <w:rPr>
          <w:spacing w:val="-2"/>
          <w:sz w:val="16"/>
          <w:szCs w:val="16"/>
          <w:lang w:val="en-GB"/>
        </w:rPr>
        <w:t xml:space="preserve">the second highest number after year </w:t>
      </w:r>
      <w:r w:rsidRPr="007012CB">
        <w:rPr>
          <w:spacing w:val="-2"/>
          <w:sz w:val="16"/>
          <w:szCs w:val="16"/>
          <w:lang w:val="en-GB"/>
        </w:rPr>
        <w:t xml:space="preserve">2008). </w:t>
      </w:r>
      <w:r>
        <w:rPr>
          <w:spacing w:val="-2"/>
          <w:sz w:val="16"/>
          <w:szCs w:val="16"/>
          <w:lang w:val="en-GB"/>
        </w:rPr>
        <w:t xml:space="preserve">In the segment of family houses (FH) in contrast more-or less across-the-board decrease occurred across the CR regions. The number of commenced flats in all regions in new FH reached only </w:t>
      </w:r>
      <w:r w:rsidRPr="007012CB">
        <w:rPr>
          <w:spacing w:val="-2"/>
          <w:sz w:val="16"/>
          <w:szCs w:val="16"/>
          <w:lang w:val="en-GB"/>
        </w:rPr>
        <w:t>8</w:t>
      </w:r>
      <w:r>
        <w:rPr>
          <w:spacing w:val="-2"/>
          <w:sz w:val="16"/>
          <w:szCs w:val="16"/>
          <w:lang w:val="en-GB"/>
        </w:rPr>
        <w:t>.</w:t>
      </w:r>
      <w:r w:rsidRPr="007012CB">
        <w:rPr>
          <w:spacing w:val="-2"/>
          <w:sz w:val="16"/>
          <w:szCs w:val="16"/>
          <w:lang w:val="en-GB"/>
        </w:rPr>
        <w:t>6</w:t>
      </w:r>
      <w:r>
        <w:rPr>
          <w:spacing w:val="-2"/>
          <w:sz w:val="16"/>
          <w:szCs w:val="16"/>
          <w:lang w:val="en-GB"/>
        </w:rPr>
        <w:t xml:space="preserve"> thousand in H2 2022 </w:t>
      </w:r>
      <w:r w:rsidRPr="007012CB">
        <w:rPr>
          <w:spacing w:val="-2"/>
          <w:sz w:val="16"/>
          <w:szCs w:val="16"/>
          <w:lang w:val="en-GB"/>
        </w:rPr>
        <w:t>(</w:t>
      </w:r>
      <w:r>
        <w:rPr>
          <w:spacing w:val="-2"/>
          <w:sz w:val="16"/>
          <w:szCs w:val="16"/>
          <w:lang w:val="en-GB"/>
        </w:rPr>
        <w:t>it represented a six-year minimum within all H2</w:t>
      </w:r>
      <w:r w:rsidRPr="007012CB">
        <w:rPr>
          <w:spacing w:val="-2"/>
          <w:sz w:val="16"/>
          <w:szCs w:val="16"/>
          <w:lang w:val="en-GB"/>
        </w:rPr>
        <w:t>).</w:t>
      </w:r>
    </w:p>
  </w:footnote>
  <w:footnote w:id="37">
    <w:p w14:paraId="2B7DDADB" w14:textId="7F65952D"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sidRPr="007012CB">
        <w:rPr>
          <w:sz w:val="16"/>
          <w:szCs w:val="16"/>
          <w:lang w:val="en-GB"/>
        </w:rPr>
        <w:t xml:space="preserve"> 78 </w:t>
      </w:r>
      <w:r>
        <w:rPr>
          <w:sz w:val="16"/>
          <w:szCs w:val="16"/>
          <w:lang w:val="en-GB"/>
        </w:rPr>
        <w:t>CZK bn was paid out on investment from the CR state budget into t</w:t>
      </w:r>
      <w:r w:rsidRPr="00CE245A">
        <w:rPr>
          <w:sz w:val="16"/>
          <w:szCs w:val="16"/>
          <w:lang w:val="en-GB"/>
        </w:rPr>
        <w:t>he State Fund for Transport Infrastructure (SFDI)</w:t>
      </w:r>
      <w:r>
        <w:rPr>
          <w:sz w:val="16"/>
          <w:szCs w:val="16"/>
          <w:lang w:val="en-GB"/>
        </w:rPr>
        <w:t xml:space="preserve"> last year</w:t>
      </w:r>
      <w:r w:rsidRPr="007012CB">
        <w:rPr>
          <w:sz w:val="16"/>
          <w:szCs w:val="16"/>
          <w:lang w:val="en-GB"/>
        </w:rPr>
        <w:t xml:space="preserve">, </w:t>
      </w:r>
      <w:r>
        <w:rPr>
          <w:sz w:val="16"/>
          <w:szCs w:val="16"/>
          <w:lang w:val="en-GB"/>
        </w:rPr>
        <w:t>by one sixth more year-on-year</w:t>
      </w:r>
      <w:r w:rsidRPr="007012CB">
        <w:rPr>
          <w:sz w:val="16"/>
          <w:szCs w:val="16"/>
          <w:lang w:val="en-GB"/>
        </w:rPr>
        <w:t xml:space="preserve">. </w:t>
      </w:r>
      <w:r>
        <w:rPr>
          <w:sz w:val="16"/>
          <w:szCs w:val="16"/>
          <w:lang w:val="en-GB"/>
        </w:rPr>
        <w:t xml:space="preserve">The annual size of the investment subsidies approached the budget anticipations. </w:t>
      </w:r>
    </w:p>
  </w:footnote>
  <w:footnote w:id="38">
    <w:p w14:paraId="1641D250" w14:textId="16EEAF07"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sidRPr="007012CB">
        <w:rPr>
          <w:sz w:val="16"/>
          <w:szCs w:val="16"/>
          <w:lang w:val="en-GB"/>
        </w:rPr>
        <w:t xml:space="preserve"> </w:t>
      </w:r>
      <w:r>
        <w:rPr>
          <w:sz w:val="16"/>
          <w:szCs w:val="16"/>
          <w:lang w:val="en-GB"/>
        </w:rPr>
        <w:t xml:space="preserve">It attained </w:t>
      </w:r>
      <w:r w:rsidRPr="007012CB">
        <w:rPr>
          <w:sz w:val="16"/>
          <w:szCs w:val="16"/>
          <w:lang w:val="en-GB"/>
        </w:rPr>
        <w:t>12</w:t>
      </w:r>
      <w:r>
        <w:rPr>
          <w:sz w:val="16"/>
          <w:szCs w:val="16"/>
          <w:lang w:val="en-GB"/>
        </w:rPr>
        <w:t>.</w:t>
      </w:r>
      <w:r w:rsidRPr="007012CB">
        <w:rPr>
          <w:sz w:val="16"/>
          <w:szCs w:val="16"/>
          <w:lang w:val="en-GB"/>
        </w:rPr>
        <w:t>0%</w:t>
      </w:r>
      <w:r>
        <w:rPr>
          <w:sz w:val="16"/>
          <w:szCs w:val="16"/>
          <w:lang w:val="en-GB"/>
        </w:rPr>
        <w:t xml:space="preserve"> year-on-year in Q4 2022 and</w:t>
      </w:r>
      <w:r w:rsidRPr="007012CB">
        <w:rPr>
          <w:sz w:val="16"/>
          <w:szCs w:val="16"/>
          <w:lang w:val="en-GB"/>
        </w:rPr>
        <w:t xml:space="preserve"> 12</w:t>
      </w:r>
      <w:r>
        <w:rPr>
          <w:sz w:val="16"/>
          <w:szCs w:val="16"/>
          <w:lang w:val="en-GB"/>
        </w:rPr>
        <w:t>.</w:t>
      </w:r>
      <w:r w:rsidRPr="007012CB">
        <w:rPr>
          <w:sz w:val="16"/>
          <w:szCs w:val="16"/>
          <w:lang w:val="en-GB"/>
        </w:rPr>
        <w:t>3%</w:t>
      </w:r>
      <w:r>
        <w:rPr>
          <w:sz w:val="16"/>
          <w:szCs w:val="16"/>
          <w:lang w:val="en-GB"/>
        </w:rPr>
        <w:t xml:space="preserve"> in total from the beginning of the year</w:t>
      </w:r>
      <w:r w:rsidRPr="007012CB">
        <w:rPr>
          <w:sz w:val="16"/>
          <w:szCs w:val="16"/>
          <w:lang w:val="en-GB"/>
        </w:rPr>
        <w:t xml:space="preserve">. </w:t>
      </w:r>
      <w:r>
        <w:rPr>
          <w:sz w:val="16"/>
          <w:szCs w:val="16"/>
          <w:lang w:val="en-GB"/>
        </w:rPr>
        <w:t xml:space="preserve">Price effects were also substantially mirrored in the average value of the newly concluded construction orders </w:t>
      </w:r>
      <w:r w:rsidRPr="007012CB">
        <w:rPr>
          <w:rFonts w:cs="Arial"/>
          <w:color w:val="0D0D0D" w:themeColor="text1" w:themeTint="F2"/>
          <w:spacing w:val="-6"/>
          <w:sz w:val="16"/>
          <w:szCs w:val="16"/>
          <w:lang w:val="en-GB"/>
        </w:rPr>
        <w:t xml:space="preserve">– </w:t>
      </w:r>
      <w:r>
        <w:rPr>
          <w:rFonts w:cs="Arial"/>
          <w:color w:val="0D0D0D" w:themeColor="text1" w:themeTint="F2"/>
          <w:spacing w:val="-6"/>
          <w:sz w:val="16"/>
          <w:szCs w:val="16"/>
          <w:lang w:val="en-GB"/>
        </w:rPr>
        <w:t xml:space="preserve">it arrived at </w:t>
      </w:r>
      <w:r w:rsidRPr="007012CB">
        <w:rPr>
          <w:rFonts w:cs="Arial"/>
          <w:color w:val="0D0D0D" w:themeColor="text1" w:themeTint="F2"/>
          <w:spacing w:val="-6"/>
          <w:sz w:val="16"/>
          <w:szCs w:val="16"/>
          <w:lang w:val="en-GB"/>
        </w:rPr>
        <w:t>4</w:t>
      </w:r>
      <w:r>
        <w:rPr>
          <w:rFonts w:cs="Arial"/>
          <w:color w:val="0D0D0D" w:themeColor="text1" w:themeTint="F2"/>
          <w:spacing w:val="-6"/>
          <w:sz w:val="16"/>
          <w:szCs w:val="16"/>
          <w:lang w:val="en-GB"/>
        </w:rPr>
        <w:t>.</w:t>
      </w:r>
      <w:r w:rsidRPr="007012CB">
        <w:rPr>
          <w:rFonts w:cs="Arial"/>
          <w:color w:val="0D0D0D" w:themeColor="text1" w:themeTint="F2"/>
          <w:spacing w:val="-6"/>
          <w:sz w:val="16"/>
          <w:szCs w:val="16"/>
          <w:lang w:val="en-GB"/>
        </w:rPr>
        <w:t>2</w:t>
      </w:r>
      <w:r>
        <w:rPr>
          <w:rFonts w:cs="Arial"/>
          <w:color w:val="0D0D0D" w:themeColor="text1" w:themeTint="F2"/>
          <w:spacing w:val="-6"/>
          <w:sz w:val="16"/>
          <w:szCs w:val="16"/>
          <w:lang w:val="en-GB"/>
        </w:rPr>
        <w:t xml:space="preserve"> CZK mil for the whole last year and increased by </w:t>
      </w:r>
      <w:r w:rsidRPr="007012CB">
        <w:rPr>
          <w:rFonts w:cs="Arial"/>
          <w:color w:val="0D0D0D" w:themeColor="text1" w:themeTint="F2"/>
          <w:spacing w:val="-6"/>
          <w:sz w:val="16"/>
          <w:szCs w:val="16"/>
          <w:lang w:val="en-GB"/>
        </w:rPr>
        <w:t>0</w:t>
      </w:r>
      <w:r>
        <w:rPr>
          <w:rFonts w:cs="Arial"/>
          <w:color w:val="0D0D0D" w:themeColor="text1" w:themeTint="F2"/>
          <w:spacing w:val="-6"/>
          <w:sz w:val="16"/>
          <w:szCs w:val="16"/>
          <w:lang w:val="en-GB"/>
        </w:rPr>
        <w:t>.</w:t>
      </w:r>
      <w:r w:rsidRPr="007012CB">
        <w:rPr>
          <w:rFonts w:cs="Arial"/>
          <w:color w:val="0D0D0D" w:themeColor="text1" w:themeTint="F2"/>
          <w:spacing w:val="-6"/>
          <w:sz w:val="16"/>
          <w:szCs w:val="16"/>
          <w:lang w:val="en-GB"/>
        </w:rPr>
        <w:t>5</w:t>
      </w:r>
      <w:r>
        <w:rPr>
          <w:rFonts w:cs="Arial"/>
          <w:color w:val="0D0D0D" w:themeColor="text1" w:themeTint="F2"/>
          <w:spacing w:val="-6"/>
          <w:sz w:val="16"/>
          <w:szCs w:val="16"/>
          <w:lang w:val="en-GB"/>
        </w:rPr>
        <w:t xml:space="preserve"> CZK mil year-on-year</w:t>
      </w:r>
      <w:r w:rsidRPr="007012CB">
        <w:rPr>
          <w:rFonts w:cs="Arial"/>
          <w:color w:val="0D0D0D" w:themeColor="text1" w:themeTint="F2"/>
          <w:spacing w:val="-6"/>
          <w:sz w:val="16"/>
          <w:szCs w:val="16"/>
          <w:lang w:val="en-GB"/>
        </w:rPr>
        <w:t>.</w:t>
      </w:r>
    </w:p>
  </w:footnote>
  <w:footnote w:id="39">
    <w:p w14:paraId="762DF6DD" w14:textId="29F38735" w:rsidR="00E37C1C" w:rsidRPr="007012CB" w:rsidRDefault="00E37C1C" w:rsidP="007012CB">
      <w:pPr>
        <w:pStyle w:val="Textpoznpodarou"/>
        <w:jc w:val="both"/>
        <w:rPr>
          <w:sz w:val="16"/>
          <w:szCs w:val="16"/>
          <w:lang w:val="en-GB"/>
        </w:rPr>
      </w:pPr>
      <w:r w:rsidRPr="007012CB">
        <w:rPr>
          <w:rStyle w:val="Znakapoznpodarou"/>
          <w:sz w:val="16"/>
          <w:szCs w:val="16"/>
          <w:lang w:val="en-GB"/>
        </w:rPr>
        <w:footnoteRef/>
      </w:r>
      <w:r>
        <w:rPr>
          <w:sz w:val="16"/>
          <w:szCs w:val="16"/>
          <w:lang w:val="en-GB"/>
        </w:rPr>
        <w:t xml:space="preserve">The value of the permit also mildly fell for the whole year </w:t>
      </w:r>
      <w:r w:rsidRPr="007012CB">
        <w:rPr>
          <w:rFonts w:cs="Arial"/>
          <w:color w:val="0D0D0D" w:themeColor="text1" w:themeTint="F2"/>
          <w:spacing w:val="-4"/>
          <w:sz w:val="16"/>
          <w:szCs w:val="16"/>
          <w:lang w:val="en-GB"/>
        </w:rPr>
        <w:t>2022</w:t>
      </w:r>
      <w:r>
        <w:rPr>
          <w:rFonts w:cs="Arial"/>
          <w:color w:val="0D0D0D" w:themeColor="text1" w:themeTint="F2"/>
          <w:spacing w:val="-4"/>
          <w:sz w:val="16"/>
          <w:szCs w:val="16"/>
          <w:lang w:val="en-GB"/>
        </w:rPr>
        <w:t xml:space="preserve">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by </w:t>
      </w:r>
      <w:r w:rsidRPr="007012CB">
        <w:rPr>
          <w:rFonts w:cs="Arial"/>
          <w:color w:val="0D0D0D" w:themeColor="text1" w:themeTint="F2"/>
          <w:spacing w:val="-4"/>
          <w:sz w:val="16"/>
          <w:szCs w:val="16"/>
          <w:lang w:val="en-GB"/>
        </w:rPr>
        <w:t>1</w:t>
      </w:r>
      <w:r>
        <w:rPr>
          <w:rFonts w:cs="Arial"/>
          <w:color w:val="0D0D0D" w:themeColor="text1" w:themeTint="F2"/>
          <w:spacing w:val="-4"/>
          <w:sz w:val="16"/>
          <w:szCs w:val="16"/>
          <w:lang w:val="en-GB"/>
        </w:rPr>
        <w:t>.</w:t>
      </w:r>
      <w:r w:rsidRPr="007012CB">
        <w:rPr>
          <w:rFonts w:cs="Arial"/>
          <w:color w:val="0D0D0D" w:themeColor="text1" w:themeTint="F2"/>
          <w:spacing w:val="-4"/>
          <w:sz w:val="16"/>
          <w:szCs w:val="16"/>
          <w:lang w:val="en-GB"/>
        </w:rPr>
        <w:t xml:space="preserve">2%). </w:t>
      </w:r>
      <w:r>
        <w:rPr>
          <w:rFonts w:cs="Arial"/>
          <w:color w:val="0D0D0D" w:themeColor="text1" w:themeTint="F2"/>
          <w:spacing w:val="-4"/>
          <w:sz w:val="16"/>
          <w:szCs w:val="16"/>
          <w:lang w:val="en-GB"/>
        </w:rPr>
        <w:t>Authorisation of the construction of new Prague subway line (D)</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which occurred in July </w:t>
      </w:r>
      <w:r w:rsidRPr="007012CB">
        <w:rPr>
          <w:rFonts w:cs="Arial"/>
          <w:color w:val="0D0D0D" w:themeColor="text1" w:themeTint="F2"/>
          <w:spacing w:val="-4"/>
          <w:sz w:val="16"/>
          <w:szCs w:val="16"/>
          <w:lang w:val="en-GB"/>
        </w:rPr>
        <w:t>2021</w:t>
      </w:r>
      <w:r>
        <w:rPr>
          <w:rFonts w:cs="Arial"/>
          <w:color w:val="0D0D0D" w:themeColor="text1" w:themeTint="F2"/>
          <w:spacing w:val="-4"/>
          <w:sz w:val="16"/>
          <w:szCs w:val="16"/>
          <w:lang w:val="en-GB"/>
        </w:rPr>
        <w:t xml:space="preserve"> played an important role here. In the area of new construction of residential as well as non-residential buildings the value of permit was growing </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by </w:t>
      </w:r>
      <w:r w:rsidRPr="007012CB">
        <w:rPr>
          <w:rFonts w:cs="Arial"/>
          <w:color w:val="0D0D0D" w:themeColor="text1" w:themeTint="F2"/>
          <w:spacing w:val="-4"/>
          <w:sz w:val="16"/>
          <w:szCs w:val="16"/>
          <w:lang w:val="en-GB"/>
        </w:rPr>
        <w:t>6 %, 12%</w:t>
      </w:r>
      <w:r>
        <w:rPr>
          <w:rFonts w:cs="Arial"/>
          <w:color w:val="0D0D0D" w:themeColor="text1" w:themeTint="F2"/>
          <w:spacing w:val="-4"/>
          <w:sz w:val="16"/>
          <w:szCs w:val="16"/>
          <w:lang w:val="en-GB"/>
        </w:rPr>
        <w:t xml:space="preserve"> </w:t>
      </w:r>
      <w:proofErr w:type="gramStart"/>
      <w:r>
        <w:rPr>
          <w:rFonts w:cs="Arial"/>
          <w:color w:val="0D0D0D" w:themeColor="text1" w:themeTint="F2"/>
          <w:spacing w:val="-4"/>
          <w:sz w:val="16"/>
          <w:szCs w:val="16"/>
          <w:lang w:val="en-GB"/>
        </w:rPr>
        <w:t>resp.</w:t>
      </w:r>
      <w:r w:rsidRPr="007012CB">
        <w:rPr>
          <w:rFonts w:cs="Arial"/>
          <w:color w:val="0D0D0D" w:themeColor="text1" w:themeTint="F2"/>
          <w:spacing w:val="-4"/>
          <w:sz w:val="16"/>
          <w:szCs w:val="16"/>
          <w:lang w:val="en-GB"/>
        </w:rPr>
        <w:t>.</w:t>
      </w:r>
      <w:proofErr w:type="gramEnd"/>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After the deduction of all other large structures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with the approximate value above </w:t>
      </w:r>
      <w:r w:rsidRPr="007012CB">
        <w:rPr>
          <w:rFonts w:cs="Arial"/>
          <w:color w:val="0D0D0D" w:themeColor="text1" w:themeTint="F2"/>
          <w:spacing w:val="-4"/>
          <w:sz w:val="16"/>
          <w:szCs w:val="16"/>
          <w:lang w:val="en-GB"/>
        </w:rPr>
        <w:t>1</w:t>
      </w:r>
      <w:r>
        <w:rPr>
          <w:rFonts w:cs="Arial"/>
          <w:color w:val="0D0D0D" w:themeColor="text1" w:themeTint="F2"/>
          <w:spacing w:val="-4"/>
          <w:sz w:val="16"/>
          <w:szCs w:val="16"/>
          <w:lang w:val="en-GB"/>
        </w:rPr>
        <w:t xml:space="preserve"> CZK bn</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 xml:space="preserve"> the permit value would increase by more than </w:t>
      </w:r>
      <w:r w:rsidRPr="007012CB">
        <w:rPr>
          <w:rFonts w:cs="Arial"/>
          <w:color w:val="0D0D0D" w:themeColor="text1" w:themeTint="F2"/>
          <w:spacing w:val="-4"/>
          <w:sz w:val="16"/>
          <w:szCs w:val="16"/>
          <w:lang w:val="en-GB"/>
        </w:rPr>
        <w:t xml:space="preserve">9% </w:t>
      </w:r>
      <w:r>
        <w:rPr>
          <w:rFonts w:cs="Arial"/>
          <w:color w:val="0D0D0D" w:themeColor="text1" w:themeTint="F2"/>
          <w:spacing w:val="-4"/>
          <w:sz w:val="16"/>
          <w:szCs w:val="16"/>
          <w:lang w:val="en-GB"/>
        </w:rPr>
        <w:t xml:space="preserve">year-on-year for the last year </w:t>
      </w:r>
      <w:r w:rsidRPr="007012CB">
        <w:rPr>
          <w:rFonts w:cs="Arial"/>
          <w:color w:val="0D0D0D" w:themeColor="text1" w:themeTint="F2"/>
          <w:spacing w:val="-4"/>
          <w:sz w:val="16"/>
          <w:szCs w:val="16"/>
          <w:lang w:val="en-GB"/>
        </w:rPr>
        <w:t>(</w:t>
      </w:r>
      <w:r>
        <w:rPr>
          <w:rFonts w:cs="Arial"/>
          <w:color w:val="0D0D0D" w:themeColor="text1" w:themeTint="F2"/>
          <w:spacing w:val="-4"/>
          <w:sz w:val="16"/>
          <w:szCs w:val="16"/>
          <w:lang w:val="en-GB"/>
        </w:rPr>
        <w:t>i.e. still less than was the growth of prices of construction works for the same time period</w:t>
      </w:r>
      <w:r w:rsidRPr="007012CB">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 xml:space="preserve">In the environment of strengthening cost prices </w:t>
      </w:r>
      <w:r w:rsidRPr="007012CB">
        <w:rPr>
          <w:rFonts w:cs="Arial"/>
          <w:color w:val="0D0D0D" w:themeColor="text1" w:themeTint="F2"/>
          <w:spacing w:val="-2"/>
          <w:sz w:val="16"/>
          <w:szCs w:val="16"/>
          <w:lang w:val="en-GB"/>
        </w:rPr>
        <w:t>(materi</w:t>
      </w:r>
      <w:r>
        <w:rPr>
          <w:rFonts w:cs="Arial"/>
          <w:color w:val="0D0D0D" w:themeColor="text1" w:themeTint="F2"/>
          <w:spacing w:val="-2"/>
          <w:sz w:val="16"/>
          <w:szCs w:val="16"/>
          <w:lang w:val="en-GB"/>
        </w:rPr>
        <w:t>al, energy, wage</w:t>
      </w:r>
      <w:r w:rsidRPr="007012CB">
        <w:rPr>
          <w:rFonts w:cs="Arial"/>
          <w:color w:val="0D0D0D" w:themeColor="text1" w:themeTint="F2"/>
          <w:spacing w:val="-2"/>
          <w:sz w:val="16"/>
          <w:szCs w:val="16"/>
          <w:lang w:val="en-GB"/>
        </w:rPr>
        <w:t xml:space="preserve">) </w:t>
      </w:r>
      <w:r>
        <w:rPr>
          <w:rFonts w:cs="Arial"/>
          <w:color w:val="0D0D0D" w:themeColor="text1" w:themeTint="F2"/>
          <w:spacing w:val="-2"/>
          <w:sz w:val="16"/>
          <w:szCs w:val="16"/>
          <w:lang w:val="en-GB"/>
        </w:rPr>
        <w:t xml:space="preserve">it is not possible to exclude, that the invoice prices can substantially depart from the prices anticipated at the construction authorization.  </w:t>
      </w:r>
    </w:p>
  </w:footnote>
  <w:footnote w:id="40">
    <w:p w14:paraId="5C647824" w14:textId="200D368C" w:rsidR="00E37C1C" w:rsidRPr="00BE4071" w:rsidRDefault="00E37C1C" w:rsidP="00BE4071">
      <w:pPr>
        <w:pStyle w:val="Textpoznpodarou"/>
        <w:jc w:val="both"/>
        <w:rPr>
          <w:lang w:val="en-GB"/>
        </w:rPr>
      </w:pPr>
      <w:r w:rsidRPr="00EE4827">
        <w:rPr>
          <w:rStyle w:val="Znakapoznpodarou"/>
          <w:sz w:val="16"/>
          <w:szCs w:val="16"/>
        </w:rPr>
        <w:footnoteRef/>
      </w:r>
      <w:r w:rsidRPr="00EE4827">
        <w:rPr>
          <w:sz w:val="16"/>
          <w:szCs w:val="16"/>
        </w:rPr>
        <w:t xml:space="preserve"> </w:t>
      </w:r>
      <w:r w:rsidRPr="00BE4071">
        <w:rPr>
          <w:spacing w:val="-6"/>
          <w:sz w:val="16"/>
          <w:szCs w:val="16"/>
          <w:lang w:val="en-GB"/>
        </w:rPr>
        <w:t xml:space="preserve">Businesses could have indicated more barriers simultaneously. Barriers are adjusted for the seasonality effects. </w:t>
      </w:r>
    </w:p>
  </w:footnote>
  <w:footnote w:id="41">
    <w:p w14:paraId="1561E0A9" w14:textId="311EE787" w:rsidR="00E37C1C" w:rsidRPr="00BE4071" w:rsidRDefault="00E37C1C" w:rsidP="00BE4071">
      <w:pPr>
        <w:spacing w:after="0" w:line="240" w:lineRule="auto"/>
        <w:rPr>
          <w:lang w:val="en-GB"/>
        </w:rPr>
      </w:pPr>
      <w:r w:rsidRPr="00BE4071">
        <w:rPr>
          <w:rStyle w:val="Znakapoznpodarou"/>
          <w:color w:val="0D0D0D" w:themeColor="text1" w:themeTint="F2"/>
          <w:sz w:val="16"/>
          <w:szCs w:val="16"/>
          <w:lang w:val="en-GB"/>
        </w:rPr>
        <w:footnoteRef/>
      </w:r>
      <w:r w:rsidRPr="00BE4071">
        <w:rPr>
          <w:color w:val="0D0D0D" w:themeColor="text1" w:themeTint="F2"/>
          <w:sz w:val="16"/>
          <w:szCs w:val="16"/>
          <w:lang w:val="en-GB"/>
        </w:rPr>
        <w:t xml:space="preserve"> </w:t>
      </w:r>
      <w:r>
        <w:rPr>
          <w:color w:val="0D0D0D" w:themeColor="text1" w:themeTint="F2"/>
          <w:spacing w:val="-6"/>
          <w:sz w:val="16"/>
          <w:szCs w:val="16"/>
          <w:lang w:val="en-GB"/>
        </w:rPr>
        <w:t xml:space="preserve">Without trade, financial and insurance activities, science, research and public services. All data for services are in constant prices, year-on-year data are adjusted for calendar effects, quarter-on-quarter data are adjusted for seasonal effects (including the effect of the number of working days). </w:t>
      </w:r>
    </w:p>
  </w:footnote>
  <w:footnote w:id="42">
    <w:p w14:paraId="66F4763B" w14:textId="50A3B129" w:rsidR="00E37C1C" w:rsidRPr="00BE4071" w:rsidRDefault="00E37C1C" w:rsidP="00BE4071">
      <w:pPr>
        <w:pStyle w:val="Textpoznpodarou"/>
        <w:jc w:val="both"/>
        <w:rPr>
          <w:sz w:val="16"/>
          <w:szCs w:val="16"/>
          <w:lang w:val="en-GB"/>
        </w:rPr>
      </w:pPr>
      <w:r w:rsidRPr="00BE4071">
        <w:rPr>
          <w:rStyle w:val="Znakapoznpodarou"/>
          <w:sz w:val="16"/>
          <w:szCs w:val="16"/>
          <w:lang w:val="en-GB"/>
        </w:rPr>
        <w:footnoteRef/>
      </w:r>
      <w:r w:rsidRPr="00BE4071">
        <w:rPr>
          <w:sz w:val="16"/>
          <w:szCs w:val="16"/>
          <w:lang w:val="en-GB"/>
        </w:rPr>
        <w:t xml:space="preserve"> </w:t>
      </w:r>
      <w:r>
        <w:rPr>
          <w:sz w:val="16"/>
          <w:szCs w:val="16"/>
          <w:lang w:val="en-GB"/>
        </w:rPr>
        <w:t xml:space="preserve">It was </w:t>
      </w:r>
      <w:r w:rsidRPr="00BE4071">
        <w:rPr>
          <w:sz w:val="16"/>
          <w:szCs w:val="16"/>
          <w:lang w:val="en-GB"/>
        </w:rPr>
        <w:t>1</w:t>
      </w:r>
      <w:r>
        <w:rPr>
          <w:sz w:val="16"/>
          <w:szCs w:val="16"/>
          <w:lang w:val="en-GB"/>
        </w:rPr>
        <w:t>.</w:t>
      </w:r>
      <w:r w:rsidRPr="00BE4071">
        <w:rPr>
          <w:sz w:val="16"/>
          <w:szCs w:val="16"/>
          <w:lang w:val="en-GB"/>
        </w:rPr>
        <w:t>5%</w:t>
      </w:r>
      <w:r>
        <w:rPr>
          <w:sz w:val="16"/>
          <w:szCs w:val="16"/>
          <w:lang w:val="en-GB"/>
        </w:rPr>
        <w:t xml:space="preserve"> quarter-on-quarter</w:t>
      </w:r>
      <w:r w:rsidRPr="00BE4071">
        <w:rPr>
          <w:sz w:val="16"/>
          <w:szCs w:val="16"/>
          <w:lang w:val="en-GB"/>
        </w:rPr>
        <w:t xml:space="preserve"> (</w:t>
      </w:r>
      <w:r>
        <w:rPr>
          <w:sz w:val="16"/>
          <w:szCs w:val="16"/>
          <w:lang w:val="en-GB"/>
        </w:rPr>
        <w:t>expressed in current prices and after seasonal adjustment</w:t>
      </w:r>
      <w:r w:rsidRPr="00BE4071">
        <w:rPr>
          <w:sz w:val="16"/>
          <w:szCs w:val="16"/>
          <w:lang w:val="en-GB"/>
        </w:rPr>
        <w:t>).</w:t>
      </w:r>
    </w:p>
  </w:footnote>
  <w:footnote w:id="43">
    <w:p w14:paraId="567AAC94" w14:textId="671DFA33" w:rsidR="00E37C1C" w:rsidRPr="00D658A7" w:rsidRDefault="00E37C1C" w:rsidP="001C2F97">
      <w:pPr>
        <w:pStyle w:val="Textpoznpodarou"/>
        <w:jc w:val="both"/>
        <w:rPr>
          <w:lang w:val="en-GB"/>
        </w:rPr>
      </w:pPr>
      <w:r w:rsidRPr="00D77E6C">
        <w:rPr>
          <w:rStyle w:val="Znakapoznpodarou"/>
          <w:sz w:val="16"/>
          <w:szCs w:val="16"/>
        </w:rPr>
        <w:footnoteRef/>
      </w:r>
      <w:r>
        <w:t xml:space="preserve"> </w:t>
      </w:r>
      <w:r>
        <w:rPr>
          <w:rFonts w:cs="Arial"/>
          <w:color w:val="0D0D0D" w:themeColor="text1" w:themeTint="F2"/>
          <w:spacing w:val="-3"/>
          <w:sz w:val="16"/>
          <w:szCs w:val="16"/>
          <w:lang w:val="en-GB"/>
        </w:rPr>
        <w:t xml:space="preserve">Based on the data from the Union of Motion Picture Distributors, the sales of the domestic cinema operators increased by </w:t>
      </w:r>
      <w:r w:rsidRPr="00D658A7">
        <w:rPr>
          <w:spacing w:val="-3"/>
          <w:sz w:val="16"/>
          <w:szCs w:val="16"/>
          <w:lang w:val="en-GB"/>
        </w:rPr>
        <w:t>10</w:t>
      </w:r>
      <w:r>
        <w:rPr>
          <w:spacing w:val="-3"/>
          <w:sz w:val="16"/>
          <w:szCs w:val="16"/>
          <w:lang w:val="en-GB"/>
        </w:rPr>
        <w:t>.</w:t>
      </w:r>
      <w:r w:rsidRPr="00D658A7">
        <w:rPr>
          <w:spacing w:val="-3"/>
          <w:sz w:val="16"/>
          <w:szCs w:val="16"/>
          <w:lang w:val="en-GB"/>
        </w:rPr>
        <w:t>7%</w:t>
      </w:r>
      <w:r>
        <w:rPr>
          <w:spacing w:val="-3"/>
          <w:sz w:val="16"/>
          <w:szCs w:val="16"/>
          <w:lang w:val="en-GB"/>
        </w:rPr>
        <w:t xml:space="preserve"> year-on-year in Q4 2022</w:t>
      </w:r>
      <w:r w:rsidRPr="00D658A7">
        <w:rPr>
          <w:spacing w:val="-3"/>
          <w:sz w:val="16"/>
          <w:szCs w:val="16"/>
          <w:lang w:val="en-GB"/>
        </w:rPr>
        <w:t xml:space="preserve">. </w:t>
      </w:r>
      <w:r>
        <w:rPr>
          <w:spacing w:val="-3"/>
          <w:sz w:val="16"/>
          <w:szCs w:val="16"/>
          <w:lang w:val="en-GB"/>
        </w:rPr>
        <w:t xml:space="preserve">In total from the beginning of the last year, both the sales and attendance nearly doubled year-on-year </w:t>
      </w:r>
      <w:r w:rsidRPr="00D658A7">
        <w:rPr>
          <w:spacing w:val="-3"/>
          <w:sz w:val="16"/>
          <w:szCs w:val="16"/>
          <w:lang w:val="en-GB"/>
        </w:rPr>
        <w:t>(</w:t>
      </w:r>
      <w:r>
        <w:rPr>
          <w:spacing w:val="-3"/>
          <w:sz w:val="16"/>
          <w:szCs w:val="16"/>
          <w:lang w:val="en-GB"/>
        </w:rPr>
        <w:t xml:space="preserve">from January till May </w:t>
      </w:r>
      <w:r w:rsidRPr="00D658A7">
        <w:rPr>
          <w:spacing w:val="-3"/>
          <w:sz w:val="16"/>
          <w:szCs w:val="16"/>
          <w:lang w:val="en-GB"/>
        </w:rPr>
        <w:t>2021</w:t>
      </w:r>
      <w:r>
        <w:rPr>
          <w:spacing w:val="-3"/>
          <w:sz w:val="16"/>
          <w:szCs w:val="16"/>
          <w:lang w:val="en-GB"/>
        </w:rPr>
        <w:t xml:space="preserve"> however the cinemas in </w:t>
      </w:r>
      <w:proofErr w:type="gramStart"/>
      <w:r>
        <w:rPr>
          <w:spacing w:val="-3"/>
          <w:sz w:val="16"/>
          <w:szCs w:val="16"/>
          <w:lang w:val="en-GB"/>
        </w:rPr>
        <w:t xml:space="preserve">fact </w:t>
      </w:r>
      <w:r w:rsidRPr="00D658A7">
        <w:rPr>
          <w:spacing w:val="-3"/>
          <w:sz w:val="16"/>
          <w:szCs w:val="16"/>
          <w:lang w:val="en-GB"/>
        </w:rPr>
        <w:t xml:space="preserve"> </w:t>
      </w:r>
      <w:r>
        <w:rPr>
          <w:spacing w:val="-3"/>
          <w:sz w:val="16"/>
          <w:szCs w:val="16"/>
          <w:lang w:val="en-GB"/>
        </w:rPr>
        <w:t>did</w:t>
      </w:r>
      <w:proofErr w:type="gramEnd"/>
      <w:r>
        <w:rPr>
          <w:spacing w:val="-3"/>
          <w:sz w:val="16"/>
          <w:szCs w:val="16"/>
          <w:lang w:val="en-GB"/>
        </w:rPr>
        <w:t xml:space="preserve"> not operate</w:t>
      </w:r>
      <w:r w:rsidRPr="00D658A7">
        <w:rPr>
          <w:spacing w:val="-3"/>
          <w:sz w:val="16"/>
          <w:szCs w:val="16"/>
          <w:lang w:val="en-GB"/>
        </w:rPr>
        <w:t>),</w:t>
      </w:r>
      <w:r>
        <w:rPr>
          <w:spacing w:val="-3"/>
          <w:sz w:val="16"/>
          <w:szCs w:val="16"/>
          <w:lang w:val="en-GB"/>
        </w:rPr>
        <w:t xml:space="preserve"> thus the sales lagged behind by 19% compared to year </w:t>
      </w:r>
      <w:r w:rsidRPr="00D658A7">
        <w:rPr>
          <w:spacing w:val="-3"/>
          <w:sz w:val="16"/>
          <w:szCs w:val="16"/>
          <w:lang w:val="en-GB"/>
        </w:rPr>
        <w:t>2019</w:t>
      </w:r>
      <w:r>
        <w:rPr>
          <w:spacing w:val="-3"/>
          <w:sz w:val="16"/>
          <w:szCs w:val="16"/>
          <w:lang w:val="en-GB"/>
        </w:rPr>
        <w:t xml:space="preserve"> </w:t>
      </w:r>
      <w:r w:rsidRPr="00D658A7">
        <w:rPr>
          <w:spacing w:val="-3"/>
          <w:sz w:val="16"/>
          <w:szCs w:val="16"/>
          <w:lang w:val="en-GB"/>
        </w:rPr>
        <w:t>(</w:t>
      </w:r>
      <w:r>
        <w:rPr>
          <w:spacing w:val="-3"/>
          <w:sz w:val="16"/>
          <w:szCs w:val="16"/>
          <w:lang w:val="en-GB"/>
        </w:rPr>
        <w:t xml:space="preserve">attendance even by </w:t>
      </w:r>
      <w:r w:rsidRPr="00D658A7">
        <w:rPr>
          <w:spacing w:val="-3"/>
          <w:sz w:val="16"/>
          <w:szCs w:val="16"/>
          <w:lang w:val="en-GB"/>
        </w:rPr>
        <w:t xml:space="preserve">26%, </w:t>
      </w:r>
      <w:r>
        <w:rPr>
          <w:spacing w:val="-3"/>
          <w:sz w:val="16"/>
          <w:szCs w:val="16"/>
          <w:lang w:val="en-GB"/>
        </w:rPr>
        <w:t xml:space="preserve">however the number of shows was lower only by </w:t>
      </w:r>
      <w:r w:rsidRPr="00D658A7">
        <w:rPr>
          <w:spacing w:val="-3"/>
          <w:sz w:val="16"/>
          <w:szCs w:val="16"/>
          <w:lang w:val="en-GB"/>
        </w:rPr>
        <w:t>4%).</w:t>
      </w:r>
    </w:p>
  </w:footnote>
  <w:footnote w:id="44">
    <w:p w14:paraId="056FC08E" w14:textId="3904D33C" w:rsidR="00E37C1C" w:rsidRPr="00D658A7" w:rsidRDefault="00E37C1C" w:rsidP="00D658A7">
      <w:pPr>
        <w:spacing w:after="0" w:line="240" w:lineRule="auto"/>
        <w:rPr>
          <w:spacing w:val="-2"/>
          <w:lang w:val="en-GB"/>
        </w:rPr>
      </w:pPr>
      <w:r w:rsidRPr="00D658A7">
        <w:rPr>
          <w:rStyle w:val="Znakapoznpodarou"/>
          <w:color w:val="0D0D0D" w:themeColor="text1" w:themeTint="F2"/>
          <w:spacing w:val="-2"/>
          <w:sz w:val="16"/>
          <w:szCs w:val="16"/>
          <w:lang w:val="en-GB"/>
        </w:rPr>
        <w:footnoteRef/>
      </w:r>
      <w:r w:rsidRPr="00D658A7">
        <w:rPr>
          <w:color w:val="0D0D0D" w:themeColor="text1" w:themeTint="F2"/>
          <w:spacing w:val="-2"/>
          <w:sz w:val="16"/>
          <w:szCs w:val="16"/>
          <w:lang w:val="en-GB"/>
        </w:rPr>
        <w:t xml:space="preserve"> </w:t>
      </w:r>
      <w:r w:rsidRPr="001B1ADB">
        <w:rPr>
          <w:color w:val="0D0D0D" w:themeColor="text1" w:themeTint="F2"/>
          <w:spacing w:val="-2"/>
          <w:sz w:val="16"/>
          <w:szCs w:val="16"/>
          <w:lang w:val="en-GB"/>
        </w:rPr>
        <w:t>All year-on-year rates of growth of retail sales are stated in constant prices and adjusted for calendar effects, quarter-on-quarter as well as month-on-month rates are adjusted for seasonal effects (including the number of working days). Retail includes branch CZ NACE 47.</w:t>
      </w:r>
    </w:p>
  </w:footnote>
  <w:footnote w:id="45">
    <w:p w14:paraId="056C7A68" w14:textId="30AC530D" w:rsidR="00E37C1C" w:rsidRPr="00D658A7" w:rsidRDefault="00E37C1C" w:rsidP="00D658A7">
      <w:pPr>
        <w:pStyle w:val="Textpoznpodarou"/>
        <w:jc w:val="both"/>
        <w:rPr>
          <w:spacing w:val="-2"/>
          <w:sz w:val="16"/>
          <w:szCs w:val="16"/>
          <w:lang w:val="en-GB"/>
        </w:rPr>
      </w:pPr>
      <w:r w:rsidRPr="00D658A7">
        <w:rPr>
          <w:rStyle w:val="Znakapoznpodarou"/>
          <w:spacing w:val="-2"/>
          <w:sz w:val="16"/>
          <w:szCs w:val="16"/>
          <w:lang w:val="en-GB"/>
        </w:rPr>
        <w:footnoteRef/>
      </w:r>
      <w:r w:rsidRPr="00D658A7">
        <w:rPr>
          <w:spacing w:val="-2"/>
          <w:sz w:val="16"/>
          <w:szCs w:val="16"/>
          <w:lang w:val="en-GB"/>
        </w:rPr>
        <w:t xml:space="preserve"> </w:t>
      </w:r>
      <w:r>
        <w:rPr>
          <w:spacing w:val="-2"/>
          <w:sz w:val="16"/>
          <w:szCs w:val="16"/>
          <w:lang w:val="en-GB"/>
        </w:rPr>
        <w:t xml:space="preserve">Business confidence in trade on the contrary went down only gradually and it was not much weaker at the end of the last year than in the pre-crisis year </w:t>
      </w:r>
      <w:r w:rsidRPr="00D658A7">
        <w:rPr>
          <w:spacing w:val="-2"/>
          <w:sz w:val="16"/>
          <w:szCs w:val="16"/>
          <w:lang w:val="en-GB"/>
        </w:rPr>
        <w:t xml:space="preserve">2019. </w:t>
      </w:r>
      <w:r>
        <w:rPr>
          <w:spacing w:val="-2"/>
          <w:sz w:val="16"/>
          <w:szCs w:val="16"/>
          <w:lang w:val="en-GB"/>
        </w:rPr>
        <w:t xml:space="preserve">Despite deterioration during Summer, trade businesses perceived their current economic situation still positively and outlooks to the nearest half-year were also mildly positive. This is confirmed by the fact, that traders still planned to hire new employees more frequently that their layoffs. </w:t>
      </w:r>
    </w:p>
  </w:footnote>
  <w:footnote w:id="46">
    <w:p w14:paraId="2DA08947" w14:textId="5F3BF22F" w:rsidR="00E37C1C" w:rsidRPr="003C708D" w:rsidRDefault="00E37C1C" w:rsidP="003C708D">
      <w:pPr>
        <w:pStyle w:val="Textpoznpodarou"/>
        <w:jc w:val="both"/>
        <w:rPr>
          <w:sz w:val="16"/>
          <w:szCs w:val="16"/>
          <w:lang w:val="en-GB"/>
        </w:rPr>
      </w:pPr>
      <w:r w:rsidRPr="00FD2785">
        <w:rPr>
          <w:rStyle w:val="Znakapoznpodarou"/>
          <w:sz w:val="16"/>
          <w:szCs w:val="16"/>
        </w:rPr>
        <w:footnoteRef/>
      </w:r>
      <w:r w:rsidRPr="00FD2785">
        <w:rPr>
          <w:sz w:val="16"/>
          <w:szCs w:val="16"/>
        </w:rPr>
        <w:t xml:space="preserve"> </w:t>
      </w:r>
      <w:r w:rsidRPr="003C708D">
        <w:rPr>
          <w:sz w:val="16"/>
          <w:szCs w:val="16"/>
          <w:lang w:val="en-GB"/>
        </w:rPr>
        <w:t>These forms of sale represented the only retail segment, where the sales dropped even in current prices last year (by 1.4%). At the same time the nominal sales in the entire retail increased by 10.8%.</w:t>
      </w:r>
    </w:p>
  </w:footnote>
  <w:footnote w:id="47">
    <w:p w14:paraId="02BF23B1" w14:textId="2072BA54" w:rsidR="00E37C1C" w:rsidRPr="003C708D" w:rsidRDefault="00E37C1C" w:rsidP="003C708D">
      <w:pPr>
        <w:pStyle w:val="Textpoznpodarou"/>
        <w:jc w:val="both"/>
        <w:rPr>
          <w:spacing w:val="-5"/>
          <w:sz w:val="16"/>
          <w:szCs w:val="16"/>
          <w:lang w:val="en-GB"/>
        </w:rPr>
      </w:pPr>
      <w:r w:rsidRPr="003C708D">
        <w:rPr>
          <w:rStyle w:val="Znakapoznpodarou"/>
          <w:spacing w:val="-5"/>
          <w:sz w:val="16"/>
          <w:szCs w:val="16"/>
          <w:lang w:val="en-GB"/>
        </w:rPr>
        <w:footnoteRef/>
      </w:r>
      <w:r w:rsidRPr="003C708D">
        <w:rPr>
          <w:spacing w:val="-5"/>
          <w:sz w:val="16"/>
          <w:szCs w:val="16"/>
          <w:lang w:val="en-GB"/>
        </w:rPr>
        <w:t xml:space="preserve"> Lower consumption of motor fuels was connected to the price escalation bolstered by the war in Ukraine. Sales for motor fuels in current prices increased by 36.6% year-on-year in Q</w:t>
      </w:r>
      <w:r w:rsidRPr="003C708D">
        <w:rPr>
          <w:spacing w:val="-6"/>
          <w:sz w:val="16"/>
          <w:szCs w:val="16"/>
          <w:lang w:val="en-GB"/>
        </w:rPr>
        <w:t>2, by 19.5% in Q3. The development of prices of motor fuels was however more favourable for the motorists in Q4</w:t>
      </w:r>
      <w:r>
        <w:rPr>
          <w:spacing w:val="-6"/>
          <w:sz w:val="16"/>
          <w:szCs w:val="16"/>
          <w:lang w:val="en-GB"/>
        </w:rPr>
        <w:t xml:space="preserve"> 2022</w:t>
      </w:r>
      <w:r w:rsidRPr="003C708D">
        <w:rPr>
          <w:spacing w:val="-6"/>
          <w:sz w:val="16"/>
          <w:szCs w:val="16"/>
          <w:lang w:val="en-GB"/>
        </w:rPr>
        <w:t xml:space="preserve">, which was reflected in the demand revival (sales thus increased by 4.7% quarter-on-quarter). </w:t>
      </w:r>
    </w:p>
  </w:footnote>
  <w:footnote w:id="48">
    <w:p w14:paraId="69D4B37B" w14:textId="38C5929D" w:rsidR="00E37C1C" w:rsidRPr="001D2D3C" w:rsidRDefault="00E37C1C" w:rsidP="001D2D3C">
      <w:pPr>
        <w:pStyle w:val="Textpoznpodarou"/>
        <w:jc w:val="both"/>
        <w:rPr>
          <w:rFonts w:cs="Arial"/>
          <w:i/>
          <w:iCs/>
          <w:sz w:val="16"/>
          <w:szCs w:val="16"/>
          <w:lang w:val="en-GB"/>
        </w:rPr>
      </w:pPr>
      <w:r w:rsidRPr="00441515">
        <w:rPr>
          <w:rStyle w:val="Znakapoznpodarou"/>
          <w:rFonts w:cs="Arial"/>
          <w:sz w:val="16"/>
          <w:szCs w:val="16"/>
        </w:rPr>
        <w:footnoteRef/>
      </w:r>
      <w:r w:rsidRPr="00441515">
        <w:rPr>
          <w:rFonts w:cs="Arial"/>
          <w:i/>
          <w:iCs/>
          <w:sz w:val="16"/>
          <w:szCs w:val="16"/>
        </w:rPr>
        <w:t xml:space="preserve"> </w:t>
      </w:r>
      <w:r>
        <w:rPr>
          <w:rStyle w:val="Zdraznn"/>
          <w:rFonts w:cs="Arial"/>
          <w:i w:val="0"/>
          <w:iCs w:val="0"/>
          <w:color w:val="333333"/>
          <w:sz w:val="16"/>
          <w:szCs w:val="16"/>
          <w:bdr w:val="none" w:sz="0" w:space="0" w:color="auto" w:frame="1"/>
          <w:shd w:val="clear" w:color="auto" w:fill="FFFFFF"/>
          <w:lang w:val="en-GB"/>
        </w:rPr>
        <w:t>Data regarding the foreign trade with goods are recalculated using an update method based on a bigger degree of detail since year 2020</w:t>
      </w:r>
      <w:r w:rsidRPr="001D2D3C">
        <w:rPr>
          <w:rStyle w:val="Zdraznn"/>
          <w:rFonts w:cs="Arial"/>
          <w:i w:val="0"/>
          <w:iCs w:val="0"/>
          <w:color w:val="333333"/>
          <w:sz w:val="16"/>
          <w:szCs w:val="16"/>
          <w:bdr w:val="none" w:sz="0" w:space="0" w:color="auto" w:frame="1"/>
          <w:shd w:val="clear" w:color="auto" w:fill="FFFFFF"/>
          <w:lang w:val="en-GB"/>
        </w:rPr>
        <w:t xml:space="preserve">, </w:t>
      </w:r>
      <w:r>
        <w:rPr>
          <w:rStyle w:val="Zdraznn"/>
          <w:rFonts w:cs="Arial"/>
          <w:i w:val="0"/>
          <w:iCs w:val="0"/>
          <w:color w:val="333333"/>
          <w:sz w:val="16"/>
          <w:szCs w:val="16"/>
          <w:bdr w:val="none" w:sz="0" w:space="0" w:color="auto" w:frame="1"/>
          <w:shd w:val="clear" w:color="auto" w:fill="FFFFFF"/>
          <w:lang w:val="en-GB"/>
        </w:rPr>
        <w:t xml:space="preserve">see </w:t>
      </w:r>
      <w:hyperlink r:id="rId1" w:history="1">
        <w:r>
          <w:rPr>
            <w:rStyle w:val="Hypertextovodkaz"/>
            <w:rFonts w:cs="Arial"/>
            <w:sz w:val="16"/>
            <w:szCs w:val="16"/>
            <w:bdr w:val="none" w:sz="0" w:space="0" w:color="auto" w:frame="1"/>
            <w:shd w:val="clear" w:color="auto" w:fill="FFFFFF"/>
            <w:lang w:val="en-GB"/>
          </w:rPr>
          <w:t>https://www.czso.cz/csu/czso/update-of-the-compilation-method-international-trade-in-goods-change-of-ownership</w:t>
        </w:r>
      </w:hyperlink>
      <w:r>
        <w:rPr>
          <w:rStyle w:val="Hypertextovodkaz"/>
          <w:rFonts w:cs="Arial"/>
          <w:sz w:val="16"/>
          <w:szCs w:val="16"/>
          <w:bdr w:val="none" w:sz="0" w:space="0" w:color="auto" w:frame="1"/>
          <w:shd w:val="clear" w:color="auto" w:fill="FFFFFF"/>
          <w:lang w:val="en-GB"/>
        </w:rPr>
        <w:t>.</w:t>
      </w:r>
    </w:p>
  </w:footnote>
  <w:footnote w:id="49">
    <w:p w14:paraId="1FF65D89" w14:textId="083F2A89"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Unless stated otherwise, all figures are not seasonally adjusted and in current prices. </w:t>
      </w:r>
    </w:p>
  </w:footnote>
  <w:footnote w:id="50">
    <w:p w14:paraId="496F212B" w14:textId="5B1C96BA"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Prices of exports of goods hiked by </w:t>
      </w:r>
      <w:r w:rsidRPr="001D2D3C">
        <w:rPr>
          <w:sz w:val="16"/>
          <w:szCs w:val="16"/>
          <w:lang w:val="en-GB"/>
        </w:rPr>
        <w:t>12</w:t>
      </w:r>
      <w:r>
        <w:rPr>
          <w:sz w:val="16"/>
          <w:szCs w:val="16"/>
          <w:lang w:val="en-GB"/>
        </w:rPr>
        <w:t>.</w:t>
      </w:r>
      <w:r w:rsidRPr="001D2D3C">
        <w:rPr>
          <w:sz w:val="16"/>
          <w:szCs w:val="16"/>
          <w:lang w:val="en-GB"/>
        </w:rPr>
        <w:t>7%</w:t>
      </w:r>
      <w:r>
        <w:rPr>
          <w:sz w:val="16"/>
          <w:szCs w:val="16"/>
          <w:lang w:val="en-GB"/>
        </w:rPr>
        <w:t xml:space="preserve"> for the entire year and grew by </w:t>
      </w:r>
      <w:r w:rsidRPr="001D2D3C">
        <w:rPr>
          <w:sz w:val="16"/>
          <w:szCs w:val="16"/>
          <w:lang w:val="en-GB"/>
        </w:rPr>
        <w:t>11</w:t>
      </w:r>
      <w:r>
        <w:rPr>
          <w:sz w:val="16"/>
          <w:szCs w:val="16"/>
          <w:lang w:val="en-GB"/>
        </w:rPr>
        <w:t>.</w:t>
      </w:r>
      <w:r w:rsidRPr="001D2D3C">
        <w:rPr>
          <w:sz w:val="16"/>
          <w:szCs w:val="16"/>
          <w:lang w:val="en-GB"/>
        </w:rPr>
        <w:t>2%, 15</w:t>
      </w:r>
      <w:r>
        <w:rPr>
          <w:sz w:val="16"/>
          <w:szCs w:val="16"/>
          <w:lang w:val="en-GB"/>
        </w:rPr>
        <w:t>.</w:t>
      </w:r>
      <w:r w:rsidRPr="001D2D3C">
        <w:rPr>
          <w:sz w:val="16"/>
          <w:szCs w:val="16"/>
          <w:lang w:val="en-GB"/>
        </w:rPr>
        <w:t>1%, 14</w:t>
      </w:r>
      <w:r>
        <w:rPr>
          <w:sz w:val="16"/>
          <w:szCs w:val="16"/>
          <w:lang w:val="en-GB"/>
        </w:rPr>
        <w:t>.</w:t>
      </w:r>
      <w:r w:rsidRPr="001D2D3C">
        <w:rPr>
          <w:sz w:val="16"/>
          <w:szCs w:val="16"/>
          <w:lang w:val="en-GB"/>
        </w:rPr>
        <w:t>9% a</w:t>
      </w:r>
      <w:r>
        <w:rPr>
          <w:sz w:val="16"/>
          <w:szCs w:val="16"/>
          <w:lang w:val="en-GB"/>
        </w:rPr>
        <w:t>nd</w:t>
      </w:r>
      <w:r w:rsidRPr="001D2D3C">
        <w:rPr>
          <w:sz w:val="16"/>
          <w:szCs w:val="16"/>
          <w:lang w:val="en-GB"/>
        </w:rPr>
        <w:t xml:space="preserve"> 9</w:t>
      </w:r>
      <w:r>
        <w:rPr>
          <w:sz w:val="16"/>
          <w:szCs w:val="16"/>
          <w:lang w:val="en-GB"/>
        </w:rPr>
        <w:t>.</w:t>
      </w:r>
      <w:r w:rsidRPr="001D2D3C">
        <w:rPr>
          <w:sz w:val="16"/>
          <w:szCs w:val="16"/>
          <w:lang w:val="en-GB"/>
        </w:rPr>
        <w:t>8%</w:t>
      </w:r>
      <w:r>
        <w:rPr>
          <w:sz w:val="16"/>
          <w:szCs w:val="16"/>
          <w:lang w:val="en-GB"/>
        </w:rPr>
        <w:t xml:space="preserve"> year-on-year in individual quarters</w:t>
      </w:r>
      <w:r w:rsidRPr="001D2D3C">
        <w:rPr>
          <w:sz w:val="16"/>
          <w:szCs w:val="16"/>
          <w:lang w:val="en-GB"/>
        </w:rPr>
        <w:t xml:space="preserve">. </w:t>
      </w:r>
    </w:p>
  </w:footnote>
  <w:footnote w:id="51">
    <w:p w14:paraId="475844A3" w14:textId="47B65A51"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w:t>
      </w:r>
      <w:r>
        <w:rPr>
          <w:sz w:val="16"/>
          <w:szCs w:val="16"/>
          <w:lang w:val="en-GB"/>
        </w:rPr>
        <w:t xml:space="preserve">Strengthening of the export of electricity, gas, steam and air conditioning was noticed at all our neighbours. Addition to the export to Germany reached </w:t>
      </w:r>
      <w:r w:rsidRPr="001D2D3C">
        <w:rPr>
          <w:sz w:val="16"/>
          <w:szCs w:val="16"/>
          <w:lang w:val="en-GB"/>
        </w:rPr>
        <w:t>38</w:t>
      </w:r>
      <w:r>
        <w:rPr>
          <w:sz w:val="16"/>
          <w:szCs w:val="16"/>
          <w:lang w:val="en-GB"/>
        </w:rPr>
        <w:t>.</w:t>
      </w:r>
      <w:r w:rsidRPr="001D2D3C">
        <w:rPr>
          <w:sz w:val="16"/>
          <w:szCs w:val="16"/>
          <w:lang w:val="en-GB"/>
        </w:rPr>
        <w:t>7</w:t>
      </w:r>
      <w:r>
        <w:rPr>
          <w:sz w:val="16"/>
          <w:szCs w:val="16"/>
          <w:lang w:val="en-GB"/>
        </w:rPr>
        <w:t xml:space="preserve"> CZK bn and to Slovakia </w:t>
      </w:r>
      <w:r w:rsidRPr="001D2D3C">
        <w:rPr>
          <w:sz w:val="16"/>
          <w:szCs w:val="16"/>
          <w:lang w:val="en-GB"/>
        </w:rPr>
        <w:t>15</w:t>
      </w:r>
      <w:r>
        <w:rPr>
          <w:sz w:val="16"/>
          <w:szCs w:val="16"/>
          <w:lang w:val="en-GB"/>
        </w:rPr>
        <w:t>.</w:t>
      </w:r>
      <w:r w:rsidRPr="001D2D3C">
        <w:rPr>
          <w:sz w:val="16"/>
          <w:szCs w:val="16"/>
          <w:lang w:val="en-GB"/>
        </w:rPr>
        <w:t>6</w:t>
      </w:r>
      <w:r>
        <w:rPr>
          <w:sz w:val="16"/>
          <w:szCs w:val="16"/>
          <w:lang w:val="en-GB"/>
        </w:rPr>
        <w:t xml:space="preserve"> bn</w:t>
      </w:r>
      <w:r w:rsidRPr="001D2D3C">
        <w:rPr>
          <w:sz w:val="16"/>
          <w:szCs w:val="16"/>
          <w:lang w:val="en-GB"/>
        </w:rPr>
        <w:t xml:space="preserve">. </w:t>
      </w:r>
      <w:r>
        <w:rPr>
          <w:sz w:val="16"/>
          <w:szCs w:val="16"/>
          <w:lang w:val="en-GB"/>
        </w:rPr>
        <w:t xml:space="preserve">In addition, the increase was also considerable in case of Austria </w:t>
      </w:r>
      <w:r w:rsidRPr="001D2D3C">
        <w:rPr>
          <w:sz w:val="16"/>
          <w:szCs w:val="16"/>
          <w:lang w:val="en-GB"/>
        </w:rPr>
        <w:t>(+8</w:t>
      </w:r>
      <w:r>
        <w:rPr>
          <w:sz w:val="16"/>
          <w:szCs w:val="16"/>
          <w:lang w:val="en-GB"/>
        </w:rPr>
        <w:t>.</w:t>
      </w:r>
      <w:r w:rsidRPr="001D2D3C">
        <w:rPr>
          <w:sz w:val="16"/>
          <w:szCs w:val="16"/>
          <w:lang w:val="en-GB"/>
        </w:rPr>
        <w:t>9</w:t>
      </w:r>
      <w:r>
        <w:rPr>
          <w:sz w:val="16"/>
          <w:szCs w:val="16"/>
          <w:lang w:val="en-GB"/>
        </w:rPr>
        <w:t xml:space="preserve"> CZK bn</w:t>
      </w:r>
      <w:r w:rsidRPr="001D2D3C">
        <w:rPr>
          <w:sz w:val="16"/>
          <w:szCs w:val="16"/>
          <w:lang w:val="en-GB"/>
        </w:rPr>
        <w:t>)</w:t>
      </w:r>
      <w:r>
        <w:rPr>
          <w:sz w:val="16"/>
          <w:szCs w:val="16"/>
          <w:lang w:val="en-GB"/>
        </w:rPr>
        <w:t xml:space="preserve"> and to certain extent also Poland </w:t>
      </w:r>
      <w:r w:rsidRPr="001D2D3C">
        <w:rPr>
          <w:sz w:val="16"/>
          <w:szCs w:val="16"/>
          <w:lang w:val="en-GB"/>
        </w:rPr>
        <w:t>(+3</w:t>
      </w:r>
      <w:r>
        <w:rPr>
          <w:sz w:val="16"/>
          <w:szCs w:val="16"/>
          <w:lang w:val="en-GB"/>
        </w:rPr>
        <w:t>.</w:t>
      </w:r>
      <w:r w:rsidRPr="001D2D3C">
        <w:rPr>
          <w:sz w:val="16"/>
          <w:szCs w:val="16"/>
          <w:lang w:val="en-GB"/>
        </w:rPr>
        <w:t>4</w:t>
      </w:r>
      <w:r>
        <w:rPr>
          <w:sz w:val="16"/>
          <w:szCs w:val="16"/>
          <w:lang w:val="en-GB"/>
        </w:rPr>
        <w:t xml:space="preserve"> bn</w:t>
      </w:r>
      <w:r w:rsidRPr="001D2D3C">
        <w:rPr>
          <w:sz w:val="16"/>
          <w:szCs w:val="16"/>
          <w:lang w:val="en-GB"/>
        </w:rPr>
        <w:t xml:space="preserve">).    </w:t>
      </w:r>
    </w:p>
  </w:footnote>
  <w:footnote w:id="52">
    <w:p w14:paraId="204E0F23" w14:textId="6541E020" w:rsidR="00E37C1C" w:rsidRPr="001D2D3C" w:rsidRDefault="00E37C1C" w:rsidP="001D2D3C">
      <w:pPr>
        <w:pStyle w:val="Textpoznpodarou"/>
        <w:jc w:val="both"/>
        <w:rPr>
          <w:sz w:val="16"/>
          <w:szCs w:val="16"/>
          <w:lang w:val="en-GB"/>
        </w:rPr>
      </w:pPr>
      <w:r w:rsidRPr="001D2D3C">
        <w:rPr>
          <w:rStyle w:val="Znakapoznpodarou"/>
          <w:sz w:val="16"/>
          <w:szCs w:val="16"/>
          <w:lang w:val="en-GB"/>
        </w:rPr>
        <w:footnoteRef/>
      </w:r>
      <w:r w:rsidRPr="001D2D3C">
        <w:rPr>
          <w:sz w:val="16"/>
          <w:szCs w:val="16"/>
          <w:lang w:val="en-GB"/>
        </w:rPr>
        <w:t xml:space="preserve"> Export </w:t>
      </w:r>
      <w:r>
        <w:rPr>
          <w:sz w:val="16"/>
          <w:szCs w:val="16"/>
          <w:lang w:val="en-GB"/>
        </w:rPr>
        <w:t xml:space="preserve">to Russia plummeted mainly for the motor vehicles </w:t>
      </w:r>
      <w:r w:rsidRPr="001D2D3C">
        <w:rPr>
          <w:sz w:val="16"/>
          <w:szCs w:val="16"/>
          <w:lang w:val="en-GB"/>
        </w:rPr>
        <w:t>(−16</w:t>
      </w:r>
      <w:r>
        <w:rPr>
          <w:sz w:val="16"/>
          <w:szCs w:val="16"/>
          <w:lang w:val="en-GB"/>
        </w:rPr>
        <w:t>.</w:t>
      </w:r>
      <w:r w:rsidRPr="001D2D3C">
        <w:rPr>
          <w:sz w:val="16"/>
          <w:szCs w:val="16"/>
          <w:lang w:val="en-GB"/>
        </w:rPr>
        <w:t>4</w:t>
      </w:r>
      <w:r>
        <w:rPr>
          <w:sz w:val="16"/>
          <w:szCs w:val="16"/>
          <w:lang w:val="en-GB"/>
        </w:rPr>
        <w:t xml:space="preserve"> CZK bn</w:t>
      </w:r>
      <w:r w:rsidRPr="001D2D3C">
        <w:rPr>
          <w:sz w:val="16"/>
          <w:szCs w:val="16"/>
          <w:lang w:val="en-GB"/>
        </w:rPr>
        <w:t xml:space="preserve">), </w:t>
      </w:r>
      <w:r>
        <w:rPr>
          <w:sz w:val="16"/>
          <w:szCs w:val="16"/>
          <w:lang w:val="en-GB"/>
        </w:rPr>
        <w:t xml:space="preserve">computers, electronic and optical products </w:t>
      </w:r>
      <w:r w:rsidRPr="001D2D3C">
        <w:rPr>
          <w:sz w:val="16"/>
          <w:szCs w:val="16"/>
          <w:lang w:val="en-GB"/>
        </w:rPr>
        <w:t>(−9</w:t>
      </w:r>
      <w:r>
        <w:rPr>
          <w:sz w:val="16"/>
          <w:szCs w:val="16"/>
          <w:lang w:val="en-GB"/>
        </w:rPr>
        <w:t>.</w:t>
      </w:r>
      <w:r w:rsidRPr="001D2D3C">
        <w:rPr>
          <w:sz w:val="16"/>
          <w:szCs w:val="16"/>
          <w:lang w:val="en-GB"/>
        </w:rPr>
        <w:t>5</w:t>
      </w:r>
      <w:r>
        <w:rPr>
          <w:sz w:val="16"/>
          <w:szCs w:val="16"/>
          <w:lang w:val="en-GB"/>
        </w:rPr>
        <w:t xml:space="preserve"> bn</w:t>
      </w:r>
      <w:r w:rsidRPr="001D2D3C">
        <w:rPr>
          <w:sz w:val="16"/>
          <w:szCs w:val="16"/>
          <w:lang w:val="en-GB"/>
        </w:rPr>
        <w:t>), e</w:t>
      </w:r>
      <w:r>
        <w:rPr>
          <w:sz w:val="16"/>
          <w:szCs w:val="16"/>
          <w:lang w:val="en-GB"/>
        </w:rPr>
        <w:t xml:space="preserve">lectrical equipment </w:t>
      </w:r>
      <w:r w:rsidRPr="001D2D3C">
        <w:rPr>
          <w:sz w:val="16"/>
          <w:szCs w:val="16"/>
          <w:lang w:val="en-GB"/>
        </w:rPr>
        <w:t>(−5</w:t>
      </w:r>
      <w:r>
        <w:rPr>
          <w:sz w:val="16"/>
          <w:szCs w:val="16"/>
          <w:lang w:val="en-GB"/>
        </w:rPr>
        <w:t>.</w:t>
      </w:r>
      <w:r w:rsidRPr="001D2D3C">
        <w:rPr>
          <w:sz w:val="16"/>
          <w:szCs w:val="16"/>
          <w:lang w:val="en-GB"/>
        </w:rPr>
        <w:t>4</w:t>
      </w:r>
      <w:r>
        <w:rPr>
          <w:sz w:val="16"/>
          <w:szCs w:val="16"/>
          <w:lang w:val="en-GB"/>
        </w:rPr>
        <w:t xml:space="preserve"> bn</w:t>
      </w:r>
      <w:r w:rsidRPr="001D2D3C">
        <w:rPr>
          <w:sz w:val="16"/>
          <w:szCs w:val="16"/>
          <w:lang w:val="en-GB"/>
        </w:rPr>
        <w:t>) a</w:t>
      </w:r>
      <w:r>
        <w:rPr>
          <w:sz w:val="16"/>
          <w:szCs w:val="16"/>
          <w:lang w:val="en-GB"/>
        </w:rPr>
        <w:t xml:space="preserve">nd machinery and equipment </w:t>
      </w:r>
      <w:r w:rsidRPr="001D2D3C">
        <w:rPr>
          <w:sz w:val="16"/>
          <w:szCs w:val="16"/>
          <w:lang w:val="en-GB"/>
        </w:rPr>
        <w:t>(−5</w:t>
      </w:r>
      <w:r>
        <w:rPr>
          <w:sz w:val="16"/>
          <w:szCs w:val="16"/>
          <w:lang w:val="en-GB"/>
        </w:rPr>
        <w:t>.</w:t>
      </w:r>
      <w:r w:rsidRPr="001D2D3C">
        <w:rPr>
          <w:sz w:val="16"/>
          <w:szCs w:val="16"/>
          <w:lang w:val="en-GB"/>
        </w:rPr>
        <w:t>1</w:t>
      </w:r>
      <w:r>
        <w:rPr>
          <w:sz w:val="16"/>
          <w:szCs w:val="16"/>
          <w:lang w:val="en-GB"/>
        </w:rPr>
        <w:t xml:space="preserve"> bn</w:t>
      </w:r>
      <w:r w:rsidRPr="001D2D3C">
        <w:rPr>
          <w:sz w:val="16"/>
          <w:szCs w:val="16"/>
          <w:lang w:val="en-GB"/>
        </w:rPr>
        <w:t xml:space="preserve">). </w:t>
      </w:r>
      <w:r>
        <w:rPr>
          <w:sz w:val="16"/>
          <w:szCs w:val="16"/>
          <w:lang w:val="en-GB"/>
        </w:rPr>
        <w:t xml:space="preserve">At the same time, strengthening of export into some former Soviet republics is also observed, the most to Kazakhstan </w:t>
      </w:r>
      <w:r w:rsidRPr="001D2D3C">
        <w:rPr>
          <w:sz w:val="16"/>
          <w:szCs w:val="16"/>
          <w:lang w:val="en-GB"/>
        </w:rPr>
        <w:t>(+7</w:t>
      </w:r>
      <w:r>
        <w:rPr>
          <w:sz w:val="16"/>
          <w:szCs w:val="16"/>
          <w:lang w:val="en-GB"/>
        </w:rPr>
        <w:t>.</w:t>
      </w:r>
      <w:r w:rsidRPr="001D2D3C">
        <w:rPr>
          <w:sz w:val="16"/>
          <w:szCs w:val="16"/>
          <w:lang w:val="en-GB"/>
        </w:rPr>
        <w:t>4</w:t>
      </w:r>
      <w:r>
        <w:rPr>
          <w:sz w:val="16"/>
          <w:szCs w:val="16"/>
          <w:lang w:val="en-GB"/>
        </w:rPr>
        <w:t xml:space="preserve"> CZK bn</w:t>
      </w:r>
      <w:r w:rsidRPr="001D2D3C">
        <w:rPr>
          <w:sz w:val="16"/>
          <w:szCs w:val="16"/>
          <w:lang w:val="en-GB"/>
        </w:rPr>
        <w:t xml:space="preserve">, </w:t>
      </w:r>
      <w:r>
        <w:rPr>
          <w:sz w:val="16"/>
          <w:szCs w:val="16"/>
          <w:lang w:val="en-GB"/>
        </w:rPr>
        <w:t>absolute majority from this increase occurred in the second half of the year</w:t>
      </w:r>
      <w:r w:rsidRPr="001D2D3C">
        <w:rPr>
          <w:sz w:val="16"/>
          <w:szCs w:val="16"/>
          <w:lang w:val="en-GB"/>
        </w:rPr>
        <w:t xml:space="preserve">). </w:t>
      </w:r>
      <w:r>
        <w:rPr>
          <w:sz w:val="16"/>
          <w:szCs w:val="16"/>
          <w:lang w:val="en-GB"/>
        </w:rPr>
        <w:t xml:space="preserve">Mainly export of computers and electronic and optical products and motor vehicles (including parts) was higher here. </w:t>
      </w:r>
      <w:r w:rsidRPr="001D2D3C">
        <w:rPr>
          <w:sz w:val="16"/>
          <w:szCs w:val="16"/>
          <w:lang w:val="en-GB"/>
        </w:rPr>
        <w:t xml:space="preserve">    </w:t>
      </w:r>
    </w:p>
  </w:footnote>
  <w:footnote w:id="53">
    <w:p w14:paraId="6DA77719" w14:textId="72093DD6" w:rsidR="00E37C1C" w:rsidRPr="00F52F07" w:rsidRDefault="00E37C1C" w:rsidP="00F53917">
      <w:pPr>
        <w:pStyle w:val="Textpoznpodarou"/>
        <w:rPr>
          <w:sz w:val="16"/>
          <w:szCs w:val="16"/>
          <w:lang w:val="en-GB"/>
        </w:rPr>
      </w:pPr>
      <w:r w:rsidRPr="00063A81">
        <w:rPr>
          <w:rStyle w:val="Znakapoznpodarou"/>
          <w:sz w:val="16"/>
          <w:szCs w:val="16"/>
        </w:rPr>
        <w:footnoteRef/>
      </w:r>
      <w:r w:rsidRPr="00063A81">
        <w:rPr>
          <w:sz w:val="16"/>
          <w:szCs w:val="16"/>
        </w:rPr>
        <w:t xml:space="preserve"> </w:t>
      </w:r>
      <w:r w:rsidRPr="00F52F07">
        <w:rPr>
          <w:sz w:val="16"/>
          <w:szCs w:val="16"/>
          <w:lang w:val="en-GB"/>
        </w:rPr>
        <w:t>Prices of import of goods were thus raised by 17.2% last year.</w:t>
      </w:r>
    </w:p>
  </w:footnote>
  <w:footnote w:id="54">
    <w:p w14:paraId="4C90DB90" w14:textId="749CFA8F" w:rsidR="00E37C1C" w:rsidRPr="00D772A5" w:rsidRDefault="00E37C1C" w:rsidP="00B774BD">
      <w:pPr>
        <w:pStyle w:val="Textpoznpodarou"/>
        <w:jc w:val="both"/>
        <w:rPr>
          <w:sz w:val="16"/>
          <w:szCs w:val="16"/>
          <w:lang w:val="en-GB"/>
        </w:rPr>
      </w:pPr>
      <w:r w:rsidRPr="00FA373B">
        <w:rPr>
          <w:rStyle w:val="Znakapoznpodarou"/>
          <w:sz w:val="16"/>
          <w:szCs w:val="16"/>
        </w:rPr>
        <w:footnoteRef/>
      </w:r>
      <w:r w:rsidRPr="00FA373B">
        <w:rPr>
          <w:sz w:val="16"/>
          <w:szCs w:val="16"/>
        </w:rPr>
        <w:t xml:space="preserve"> </w:t>
      </w:r>
      <w:r w:rsidRPr="00D772A5">
        <w:rPr>
          <w:sz w:val="16"/>
          <w:szCs w:val="16"/>
          <w:lang w:val="en-GB"/>
        </w:rPr>
        <w:t>According to the breakdown of import of oil and natural gas to individual importers, mainly Norway was added among “new sources” last year (</w:t>
      </w:r>
      <w:r>
        <w:rPr>
          <w:sz w:val="16"/>
          <w:szCs w:val="16"/>
          <w:lang w:val="en-GB"/>
        </w:rPr>
        <w:t xml:space="preserve">from </w:t>
      </w:r>
      <w:r w:rsidRPr="00D772A5">
        <w:rPr>
          <w:sz w:val="16"/>
          <w:szCs w:val="16"/>
          <w:lang w:val="en-GB"/>
        </w:rPr>
        <w:t>1</w:t>
      </w:r>
      <w:r>
        <w:rPr>
          <w:sz w:val="16"/>
          <w:szCs w:val="16"/>
          <w:lang w:val="en-GB"/>
        </w:rPr>
        <w:t>.</w:t>
      </w:r>
      <w:r w:rsidRPr="00D772A5">
        <w:rPr>
          <w:sz w:val="16"/>
          <w:szCs w:val="16"/>
          <w:lang w:val="en-GB"/>
        </w:rPr>
        <w:t>2</w:t>
      </w:r>
      <w:r>
        <w:rPr>
          <w:sz w:val="16"/>
          <w:szCs w:val="16"/>
          <w:lang w:val="en-GB"/>
        </w:rPr>
        <w:t xml:space="preserve"> CZK bn in year </w:t>
      </w:r>
      <w:r w:rsidRPr="00D772A5">
        <w:rPr>
          <w:sz w:val="16"/>
          <w:szCs w:val="16"/>
          <w:lang w:val="en-GB"/>
        </w:rPr>
        <w:t xml:space="preserve">2021 </w:t>
      </w:r>
      <w:r>
        <w:rPr>
          <w:sz w:val="16"/>
          <w:szCs w:val="16"/>
          <w:lang w:val="en-GB"/>
        </w:rPr>
        <w:t xml:space="preserve">to </w:t>
      </w:r>
      <w:r w:rsidRPr="00D772A5">
        <w:rPr>
          <w:sz w:val="16"/>
          <w:szCs w:val="16"/>
          <w:lang w:val="en-GB"/>
        </w:rPr>
        <w:t>38</w:t>
      </w:r>
      <w:r>
        <w:rPr>
          <w:sz w:val="16"/>
          <w:szCs w:val="16"/>
          <w:lang w:val="en-GB"/>
        </w:rPr>
        <w:t>.</w:t>
      </w:r>
      <w:r w:rsidRPr="00D772A5">
        <w:rPr>
          <w:sz w:val="16"/>
          <w:szCs w:val="16"/>
          <w:lang w:val="en-GB"/>
        </w:rPr>
        <w:t>3</w:t>
      </w:r>
      <w:r>
        <w:rPr>
          <w:sz w:val="16"/>
          <w:szCs w:val="16"/>
          <w:lang w:val="en-GB"/>
        </w:rPr>
        <w:t xml:space="preserve"> bn last year</w:t>
      </w:r>
      <w:r w:rsidRPr="00D772A5">
        <w:rPr>
          <w:sz w:val="16"/>
          <w:szCs w:val="16"/>
          <w:lang w:val="en-GB"/>
        </w:rPr>
        <w:t>). Import of this commodity from the United States (+7</w:t>
      </w:r>
      <w:r>
        <w:rPr>
          <w:sz w:val="16"/>
          <w:szCs w:val="16"/>
          <w:lang w:val="en-GB"/>
        </w:rPr>
        <w:t>.</w:t>
      </w:r>
      <w:r w:rsidRPr="00D772A5">
        <w:rPr>
          <w:sz w:val="16"/>
          <w:szCs w:val="16"/>
          <w:lang w:val="en-GB"/>
        </w:rPr>
        <w:t>3</w:t>
      </w:r>
      <w:r>
        <w:rPr>
          <w:sz w:val="16"/>
          <w:szCs w:val="16"/>
          <w:lang w:val="en-GB"/>
        </w:rPr>
        <w:t xml:space="preserve"> CZK bn</w:t>
      </w:r>
      <w:r w:rsidRPr="00D772A5">
        <w:rPr>
          <w:sz w:val="16"/>
          <w:szCs w:val="16"/>
          <w:lang w:val="en-GB"/>
        </w:rPr>
        <w:t>, 79</w:t>
      </w:r>
      <w:r>
        <w:rPr>
          <w:sz w:val="16"/>
          <w:szCs w:val="16"/>
          <w:lang w:val="en-GB"/>
        </w:rPr>
        <w:t>.</w:t>
      </w:r>
      <w:r w:rsidRPr="00D772A5">
        <w:rPr>
          <w:sz w:val="16"/>
          <w:szCs w:val="16"/>
          <w:lang w:val="en-GB"/>
        </w:rPr>
        <w:t>2%)</w:t>
      </w:r>
      <w:r>
        <w:rPr>
          <w:sz w:val="16"/>
          <w:szCs w:val="16"/>
          <w:lang w:val="en-GB"/>
        </w:rPr>
        <w:t xml:space="preserve"> considerably increased via tankers with l</w:t>
      </w:r>
      <w:r w:rsidRPr="00D772A5">
        <w:rPr>
          <w:sz w:val="16"/>
          <w:szCs w:val="16"/>
          <w:lang w:val="en-GB"/>
        </w:rPr>
        <w:t xml:space="preserve">iquefied </w:t>
      </w:r>
      <w:r>
        <w:rPr>
          <w:sz w:val="16"/>
          <w:szCs w:val="16"/>
          <w:lang w:val="en-GB"/>
        </w:rPr>
        <w:t xml:space="preserve">gas and strengthened the existing ties to Azerbaijan </w:t>
      </w:r>
      <w:r w:rsidRPr="00D772A5">
        <w:rPr>
          <w:sz w:val="16"/>
          <w:szCs w:val="16"/>
          <w:lang w:val="en-GB"/>
        </w:rPr>
        <w:t>(+21</w:t>
      </w:r>
      <w:r>
        <w:rPr>
          <w:sz w:val="16"/>
          <w:szCs w:val="16"/>
          <w:lang w:val="en-GB"/>
        </w:rPr>
        <w:t>.</w:t>
      </w:r>
      <w:r w:rsidRPr="00D772A5">
        <w:rPr>
          <w:sz w:val="16"/>
          <w:szCs w:val="16"/>
          <w:lang w:val="en-GB"/>
        </w:rPr>
        <w:t xml:space="preserve">2 </w:t>
      </w:r>
      <w:r>
        <w:rPr>
          <w:sz w:val="16"/>
          <w:szCs w:val="16"/>
          <w:lang w:val="en-GB"/>
        </w:rPr>
        <w:t>bn</w:t>
      </w:r>
      <w:r w:rsidRPr="00D772A5">
        <w:rPr>
          <w:sz w:val="16"/>
          <w:szCs w:val="16"/>
          <w:lang w:val="en-GB"/>
        </w:rPr>
        <w:t>, 161</w:t>
      </w:r>
      <w:r>
        <w:rPr>
          <w:sz w:val="16"/>
          <w:szCs w:val="16"/>
          <w:lang w:val="en-GB"/>
        </w:rPr>
        <w:t>.</w:t>
      </w:r>
      <w:r w:rsidRPr="00D772A5">
        <w:rPr>
          <w:sz w:val="16"/>
          <w:szCs w:val="16"/>
          <w:lang w:val="en-GB"/>
        </w:rPr>
        <w:t xml:space="preserve">7%). </w:t>
      </w:r>
      <w:r>
        <w:rPr>
          <w:sz w:val="16"/>
          <w:szCs w:val="16"/>
          <w:lang w:val="en-GB"/>
        </w:rPr>
        <w:t xml:space="preserve">On the contrary the value of import of oils and natural gas from Kazakhstan decreased </w:t>
      </w:r>
      <w:r w:rsidRPr="00D772A5">
        <w:rPr>
          <w:sz w:val="16"/>
          <w:szCs w:val="16"/>
          <w:lang w:val="en-GB"/>
        </w:rPr>
        <w:t>(−3</w:t>
      </w:r>
      <w:r>
        <w:rPr>
          <w:sz w:val="16"/>
          <w:szCs w:val="16"/>
          <w:lang w:val="en-GB"/>
        </w:rPr>
        <w:t>.</w:t>
      </w:r>
      <w:r w:rsidRPr="00D772A5">
        <w:rPr>
          <w:sz w:val="16"/>
          <w:szCs w:val="16"/>
          <w:lang w:val="en-GB"/>
        </w:rPr>
        <w:t>8</w:t>
      </w:r>
      <w:r>
        <w:rPr>
          <w:sz w:val="16"/>
          <w:szCs w:val="16"/>
          <w:lang w:val="en-GB"/>
        </w:rPr>
        <w:t xml:space="preserve"> CZK bn</w:t>
      </w:r>
      <w:r w:rsidRPr="00D772A5">
        <w:rPr>
          <w:sz w:val="16"/>
          <w:szCs w:val="16"/>
          <w:lang w:val="en-GB"/>
        </w:rPr>
        <w:t>, −26</w:t>
      </w:r>
      <w:r>
        <w:rPr>
          <w:sz w:val="16"/>
          <w:szCs w:val="16"/>
          <w:lang w:val="en-GB"/>
        </w:rPr>
        <w:t>.</w:t>
      </w:r>
      <w:r w:rsidRPr="00D772A5">
        <w:rPr>
          <w:sz w:val="16"/>
          <w:szCs w:val="16"/>
          <w:lang w:val="en-GB"/>
        </w:rPr>
        <w:t>6%). These changes eventuated mainly in the second half of the year. Ru</w:t>
      </w:r>
      <w:r>
        <w:rPr>
          <w:sz w:val="16"/>
          <w:szCs w:val="16"/>
          <w:lang w:val="en-GB"/>
        </w:rPr>
        <w:t xml:space="preserve">ssia was liable in total for </w:t>
      </w:r>
      <w:r w:rsidRPr="00D772A5">
        <w:rPr>
          <w:sz w:val="16"/>
          <w:szCs w:val="16"/>
          <w:lang w:val="en-GB"/>
        </w:rPr>
        <w:t>68</w:t>
      </w:r>
      <w:r>
        <w:rPr>
          <w:sz w:val="16"/>
          <w:szCs w:val="16"/>
          <w:lang w:val="en-GB"/>
        </w:rPr>
        <w:t>.</w:t>
      </w:r>
      <w:r w:rsidRPr="00D772A5">
        <w:rPr>
          <w:sz w:val="16"/>
          <w:szCs w:val="16"/>
          <w:lang w:val="en-GB"/>
        </w:rPr>
        <w:t>7%</w:t>
      </w:r>
      <w:r>
        <w:rPr>
          <w:sz w:val="16"/>
          <w:szCs w:val="16"/>
          <w:lang w:val="en-GB"/>
        </w:rPr>
        <w:t xml:space="preserve"> of the value of imported oil and natural gas last year </w:t>
      </w:r>
      <w:r w:rsidRPr="00D772A5">
        <w:rPr>
          <w:sz w:val="16"/>
          <w:szCs w:val="16"/>
          <w:lang w:val="en-GB"/>
        </w:rPr>
        <w:t xml:space="preserve">(73.7% in year 2021).   </w:t>
      </w:r>
    </w:p>
  </w:footnote>
  <w:footnote w:id="55">
    <w:p w14:paraId="233F8F99" w14:textId="11D7B352" w:rsidR="00E37C1C" w:rsidRPr="00EC1984" w:rsidRDefault="00E37C1C" w:rsidP="00EC1984">
      <w:pPr>
        <w:pStyle w:val="Textpoznpodarou"/>
        <w:jc w:val="both"/>
        <w:rPr>
          <w:sz w:val="16"/>
          <w:szCs w:val="16"/>
          <w:lang w:val="en-GB"/>
        </w:rPr>
      </w:pPr>
      <w:r w:rsidRPr="000A4298">
        <w:rPr>
          <w:rStyle w:val="Znakapoznpodarou"/>
          <w:sz w:val="16"/>
          <w:szCs w:val="16"/>
        </w:rPr>
        <w:footnoteRef/>
      </w:r>
      <w:r>
        <w:rPr>
          <w:sz w:val="16"/>
          <w:szCs w:val="16"/>
        </w:rPr>
        <w:t xml:space="preserve"> </w:t>
      </w:r>
      <w:r>
        <w:rPr>
          <w:sz w:val="16"/>
          <w:szCs w:val="16"/>
          <w:lang w:val="en-GB"/>
        </w:rPr>
        <w:t>Imputed rentals expresses the cost of owner living. Apart from prices of housing themselves, it also contains the cost of construction and renovation and further fees. More at</w:t>
      </w:r>
      <w:r w:rsidRPr="00B10B82">
        <w:rPr>
          <w:sz w:val="16"/>
          <w:szCs w:val="16"/>
          <w:lang w:val="en-GB"/>
        </w:rPr>
        <w:t xml:space="preserve">: </w:t>
      </w:r>
      <w:hyperlink r:id="rId2" w:history="1">
        <w:r>
          <w:rPr>
            <w:rStyle w:val="Hypertextovodkaz"/>
            <w:sz w:val="16"/>
            <w:szCs w:val="16"/>
            <w:lang w:val="en-GB"/>
          </w:rPr>
          <w:t>https://www.czso.cz/csu/czso/methodological-note-to-consumer-price-index-imputed-rentals</w:t>
        </w:r>
      </w:hyperlink>
      <w:r w:rsidRPr="00B10B82">
        <w:rPr>
          <w:rStyle w:val="Hypertextovodkaz"/>
          <w:sz w:val="16"/>
          <w:szCs w:val="16"/>
          <w:u w:val="none"/>
          <w:lang w:val="en-GB"/>
        </w:rPr>
        <w:t>.</w:t>
      </w:r>
    </w:p>
  </w:footnote>
  <w:footnote w:id="56">
    <w:p w14:paraId="5874A66A" w14:textId="6FF32ACE" w:rsidR="00E37C1C" w:rsidRPr="00E353D7" w:rsidRDefault="00E37C1C" w:rsidP="00E353D7">
      <w:pPr>
        <w:pStyle w:val="Textpoznpodarou"/>
        <w:jc w:val="both"/>
        <w:rPr>
          <w:sz w:val="16"/>
          <w:szCs w:val="16"/>
          <w:lang w:val="en-GB"/>
        </w:rPr>
      </w:pPr>
      <w:r w:rsidRPr="00E353D7">
        <w:rPr>
          <w:rStyle w:val="Znakapoznpodarou"/>
          <w:sz w:val="16"/>
          <w:szCs w:val="16"/>
          <w:lang w:val="en-GB"/>
        </w:rPr>
        <w:footnoteRef/>
      </w:r>
      <w:r w:rsidRPr="00E353D7">
        <w:rPr>
          <w:sz w:val="16"/>
          <w:szCs w:val="16"/>
          <w:lang w:val="en-GB"/>
        </w:rPr>
        <w:t xml:space="preserve"> </w:t>
      </w:r>
      <w:r>
        <w:rPr>
          <w:sz w:val="16"/>
          <w:szCs w:val="16"/>
          <w:lang w:val="en-GB"/>
        </w:rPr>
        <w:t xml:space="preserve">Consists of personal care services and personal needs and supplements, social care, insurance and further financial services etc. </w:t>
      </w:r>
    </w:p>
  </w:footnote>
  <w:footnote w:id="57">
    <w:p w14:paraId="0E211571" w14:textId="79D098A0" w:rsidR="00E37C1C" w:rsidRPr="00E353D7" w:rsidRDefault="00E37C1C" w:rsidP="00681797">
      <w:pPr>
        <w:pStyle w:val="Textpoznpodarou"/>
        <w:jc w:val="both"/>
        <w:rPr>
          <w:sz w:val="16"/>
          <w:szCs w:val="16"/>
          <w:lang w:val="en-GB"/>
        </w:rPr>
      </w:pPr>
      <w:r w:rsidRPr="00E353D7">
        <w:rPr>
          <w:rStyle w:val="Znakapoznpodarou"/>
          <w:sz w:val="16"/>
          <w:szCs w:val="16"/>
          <w:lang w:val="en-GB"/>
        </w:rPr>
        <w:footnoteRef/>
      </w:r>
      <w:r w:rsidRPr="00E353D7">
        <w:rPr>
          <w:sz w:val="16"/>
          <w:szCs w:val="16"/>
          <w:lang w:val="en-GB"/>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consists of imputed rentals, which is the main reason for the difference between the HICP and Consumer price index. </w:t>
      </w:r>
    </w:p>
  </w:footnote>
  <w:footnote w:id="58">
    <w:p w14:paraId="264036DE" w14:textId="17C72C65" w:rsidR="00E37C1C" w:rsidRPr="006B4B60" w:rsidRDefault="00E37C1C" w:rsidP="006B4B60">
      <w:pPr>
        <w:pStyle w:val="Textpoznpodarou"/>
        <w:jc w:val="both"/>
        <w:rPr>
          <w:sz w:val="16"/>
          <w:szCs w:val="16"/>
          <w:lang w:val="en-GB"/>
        </w:rPr>
      </w:pPr>
      <w:r w:rsidRPr="005F66A4">
        <w:rPr>
          <w:rStyle w:val="Znakapoznpodarou"/>
          <w:sz w:val="16"/>
          <w:szCs w:val="16"/>
        </w:rPr>
        <w:footnoteRef/>
      </w:r>
      <w:r w:rsidRPr="005F66A4">
        <w:rPr>
          <w:sz w:val="16"/>
          <w:szCs w:val="16"/>
        </w:rPr>
        <w:t xml:space="preserve"> </w:t>
      </w:r>
      <w:r w:rsidRPr="006B4B60">
        <w:rPr>
          <w:sz w:val="16"/>
          <w:szCs w:val="16"/>
          <w:lang w:val="en-GB"/>
        </w:rPr>
        <w:t>Precise values of the indicator are not given due to the protection of individual data.</w:t>
      </w:r>
    </w:p>
  </w:footnote>
  <w:footnote w:id="59">
    <w:p w14:paraId="08859993" w14:textId="5BB59337" w:rsidR="00E37C1C" w:rsidRPr="000C5F73" w:rsidRDefault="00E37C1C" w:rsidP="006B4B60">
      <w:pPr>
        <w:pStyle w:val="Textpoznpodarou"/>
        <w:rPr>
          <w:sz w:val="16"/>
          <w:szCs w:val="16"/>
        </w:rPr>
      </w:pPr>
      <w:r w:rsidRPr="000C5F73">
        <w:rPr>
          <w:rStyle w:val="Znakapoznpodarou"/>
          <w:sz w:val="16"/>
          <w:szCs w:val="16"/>
        </w:rPr>
        <w:footnoteRef/>
      </w:r>
      <w:r w:rsidRPr="000C5F73">
        <w:rPr>
          <w:sz w:val="16"/>
          <w:szCs w:val="16"/>
        </w:rPr>
        <w:t xml:space="preserve"> </w:t>
      </w:r>
      <w:r w:rsidRPr="00350728">
        <w:rPr>
          <w:sz w:val="16"/>
          <w:szCs w:val="16"/>
          <w:lang w:val="en-GB"/>
        </w:rPr>
        <w:t>Excluding prices of water supply and waste management.</w:t>
      </w:r>
    </w:p>
  </w:footnote>
  <w:footnote w:id="60">
    <w:p w14:paraId="0861555A" w14:textId="08F86826" w:rsidR="00E37C1C" w:rsidRPr="00BF14A6" w:rsidRDefault="00E37C1C" w:rsidP="00375CB9">
      <w:pPr>
        <w:pStyle w:val="Textpoznpodarou"/>
        <w:jc w:val="both"/>
        <w:rPr>
          <w:sz w:val="16"/>
          <w:szCs w:val="16"/>
          <w:lang w:val="en-GB"/>
        </w:rPr>
      </w:pPr>
      <w:r w:rsidRPr="00C11C5A">
        <w:rPr>
          <w:rStyle w:val="Znakapoznpodarou"/>
          <w:sz w:val="16"/>
          <w:szCs w:val="16"/>
        </w:rPr>
        <w:footnoteRef/>
      </w:r>
      <w:r>
        <w:rPr>
          <w:sz w:val="16"/>
          <w:szCs w:val="16"/>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24.387 CZK/EUR in Q4 2022. It was 25.377 CZK/EUR in year 2021. The average was 24.565 CZK EUR for the whole year 2022 (25.645 CZK/EUR in the preceding year). Koruna foreign </w:t>
      </w:r>
      <w:r w:rsidRPr="00BF14A6">
        <w:rPr>
          <w:sz w:val="16"/>
          <w:szCs w:val="16"/>
          <w:lang w:val="en-GB"/>
        </w:rPr>
        <w:t>exchange per dollar depreciated year-on-year. The average was 22.192 CZK/USD in Q4 2021 and 23.923 CZK/USD this year</w:t>
      </w:r>
      <w:r>
        <w:rPr>
          <w:sz w:val="16"/>
          <w:szCs w:val="16"/>
          <w:lang w:val="en-GB"/>
        </w:rPr>
        <w:t>.</w:t>
      </w:r>
      <w:r w:rsidRPr="00BF14A6">
        <w:rPr>
          <w:sz w:val="16"/>
          <w:szCs w:val="16"/>
          <w:lang w:val="en-GB"/>
        </w:rPr>
        <w:t xml:space="preserve"> Last year’s total average attained 23.360 CZK/USD and 21.682 CZK/USD in year 2021.</w:t>
      </w:r>
    </w:p>
  </w:footnote>
  <w:footnote w:id="61">
    <w:p w14:paraId="191412F9" w14:textId="61F9D9DA" w:rsidR="00E37C1C" w:rsidRPr="00455B02" w:rsidRDefault="00E37C1C" w:rsidP="00F45EE4">
      <w:pPr>
        <w:pStyle w:val="Textpoznpodarou"/>
        <w:jc w:val="both"/>
        <w:rPr>
          <w:sz w:val="16"/>
          <w:szCs w:val="16"/>
          <w:lang w:val="en-GB"/>
        </w:rPr>
      </w:pPr>
      <w:r w:rsidRPr="00BF14A6">
        <w:rPr>
          <w:rStyle w:val="Znakapoznpodarou"/>
          <w:sz w:val="16"/>
          <w:szCs w:val="16"/>
          <w:lang w:val="en-GB"/>
        </w:rPr>
        <w:footnoteRef/>
      </w:r>
      <w:r w:rsidRPr="00BF14A6">
        <w:rPr>
          <w:sz w:val="16"/>
          <w:szCs w:val="16"/>
          <w:lang w:val="en-GB"/>
        </w:rPr>
        <w:t xml:space="preserve"> SITC 6 – manufactured</w:t>
      </w:r>
      <w:r w:rsidRPr="00217809">
        <w:rPr>
          <w:sz w:val="16"/>
          <w:szCs w:val="16"/>
          <w:lang w:val="en-GB"/>
        </w:rPr>
        <w:t xml:space="preserve"> goods classified chiefly by material</w:t>
      </w:r>
      <w:r>
        <w:rPr>
          <w:sz w:val="16"/>
          <w:szCs w:val="16"/>
          <w:lang w:val="en-GB"/>
        </w:rPr>
        <w:t>.</w:t>
      </w:r>
    </w:p>
  </w:footnote>
  <w:footnote w:id="62">
    <w:p w14:paraId="3228938E" w14:textId="5E4B3140" w:rsidR="00E37C1C" w:rsidRPr="00455B02" w:rsidRDefault="00E37C1C" w:rsidP="00F45EE4">
      <w:pPr>
        <w:pStyle w:val="Textpoznpodarou"/>
        <w:jc w:val="both"/>
        <w:rPr>
          <w:sz w:val="16"/>
          <w:szCs w:val="16"/>
          <w:lang w:val="en-GB"/>
        </w:rPr>
      </w:pPr>
      <w:r w:rsidRPr="00455B02">
        <w:rPr>
          <w:rStyle w:val="Znakapoznpodarou"/>
          <w:sz w:val="16"/>
          <w:szCs w:val="16"/>
          <w:lang w:val="en-GB"/>
        </w:rPr>
        <w:footnoteRef/>
      </w:r>
      <w:r w:rsidRPr="00455B02">
        <w:rPr>
          <w:sz w:val="16"/>
          <w:szCs w:val="16"/>
          <w:lang w:val="en-GB"/>
        </w:rPr>
        <w:t xml:space="preserve"> SITC 2 – </w:t>
      </w:r>
      <w:r w:rsidRPr="00A25E62">
        <w:rPr>
          <w:sz w:val="16"/>
          <w:szCs w:val="16"/>
          <w:lang w:val="en-GB"/>
        </w:rPr>
        <w:t xml:space="preserve">crude materials inedible, except fuels. </w:t>
      </w:r>
    </w:p>
  </w:footnote>
  <w:footnote w:id="63">
    <w:p w14:paraId="4D6296D8" w14:textId="5C47E0B5" w:rsidR="00E37C1C" w:rsidRPr="00D717A1" w:rsidRDefault="00E37C1C" w:rsidP="00D717A1">
      <w:pPr>
        <w:pStyle w:val="Textpoznpodarou"/>
        <w:jc w:val="both"/>
        <w:rPr>
          <w:color w:val="0D0D0D" w:themeColor="text1" w:themeTint="F2"/>
          <w:spacing w:val="-2"/>
          <w:sz w:val="16"/>
          <w:szCs w:val="16"/>
          <w:lang w:val="en-GB"/>
        </w:rPr>
      </w:pPr>
      <w:r w:rsidRPr="00F72E52">
        <w:rPr>
          <w:rStyle w:val="Znakapoznpodarou"/>
          <w:color w:val="0D0D0D" w:themeColor="text1" w:themeTint="F2"/>
          <w:spacing w:val="-2"/>
          <w:sz w:val="16"/>
          <w:szCs w:val="16"/>
        </w:rPr>
        <w:footnoteRef/>
      </w:r>
      <w:r w:rsidRPr="00F72E52">
        <w:rPr>
          <w:color w:val="0D0D0D" w:themeColor="text1" w:themeTint="F2"/>
          <w:spacing w:val="-2"/>
          <w:sz w:val="16"/>
          <w:szCs w:val="16"/>
        </w:rPr>
        <w:t xml:space="preserve"> </w:t>
      </w:r>
      <w:r w:rsidRPr="009E74B3">
        <w:rPr>
          <w:sz w:val="16"/>
          <w:szCs w:val="16"/>
          <w:lang w:val="en-GB"/>
        </w:rPr>
        <w:t>Data regarding employment stem from the national accounts’ conception. They are expressed in physical persons and adjusted for seasonal effects</w:t>
      </w:r>
      <w:r w:rsidRPr="009E74B3">
        <w:rPr>
          <w:spacing w:val="-6"/>
          <w:sz w:val="16"/>
          <w:szCs w:val="16"/>
          <w:lang w:val="en-GB"/>
        </w:rPr>
        <w:t xml:space="preserve">. </w:t>
      </w:r>
    </w:p>
  </w:footnote>
  <w:footnote w:id="64">
    <w:p w14:paraId="5A41B721" w14:textId="5F23E74A" w:rsidR="00E37C1C" w:rsidRPr="00D717A1" w:rsidRDefault="00E37C1C" w:rsidP="00D717A1">
      <w:pPr>
        <w:pStyle w:val="Textpoznpodarou"/>
        <w:jc w:val="both"/>
        <w:rPr>
          <w:sz w:val="16"/>
          <w:szCs w:val="16"/>
          <w:lang w:val="en-GB"/>
        </w:rPr>
      </w:pPr>
      <w:r w:rsidRPr="00D717A1">
        <w:rPr>
          <w:rStyle w:val="Znakapoznpodarou"/>
          <w:sz w:val="16"/>
          <w:szCs w:val="16"/>
          <w:lang w:val="en-GB"/>
        </w:rPr>
        <w:footnoteRef/>
      </w:r>
      <w:r w:rsidRPr="00D717A1">
        <w:rPr>
          <w:sz w:val="16"/>
          <w:szCs w:val="16"/>
          <w:lang w:val="en-GB"/>
        </w:rPr>
        <w:t xml:space="preserve"> </w:t>
      </w:r>
      <w:r>
        <w:rPr>
          <w:sz w:val="16"/>
          <w:szCs w:val="16"/>
          <w:lang w:val="en-GB"/>
        </w:rPr>
        <w:t xml:space="preserve">More detailed data from the Labour Force Sample Survey </w:t>
      </w:r>
      <w:r w:rsidRPr="00D717A1">
        <w:rPr>
          <w:sz w:val="16"/>
          <w:szCs w:val="16"/>
          <w:lang w:val="en-GB"/>
        </w:rPr>
        <w:t>(</w:t>
      </w:r>
      <w:r>
        <w:rPr>
          <w:sz w:val="16"/>
          <w:szCs w:val="16"/>
          <w:lang w:val="en-GB"/>
        </w:rPr>
        <w:t>LFSS</w:t>
      </w:r>
      <w:r w:rsidRPr="00D717A1">
        <w:rPr>
          <w:sz w:val="16"/>
          <w:szCs w:val="16"/>
          <w:lang w:val="en-GB"/>
        </w:rPr>
        <w:t>)</w:t>
      </w:r>
      <w:r>
        <w:rPr>
          <w:sz w:val="16"/>
          <w:szCs w:val="16"/>
          <w:lang w:val="en-GB"/>
        </w:rPr>
        <w:t xml:space="preserve"> imply, that the number of employers </w:t>
      </w:r>
      <w:r w:rsidRPr="00D717A1">
        <w:rPr>
          <w:sz w:val="16"/>
          <w:szCs w:val="16"/>
          <w:lang w:val="en-GB"/>
        </w:rPr>
        <w:t>(</w:t>
      </w:r>
      <w:r>
        <w:rPr>
          <w:sz w:val="16"/>
          <w:szCs w:val="16"/>
          <w:lang w:val="en-GB"/>
        </w:rPr>
        <w:t>entrepreneurs with employees</w:t>
      </w:r>
      <w:r w:rsidRPr="00D717A1">
        <w:rPr>
          <w:sz w:val="16"/>
          <w:szCs w:val="16"/>
          <w:lang w:val="en-GB"/>
        </w:rPr>
        <w:t>)</w:t>
      </w:r>
      <w:r>
        <w:rPr>
          <w:sz w:val="16"/>
          <w:szCs w:val="16"/>
          <w:lang w:val="en-GB"/>
        </w:rPr>
        <w:t xml:space="preserve"> further decreased </w:t>
      </w:r>
      <w:r w:rsidRPr="00D717A1">
        <w:rPr>
          <w:sz w:val="16"/>
          <w:szCs w:val="16"/>
          <w:lang w:val="en-GB"/>
        </w:rPr>
        <w:t>(</w:t>
      </w:r>
      <w:r>
        <w:rPr>
          <w:sz w:val="16"/>
          <w:szCs w:val="16"/>
          <w:lang w:val="en-GB"/>
        </w:rPr>
        <w:t>fourth year in a row</w:t>
      </w:r>
      <w:r w:rsidRPr="00D717A1">
        <w:rPr>
          <w:sz w:val="16"/>
          <w:szCs w:val="16"/>
          <w:lang w:val="en-GB"/>
        </w:rPr>
        <w:t>). T</w:t>
      </w:r>
      <w:r>
        <w:rPr>
          <w:sz w:val="16"/>
          <w:szCs w:val="16"/>
          <w:lang w:val="en-GB"/>
        </w:rPr>
        <w:t xml:space="preserve">his group of entrepreneurs is in the methodology of national accounts included into the category of employees. </w:t>
      </w:r>
    </w:p>
  </w:footnote>
  <w:footnote w:id="65">
    <w:p w14:paraId="261B64F3" w14:textId="606840B9" w:rsidR="00E37C1C" w:rsidRPr="00D717A1" w:rsidRDefault="00E37C1C" w:rsidP="00D717A1">
      <w:pPr>
        <w:pStyle w:val="Textpoznpodarou"/>
        <w:jc w:val="both"/>
        <w:rPr>
          <w:color w:val="0D0D0D" w:themeColor="text1" w:themeTint="F2"/>
          <w:sz w:val="16"/>
          <w:szCs w:val="16"/>
          <w:lang w:val="en-GB"/>
        </w:rPr>
      </w:pPr>
      <w:r w:rsidRPr="00D717A1">
        <w:rPr>
          <w:rStyle w:val="Znakapoznpodarou"/>
          <w:color w:val="0D0D0D" w:themeColor="text1" w:themeTint="F2"/>
          <w:sz w:val="16"/>
          <w:szCs w:val="16"/>
          <w:lang w:val="en-GB"/>
        </w:rPr>
        <w:footnoteRef/>
      </w:r>
      <w:r w:rsidRPr="00D717A1">
        <w:rPr>
          <w:color w:val="0D0D0D" w:themeColor="text1" w:themeTint="F2"/>
          <w:sz w:val="16"/>
          <w:szCs w:val="16"/>
          <w:lang w:val="en-GB"/>
        </w:rPr>
        <w:t xml:space="preserve"> </w:t>
      </w:r>
      <w:r>
        <w:rPr>
          <w:color w:val="0D0D0D" w:themeColor="text1" w:themeTint="F2"/>
          <w:sz w:val="16"/>
          <w:szCs w:val="16"/>
          <w:lang w:val="en-GB"/>
        </w:rPr>
        <w:t>Branches with the prevalent public services, including p</w:t>
      </w:r>
      <w:r w:rsidRPr="00FC3DB2">
        <w:rPr>
          <w:sz w:val="16"/>
          <w:szCs w:val="16"/>
          <w:lang w:val="en-GB"/>
        </w:rPr>
        <w:t>ublic administration</w:t>
      </w:r>
      <w:r w:rsidR="003862C0">
        <w:rPr>
          <w:sz w:val="16"/>
          <w:szCs w:val="16"/>
          <w:lang w:val="en-GB"/>
        </w:rPr>
        <w:t>, defence</w:t>
      </w:r>
      <w:r>
        <w:rPr>
          <w:sz w:val="16"/>
          <w:szCs w:val="16"/>
          <w:lang w:val="en-GB"/>
        </w:rPr>
        <w:t xml:space="preserve"> and social security and also </w:t>
      </w:r>
      <w:r w:rsidRPr="00FC3DB2">
        <w:rPr>
          <w:sz w:val="16"/>
          <w:szCs w:val="16"/>
          <w:lang w:val="en-GB"/>
        </w:rPr>
        <w:t>education</w:t>
      </w:r>
      <w:r>
        <w:rPr>
          <w:sz w:val="16"/>
          <w:szCs w:val="16"/>
          <w:lang w:val="en-GB"/>
        </w:rPr>
        <w:t xml:space="preserve"> and </w:t>
      </w:r>
      <w:r w:rsidRPr="00FC3DB2">
        <w:rPr>
          <w:sz w:val="16"/>
          <w:szCs w:val="16"/>
          <w:lang w:val="en-GB"/>
        </w:rPr>
        <w:t>health and social work</w:t>
      </w:r>
      <w:r>
        <w:rPr>
          <w:sz w:val="16"/>
          <w:szCs w:val="16"/>
          <w:lang w:val="en-GB"/>
        </w:rPr>
        <w:t xml:space="preserve">, had the most pro-growth effect on the employment out of all key branches also in years </w:t>
      </w:r>
      <w:r w:rsidRPr="00C723DE">
        <w:rPr>
          <w:color w:val="0D0D0D" w:themeColor="text1" w:themeTint="F2"/>
          <w:sz w:val="16"/>
          <w:szCs w:val="16"/>
          <w:lang w:val="en-GB"/>
        </w:rPr>
        <w:t>2020 a</w:t>
      </w:r>
      <w:r>
        <w:rPr>
          <w:color w:val="0D0D0D" w:themeColor="text1" w:themeTint="F2"/>
          <w:sz w:val="16"/>
          <w:szCs w:val="16"/>
          <w:lang w:val="en-GB"/>
        </w:rPr>
        <w:t>nd</w:t>
      </w:r>
      <w:r w:rsidRPr="00C723DE">
        <w:rPr>
          <w:color w:val="0D0D0D" w:themeColor="text1" w:themeTint="F2"/>
          <w:sz w:val="16"/>
          <w:szCs w:val="16"/>
          <w:lang w:val="en-GB"/>
        </w:rPr>
        <w:t> 2021.</w:t>
      </w:r>
      <w:r>
        <w:rPr>
          <w:color w:val="0D0D0D" w:themeColor="text1" w:themeTint="F2"/>
          <w:sz w:val="16"/>
          <w:szCs w:val="16"/>
          <w:lang w:val="en-GB"/>
        </w:rPr>
        <w:t xml:space="preserve"> </w:t>
      </w:r>
    </w:p>
  </w:footnote>
  <w:footnote w:id="66">
    <w:p w14:paraId="03FC90B4" w14:textId="6ADF3A43" w:rsidR="00E37C1C" w:rsidRPr="00D717A1" w:rsidRDefault="00E37C1C" w:rsidP="00D717A1">
      <w:pPr>
        <w:pStyle w:val="Textpoznpodarou"/>
        <w:jc w:val="both"/>
        <w:rPr>
          <w:sz w:val="16"/>
          <w:szCs w:val="16"/>
          <w:lang w:val="en-GB"/>
        </w:rPr>
      </w:pPr>
      <w:r w:rsidRPr="00D717A1">
        <w:rPr>
          <w:rStyle w:val="Znakapoznpodarou"/>
          <w:sz w:val="16"/>
          <w:szCs w:val="16"/>
          <w:lang w:val="en-GB"/>
        </w:rPr>
        <w:footnoteRef/>
      </w:r>
      <w:r w:rsidRPr="00D717A1">
        <w:rPr>
          <w:sz w:val="16"/>
          <w:szCs w:val="16"/>
          <w:lang w:val="en-GB"/>
        </w:rPr>
        <w:t xml:space="preserve"> T</w:t>
      </w:r>
      <w:r w:rsidR="003862C0">
        <w:rPr>
          <w:sz w:val="16"/>
          <w:szCs w:val="16"/>
          <w:lang w:val="en-GB"/>
        </w:rPr>
        <w:t>hey include arts, entertainme</w:t>
      </w:r>
      <w:r>
        <w:rPr>
          <w:sz w:val="16"/>
          <w:szCs w:val="16"/>
          <w:lang w:val="en-GB"/>
        </w:rPr>
        <w:t xml:space="preserve">nt and recreational activities and further especially the provision of personal services </w:t>
      </w:r>
      <w:r w:rsidRPr="00D717A1">
        <w:rPr>
          <w:sz w:val="16"/>
          <w:szCs w:val="16"/>
          <w:lang w:val="en-GB"/>
        </w:rPr>
        <w:t>(</w:t>
      </w:r>
      <w:r>
        <w:rPr>
          <w:sz w:val="16"/>
          <w:szCs w:val="16"/>
          <w:lang w:val="en-GB"/>
        </w:rPr>
        <w:t>e.g. hairdressing, beauty services, cleaning services or repairs of products for personal use and mainly for households</w:t>
      </w:r>
      <w:r w:rsidRPr="00D717A1">
        <w:rPr>
          <w:sz w:val="16"/>
          <w:szCs w:val="16"/>
          <w:lang w:val="en-GB"/>
        </w:rPr>
        <w:t>).</w:t>
      </w:r>
    </w:p>
  </w:footnote>
  <w:footnote w:id="67">
    <w:p w14:paraId="0B47F561" w14:textId="1AC16AA5" w:rsidR="00E37C1C" w:rsidRPr="004C7D10" w:rsidRDefault="00E37C1C" w:rsidP="00A356C1">
      <w:pPr>
        <w:pStyle w:val="Textpoznpodarou"/>
        <w:jc w:val="both"/>
        <w:rPr>
          <w:spacing w:val="-4"/>
          <w:sz w:val="16"/>
          <w:szCs w:val="16"/>
          <w:lang w:val="en-GB"/>
        </w:rPr>
      </w:pPr>
      <w:r w:rsidRPr="00990A47">
        <w:rPr>
          <w:rStyle w:val="Znakapoznpodarou"/>
          <w:spacing w:val="-4"/>
          <w:sz w:val="16"/>
          <w:szCs w:val="16"/>
        </w:rPr>
        <w:footnoteRef/>
      </w:r>
      <w:r w:rsidRPr="00990A47">
        <w:rPr>
          <w:spacing w:val="-4"/>
          <w:sz w:val="16"/>
          <w:szCs w:val="16"/>
        </w:rPr>
        <w:t xml:space="preserve"> </w:t>
      </w:r>
      <w:r w:rsidRPr="004C7D10">
        <w:rPr>
          <w:spacing w:val="-4"/>
          <w:sz w:val="16"/>
          <w:szCs w:val="16"/>
          <w:lang w:val="en-GB"/>
        </w:rPr>
        <w:t xml:space="preserve">As also evidenced by the long-term decline of the number of economically inactive persons stating willingness to work (partially also affected by the change of the age structure of population, e.g. </w:t>
      </w:r>
      <w:r>
        <w:rPr>
          <w:spacing w:val="-4"/>
          <w:sz w:val="16"/>
          <w:szCs w:val="16"/>
          <w:lang w:val="en-GB"/>
        </w:rPr>
        <w:t xml:space="preserve">decrease of young aged </w:t>
      </w:r>
      <w:r w:rsidRPr="004C7D10">
        <w:rPr>
          <w:spacing w:val="-4"/>
          <w:sz w:val="16"/>
          <w:szCs w:val="16"/>
          <w:lang w:val="en-GB"/>
        </w:rPr>
        <w:t>15</w:t>
      </w:r>
      <w:r>
        <w:rPr>
          <w:spacing w:val="-4"/>
          <w:sz w:val="16"/>
          <w:szCs w:val="16"/>
          <w:lang w:val="en-GB"/>
        </w:rPr>
        <w:t xml:space="preserve"> to 2</w:t>
      </w:r>
      <w:r w:rsidRPr="004C7D10">
        <w:rPr>
          <w:spacing w:val="-4"/>
          <w:sz w:val="16"/>
          <w:szCs w:val="16"/>
          <w:lang w:val="en-GB"/>
        </w:rPr>
        <w:t xml:space="preserve">4 </w:t>
      </w:r>
      <w:r>
        <w:rPr>
          <w:spacing w:val="-4"/>
          <w:sz w:val="16"/>
          <w:szCs w:val="16"/>
          <w:lang w:val="en-GB"/>
        </w:rPr>
        <w:t>years</w:t>
      </w:r>
      <w:r w:rsidRPr="004C7D10">
        <w:rPr>
          <w:spacing w:val="-4"/>
          <w:sz w:val="16"/>
          <w:szCs w:val="16"/>
          <w:lang w:val="en-GB"/>
        </w:rPr>
        <w:t xml:space="preserve">). </w:t>
      </w:r>
      <w:r>
        <w:rPr>
          <w:spacing w:val="-4"/>
          <w:sz w:val="16"/>
          <w:szCs w:val="16"/>
          <w:lang w:val="en-GB"/>
        </w:rPr>
        <w:t>There were only 50 thousand of these inactive persons in Q4</w:t>
      </w:r>
      <w:r w:rsidRPr="004C7D10">
        <w:rPr>
          <w:spacing w:val="-4"/>
          <w:sz w:val="16"/>
          <w:szCs w:val="16"/>
          <w:lang w:val="en-GB"/>
        </w:rPr>
        <w:t xml:space="preserve">. </w:t>
      </w:r>
      <w:r>
        <w:rPr>
          <w:spacing w:val="-4"/>
          <w:sz w:val="16"/>
          <w:szCs w:val="16"/>
          <w:lang w:val="en-GB"/>
        </w:rPr>
        <w:t xml:space="preserve">Together with underemployed and all unemployed it was just below </w:t>
      </w:r>
      <w:r w:rsidRPr="004C7D10">
        <w:rPr>
          <w:spacing w:val="-4"/>
          <w:sz w:val="16"/>
          <w:szCs w:val="16"/>
          <w:lang w:val="en-GB"/>
        </w:rPr>
        <w:t>200 t</w:t>
      </w:r>
      <w:r>
        <w:rPr>
          <w:spacing w:val="-4"/>
          <w:sz w:val="16"/>
          <w:szCs w:val="16"/>
          <w:lang w:val="en-GB"/>
        </w:rPr>
        <w:t>housand of persons</w:t>
      </w:r>
      <w:r w:rsidRPr="004C7D10">
        <w:rPr>
          <w:spacing w:val="-4"/>
          <w:sz w:val="16"/>
          <w:szCs w:val="16"/>
          <w:lang w:val="en-GB"/>
        </w:rPr>
        <w:t xml:space="preserve">. </w:t>
      </w:r>
      <w:r>
        <w:rPr>
          <w:spacing w:val="-4"/>
          <w:sz w:val="16"/>
          <w:szCs w:val="16"/>
          <w:lang w:val="en-GB"/>
        </w:rPr>
        <w:t xml:space="preserve">In relation to the total number of employed it was less than </w:t>
      </w:r>
      <w:r w:rsidRPr="004C7D10">
        <w:rPr>
          <w:spacing w:val="-4"/>
          <w:sz w:val="16"/>
          <w:szCs w:val="16"/>
          <w:lang w:val="en-GB"/>
        </w:rPr>
        <w:t>4%.</w:t>
      </w:r>
    </w:p>
  </w:footnote>
  <w:footnote w:id="68">
    <w:p w14:paraId="629D2F40" w14:textId="48E349F9" w:rsidR="00E37C1C" w:rsidRPr="004C7D10" w:rsidRDefault="00E37C1C" w:rsidP="00A356C1">
      <w:pPr>
        <w:pStyle w:val="Textpoznpodarou"/>
        <w:jc w:val="both"/>
        <w:rPr>
          <w:color w:val="0D0D0D" w:themeColor="text1" w:themeTint="F2"/>
          <w:spacing w:val="-4"/>
          <w:sz w:val="16"/>
          <w:szCs w:val="16"/>
          <w:lang w:val="en-GB"/>
        </w:rPr>
      </w:pPr>
      <w:r w:rsidRPr="004C7D10">
        <w:rPr>
          <w:rStyle w:val="Znakapoznpodarou"/>
          <w:color w:val="0D0D0D" w:themeColor="text1" w:themeTint="F2"/>
          <w:spacing w:val="-4"/>
          <w:sz w:val="16"/>
          <w:szCs w:val="16"/>
          <w:lang w:val="en-GB"/>
        </w:rPr>
        <w:footnoteRef/>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Labour offices (LO) registered </w:t>
      </w:r>
      <w:r w:rsidRPr="004C7D10">
        <w:rPr>
          <w:color w:val="0D0D0D" w:themeColor="text1" w:themeTint="F2"/>
          <w:spacing w:val="-4"/>
          <w:sz w:val="16"/>
          <w:szCs w:val="16"/>
          <w:lang w:val="en-GB"/>
        </w:rPr>
        <w:t>774 t</w:t>
      </w:r>
      <w:r>
        <w:rPr>
          <w:color w:val="0D0D0D" w:themeColor="text1" w:themeTint="F2"/>
          <w:spacing w:val="-4"/>
          <w:sz w:val="16"/>
          <w:szCs w:val="16"/>
          <w:lang w:val="en-GB"/>
        </w:rPr>
        <w:t xml:space="preserve">housand of foreigners in the employee position on the CR territory in January 2023 </w:t>
      </w:r>
      <w:r w:rsidRPr="004C7D10">
        <w:rPr>
          <w:color w:val="0D0D0D" w:themeColor="text1" w:themeTint="F2"/>
          <w:spacing w:val="-4"/>
          <w:sz w:val="16"/>
          <w:szCs w:val="16"/>
          <w:lang w:val="en-GB"/>
        </w:rPr>
        <w:t>(</w:t>
      </w:r>
      <w:r>
        <w:rPr>
          <w:color w:val="0D0D0D" w:themeColor="text1" w:themeTint="F2"/>
          <w:spacing w:val="-4"/>
          <w:sz w:val="16"/>
          <w:szCs w:val="16"/>
          <w:lang w:val="en-GB"/>
        </w:rPr>
        <w:t>mild decre</w:t>
      </w:r>
      <w:r w:rsidR="00C32290">
        <w:rPr>
          <w:color w:val="0D0D0D" w:themeColor="text1" w:themeTint="F2"/>
          <w:spacing w:val="-4"/>
          <w:sz w:val="16"/>
          <w:szCs w:val="16"/>
          <w:lang w:val="en-GB"/>
        </w:rPr>
        <w:t xml:space="preserve">ase against the end of the preceding </w:t>
      </w:r>
      <w:r>
        <w:rPr>
          <w:color w:val="0D0D0D" w:themeColor="text1" w:themeTint="F2"/>
          <w:spacing w:val="-4"/>
          <w:sz w:val="16"/>
          <w:szCs w:val="16"/>
          <w:lang w:val="en-GB"/>
        </w:rPr>
        <w:t>year is associated with regular seasonal movements</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The number of working in employee positions expanded by </w:t>
      </w:r>
      <w:r w:rsidRPr="004C7D10">
        <w:rPr>
          <w:color w:val="0D0D0D" w:themeColor="text1" w:themeTint="F2"/>
          <w:spacing w:val="-4"/>
          <w:sz w:val="16"/>
          <w:szCs w:val="16"/>
          <w:lang w:val="en-GB"/>
        </w:rPr>
        <w:t>77 t</w:t>
      </w:r>
      <w:r>
        <w:rPr>
          <w:color w:val="0D0D0D" w:themeColor="text1" w:themeTint="F2"/>
          <w:spacing w:val="-4"/>
          <w:sz w:val="16"/>
          <w:szCs w:val="16"/>
          <w:lang w:val="en-GB"/>
        </w:rPr>
        <w:t>housand against January 2022</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Workers from Ukraine essentially contributed to this result, with their number rising nearly by one third </w:t>
      </w:r>
      <w:r w:rsidRPr="004C7D10">
        <w:rPr>
          <w:color w:val="0D0D0D" w:themeColor="text1" w:themeTint="F2"/>
          <w:spacing w:val="-4"/>
          <w:sz w:val="16"/>
          <w:szCs w:val="16"/>
          <w:lang w:val="en-GB"/>
        </w:rPr>
        <w:t>(+63 t</w:t>
      </w:r>
      <w:r>
        <w:rPr>
          <w:color w:val="0D0D0D" w:themeColor="text1" w:themeTint="F2"/>
          <w:spacing w:val="-4"/>
          <w:sz w:val="16"/>
          <w:szCs w:val="16"/>
          <w:lang w:val="en-GB"/>
        </w:rPr>
        <w:t>housand</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in that </w:t>
      </w:r>
      <w:r w:rsidRPr="004C7D10">
        <w:rPr>
          <w:color w:val="0D0D0D" w:themeColor="text1" w:themeTint="F2"/>
          <w:spacing w:val="-4"/>
          <w:sz w:val="16"/>
          <w:szCs w:val="16"/>
          <w:lang w:val="en-GB"/>
        </w:rPr>
        <w:t>+51 t</w:t>
      </w:r>
      <w:r>
        <w:rPr>
          <w:color w:val="0D0D0D" w:themeColor="text1" w:themeTint="F2"/>
          <w:spacing w:val="-4"/>
          <w:sz w:val="16"/>
          <w:szCs w:val="16"/>
          <w:lang w:val="en-GB"/>
        </w:rPr>
        <w:t>housand females</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to total </w:t>
      </w:r>
      <w:r w:rsidRPr="004C7D10">
        <w:rPr>
          <w:color w:val="0D0D0D" w:themeColor="text1" w:themeTint="F2"/>
          <w:spacing w:val="-4"/>
          <w:sz w:val="16"/>
          <w:szCs w:val="16"/>
          <w:lang w:val="en-GB"/>
        </w:rPr>
        <w:t>262 t</w:t>
      </w:r>
      <w:r>
        <w:rPr>
          <w:color w:val="0D0D0D" w:themeColor="text1" w:themeTint="F2"/>
          <w:spacing w:val="-4"/>
          <w:sz w:val="16"/>
          <w:szCs w:val="16"/>
          <w:lang w:val="en-GB"/>
        </w:rPr>
        <w:t>housand</w:t>
      </w:r>
      <w:r w:rsidRPr="004C7D10">
        <w:rPr>
          <w:color w:val="0D0D0D" w:themeColor="text1" w:themeTint="F2"/>
          <w:spacing w:val="-4"/>
          <w:sz w:val="16"/>
          <w:szCs w:val="16"/>
          <w:lang w:val="en-GB"/>
        </w:rPr>
        <w:t xml:space="preserve">. </w:t>
      </w:r>
      <w:r>
        <w:rPr>
          <w:color w:val="0D0D0D" w:themeColor="text1" w:themeTint="F2"/>
          <w:spacing w:val="-4"/>
          <w:sz w:val="16"/>
          <w:szCs w:val="16"/>
          <w:lang w:val="en-GB"/>
        </w:rPr>
        <w:t xml:space="preserve">By contrast the number of Slovakians, who comprised the most numerous </w:t>
      </w:r>
      <w:proofErr w:type="gramStart"/>
      <w:r>
        <w:rPr>
          <w:color w:val="0D0D0D" w:themeColor="text1" w:themeTint="F2"/>
          <w:spacing w:val="-4"/>
          <w:sz w:val="16"/>
          <w:szCs w:val="16"/>
          <w:lang w:val="en-GB"/>
        </w:rPr>
        <w:t>group</w:t>
      </w:r>
      <w:proofErr w:type="gramEnd"/>
      <w:r>
        <w:rPr>
          <w:color w:val="0D0D0D" w:themeColor="text1" w:themeTint="F2"/>
          <w:spacing w:val="-4"/>
          <w:sz w:val="16"/>
          <w:szCs w:val="16"/>
          <w:lang w:val="en-GB"/>
        </w:rPr>
        <w:t xml:space="preserve"> of foreigners still in year </w:t>
      </w:r>
      <w:r w:rsidRPr="004C7D10">
        <w:rPr>
          <w:color w:val="0D0D0D" w:themeColor="text1" w:themeTint="F2"/>
          <w:spacing w:val="-4"/>
          <w:sz w:val="16"/>
          <w:szCs w:val="16"/>
          <w:lang w:val="en-GB"/>
        </w:rPr>
        <w:t xml:space="preserve">2021, </w:t>
      </w:r>
      <w:r>
        <w:rPr>
          <w:color w:val="0D0D0D" w:themeColor="text1" w:themeTint="F2"/>
          <w:spacing w:val="-4"/>
          <w:sz w:val="16"/>
          <w:szCs w:val="16"/>
          <w:lang w:val="en-GB"/>
        </w:rPr>
        <w:t>increased only by 2.6 thousand (to 208 thousand) for the similar period</w:t>
      </w:r>
      <w:r w:rsidR="00C32290">
        <w:rPr>
          <w:color w:val="0D0D0D" w:themeColor="text1" w:themeTint="F2"/>
          <w:spacing w:val="-4"/>
          <w:sz w:val="16"/>
          <w:szCs w:val="16"/>
          <w:lang w:val="en-GB"/>
        </w:rPr>
        <w:t>.</w:t>
      </w:r>
    </w:p>
  </w:footnote>
  <w:footnote w:id="69">
    <w:p w14:paraId="432AA01D" w14:textId="5F1504FD" w:rsidR="00E37C1C" w:rsidRPr="004C7D10" w:rsidRDefault="00E37C1C" w:rsidP="00A356C1">
      <w:pPr>
        <w:pStyle w:val="Textpoznpodarou"/>
        <w:jc w:val="both"/>
        <w:rPr>
          <w:spacing w:val="-4"/>
          <w:sz w:val="16"/>
          <w:szCs w:val="16"/>
          <w:lang w:val="en-GB"/>
        </w:rPr>
      </w:pPr>
      <w:r w:rsidRPr="004C7D10">
        <w:rPr>
          <w:rStyle w:val="Znakapoznpodarou"/>
          <w:spacing w:val="-4"/>
          <w:sz w:val="16"/>
          <w:szCs w:val="16"/>
          <w:lang w:val="en-GB"/>
        </w:rPr>
        <w:footnoteRef/>
      </w:r>
      <w:r w:rsidRPr="004C7D10">
        <w:rPr>
          <w:spacing w:val="-4"/>
          <w:sz w:val="16"/>
          <w:szCs w:val="16"/>
          <w:lang w:val="en-GB"/>
        </w:rPr>
        <w:t xml:space="preserve"> </w:t>
      </w:r>
      <w:r>
        <w:rPr>
          <w:spacing w:val="-4"/>
          <w:sz w:val="16"/>
          <w:szCs w:val="16"/>
          <w:lang w:val="en-GB"/>
        </w:rPr>
        <w:t>Number of all citizens of Ukraine with the temporary stay on the CR territory expanded according to the data of the MI CR from 10</w:t>
      </w:r>
      <w:r w:rsidRPr="004C7D10">
        <w:rPr>
          <w:spacing w:val="-4"/>
          <w:sz w:val="16"/>
          <w:szCs w:val="16"/>
          <w:lang w:val="en-GB"/>
        </w:rPr>
        <w:t>8 t</w:t>
      </w:r>
      <w:r>
        <w:rPr>
          <w:spacing w:val="-4"/>
          <w:sz w:val="16"/>
          <w:szCs w:val="16"/>
          <w:lang w:val="en-GB"/>
        </w:rPr>
        <w:t xml:space="preserve">housand </w:t>
      </w:r>
      <w:r w:rsidRPr="004C7D10">
        <w:rPr>
          <w:spacing w:val="-4"/>
          <w:sz w:val="16"/>
          <w:szCs w:val="16"/>
          <w:lang w:val="en-GB"/>
        </w:rPr>
        <w:t>(</w:t>
      </w:r>
      <w:r>
        <w:rPr>
          <w:spacing w:val="-4"/>
          <w:sz w:val="16"/>
          <w:szCs w:val="16"/>
          <w:lang w:val="en-GB"/>
        </w:rPr>
        <w:t>from the end of January</w:t>
      </w:r>
      <w:r w:rsidR="00C32290">
        <w:rPr>
          <w:spacing w:val="-4"/>
          <w:sz w:val="16"/>
          <w:szCs w:val="16"/>
          <w:lang w:val="en-GB"/>
        </w:rPr>
        <w:t xml:space="preserve"> 2022</w:t>
      </w:r>
      <w:r w:rsidRPr="004C7D10">
        <w:rPr>
          <w:spacing w:val="-4"/>
          <w:sz w:val="16"/>
          <w:szCs w:val="16"/>
          <w:lang w:val="en-GB"/>
        </w:rPr>
        <w:t xml:space="preserve">) </w:t>
      </w:r>
      <w:r>
        <w:rPr>
          <w:spacing w:val="-4"/>
          <w:sz w:val="16"/>
          <w:szCs w:val="16"/>
          <w:lang w:val="en-GB"/>
        </w:rPr>
        <w:t xml:space="preserve">to </w:t>
      </w:r>
      <w:r w:rsidRPr="004C7D10">
        <w:rPr>
          <w:spacing w:val="-4"/>
          <w:sz w:val="16"/>
          <w:szCs w:val="16"/>
          <w:lang w:val="en-GB"/>
        </w:rPr>
        <w:t>543 t</w:t>
      </w:r>
      <w:r>
        <w:rPr>
          <w:spacing w:val="-4"/>
          <w:sz w:val="16"/>
          <w:szCs w:val="16"/>
          <w:lang w:val="en-GB"/>
        </w:rPr>
        <w:t xml:space="preserve">housand </w:t>
      </w:r>
      <w:r w:rsidRPr="004C7D10">
        <w:rPr>
          <w:spacing w:val="-4"/>
          <w:sz w:val="16"/>
          <w:szCs w:val="16"/>
          <w:lang w:val="en-GB"/>
        </w:rPr>
        <w:t>(</w:t>
      </w:r>
      <w:r w:rsidR="00C32290">
        <w:rPr>
          <w:spacing w:val="-4"/>
          <w:sz w:val="16"/>
          <w:szCs w:val="16"/>
          <w:lang w:val="en-GB"/>
        </w:rPr>
        <w:t>December</w:t>
      </w:r>
      <w:r>
        <w:rPr>
          <w:spacing w:val="-4"/>
          <w:sz w:val="16"/>
          <w:szCs w:val="16"/>
          <w:lang w:val="en-GB"/>
        </w:rPr>
        <w:t xml:space="preserve"> </w:t>
      </w:r>
      <w:r w:rsidRPr="004C7D10">
        <w:rPr>
          <w:spacing w:val="-4"/>
          <w:sz w:val="16"/>
          <w:szCs w:val="16"/>
          <w:lang w:val="en-GB"/>
        </w:rPr>
        <w:t xml:space="preserve">2022). </w:t>
      </w:r>
      <w:r>
        <w:rPr>
          <w:spacing w:val="-4"/>
          <w:sz w:val="16"/>
          <w:szCs w:val="16"/>
          <w:lang w:val="en-GB"/>
        </w:rPr>
        <w:t>Women participated from more than three fifths on the total increase. Only a minority from the total number of persons with newly granted stay however could have</w:t>
      </w:r>
      <w:r w:rsidR="00C32290">
        <w:rPr>
          <w:spacing w:val="-4"/>
          <w:sz w:val="16"/>
          <w:szCs w:val="16"/>
          <w:lang w:val="en-GB"/>
        </w:rPr>
        <w:t xml:space="preserve"> joined </w:t>
      </w:r>
      <w:r>
        <w:rPr>
          <w:spacing w:val="-4"/>
          <w:sz w:val="16"/>
          <w:szCs w:val="16"/>
          <w:lang w:val="en-GB"/>
        </w:rPr>
        <w:t xml:space="preserve">the labour market in the CR </w:t>
      </w:r>
      <w:r w:rsidRPr="004C7D10">
        <w:rPr>
          <w:spacing w:val="-4"/>
          <w:sz w:val="16"/>
          <w:szCs w:val="16"/>
          <w:lang w:val="en-GB"/>
        </w:rPr>
        <w:t>(</w:t>
      </w:r>
      <w:r>
        <w:rPr>
          <w:spacing w:val="-4"/>
          <w:sz w:val="16"/>
          <w:szCs w:val="16"/>
          <w:lang w:val="en-GB"/>
        </w:rPr>
        <w:t>large part of them consists of children, pupils and students</w:t>
      </w:r>
      <w:r w:rsidRPr="004C7D10">
        <w:rPr>
          <w:spacing w:val="-4"/>
          <w:sz w:val="16"/>
          <w:szCs w:val="16"/>
          <w:lang w:val="en-GB"/>
        </w:rPr>
        <w:t xml:space="preserve">, </w:t>
      </w:r>
      <w:r>
        <w:rPr>
          <w:spacing w:val="-4"/>
          <w:sz w:val="16"/>
          <w:szCs w:val="16"/>
          <w:lang w:val="en-GB"/>
        </w:rPr>
        <w:t>in addition some persons likely already left the CR</w:t>
      </w:r>
      <w:r w:rsidRPr="004C7D10">
        <w:rPr>
          <w:spacing w:val="-4"/>
          <w:sz w:val="16"/>
          <w:szCs w:val="16"/>
          <w:lang w:val="en-GB"/>
        </w:rPr>
        <w:t xml:space="preserve">).  </w:t>
      </w:r>
    </w:p>
  </w:footnote>
  <w:footnote w:id="70">
    <w:p w14:paraId="554D47A9" w14:textId="2ED77821" w:rsidR="00E37C1C" w:rsidRPr="004C7D10" w:rsidRDefault="00E37C1C" w:rsidP="00A356C1">
      <w:pPr>
        <w:pStyle w:val="Textpoznpodarou"/>
        <w:jc w:val="both"/>
        <w:rPr>
          <w:sz w:val="16"/>
          <w:szCs w:val="16"/>
          <w:lang w:val="en-GB"/>
        </w:rPr>
      </w:pPr>
      <w:r w:rsidRPr="004C7D10">
        <w:rPr>
          <w:rStyle w:val="Znakapoznpodarou"/>
          <w:spacing w:val="-4"/>
          <w:sz w:val="16"/>
          <w:szCs w:val="16"/>
          <w:lang w:val="en-GB"/>
        </w:rPr>
        <w:footnoteRef/>
      </w:r>
      <w:r w:rsidRPr="004C7D10">
        <w:rPr>
          <w:spacing w:val="-4"/>
          <w:sz w:val="16"/>
          <w:szCs w:val="16"/>
          <w:lang w:val="en-GB"/>
        </w:rPr>
        <w:t xml:space="preserve"> </w:t>
      </w:r>
      <w:r>
        <w:rPr>
          <w:spacing w:val="-4"/>
          <w:sz w:val="16"/>
          <w:szCs w:val="16"/>
          <w:lang w:val="en-GB"/>
        </w:rPr>
        <w:t xml:space="preserve">Data are not seasonally adjusted. </w:t>
      </w:r>
      <w:r w:rsidRPr="004C7D10">
        <w:rPr>
          <w:sz w:val="16"/>
          <w:szCs w:val="16"/>
          <w:lang w:val="en-GB"/>
        </w:rPr>
        <w:t xml:space="preserve"> </w:t>
      </w:r>
    </w:p>
  </w:footnote>
  <w:footnote w:id="71">
    <w:p w14:paraId="10C2F10B" w14:textId="441B3C1D" w:rsidR="00E37C1C" w:rsidRPr="00481F18" w:rsidRDefault="00E37C1C" w:rsidP="00481F18">
      <w:pPr>
        <w:pStyle w:val="Textpoznpodarou"/>
        <w:jc w:val="both"/>
        <w:rPr>
          <w:sz w:val="16"/>
          <w:szCs w:val="16"/>
          <w:lang w:val="en-GB"/>
        </w:rPr>
      </w:pPr>
      <w:r w:rsidRPr="004C7D10">
        <w:rPr>
          <w:rStyle w:val="Znakapoznpodarou"/>
          <w:sz w:val="16"/>
          <w:szCs w:val="16"/>
          <w:lang w:val="en-GB"/>
        </w:rPr>
        <w:footnoteRef/>
      </w:r>
      <w:r w:rsidRPr="004C7D10">
        <w:rPr>
          <w:sz w:val="16"/>
          <w:szCs w:val="16"/>
          <w:lang w:val="en-GB"/>
        </w:rPr>
        <w:t xml:space="preserve"> </w:t>
      </w:r>
      <w:r w:rsidRPr="00481F18">
        <w:rPr>
          <w:sz w:val="16"/>
          <w:szCs w:val="16"/>
          <w:lang w:val="en-GB"/>
        </w:rPr>
        <w:t xml:space="preserve">Especially </w:t>
      </w:r>
      <w:r w:rsidR="00B647F4">
        <w:rPr>
          <w:sz w:val="16"/>
          <w:szCs w:val="16"/>
          <w:lang w:val="en-GB"/>
        </w:rPr>
        <w:t>industrial businesses in energy-</w:t>
      </w:r>
      <w:r w:rsidRPr="00481F18">
        <w:rPr>
          <w:sz w:val="16"/>
          <w:szCs w:val="16"/>
          <w:lang w:val="en-GB"/>
        </w:rPr>
        <w:t xml:space="preserve">intensive branches of metallurgy, metalworking industry, manufacturing of building materials, chemical industry or food industry anticipated a reduction of the number of employees (according to the survey from January 2023). </w:t>
      </w:r>
      <w:r>
        <w:rPr>
          <w:sz w:val="16"/>
          <w:szCs w:val="16"/>
          <w:lang w:val="en-GB"/>
        </w:rPr>
        <w:t>Further also in the main sub-supplier branches of manufacturing of motor vehicle and among the smaller branches mainly in manufacturing of wearing apparel. Manufacturers of computers, electronic and optical appliances, manufacturers of transport equipment and from the smaller branches then pharmaceutical industry and printing activities planned increase of employment</w:t>
      </w:r>
      <w:r w:rsidRPr="00481F18">
        <w:rPr>
          <w:sz w:val="16"/>
          <w:szCs w:val="16"/>
          <w:lang w:val="en-GB"/>
        </w:rPr>
        <w:t>.</w:t>
      </w:r>
    </w:p>
    <w:p w14:paraId="21A5F3E3" w14:textId="1D3D27AA" w:rsidR="00E37C1C" w:rsidRPr="00481F18" w:rsidRDefault="00E37C1C" w:rsidP="00481F18">
      <w:pPr>
        <w:pStyle w:val="Textpoznpodarou"/>
        <w:jc w:val="both"/>
        <w:rPr>
          <w:sz w:val="16"/>
          <w:szCs w:val="16"/>
          <w:lang w:val="en-GB"/>
        </w:rPr>
      </w:pPr>
      <w:r>
        <w:rPr>
          <w:sz w:val="16"/>
          <w:szCs w:val="16"/>
          <w:lang w:val="en-GB"/>
        </w:rPr>
        <w:t>In services the negative expectations were observed mainly in the air transport, travel agency activities, publishing activities, financial activities and further for instance in the area of advertising. On the contrary in number of services for business (legal and accounting activities job employment placement agencies</w:t>
      </w:r>
      <w:r w:rsidRPr="00481F18">
        <w:rPr>
          <w:sz w:val="16"/>
          <w:szCs w:val="16"/>
          <w:lang w:val="en-GB"/>
        </w:rPr>
        <w:t>)</w:t>
      </w:r>
      <w:r>
        <w:rPr>
          <w:sz w:val="16"/>
          <w:szCs w:val="16"/>
          <w:lang w:val="en-GB"/>
        </w:rPr>
        <w:t xml:space="preserve"> or in the area of insurance activities, programming or warehousing, rather higher employment is expected. </w:t>
      </w:r>
    </w:p>
  </w:footnote>
  <w:footnote w:id="72">
    <w:p w14:paraId="768A0A7A" w14:textId="4D6E6FE9" w:rsidR="00E37C1C" w:rsidRPr="00481F18" w:rsidRDefault="00E37C1C" w:rsidP="00481F18">
      <w:pPr>
        <w:pStyle w:val="Textpoznpodarou"/>
        <w:jc w:val="both"/>
        <w:rPr>
          <w:spacing w:val="-3"/>
          <w:sz w:val="16"/>
          <w:szCs w:val="16"/>
          <w:lang w:val="en-GB"/>
        </w:rPr>
      </w:pPr>
      <w:r w:rsidRPr="00481F18">
        <w:rPr>
          <w:rStyle w:val="Znakapoznpodarou"/>
          <w:spacing w:val="-3"/>
          <w:sz w:val="16"/>
          <w:szCs w:val="16"/>
          <w:lang w:val="en-GB"/>
        </w:rPr>
        <w:footnoteRef/>
      </w:r>
      <w:r w:rsidRPr="00481F18">
        <w:rPr>
          <w:spacing w:val="-3"/>
          <w:sz w:val="16"/>
          <w:szCs w:val="16"/>
          <w:lang w:val="en-GB"/>
        </w:rPr>
        <w:t xml:space="preserve"> Unless stated otherwise, all data regarding the unemployment rates are sourced from the LFSS (based on the ILO methodology) and are adjusted for seasonal effects.</w:t>
      </w:r>
    </w:p>
  </w:footnote>
  <w:footnote w:id="73">
    <w:p w14:paraId="28C0E14F" w14:textId="3850AF4D" w:rsidR="00E37C1C" w:rsidRPr="00481F18" w:rsidRDefault="00E37C1C" w:rsidP="00481F18">
      <w:pPr>
        <w:pStyle w:val="Textpoznpodarou"/>
        <w:jc w:val="both"/>
        <w:rPr>
          <w:lang w:val="en-GB"/>
        </w:rPr>
      </w:pPr>
      <w:r w:rsidRPr="00481F18">
        <w:rPr>
          <w:rStyle w:val="Znakapoznpodarou"/>
          <w:sz w:val="16"/>
          <w:szCs w:val="16"/>
          <w:lang w:val="en-GB"/>
        </w:rPr>
        <w:footnoteRef/>
      </w:r>
      <w:r w:rsidRPr="00481F18">
        <w:rPr>
          <w:lang w:val="en-GB"/>
        </w:rPr>
        <w:t xml:space="preserve"> </w:t>
      </w:r>
      <w:r>
        <w:rPr>
          <w:spacing w:val="-3"/>
          <w:sz w:val="16"/>
          <w:szCs w:val="16"/>
          <w:lang w:val="en-GB"/>
        </w:rPr>
        <w:t>According to the MLSA data, the proportion of reachable job applicants aged 15 to 64 per population of the same age was 3.6% in January</w:t>
      </w:r>
      <w:r w:rsidR="00B647F4">
        <w:rPr>
          <w:spacing w:val="-3"/>
          <w:sz w:val="16"/>
          <w:szCs w:val="16"/>
          <w:lang w:val="en-GB"/>
        </w:rPr>
        <w:t xml:space="preserve"> 2022</w:t>
      </w:r>
      <w:r>
        <w:rPr>
          <w:spacing w:val="-3"/>
          <w:sz w:val="16"/>
          <w:szCs w:val="16"/>
          <w:lang w:val="en-GB"/>
        </w:rPr>
        <w:t>, 3.1% in June and 3.7% in December last year.</w:t>
      </w:r>
    </w:p>
  </w:footnote>
  <w:footnote w:id="74">
    <w:p w14:paraId="0A905843" w14:textId="4B4542D1" w:rsidR="00E37C1C" w:rsidRDefault="00E37C1C" w:rsidP="00BE62ED">
      <w:pPr>
        <w:pStyle w:val="Textpoznpodarou"/>
        <w:jc w:val="both"/>
      </w:pPr>
      <w:r w:rsidRPr="00EB32E8">
        <w:rPr>
          <w:rStyle w:val="Znakapoznpodarou"/>
          <w:sz w:val="16"/>
          <w:szCs w:val="16"/>
        </w:rPr>
        <w:footnoteRef/>
      </w:r>
      <w:r w:rsidRPr="00EB32E8">
        <w:rPr>
          <w:sz w:val="16"/>
          <w:szCs w:val="16"/>
        </w:rPr>
        <w:t xml:space="preserve"> </w:t>
      </w:r>
      <w:r>
        <w:rPr>
          <w:sz w:val="16"/>
          <w:szCs w:val="16"/>
          <w:lang w:val="en-GB"/>
        </w:rPr>
        <w:t>Significant part of vacancies however cannot be considered active for various reasons.</w:t>
      </w:r>
      <w:r w:rsidRPr="00DD68F3">
        <w:rPr>
          <w:color w:val="0D0D0D" w:themeColor="text1" w:themeTint="F2"/>
          <w:sz w:val="16"/>
          <w:szCs w:val="16"/>
          <w:lang w:val="en-GB"/>
        </w:rPr>
        <w:t xml:space="preserve"> </w:t>
      </w:r>
      <w:r>
        <w:rPr>
          <w:color w:val="0D0D0D" w:themeColor="text1" w:themeTint="F2"/>
          <w:sz w:val="16"/>
          <w:szCs w:val="16"/>
          <w:lang w:val="en-GB"/>
        </w:rPr>
        <w:t>It e.g. constitutes positions offered by companies, which terminated their operations, further positions, which are outdated, but were not removed from the offer or positions considerably unattractive,</w:t>
      </w:r>
      <w:r w:rsidRPr="00DD68F3">
        <w:rPr>
          <w:sz w:val="16"/>
          <w:szCs w:val="16"/>
          <w:lang w:val="en-GB"/>
        </w:rPr>
        <w:t xml:space="preserve"> </w:t>
      </w:r>
      <w:r>
        <w:rPr>
          <w:sz w:val="16"/>
          <w:szCs w:val="16"/>
          <w:lang w:val="en-GB"/>
        </w:rPr>
        <w:t xml:space="preserve">remaining vacant for a long time. Only part of the entire offer of job vacancies can thus be considered truly active. Number of positions, which were offered less than half a year, totalled only </w:t>
      </w:r>
      <w:r w:rsidRPr="00DD68F3">
        <w:rPr>
          <w:sz w:val="16"/>
          <w:szCs w:val="16"/>
          <w:lang w:val="en-GB"/>
        </w:rPr>
        <w:t>1</w:t>
      </w:r>
      <w:r>
        <w:rPr>
          <w:sz w:val="16"/>
          <w:szCs w:val="16"/>
          <w:lang w:val="en-GB"/>
        </w:rPr>
        <w:t>24</w:t>
      </w:r>
      <w:r w:rsidRPr="00DD68F3">
        <w:rPr>
          <w:sz w:val="16"/>
          <w:szCs w:val="16"/>
          <w:lang w:val="en-GB"/>
        </w:rPr>
        <w:t xml:space="preserve"> t</w:t>
      </w:r>
      <w:r>
        <w:rPr>
          <w:sz w:val="16"/>
          <w:szCs w:val="16"/>
          <w:lang w:val="en-GB"/>
        </w:rPr>
        <w:t xml:space="preserve">housand at the end of Q4 2022, which was by 65 thousand less year-on-year. </w:t>
      </w:r>
    </w:p>
  </w:footnote>
  <w:footnote w:id="75">
    <w:p w14:paraId="5E96BD88" w14:textId="0893AE72" w:rsidR="00E37C1C" w:rsidRPr="00D57ABE" w:rsidRDefault="00E37C1C" w:rsidP="00D57ABE">
      <w:pPr>
        <w:pStyle w:val="Textpoznpodarou"/>
        <w:jc w:val="both"/>
        <w:rPr>
          <w:sz w:val="16"/>
          <w:szCs w:val="16"/>
          <w:lang w:val="en-GB"/>
        </w:rPr>
      </w:pPr>
      <w:r w:rsidRPr="00D57ABE">
        <w:rPr>
          <w:rStyle w:val="Znakapoznpodarou"/>
          <w:sz w:val="16"/>
          <w:szCs w:val="16"/>
          <w:lang w:val="en-GB"/>
        </w:rPr>
        <w:footnoteRef/>
      </w:r>
      <w:r w:rsidRPr="00D57ABE">
        <w:rPr>
          <w:sz w:val="16"/>
          <w:szCs w:val="16"/>
          <w:lang w:val="en-GB"/>
        </w:rPr>
        <w:t xml:space="preserve"> </w:t>
      </w:r>
      <w:r>
        <w:rPr>
          <w:sz w:val="16"/>
          <w:szCs w:val="16"/>
          <w:lang w:val="en-GB"/>
        </w:rPr>
        <w:t xml:space="preserve">The Gross disposable income </w:t>
      </w:r>
      <w:r w:rsidRPr="00D57ABE">
        <w:rPr>
          <w:sz w:val="16"/>
          <w:szCs w:val="16"/>
          <w:lang w:val="en-GB"/>
        </w:rPr>
        <w:t>(</w:t>
      </w:r>
      <w:r>
        <w:rPr>
          <w:sz w:val="16"/>
          <w:szCs w:val="16"/>
          <w:lang w:val="en-GB"/>
        </w:rPr>
        <w:t>GDI</w:t>
      </w:r>
      <w:r w:rsidRPr="00D57ABE">
        <w:rPr>
          <w:sz w:val="16"/>
          <w:szCs w:val="16"/>
          <w:lang w:val="en-GB"/>
        </w:rPr>
        <w:t>)</w:t>
      </w:r>
      <w:r>
        <w:rPr>
          <w:sz w:val="16"/>
          <w:szCs w:val="16"/>
          <w:lang w:val="en-GB"/>
        </w:rPr>
        <w:t xml:space="preserve"> of households in real expression decreased by 3.1% year-on-year in Q</w:t>
      </w:r>
      <w:r w:rsidRPr="00D57ABE">
        <w:rPr>
          <w:sz w:val="16"/>
          <w:szCs w:val="16"/>
          <w:lang w:val="en-GB"/>
        </w:rPr>
        <w:t>3</w:t>
      </w:r>
      <w:r>
        <w:rPr>
          <w:sz w:val="16"/>
          <w:szCs w:val="16"/>
          <w:lang w:val="en-GB"/>
        </w:rPr>
        <w:t xml:space="preserve"> </w:t>
      </w:r>
      <w:r w:rsidRPr="00D57ABE">
        <w:rPr>
          <w:sz w:val="16"/>
          <w:szCs w:val="16"/>
          <w:lang w:val="en-GB"/>
        </w:rPr>
        <w:t>2022</w:t>
      </w:r>
      <w:r>
        <w:rPr>
          <w:sz w:val="16"/>
          <w:szCs w:val="16"/>
          <w:lang w:val="en-GB"/>
        </w:rPr>
        <w:t>,</w:t>
      </w:r>
      <w:r w:rsidRPr="00D57ABE">
        <w:rPr>
          <w:sz w:val="16"/>
          <w:szCs w:val="16"/>
          <w:lang w:val="en-GB"/>
        </w:rPr>
        <w:t xml:space="preserve"> </w:t>
      </w:r>
      <w:r>
        <w:rPr>
          <w:sz w:val="16"/>
          <w:szCs w:val="16"/>
          <w:lang w:val="en-GB"/>
        </w:rPr>
        <w:t xml:space="preserve">the volume of wages and salaries in the national accounts conception </w:t>
      </w:r>
      <w:r w:rsidRPr="00D57ABE">
        <w:rPr>
          <w:sz w:val="16"/>
          <w:szCs w:val="16"/>
          <w:lang w:val="en-GB"/>
        </w:rPr>
        <w:t>(</w:t>
      </w:r>
      <w:r>
        <w:rPr>
          <w:sz w:val="16"/>
          <w:szCs w:val="16"/>
          <w:lang w:val="en-GB"/>
        </w:rPr>
        <w:t>after considering the price development of final consumption expenditure of households</w:t>
      </w:r>
      <w:r w:rsidRPr="00D57ABE">
        <w:rPr>
          <w:sz w:val="16"/>
          <w:szCs w:val="16"/>
          <w:lang w:val="en-GB"/>
        </w:rPr>
        <w:t xml:space="preserve">) </w:t>
      </w:r>
      <w:r>
        <w:rPr>
          <w:sz w:val="16"/>
          <w:szCs w:val="16"/>
          <w:lang w:val="en-GB"/>
        </w:rPr>
        <w:t xml:space="preserve">dived by </w:t>
      </w:r>
      <w:r w:rsidRPr="00D57ABE">
        <w:rPr>
          <w:sz w:val="16"/>
          <w:szCs w:val="16"/>
          <w:lang w:val="en-GB"/>
        </w:rPr>
        <w:t>9</w:t>
      </w:r>
      <w:r>
        <w:rPr>
          <w:sz w:val="16"/>
          <w:szCs w:val="16"/>
          <w:lang w:val="en-GB"/>
        </w:rPr>
        <w:t>.</w:t>
      </w:r>
      <w:r w:rsidRPr="00D57ABE">
        <w:rPr>
          <w:sz w:val="16"/>
          <w:szCs w:val="16"/>
          <w:lang w:val="en-GB"/>
        </w:rPr>
        <w:t>9%</w:t>
      </w:r>
      <w:r>
        <w:rPr>
          <w:sz w:val="16"/>
          <w:szCs w:val="16"/>
          <w:lang w:val="en-GB"/>
        </w:rPr>
        <w:t xml:space="preserve"> in real terms in the same time period</w:t>
      </w:r>
      <w:r w:rsidRPr="00D57ABE">
        <w:rPr>
          <w:sz w:val="16"/>
          <w:szCs w:val="16"/>
          <w:lang w:val="en-GB"/>
        </w:rPr>
        <w:t xml:space="preserve">. </w:t>
      </w:r>
      <w:r>
        <w:rPr>
          <w:sz w:val="16"/>
          <w:szCs w:val="16"/>
          <w:lang w:val="en-GB"/>
        </w:rPr>
        <w:t xml:space="preserve">Wages and salaries include </w:t>
      </w:r>
      <w:r w:rsidRPr="00D57ABE">
        <w:rPr>
          <w:sz w:val="16"/>
          <w:szCs w:val="16"/>
          <w:lang w:val="en-GB"/>
        </w:rPr>
        <w:t>(</w:t>
      </w:r>
      <w:r>
        <w:rPr>
          <w:sz w:val="16"/>
          <w:szCs w:val="16"/>
          <w:lang w:val="en-GB"/>
        </w:rPr>
        <w:t>in contrast to the business statistics</w:t>
      </w:r>
      <w:r w:rsidRPr="00D57ABE">
        <w:rPr>
          <w:sz w:val="16"/>
          <w:szCs w:val="16"/>
          <w:lang w:val="en-GB"/>
        </w:rPr>
        <w:t xml:space="preserve">) </w:t>
      </w:r>
      <w:r>
        <w:rPr>
          <w:sz w:val="16"/>
          <w:szCs w:val="16"/>
          <w:lang w:val="en-GB"/>
        </w:rPr>
        <w:t>also other factors, for instance grey economy, possible increase of economic activity of population, e</w:t>
      </w:r>
      <w:r w:rsidRPr="00F94390">
        <w:rPr>
          <w:sz w:val="16"/>
          <w:szCs w:val="16"/>
          <w:lang w:val="en-GB"/>
        </w:rPr>
        <w:t>.g. in the form of second employments</w:t>
      </w:r>
      <w:r>
        <w:rPr>
          <w:sz w:val="16"/>
          <w:szCs w:val="16"/>
          <w:lang w:val="en-GB"/>
        </w:rPr>
        <w:t xml:space="preserve"> or </w:t>
      </w:r>
      <w:r w:rsidRPr="00F94390">
        <w:rPr>
          <w:sz w:val="16"/>
          <w:szCs w:val="16"/>
          <w:lang w:val="en-GB"/>
        </w:rPr>
        <w:t>work agreements</w:t>
      </w:r>
      <w:r>
        <w:rPr>
          <w:sz w:val="16"/>
          <w:szCs w:val="16"/>
          <w:lang w:val="en-GB"/>
        </w:rPr>
        <w:t xml:space="preserve">. GDI contains next to wages and salaries also income flowing from running a business or ownership of capital and also </w:t>
      </w:r>
      <w:r w:rsidRPr="00D57ABE">
        <w:rPr>
          <w:sz w:val="16"/>
          <w:szCs w:val="16"/>
          <w:lang w:val="en-GB"/>
        </w:rPr>
        <w:t>soci</w:t>
      </w:r>
      <w:r>
        <w:rPr>
          <w:sz w:val="16"/>
          <w:szCs w:val="16"/>
          <w:lang w:val="en-GB"/>
        </w:rPr>
        <w:t xml:space="preserve">al transfers from state, including the retirement pensions </w:t>
      </w:r>
      <w:r w:rsidRPr="00D57ABE">
        <w:rPr>
          <w:sz w:val="16"/>
          <w:szCs w:val="16"/>
          <w:lang w:val="en-GB"/>
        </w:rPr>
        <w:t>(</w:t>
      </w:r>
      <w:r>
        <w:rPr>
          <w:sz w:val="16"/>
          <w:szCs w:val="16"/>
          <w:lang w:val="en-GB"/>
        </w:rPr>
        <w:t>which were adjusted three times last year</w:t>
      </w:r>
      <w:r w:rsidRPr="00D57ABE">
        <w:rPr>
          <w:sz w:val="16"/>
          <w:szCs w:val="16"/>
          <w:lang w:val="en-GB"/>
        </w:rPr>
        <w:t>).</w:t>
      </w:r>
    </w:p>
  </w:footnote>
  <w:footnote w:id="76">
    <w:p w14:paraId="57F1F747" w14:textId="258FA4B7" w:rsidR="00E37C1C" w:rsidRPr="00D57ABE" w:rsidRDefault="00E37C1C" w:rsidP="00D57ABE">
      <w:pPr>
        <w:pStyle w:val="Textpoznpodarou"/>
        <w:jc w:val="both"/>
        <w:rPr>
          <w:sz w:val="16"/>
          <w:szCs w:val="16"/>
          <w:lang w:val="en-GB"/>
        </w:rPr>
      </w:pPr>
      <w:r w:rsidRPr="00D57ABE">
        <w:rPr>
          <w:rStyle w:val="Znakapoznpodarou"/>
          <w:sz w:val="16"/>
          <w:szCs w:val="16"/>
          <w:lang w:val="en-GB"/>
        </w:rPr>
        <w:footnoteRef/>
      </w:r>
      <w:r w:rsidRPr="00D57ABE">
        <w:rPr>
          <w:sz w:val="16"/>
          <w:szCs w:val="16"/>
          <w:lang w:val="en-GB"/>
        </w:rPr>
        <w:t xml:space="preserve"> </w:t>
      </w:r>
      <w:r>
        <w:rPr>
          <w:sz w:val="16"/>
          <w:szCs w:val="16"/>
          <w:lang w:val="en-GB"/>
        </w:rPr>
        <w:t xml:space="preserve">Purchasing power of wages increased only in </w:t>
      </w:r>
      <w:r w:rsidRPr="00D57ABE">
        <w:rPr>
          <w:sz w:val="16"/>
          <w:szCs w:val="16"/>
          <w:lang w:val="en-GB"/>
        </w:rPr>
        <w:t>7</w:t>
      </w:r>
      <w:r>
        <w:rPr>
          <w:sz w:val="16"/>
          <w:szCs w:val="16"/>
          <w:lang w:val="en-GB"/>
        </w:rPr>
        <w:t xml:space="preserve"> out of </w:t>
      </w:r>
      <w:r w:rsidRPr="00D57ABE">
        <w:rPr>
          <w:sz w:val="16"/>
          <w:szCs w:val="16"/>
          <w:lang w:val="en-GB"/>
        </w:rPr>
        <w:t xml:space="preserve">19 </w:t>
      </w:r>
      <w:r>
        <w:rPr>
          <w:sz w:val="16"/>
          <w:szCs w:val="16"/>
          <w:lang w:val="en-GB"/>
        </w:rPr>
        <w:t>main branch divisions in this four year period</w:t>
      </w:r>
      <w:r w:rsidRPr="00D57ABE">
        <w:rPr>
          <w:sz w:val="16"/>
          <w:szCs w:val="16"/>
          <w:lang w:val="en-GB"/>
        </w:rPr>
        <w:t xml:space="preserve"> (</w:t>
      </w:r>
      <w:r>
        <w:rPr>
          <w:sz w:val="16"/>
          <w:szCs w:val="16"/>
          <w:lang w:val="en-GB"/>
        </w:rPr>
        <w:t>it concerned e.g. energy industry, real estate activities, education, health and social care and also administrative and support service activities</w:t>
      </w:r>
      <w:r w:rsidRPr="00D57ABE">
        <w:rPr>
          <w:sz w:val="16"/>
          <w:szCs w:val="16"/>
          <w:lang w:val="en-GB"/>
        </w:rPr>
        <w:t xml:space="preserve">, </w:t>
      </w:r>
      <w:r>
        <w:rPr>
          <w:sz w:val="16"/>
          <w:szCs w:val="16"/>
          <w:lang w:val="en-GB"/>
        </w:rPr>
        <w:t>where temporary agency workers play important part</w:t>
      </w:r>
      <w:r w:rsidRPr="00D57ABE">
        <w:rPr>
          <w:sz w:val="16"/>
          <w:szCs w:val="16"/>
          <w:lang w:val="en-GB"/>
        </w:rPr>
        <w:t xml:space="preserve">). </w:t>
      </w:r>
      <w:r>
        <w:rPr>
          <w:sz w:val="16"/>
          <w:szCs w:val="16"/>
          <w:lang w:val="en-GB"/>
        </w:rPr>
        <w:t xml:space="preserve">On the contrary, weight significant branches of manufacturing or trade experienced a mild decrease of wage purchasing power </w:t>
      </w:r>
      <w:r w:rsidRPr="00D57ABE">
        <w:rPr>
          <w:sz w:val="16"/>
          <w:szCs w:val="16"/>
          <w:lang w:val="en-GB"/>
        </w:rPr>
        <w:t>(</w:t>
      </w:r>
      <w:r>
        <w:rPr>
          <w:sz w:val="16"/>
          <w:szCs w:val="16"/>
          <w:lang w:val="en-GB"/>
        </w:rPr>
        <w:t xml:space="preserve">by </w:t>
      </w:r>
      <w:r w:rsidRPr="00D57ABE">
        <w:rPr>
          <w:sz w:val="16"/>
          <w:szCs w:val="16"/>
          <w:lang w:val="en-GB"/>
        </w:rPr>
        <w:t>4%, 1%</w:t>
      </w:r>
      <w:r>
        <w:rPr>
          <w:sz w:val="16"/>
          <w:szCs w:val="16"/>
          <w:lang w:val="en-GB"/>
        </w:rPr>
        <w:t xml:space="preserve"> resp.</w:t>
      </w:r>
      <w:r w:rsidRPr="00D57ABE">
        <w:rPr>
          <w:sz w:val="16"/>
          <w:szCs w:val="16"/>
          <w:lang w:val="en-GB"/>
        </w:rPr>
        <w:t>).</w:t>
      </w:r>
    </w:p>
  </w:footnote>
  <w:footnote w:id="77">
    <w:p w14:paraId="78A835B5" w14:textId="2B1C04B5" w:rsidR="00E37C1C" w:rsidRPr="00B646BC" w:rsidRDefault="00E37C1C" w:rsidP="00B646BC">
      <w:pPr>
        <w:pStyle w:val="Textpoznpodarou"/>
        <w:jc w:val="both"/>
        <w:rPr>
          <w:sz w:val="16"/>
          <w:szCs w:val="16"/>
          <w:lang w:val="en-GB"/>
        </w:rPr>
      </w:pPr>
      <w:r w:rsidRPr="000B1BC1">
        <w:rPr>
          <w:rStyle w:val="Znakapoznpodarou"/>
          <w:sz w:val="16"/>
          <w:szCs w:val="16"/>
        </w:rPr>
        <w:footnoteRef/>
      </w:r>
      <w:r w:rsidRPr="000B1BC1">
        <w:rPr>
          <w:sz w:val="16"/>
          <w:szCs w:val="16"/>
        </w:rPr>
        <w:t xml:space="preserve"> </w:t>
      </w:r>
      <w:r w:rsidRPr="00B646BC">
        <w:rPr>
          <w:spacing w:val="-4"/>
          <w:sz w:val="16"/>
          <w:szCs w:val="16"/>
          <w:lang w:val="en-GB"/>
        </w:rPr>
        <w:t>T</w:t>
      </w:r>
      <w:r>
        <w:rPr>
          <w:spacing w:val="-4"/>
          <w:sz w:val="16"/>
          <w:szCs w:val="16"/>
          <w:lang w:val="en-GB"/>
        </w:rPr>
        <w:t xml:space="preserve">hese persons integrated on the labour market gradually and often primarily via part-time jobs or only inf the form of various agreements. </w:t>
      </w:r>
    </w:p>
  </w:footnote>
  <w:footnote w:id="78">
    <w:p w14:paraId="68215591" w14:textId="1B79D418"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As of </w:t>
      </w:r>
      <w:r w:rsidRPr="00B646BC">
        <w:rPr>
          <w:sz w:val="16"/>
          <w:szCs w:val="16"/>
          <w:lang w:val="en-GB"/>
        </w:rPr>
        <w:t>1</w:t>
      </w:r>
      <w:r w:rsidRPr="00B72CD3">
        <w:rPr>
          <w:sz w:val="16"/>
          <w:szCs w:val="16"/>
          <w:vertAlign w:val="superscript"/>
          <w:lang w:val="en-GB"/>
        </w:rPr>
        <w:t>st</w:t>
      </w:r>
      <w:r>
        <w:rPr>
          <w:sz w:val="16"/>
          <w:szCs w:val="16"/>
          <w:lang w:val="en-GB"/>
        </w:rPr>
        <w:t xml:space="preserve"> September </w:t>
      </w:r>
      <w:r w:rsidRPr="00B646BC">
        <w:rPr>
          <w:sz w:val="16"/>
          <w:szCs w:val="16"/>
          <w:lang w:val="en-GB"/>
        </w:rPr>
        <w:t>2022</w:t>
      </w:r>
      <w:r>
        <w:rPr>
          <w:sz w:val="16"/>
          <w:szCs w:val="16"/>
          <w:lang w:val="en-GB"/>
        </w:rPr>
        <w:t xml:space="preserve">, </w:t>
      </w:r>
      <w:r w:rsidRPr="00B646BC">
        <w:rPr>
          <w:sz w:val="16"/>
          <w:szCs w:val="16"/>
          <w:lang w:val="en-GB"/>
        </w:rPr>
        <w:t>10%</w:t>
      </w:r>
      <w:r>
        <w:rPr>
          <w:sz w:val="16"/>
          <w:szCs w:val="16"/>
          <w:lang w:val="en-GB"/>
        </w:rPr>
        <w:t xml:space="preserve"> increase of wage tariffs eventuated for employees belonging under the Public Servants Act and further for part of workers in culture and other, mainly manual workers with low wage level. </w:t>
      </w:r>
      <w:r w:rsidRPr="00B646BC">
        <w:rPr>
          <w:sz w:val="16"/>
          <w:szCs w:val="16"/>
          <w:lang w:val="en-GB"/>
        </w:rPr>
        <w:t xml:space="preserve"> </w:t>
      </w:r>
    </w:p>
  </w:footnote>
  <w:footnote w:id="79">
    <w:p w14:paraId="61DC7C68" w14:textId="5F04E88C"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It involves generation and distribution of electricity, gas, heat and air conditioning. </w:t>
      </w:r>
    </w:p>
  </w:footnote>
  <w:footnote w:id="80">
    <w:p w14:paraId="629D8EBA" w14:textId="278A1957"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The wage pace however did not differ much between main manufacturing branches in total for year 2022</w:t>
      </w:r>
      <w:r w:rsidRPr="00B646BC">
        <w:rPr>
          <w:sz w:val="16"/>
          <w:szCs w:val="16"/>
          <w:lang w:val="en-GB"/>
        </w:rPr>
        <w:t>.</w:t>
      </w:r>
    </w:p>
  </w:footnote>
  <w:footnote w:id="81">
    <w:p w14:paraId="51795374" w14:textId="6B441486"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For simplification it includes branches Public administration and defence, mandatory social security</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Education</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Health and social care</w:t>
      </w:r>
      <w:r w:rsidRPr="00B646BC">
        <w:rPr>
          <w:rFonts w:cs="Arial"/>
          <w:color w:val="0D0D0D" w:themeColor="text1" w:themeTint="F2"/>
          <w:spacing w:val="-4"/>
          <w:sz w:val="16"/>
          <w:szCs w:val="16"/>
          <w:lang w:val="en-GB"/>
        </w:rPr>
        <w:t xml:space="preserve">; </w:t>
      </w:r>
      <w:r>
        <w:rPr>
          <w:rFonts w:cs="Arial"/>
          <w:color w:val="0D0D0D" w:themeColor="text1" w:themeTint="F2"/>
          <w:spacing w:val="-4"/>
          <w:sz w:val="16"/>
          <w:szCs w:val="16"/>
          <w:lang w:val="en-GB"/>
        </w:rPr>
        <w:t>Cultural, amusement and recreation activities</w:t>
      </w:r>
      <w:r w:rsidRPr="00B646BC">
        <w:rPr>
          <w:rFonts w:cs="Arial"/>
          <w:color w:val="0D0D0D" w:themeColor="text1" w:themeTint="F2"/>
          <w:spacing w:val="-4"/>
          <w:sz w:val="16"/>
          <w:szCs w:val="16"/>
          <w:lang w:val="en-GB"/>
        </w:rPr>
        <w:t>.</w:t>
      </w:r>
    </w:p>
  </w:footnote>
  <w:footnote w:id="82">
    <w:p w14:paraId="368379D5" w14:textId="47BF9B2A" w:rsidR="00E37C1C" w:rsidRPr="00B646BC" w:rsidRDefault="00E37C1C" w:rsidP="00B646BC">
      <w:pPr>
        <w:pStyle w:val="Textpoznpodarou"/>
        <w:jc w:val="both"/>
        <w:rPr>
          <w:spacing w:val="-2"/>
          <w:sz w:val="16"/>
          <w:szCs w:val="16"/>
          <w:lang w:val="en-GB"/>
        </w:rPr>
      </w:pPr>
      <w:r w:rsidRPr="00B646BC">
        <w:rPr>
          <w:rStyle w:val="Znakapoznpodarou"/>
          <w:spacing w:val="-2"/>
          <w:sz w:val="16"/>
          <w:szCs w:val="16"/>
          <w:lang w:val="en-GB"/>
        </w:rPr>
        <w:footnoteRef/>
      </w:r>
      <w:r w:rsidRPr="00B646BC">
        <w:rPr>
          <w:spacing w:val="-2"/>
          <w:sz w:val="16"/>
          <w:szCs w:val="16"/>
          <w:lang w:val="en-GB"/>
        </w:rPr>
        <w:t xml:space="preserve"> Relativ</w:t>
      </w:r>
      <w:r>
        <w:rPr>
          <w:spacing w:val="-2"/>
          <w:sz w:val="16"/>
          <w:szCs w:val="16"/>
          <w:lang w:val="en-GB"/>
        </w:rPr>
        <w:t xml:space="preserve">ely smaller differences were present also in the growth of total average wages among regions outside Prague last year </w:t>
      </w:r>
      <w:r w:rsidRPr="00B646BC">
        <w:rPr>
          <w:spacing w:val="-2"/>
          <w:sz w:val="16"/>
          <w:szCs w:val="16"/>
          <w:lang w:val="en-GB"/>
        </w:rPr>
        <w:t>(</w:t>
      </w:r>
      <w:r>
        <w:rPr>
          <w:spacing w:val="-2"/>
          <w:sz w:val="16"/>
          <w:szCs w:val="16"/>
          <w:lang w:val="en-GB"/>
        </w:rPr>
        <w:t xml:space="preserve">from </w:t>
      </w:r>
      <w:r w:rsidRPr="00B646BC">
        <w:rPr>
          <w:spacing w:val="-2"/>
          <w:sz w:val="16"/>
          <w:szCs w:val="16"/>
          <w:lang w:val="en-GB"/>
        </w:rPr>
        <w:t>5</w:t>
      </w:r>
      <w:r>
        <w:rPr>
          <w:spacing w:val="-2"/>
          <w:sz w:val="16"/>
          <w:szCs w:val="16"/>
          <w:lang w:val="en-GB"/>
        </w:rPr>
        <w:t>.</w:t>
      </w:r>
      <w:r w:rsidRPr="00B646BC">
        <w:rPr>
          <w:spacing w:val="-2"/>
          <w:sz w:val="16"/>
          <w:szCs w:val="16"/>
          <w:lang w:val="en-GB"/>
        </w:rPr>
        <w:t>3%</w:t>
      </w:r>
      <w:r>
        <w:rPr>
          <w:spacing w:val="-2"/>
          <w:sz w:val="16"/>
          <w:szCs w:val="16"/>
          <w:lang w:val="en-GB"/>
        </w:rPr>
        <w:t xml:space="preserve"> in </w:t>
      </w:r>
      <w:proofErr w:type="spellStart"/>
      <w:r>
        <w:rPr>
          <w:spacing w:val="-2"/>
          <w:sz w:val="16"/>
          <w:szCs w:val="16"/>
          <w:lang w:val="en-GB"/>
        </w:rPr>
        <w:t>Ustecky</w:t>
      </w:r>
      <w:proofErr w:type="spellEnd"/>
      <w:r>
        <w:rPr>
          <w:spacing w:val="-2"/>
          <w:sz w:val="16"/>
          <w:szCs w:val="16"/>
          <w:lang w:val="en-GB"/>
        </w:rPr>
        <w:t xml:space="preserve"> region, to </w:t>
      </w:r>
      <w:r w:rsidRPr="00B646BC">
        <w:rPr>
          <w:spacing w:val="-2"/>
          <w:sz w:val="16"/>
          <w:szCs w:val="16"/>
          <w:lang w:val="en-GB"/>
        </w:rPr>
        <w:t>6</w:t>
      </w:r>
      <w:r>
        <w:rPr>
          <w:spacing w:val="-2"/>
          <w:sz w:val="16"/>
          <w:szCs w:val="16"/>
          <w:lang w:val="en-GB"/>
        </w:rPr>
        <w:t>.</w:t>
      </w:r>
      <w:r w:rsidRPr="00B646BC">
        <w:rPr>
          <w:spacing w:val="-2"/>
          <w:sz w:val="16"/>
          <w:szCs w:val="16"/>
          <w:lang w:val="en-GB"/>
        </w:rPr>
        <w:t>7%</w:t>
      </w:r>
      <w:r>
        <w:rPr>
          <w:spacing w:val="-2"/>
          <w:sz w:val="16"/>
          <w:szCs w:val="16"/>
          <w:lang w:val="en-GB"/>
        </w:rPr>
        <w:t xml:space="preserve"> in Central Bohemia, </w:t>
      </w:r>
      <w:proofErr w:type="spellStart"/>
      <w:r>
        <w:rPr>
          <w:spacing w:val="-2"/>
          <w:sz w:val="16"/>
          <w:szCs w:val="16"/>
          <w:lang w:val="en-GB"/>
        </w:rPr>
        <w:t>Zlinsky</w:t>
      </w:r>
      <w:proofErr w:type="spellEnd"/>
      <w:r>
        <w:rPr>
          <w:spacing w:val="-2"/>
          <w:sz w:val="16"/>
          <w:szCs w:val="16"/>
          <w:lang w:val="en-GB"/>
        </w:rPr>
        <w:t xml:space="preserve"> region resp.</w:t>
      </w:r>
      <w:r w:rsidRPr="00B646BC">
        <w:rPr>
          <w:spacing w:val="-2"/>
          <w:sz w:val="16"/>
          <w:szCs w:val="16"/>
          <w:lang w:val="en-GB"/>
        </w:rPr>
        <w:t xml:space="preserve">). </w:t>
      </w:r>
      <w:r>
        <w:rPr>
          <w:spacing w:val="-2"/>
          <w:sz w:val="16"/>
          <w:szCs w:val="16"/>
          <w:lang w:val="en-GB"/>
        </w:rPr>
        <w:t xml:space="preserve">Wages grew by </w:t>
      </w:r>
      <w:r w:rsidRPr="00B646BC">
        <w:rPr>
          <w:spacing w:val="-2"/>
          <w:sz w:val="16"/>
          <w:szCs w:val="16"/>
          <w:lang w:val="en-GB"/>
        </w:rPr>
        <w:t>7</w:t>
      </w:r>
      <w:r>
        <w:rPr>
          <w:spacing w:val="-2"/>
          <w:sz w:val="16"/>
          <w:szCs w:val="16"/>
          <w:lang w:val="en-GB"/>
        </w:rPr>
        <w:t>.</w:t>
      </w:r>
      <w:r w:rsidRPr="00B646BC">
        <w:rPr>
          <w:spacing w:val="-2"/>
          <w:sz w:val="16"/>
          <w:szCs w:val="16"/>
          <w:lang w:val="en-GB"/>
        </w:rPr>
        <w:t>2%</w:t>
      </w:r>
      <w:r>
        <w:rPr>
          <w:spacing w:val="-2"/>
          <w:sz w:val="16"/>
          <w:szCs w:val="16"/>
          <w:lang w:val="en-GB"/>
        </w:rPr>
        <w:t xml:space="preserve"> in Prague</w:t>
      </w:r>
      <w:r w:rsidRPr="00B646BC">
        <w:rPr>
          <w:spacing w:val="-2"/>
          <w:sz w:val="16"/>
          <w:szCs w:val="16"/>
          <w:lang w:val="en-GB"/>
        </w:rPr>
        <w:t xml:space="preserve">, </w:t>
      </w:r>
      <w:r>
        <w:rPr>
          <w:spacing w:val="-2"/>
          <w:sz w:val="16"/>
          <w:szCs w:val="16"/>
          <w:lang w:val="en-GB"/>
        </w:rPr>
        <w:t xml:space="preserve">even though the wage growth in the metropolis stayed behind the republic wide pace in the period of pandemics as well as previous boom. </w:t>
      </w:r>
    </w:p>
  </w:footnote>
  <w:footnote w:id="83">
    <w:p w14:paraId="6CE5C169" w14:textId="61173AD7" w:rsidR="00E37C1C" w:rsidRPr="00B646BC" w:rsidRDefault="00E37C1C" w:rsidP="00B646BC">
      <w:pPr>
        <w:pStyle w:val="Textpoznpodarou"/>
        <w:jc w:val="both"/>
        <w:rPr>
          <w:sz w:val="16"/>
          <w:szCs w:val="16"/>
          <w:lang w:val="en-GB"/>
        </w:rPr>
      </w:pPr>
      <w:r w:rsidRPr="00B646BC">
        <w:rPr>
          <w:rStyle w:val="Znakapoznpodarou"/>
          <w:sz w:val="16"/>
          <w:szCs w:val="16"/>
          <w:lang w:val="en-GB"/>
        </w:rPr>
        <w:footnoteRef/>
      </w:r>
      <w:r w:rsidRPr="00B646BC">
        <w:rPr>
          <w:sz w:val="16"/>
          <w:szCs w:val="16"/>
          <w:lang w:val="en-GB"/>
        </w:rPr>
        <w:t xml:space="preserve"> </w:t>
      </w:r>
      <w:r>
        <w:rPr>
          <w:sz w:val="16"/>
          <w:szCs w:val="16"/>
          <w:lang w:val="en-GB"/>
        </w:rPr>
        <w:t xml:space="preserve">Without their influence the hypothetic wage growth was 8.5% in the economy for the last year. </w:t>
      </w:r>
    </w:p>
  </w:footnote>
  <w:footnote w:id="84">
    <w:p w14:paraId="031DC042" w14:textId="77777777" w:rsidR="00E37C1C" w:rsidRPr="00B839B1" w:rsidRDefault="00E37C1C" w:rsidP="003D13A6">
      <w:pPr>
        <w:pStyle w:val="Textpoznpodarou"/>
        <w:jc w:val="both"/>
        <w:rPr>
          <w:sz w:val="16"/>
          <w:szCs w:val="16"/>
          <w:lang w:val="en-GB"/>
        </w:rPr>
      </w:pPr>
      <w:r w:rsidRPr="00AC59F2">
        <w:rPr>
          <w:rStyle w:val="Znakapoznpodarou"/>
          <w:sz w:val="16"/>
          <w:szCs w:val="16"/>
        </w:rPr>
        <w:footnoteRef/>
      </w:r>
      <w:r w:rsidRPr="00AC59F2">
        <w:rPr>
          <w:sz w:val="16"/>
          <w:szCs w:val="16"/>
        </w:rPr>
        <w:t xml:space="preserve"> </w:t>
      </w:r>
      <w:r w:rsidRPr="00B839B1">
        <w:rPr>
          <w:sz w:val="16"/>
          <w:szCs w:val="16"/>
          <w:lang w:val="en-GB"/>
        </w:rPr>
        <w:t xml:space="preserve">It represents a preliminary estimate. </w:t>
      </w:r>
      <w:r>
        <w:rPr>
          <w:sz w:val="16"/>
          <w:szCs w:val="16"/>
          <w:lang w:val="en-GB"/>
        </w:rPr>
        <w:t xml:space="preserve">More detailed figures will be available in the publication Employee wage structure for year </w:t>
      </w:r>
      <w:r w:rsidRPr="00B839B1">
        <w:rPr>
          <w:sz w:val="16"/>
          <w:szCs w:val="16"/>
          <w:lang w:val="en-GB"/>
        </w:rPr>
        <w:t xml:space="preserve">2022, </w:t>
      </w:r>
      <w:r>
        <w:rPr>
          <w:sz w:val="16"/>
          <w:szCs w:val="16"/>
          <w:lang w:val="en-GB"/>
        </w:rPr>
        <w:t xml:space="preserve">which will be published </w:t>
      </w:r>
      <w:r w:rsidRPr="00B839B1">
        <w:rPr>
          <w:sz w:val="16"/>
          <w:szCs w:val="16"/>
          <w:lang w:val="en-GB"/>
        </w:rPr>
        <w:t>23</w:t>
      </w:r>
      <w:r w:rsidRPr="00B839B1">
        <w:rPr>
          <w:sz w:val="16"/>
          <w:szCs w:val="16"/>
          <w:vertAlign w:val="superscript"/>
          <w:lang w:val="en-GB"/>
        </w:rPr>
        <w:t>rd</w:t>
      </w:r>
      <w:r>
        <w:rPr>
          <w:sz w:val="16"/>
          <w:szCs w:val="16"/>
          <w:lang w:val="en-GB"/>
        </w:rPr>
        <w:t xml:space="preserve"> May this year. </w:t>
      </w:r>
    </w:p>
  </w:footnote>
  <w:footnote w:id="85">
    <w:p w14:paraId="275E456A" w14:textId="6B010938" w:rsidR="00E37C1C" w:rsidRPr="00E83D8D" w:rsidRDefault="00E37C1C" w:rsidP="00E83D8D">
      <w:pPr>
        <w:pStyle w:val="Textpoznpodarou"/>
        <w:jc w:val="both"/>
        <w:rPr>
          <w:sz w:val="16"/>
          <w:szCs w:val="16"/>
          <w:lang w:val="en-GB"/>
        </w:rPr>
      </w:pPr>
      <w:r w:rsidRPr="00E83D8D">
        <w:rPr>
          <w:rStyle w:val="Znakapoznpodarou"/>
          <w:sz w:val="16"/>
          <w:szCs w:val="16"/>
          <w:lang w:val="en-GB"/>
        </w:rPr>
        <w:footnoteRef/>
      </w:r>
      <w:r w:rsidRPr="00E83D8D">
        <w:rPr>
          <w:sz w:val="16"/>
          <w:szCs w:val="16"/>
          <w:lang w:val="en-GB"/>
        </w:rPr>
        <w:t xml:space="preserve"> Unless stated otherwise, the source of data in the chapter is the Czech National Bank database ARAD. Values of foreign exchange rates also stem from the CNB.</w:t>
      </w:r>
    </w:p>
  </w:footnote>
  <w:footnote w:id="86">
    <w:p w14:paraId="6699BD4F" w14:textId="2B46CA77" w:rsidR="00E37C1C" w:rsidRPr="00F919C6" w:rsidRDefault="00E37C1C" w:rsidP="00F919C6">
      <w:pPr>
        <w:pStyle w:val="Textpoznpodarou"/>
        <w:jc w:val="both"/>
        <w:rPr>
          <w:sz w:val="16"/>
          <w:szCs w:val="16"/>
          <w:lang w:val="en-GB"/>
        </w:rPr>
      </w:pPr>
      <w:r w:rsidRPr="001F5F82">
        <w:rPr>
          <w:rStyle w:val="Znakapoznpodarou"/>
          <w:sz w:val="16"/>
          <w:szCs w:val="16"/>
        </w:rPr>
        <w:footnoteRef/>
      </w:r>
      <w:r w:rsidRPr="001F5F82">
        <w:rPr>
          <w:sz w:val="16"/>
          <w:szCs w:val="16"/>
        </w:rPr>
        <w:t xml:space="preserve"> </w:t>
      </w:r>
      <w:r w:rsidRPr="00F919C6">
        <w:rPr>
          <w:sz w:val="16"/>
          <w:szCs w:val="16"/>
          <w:lang w:val="en-GB"/>
        </w:rPr>
        <w:t xml:space="preserve">Unless stated otherwise, </w:t>
      </w:r>
      <w:r>
        <w:rPr>
          <w:sz w:val="16"/>
          <w:szCs w:val="16"/>
          <w:lang w:val="en-GB"/>
        </w:rPr>
        <w:t xml:space="preserve">the difference between the value as of 31.12.2022 and 30.9.2022 is intended by the change of interest rates. </w:t>
      </w:r>
    </w:p>
  </w:footnote>
  <w:footnote w:id="87">
    <w:p w14:paraId="33007CAE" w14:textId="355597F6" w:rsidR="00E37C1C" w:rsidRPr="00F919C6" w:rsidRDefault="00E37C1C" w:rsidP="00F919C6">
      <w:pPr>
        <w:pStyle w:val="Textpoznpodarou"/>
        <w:jc w:val="both"/>
        <w:rPr>
          <w:sz w:val="16"/>
          <w:szCs w:val="16"/>
          <w:lang w:val="en-GB"/>
        </w:rPr>
      </w:pPr>
      <w:r w:rsidRPr="00F919C6">
        <w:rPr>
          <w:rStyle w:val="Znakapoznpodarou"/>
          <w:sz w:val="16"/>
          <w:szCs w:val="16"/>
          <w:lang w:val="en-GB"/>
        </w:rPr>
        <w:footnoteRef/>
      </w:r>
      <w:r w:rsidRPr="00F919C6">
        <w:rPr>
          <w:sz w:val="16"/>
          <w:szCs w:val="16"/>
          <w:lang w:val="en-GB"/>
        </w:rPr>
        <w:t xml:space="preserve"> </w:t>
      </w:r>
      <w:r>
        <w:rPr>
          <w:sz w:val="16"/>
          <w:szCs w:val="16"/>
          <w:lang w:val="en-GB"/>
        </w:rPr>
        <w:t xml:space="preserve">Population including self-employed. </w:t>
      </w:r>
    </w:p>
  </w:footnote>
  <w:footnote w:id="88">
    <w:p w14:paraId="34BBF827" w14:textId="7F09F388" w:rsidR="00E37C1C" w:rsidRPr="00BD0595" w:rsidRDefault="00E37C1C" w:rsidP="00BD0595">
      <w:pPr>
        <w:pStyle w:val="Textpoznpodarou"/>
        <w:jc w:val="both"/>
        <w:rPr>
          <w:sz w:val="16"/>
          <w:szCs w:val="16"/>
          <w:lang w:val="en-GB"/>
        </w:rPr>
      </w:pPr>
      <w:r w:rsidRPr="00284DA5">
        <w:rPr>
          <w:rStyle w:val="Znakapoznpodarou"/>
          <w:sz w:val="16"/>
          <w:szCs w:val="16"/>
        </w:rPr>
        <w:footnoteRef/>
      </w:r>
      <w:r w:rsidRPr="00284DA5">
        <w:rPr>
          <w:sz w:val="16"/>
          <w:szCs w:val="16"/>
        </w:rPr>
        <w:t xml:space="preserve"> </w:t>
      </w:r>
      <w:r w:rsidRPr="00BD0595">
        <w:rPr>
          <w:sz w:val="16"/>
          <w:szCs w:val="16"/>
          <w:lang w:val="en-GB"/>
        </w:rPr>
        <w:t xml:space="preserve">Refinanced credit as well as other agreements are included in the new contracts. Refinanced credit includes existing contracts agreed newly at a different bank, while other new agreements are existing contracts agreed with new conditions at the same bank. </w:t>
      </w:r>
    </w:p>
  </w:footnote>
  <w:footnote w:id="89">
    <w:p w14:paraId="2A2BBAF3" w14:textId="304D03CF" w:rsidR="00E37C1C" w:rsidRPr="005E7FA6" w:rsidRDefault="00E37C1C" w:rsidP="00BD0595">
      <w:pPr>
        <w:pStyle w:val="Textpoznpodarou"/>
        <w:jc w:val="both"/>
        <w:rPr>
          <w:sz w:val="16"/>
          <w:szCs w:val="16"/>
          <w:lang w:val="en-GB"/>
        </w:rPr>
      </w:pPr>
      <w:r w:rsidRPr="00BD0595">
        <w:rPr>
          <w:rStyle w:val="Znakapoznpodarou"/>
          <w:sz w:val="16"/>
          <w:szCs w:val="16"/>
          <w:lang w:val="en-GB"/>
        </w:rPr>
        <w:footnoteRef/>
      </w:r>
      <w:r w:rsidRPr="00BD0595">
        <w:rPr>
          <w:sz w:val="16"/>
          <w:szCs w:val="16"/>
          <w:lang w:val="en-GB"/>
        </w:rPr>
        <w:t xml:space="preserve"> </w:t>
      </w:r>
      <w:r>
        <w:rPr>
          <w:sz w:val="16"/>
          <w:szCs w:val="16"/>
          <w:lang w:val="en-GB"/>
        </w:rPr>
        <w:t xml:space="preserve">Credit in foreign currency started sharply grow after the beginning of repeated increase of monetary policy-relevant rates in June </w:t>
      </w:r>
      <w:r w:rsidRPr="00BD0595">
        <w:rPr>
          <w:sz w:val="16"/>
          <w:szCs w:val="16"/>
          <w:lang w:val="en-GB"/>
        </w:rPr>
        <w:t>2021.</w:t>
      </w:r>
      <w:r>
        <w:rPr>
          <w:sz w:val="16"/>
          <w:szCs w:val="16"/>
          <w:lang w:val="en-GB"/>
        </w:rPr>
        <w:t xml:space="preserve"> Their volume expanded by </w:t>
      </w:r>
      <w:r w:rsidRPr="00BD0595">
        <w:rPr>
          <w:sz w:val="16"/>
          <w:szCs w:val="16"/>
          <w:lang w:val="en-GB"/>
        </w:rPr>
        <w:t>198</w:t>
      </w:r>
      <w:r>
        <w:rPr>
          <w:sz w:val="16"/>
          <w:szCs w:val="16"/>
          <w:lang w:val="en-GB"/>
        </w:rPr>
        <w:t>.</w:t>
      </w:r>
      <w:r w:rsidRPr="00BD0595">
        <w:rPr>
          <w:sz w:val="16"/>
          <w:szCs w:val="16"/>
          <w:lang w:val="en-GB"/>
        </w:rPr>
        <w:t>9</w:t>
      </w:r>
      <w:r>
        <w:rPr>
          <w:sz w:val="16"/>
          <w:szCs w:val="16"/>
          <w:lang w:val="en-GB"/>
        </w:rPr>
        <w:t xml:space="preserve"> CZK bn </w:t>
      </w:r>
      <w:r w:rsidRPr="00BD0595">
        <w:rPr>
          <w:sz w:val="16"/>
          <w:szCs w:val="16"/>
          <w:lang w:val="en-GB"/>
        </w:rPr>
        <w:t>(54</w:t>
      </w:r>
      <w:r>
        <w:rPr>
          <w:sz w:val="16"/>
          <w:szCs w:val="16"/>
          <w:lang w:val="en-GB"/>
        </w:rPr>
        <w:t>.</w:t>
      </w:r>
      <w:r w:rsidRPr="00BD0595">
        <w:rPr>
          <w:sz w:val="16"/>
          <w:szCs w:val="16"/>
          <w:lang w:val="en-GB"/>
        </w:rPr>
        <w:t>8%)</w:t>
      </w:r>
      <w:r>
        <w:rPr>
          <w:sz w:val="16"/>
          <w:szCs w:val="16"/>
          <w:lang w:val="en-GB"/>
        </w:rPr>
        <w:t xml:space="preserve"> until December 2022</w:t>
      </w:r>
      <w:r w:rsidRPr="00BD0595">
        <w:rPr>
          <w:sz w:val="16"/>
          <w:szCs w:val="16"/>
          <w:lang w:val="en-GB"/>
        </w:rPr>
        <w:t>.</w:t>
      </w:r>
    </w:p>
  </w:footnote>
  <w:footnote w:id="90">
    <w:p w14:paraId="4CAFC409" w14:textId="77777777" w:rsidR="00E37C1C" w:rsidRPr="000921AD" w:rsidRDefault="00E37C1C" w:rsidP="000921AD">
      <w:pPr>
        <w:pStyle w:val="Textpoznpodarou"/>
        <w:jc w:val="both"/>
        <w:rPr>
          <w:spacing w:val="-3"/>
          <w:sz w:val="16"/>
          <w:szCs w:val="16"/>
          <w:lang w:val="en-GB"/>
        </w:rPr>
      </w:pPr>
      <w:r w:rsidRPr="00AD0D96">
        <w:rPr>
          <w:rStyle w:val="Znakapoznpodarou"/>
          <w:spacing w:val="-3"/>
          <w:sz w:val="16"/>
          <w:szCs w:val="16"/>
        </w:rPr>
        <w:footnoteRef/>
      </w:r>
      <w:r w:rsidRPr="00AD0D96">
        <w:rPr>
          <w:spacing w:val="-3"/>
          <w:sz w:val="16"/>
          <w:szCs w:val="16"/>
        </w:rPr>
        <w:t xml:space="preserve"> </w:t>
      </w:r>
      <w:r w:rsidRPr="000921AD">
        <w:rPr>
          <w:spacing w:val="-3"/>
          <w:sz w:val="16"/>
          <w:szCs w:val="16"/>
          <w:lang w:val="en-GB"/>
        </w:rPr>
        <w:t>Unless stated otherwise</w:t>
      </w:r>
      <w:r w:rsidRPr="000921AD">
        <w:rPr>
          <w:color w:val="0D0D0D" w:themeColor="text1" w:themeTint="F2"/>
          <w:spacing w:val="-3"/>
          <w:sz w:val="16"/>
          <w:szCs w:val="16"/>
          <w:lang w:val="en-GB"/>
        </w:rPr>
        <w:t xml:space="preserve">, </w:t>
      </w:r>
      <w:r w:rsidRPr="000921AD">
        <w:rPr>
          <w:sz w:val="16"/>
          <w:szCs w:val="16"/>
          <w:lang w:val="en-GB"/>
        </w:rPr>
        <w:t xml:space="preserve">all data related to the state budget stem from the data of the Ministry of Finance regarding the treasury fulfilment. </w:t>
      </w:r>
    </w:p>
  </w:footnote>
  <w:footnote w:id="91">
    <w:p w14:paraId="02934DAD" w14:textId="19154479" w:rsidR="00E37C1C" w:rsidRPr="000921AD" w:rsidRDefault="00E37C1C" w:rsidP="000921AD">
      <w:pPr>
        <w:pStyle w:val="Textpoznpodarou"/>
        <w:jc w:val="both"/>
        <w:rPr>
          <w:lang w:val="en-GB"/>
        </w:rPr>
      </w:pPr>
      <w:r w:rsidRPr="000921AD">
        <w:rPr>
          <w:rStyle w:val="Znakapoznpodarou"/>
          <w:sz w:val="16"/>
          <w:szCs w:val="16"/>
          <w:lang w:val="en-GB"/>
        </w:rPr>
        <w:footnoteRef/>
      </w:r>
      <w:r w:rsidRPr="000921AD">
        <w:rPr>
          <w:spacing w:val="-4"/>
          <w:sz w:val="16"/>
          <w:szCs w:val="16"/>
          <w:lang w:val="en-GB"/>
        </w:rPr>
        <w:t xml:space="preserve"> </w:t>
      </w:r>
      <w:r>
        <w:rPr>
          <w:spacing w:val="-4"/>
          <w:sz w:val="16"/>
          <w:szCs w:val="16"/>
          <w:lang w:val="en-GB"/>
        </w:rPr>
        <w:t xml:space="preserve">According to the amendment of Act </w:t>
      </w:r>
      <w:r w:rsidRPr="000921AD">
        <w:rPr>
          <w:spacing w:val="-4"/>
          <w:sz w:val="16"/>
          <w:szCs w:val="16"/>
          <w:lang w:val="en-GB"/>
        </w:rPr>
        <w:t>(</w:t>
      </w:r>
      <w:r>
        <w:rPr>
          <w:spacing w:val="-4"/>
          <w:sz w:val="16"/>
          <w:szCs w:val="16"/>
          <w:lang w:val="en-GB"/>
        </w:rPr>
        <w:t>no</w:t>
      </w:r>
      <w:r w:rsidRPr="000921AD">
        <w:rPr>
          <w:spacing w:val="-4"/>
          <w:sz w:val="16"/>
          <w:szCs w:val="16"/>
          <w:lang w:val="en-GB"/>
        </w:rPr>
        <w:t xml:space="preserve">. 57/2022 </w:t>
      </w:r>
      <w:r>
        <w:rPr>
          <w:spacing w:val="-4"/>
          <w:sz w:val="16"/>
          <w:szCs w:val="16"/>
          <w:lang w:val="en-GB"/>
        </w:rPr>
        <w:t>Coll</w:t>
      </w:r>
      <w:r w:rsidRPr="000921AD">
        <w:rPr>
          <w:spacing w:val="-4"/>
          <w:sz w:val="16"/>
          <w:szCs w:val="16"/>
          <w:lang w:val="en-GB"/>
        </w:rPr>
        <w:t xml:space="preserve">.) </w:t>
      </w:r>
      <w:r w:rsidRPr="00B85226">
        <w:rPr>
          <w:spacing w:val="-4"/>
          <w:sz w:val="16"/>
          <w:szCs w:val="16"/>
          <w:lang w:val="en-GB"/>
        </w:rPr>
        <w:t>on the state budget of the Czech Republic for 2022</w:t>
      </w:r>
      <w:r>
        <w:rPr>
          <w:spacing w:val="-4"/>
          <w:sz w:val="16"/>
          <w:szCs w:val="16"/>
          <w:lang w:val="en-GB"/>
        </w:rPr>
        <w:t xml:space="preserve"> </w:t>
      </w:r>
      <w:r w:rsidRPr="000921AD">
        <w:rPr>
          <w:spacing w:val="-4"/>
          <w:sz w:val="16"/>
          <w:szCs w:val="16"/>
          <w:lang w:val="en-GB"/>
        </w:rPr>
        <w:t>(</w:t>
      </w:r>
      <w:r>
        <w:rPr>
          <w:spacing w:val="-4"/>
          <w:sz w:val="16"/>
          <w:szCs w:val="16"/>
          <w:lang w:val="en-GB"/>
        </w:rPr>
        <w:t>approved on 18</w:t>
      </w:r>
      <w:r w:rsidRPr="00B85226">
        <w:rPr>
          <w:spacing w:val="-4"/>
          <w:sz w:val="16"/>
          <w:szCs w:val="16"/>
          <w:vertAlign w:val="superscript"/>
          <w:lang w:val="en-GB"/>
        </w:rPr>
        <w:t>th</w:t>
      </w:r>
      <w:r>
        <w:rPr>
          <w:spacing w:val="-4"/>
          <w:sz w:val="16"/>
          <w:szCs w:val="16"/>
          <w:lang w:val="en-GB"/>
        </w:rPr>
        <w:t xml:space="preserve"> October </w:t>
      </w:r>
      <w:r w:rsidRPr="000921AD">
        <w:rPr>
          <w:spacing w:val="-4"/>
          <w:sz w:val="16"/>
          <w:szCs w:val="16"/>
          <w:lang w:val="en-GB"/>
        </w:rPr>
        <w:t>2022),</w:t>
      </w:r>
      <w:r>
        <w:rPr>
          <w:spacing w:val="-4"/>
          <w:sz w:val="16"/>
          <w:szCs w:val="16"/>
          <w:lang w:val="en-GB"/>
        </w:rPr>
        <w:t xml:space="preserve"> which raised the anticipated deficit to </w:t>
      </w:r>
      <w:r w:rsidRPr="000921AD">
        <w:rPr>
          <w:spacing w:val="-4"/>
          <w:sz w:val="16"/>
          <w:szCs w:val="16"/>
          <w:lang w:val="en-GB"/>
        </w:rPr>
        <w:t xml:space="preserve">375 </w:t>
      </w:r>
      <w:r>
        <w:rPr>
          <w:spacing w:val="-4"/>
          <w:sz w:val="16"/>
          <w:szCs w:val="16"/>
          <w:lang w:val="en-GB"/>
        </w:rPr>
        <w:t xml:space="preserve">CZK bn </w:t>
      </w:r>
      <w:r w:rsidRPr="000921AD">
        <w:rPr>
          <w:spacing w:val="-4"/>
          <w:sz w:val="16"/>
          <w:szCs w:val="16"/>
          <w:lang w:val="en-GB"/>
        </w:rPr>
        <w:t>(</w:t>
      </w:r>
      <w:r>
        <w:rPr>
          <w:spacing w:val="-4"/>
          <w:sz w:val="16"/>
          <w:szCs w:val="16"/>
          <w:lang w:val="en-GB"/>
        </w:rPr>
        <w:t xml:space="preserve">from </w:t>
      </w:r>
      <w:r w:rsidRPr="000921AD">
        <w:rPr>
          <w:spacing w:val="-4"/>
          <w:sz w:val="16"/>
          <w:szCs w:val="16"/>
          <w:lang w:val="en-GB"/>
        </w:rPr>
        <w:t xml:space="preserve">280 </w:t>
      </w:r>
      <w:r>
        <w:rPr>
          <w:spacing w:val="-4"/>
          <w:sz w:val="16"/>
          <w:szCs w:val="16"/>
          <w:lang w:val="en-GB"/>
        </w:rPr>
        <w:t xml:space="preserve">CZK bn given in the original version of the Act on the budget from </w:t>
      </w:r>
      <w:r w:rsidRPr="000921AD">
        <w:rPr>
          <w:spacing w:val="-4"/>
          <w:sz w:val="16"/>
          <w:szCs w:val="16"/>
          <w:lang w:val="en-GB"/>
        </w:rPr>
        <w:t>10</w:t>
      </w:r>
      <w:r w:rsidRPr="00AC433A">
        <w:rPr>
          <w:spacing w:val="-4"/>
          <w:sz w:val="16"/>
          <w:szCs w:val="16"/>
          <w:vertAlign w:val="superscript"/>
          <w:lang w:val="en-GB"/>
        </w:rPr>
        <w:t>th</w:t>
      </w:r>
      <w:r>
        <w:rPr>
          <w:spacing w:val="-4"/>
          <w:sz w:val="16"/>
          <w:szCs w:val="16"/>
          <w:lang w:val="en-GB"/>
        </w:rPr>
        <w:t xml:space="preserve"> March </w:t>
      </w:r>
      <w:r w:rsidRPr="000921AD">
        <w:rPr>
          <w:spacing w:val="-4"/>
          <w:sz w:val="16"/>
          <w:szCs w:val="16"/>
          <w:lang w:val="en-GB"/>
        </w:rPr>
        <w:t>2022).</w:t>
      </w:r>
    </w:p>
  </w:footnote>
  <w:footnote w:id="92">
    <w:p w14:paraId="68178E75" w14:textId="3B3EE51F" w:rsidR="00E37C1C" w:rsidRPr="000921AD" w:rsidRDefault="00E37C1C" w:rsidP="000921AD">
      <w:pPr>
        <w:pStyle w:val="Textpoznpodarou"/>
        <w:jc w:val="both"/>
        <w:rPr>
          <w:sz w:val="16"/>
          <w:szCs w:val="16"/>
          <w:lang w:val="en-GB"/>
        </w:rPr>
      </w:pPr>
      <w:r w:rsidRPr="000921AD">
        <w:rPr>
          <w:rStyle w:val="Znakapoznpodarou"/>
          <w:sz w:val="16"/>
          <w:szCs w:val="16"/>
          <w:lang w:val="en-GB"/>
        </w:rPr>
        <w:footnoteRef/>
      </w:r>
      <w:r w:rsidRPr="000921AD">
        <w:rPr>
          <w:sz w:val="16"/>
          <w:szCs w:val="16"/>
          <w:lang w:val="en-GB"/>
        </w:rPr>
        <w:t xml:space="preserve"> </w:t>
      </w:r>
      <w:r>
        <w:rPr>
          <w:sz w:val="16"/>
          <w:szCs w:val="16"/>
          <w:lang w:val="en-GB"/>
        </w:rPr>
        <w:t>It also underlines the deficit after adjustment for revenues and outlays related to the common CR and EU projects, w</w:t>
      </w:r>
      <w:r>
        <w:rPr>
          <w:spacing w:val="-4"/>
          <w:sz w:val="16"/>
          <w:szCs w:val="16"/>
          <w:lang w:val="en-GB"/>
        </w:rPr>
        <w:t xml:space="preserve">hich summed </w:t>
      </w:r>
      <w:r w:rsidRPr="000921AD">
        <w:rPr>
          <w:spacing w:val="-4"/>
          <w:sz w:val="16"/>
          <w:szCs w:val="16"/>
          <w:lang w:val="en-GB"/>
        </w:rPr>
        <w:t>316</w:t>
      </w:r>
      <w:r>
        <w:rPr>
          <w:spacing w:val="-4"/>
          <w:sz w:val="16"/>
          <w:szCs w:val="16"/>
          <w:lang w:val="en-GB"/>
        </w:rPr>
        <w:t>.</w:t>
      </w:r>
      <w:r w:rsidRPr="000921AD">
        <w:rPr>
          <w:spacing w:val="-4"/>
          <w:sz w:val="16"/>
          <w:szCs w:val="16"/>
          <w:lang w:val="en-GB"/>
        </w:rPr>
        <w:t>1</w:t>
      </w:r>
      <w:r>
        <w:rPr>
          <w:spacing w:val="-4"/>
          <w:sz w:val="16"/>
          <w:szCs w:val="16"/>
          <w:lang w:val="en-GB"/>
        </w:rPr>
        <w:t xml:space="preserve"> CZK bn last year </w:t>
      </w:r>
      <w:r w:rsidRPr="000921AD">
        <w:rPr>
          <w:spacing w:val="-4"/>
          <w:sz w:val="16"/>
          <w:szCs w:val="16"/>
          <w:lang w:val="en-GB"/>
        </w:rPr>
        <w:t>(364</w:t>
      </w:r>
      <w:r>
        <w:rPr>
          <w:spacing w:val="-4"/>
          <w:sz w:val="16"/>
          <w:szCs w:val="16"/>
          <w:lang w:val="en-GB"/>
        </w:rPr>
        <w:t>.</w:t>
      </w:r>
      <w:r w:rsidRPr="000921AD">
        <w:rPr>
          <w:spacing w:val="-4"/>
          <w:sz w:val="16"/>
          <w:szCs w:val="16"/>
          <w:lang w:val="en-GB"/>
        </w:rPr>
        <w:t>9</w:t>
      </w:r>
      <w:r>
        <w:rPr>
          <w:spacing w:val="-4"/>
          <w:sz w:val="16"/>
          <w:szCs w:val="16"/>
          <w:lang w:val="en-GB"/>
        </w:rPr>
        <w:t>bn and 408.6 bn then in years 2020 and 2021 respectively</w:t>
      </w:r>
      <w:r w:rsidRPr="000921AD">
        <w:rPr>
          <w:spacing w:val="-4"/>
          <w:sz w:val="16"/>
          <w:szCs w:val="16"/>
          <w:lang w:val="en-GB"/>
        </w:rPr>
        <w:t>).</w:t>
      </w:r>
    </w:p>
  </w:footnote>
  <w:footnote w:id="93">
    <w:p w14:paraId="6AC10994" w14:textId="09E1E351" w:rsidR="00E37C1C" w:rsidRPr="000921AD" w:rsidRDefault="00E37C1C" w:rsidP="000921AD">
      <w:pPr>
        <w:pStyle w:val="Textpoznpodarou"/>
        <w:jc w:val="both"/>
        <w:rPr>
          <w:sz w:val="16"/>
          <w:szCs w:val="16"/>
          <w:lang w:val="en-GB"/>
        </w:rPr>
      </w:pPr>
      <w:r w:rsidRPr="000921AD">
        <w:rPr>
          <w:rStyle w:val="Znakapoznpodarou"/>
          <w:sz w:val="16"/>
          <w:szCs w:val="16"/>
          <w:lang w:val="en-GB"/>
        </w:rPr>
        <w:footnoteRef/>
      </w:r>
      <w:r w:rsidRPr="000921AD">
        <w:rPr>
          <w:sz w:val="16"/>
          <w:szCs w:val="16"/>
          <w:lang w:val="en-GB"/>
        </w:rPr>
        <w:t xml:space="preserve"> </w:t>
      </w:r>
      <w:r>
        <w:rPr>
          <w:sz w:val="16"/>
          <w:szCs w:val="16"/>
          <w:lang w:val="en-GB"/>
        </w:rPr>
        <w:t>Delay of payments for approved projects, which had already been pre-financed from the CR budget before, stood behind it</w:t>
      </w:r>
      <w:r w:rsidRPr="000921AD">
        <w:rPr>
          <w:sz w:val="16"/>
          <w:szCs w:val="16"/>
          <w:lang w:val="en-GB"/>
        </w:rPr>
        <w:t>.</w:t>
      </w:r>
    </w:p>
  </w:footnote>
  <w:footnote w:id="94">
    <w:p w14:paraId="0A9952E7" w14:textId="7F9224C0" w:rsidR="00E37C1C" w:rsidRPr="006D74F7" w:rsidRDefault="00E37C1C" w:rsidP="006D74F7">
      <w:pPr>
        <w:pStyle w:val="Textpoznpodarou"/>
        <w:jc w:val="both"/>
        <w:rPr>
          <w:lang w:val="en-GB"/>
        </w:rPr>
      </w:pPr>
      <w:r w:rsidRPr="000921AD">
        <w:rPr>
          <w:rStyle w:val="Znakapoznpodarou"/>
          <w:sz w:val="16"/>
          <w:szCs w:val="16"/>
          <w:lang w:val="en-GB"/>
        </w:rPr>
        <w:footnoteRef/>
      </w:r>
      <w:r w:rsidRPr="000921AD">
        <w:rPr>
          <w:rStyle w:val="Znakapoznpodarou"/>
          <w:sz w:val="16"/>
          <w:szCs w:val="16"/>
          <w:lang w:val="en-GB"/>
        </w:rPr>
        <w:t xml:space="preserve"> </w:t>
      </w:r>
      <w:r w:rsidRPr="006D74F7">
        <w:rPr>
          <w:sz w:val="16"/>
          <w:szCs w:val="16"/>
          <w:lang w:val="en-GB"/>
        </w:rPr>
        <w:t>The collection plunged by 13.7% in Q</w:t>
      </w:r>
      <w:r w:rsidRPr="006D74F7">
        <w:rPr>
          <w:spacing w:val="-4"/>
          <w:sz w:val="16"/>
          <w:szCs w:val="16"/>
          <w:lang w:val="en-GB"/>
        </w:rPr>
        <w:t xml:space="preserve">3 2022, even by 18.1% the subsequent quarter. </w:t>
      </w:r>
    </w:p>
  </w:footnote>
  <w:footnote w:id="95">
    <w:p w14:paraId="370E1D1E" w14:textId="64321961" w:rsidR="00E37C1C" w:rsidRPr="006D74F7" w:rsidRDefault="00E37C1C" w:rsidP="006D74F7">
      <w:pPr>
        <w:pStyle w:val="Textpoznpodarou"/>
        <w:jc w:val="both"/>
        <w:rPr>
          <w:spacing w:val="-4"/>
          <w:sz w:val="16"/>
          <w:szCs w:val="16"/>
          <w:lang w:val="en-GB"/>
        </w:rPr>
      </w:pPr>
      <w:r w:rsidRPr="006D74F7">
        <w:rPr>
          <w:rStyle w:val="Znakapoznpodarou"/>
          <w:spacing w:val="-4"/>
          <w:sz w:val="16"/>
          <w:szCs w:val="16"/>
          <w:lang w:val="en-GB"/>
        </w:rPr>
        <w:footnoteRef/>
      </w:r>
      <w:r w:rsidRPr="006D74F7">
        <w:rPr>
          <w:spacing w:val="-4"/>
          <w:sz w:val="16"/>
          <w:szCs w:val="16"/>
          <w:lang w:val="en-GB"/>
        </w:rPr>
        <w:t xml:space="preserve"> </w:t>
      </w:r>
      <w:r>
        <w:rPr>
          <w:spacing w:val="-4"/>
          <w:sz w:val="16"/>
          <w:szCs w:val="16"/>
          <w:lang w:val="en-GB"/>
        </w:rPr>
        <w:t xml:space="preserve">The rate of the consumption tax on petrol and diesel fuel was lowered by </w:t>
      </w:r>
      <w:r w:rsidRPr="006D74F7">
        <w:rPr>
          <w:color w:val="0D0D0D" w:themeColor="text1" w:themeTint="F2"/>
          <w:spacing w:val="-4"/>
          <w:sz w:val="16"/>
          <w:szCs w:val="16"/>
          <w:lang w:val="en-GB"/>
        </w:rPr>
        <w:t>1</w:t>
      </w:r>
      <w:r>
        <w:rPr>
          <w:color w:val="0D0D0D" w:themeColor="text1" w:themeTint="F2"/>
          <w:spacing w:val="-4"/>
          <w:sz w:val="16"/>
          <w:szCs w:val="16"/>
          <w:lang w:val="en-GB"/>
        </w:rPr>
        <w:t>.</w:t>
      </w:r>
      <w:r w:rsidRPr="006D74F7">
        <w:rPr>
          <w:color w:val="0D0D0D" w:themeColor="text1" w:themeTint="F2"/>
          <w:spacing w:val="-4"/>
          <w:sz w:val="16"/>
          <w:szCs w:val="16"/>
          <w:lang w:val="en-GB"/>
        </w:rPr>
        <w:t xml:space="preserve">50 </w:t>
      </w:r>
      <w:r>
        <w:rPr>
          <w:color w:val="0D0D0D" w:themeColor="text1" w:themeTint="F2"/>
          <w:spacing w:val="-4"/>
          <w:sz w:val="16"/>
          <w:szCs w:val="16"/>
          <w:lang w:val="en-GB"/>
        </w:rPr>
        <w:t>CZK per litre from June till the end of September 2022</w:t>
      </w:r>
      <w:r w:rsidRPr="006D74F7">
        <w:rPr>
          <w:color w:val="0D0D0D" w:themeColor="text1" w:themeTint="F2"/>
          <w:spacing w:val="-4"/>
          <w:sz w:val="16"/>
          <w:szCs w:val="16"/>
          <w:lang w:val="en-GB"/>
        </w:rPr>
        <w:t xml:space="preserve">. </w:t>
      </w:r>
      <w:r>
        <w:rPr>
          <w:color w:val="0D0D0D" w:themeColor="text1" w:themeTint="F2"/>
          <w:spacing w:val="-4"/>
          <w:sz w:val="16"/>
          <w:szCs w:val="16"/>
          <w:lang w:val="en-GB"/>
        </w:rPr>
        <w:t xml:space="preserve">This measure was extended for diesel fuel till the end of year 2023. According to the MF CR calculations, these tax arrangements exerted a negative effect on the yearly collection in the amount of </w:t>
      </w:r>
      <w:r w:rsidRPr="006D74F7">
        <w:rPr>
          <w:color w:val="0D0D0D" w:themeColor="text1" w:themeTint="F2"/>
          <w:spacing w:val="-4"/>
          <w:sz w:val="16"/>
          <w:szCs w:val="16"/>
          <w:lang w:val="en-GB"/>
        </w:rPr>
        <w:t>5</w:t>
      </w:r>
      <w:r>
        <w:rPr>
          <w:color w:val="0D0D0D" w:themeColor="text1" w:themeTint="F2"/>
          <w:spacing w:val="-4"/>
          <w:sz w:val="16"/>
          <w:szCs w:val="16"/>
          <w:lang w:val="en-GB"/>
        </w:rPr>
        <w:t>.</w:t>
      </w:r>
      <w:r w:rsidRPr="006D74F7">
        <w:rPr>
          <w:color w:val="0D0D0D" w:themeColor="text1" w:themeTint="F2"/>
          <w:spacing w:val="-4"/>
          <w:sz w:val="16"/>
          <w:szCs w:val="16"/>
          <w:lang w:val="en-GB"/>
        </w:rPr>
        <w:t>3</w:t>
      </w:r>
      <w:r>
        <w:rPr>
          <w:color w:val="0D0D0D" w:themeColor="text1" w:themeTint="F2"/>
          <w:spacing w:val="-4"/>
          <w:sz w:val="16"/>
          <w:szCs w:val="16"/>
          <w:lang w:val="en-GB"/>
        </w:rPr>
        <w:t xml:space="preserve"> CZK bn</w:t>
      </w:r>
      <w:r w:rsidRPr="006D74F7">
        <w:rPr>
          <w:spacing w:val="-4"/>
          <w:sz w:val="16"/>
          <w:szCs w:val="16"/>
          <w:lang w:val="en-GB"/>
        </w:rPr>
        <w:t>.</w:t>
      </w:r>
    </w:p>
  </w:footnote>
  <w:footnote w:id="96">
    <w:p w14:paraId="337FE064" w14:textId="2233418B" w:rsidR="00E37C1C" w:rsidRPr="006D74F7" w:rsidRDefault="00E37C1C" w:rsidP="006D74F7">
      <w:pPr>
        <w:autoSpaceDE w:val="0"/>
        <w:autoSpaceDN w:val="0"/>
        <w:adjustRightInd w:val="0"/>
        <w:spacing w:after="0" w:line="240" w:lineRule="auto"/>
        <w:rPr>
          <w:rFonts w:ascii="Calibri" w:eastAsia="Calibri" w:hAnsi="Calibri" w:cs="Calibri"/>
          <w:sz w:val="16"/>
          <w:szCs w:val="16"/>
          <w:lang w:val="en-GB" w:eastAsia="en-US"/>
        </w:rPr>
      </w:pPr>
      <w:r w:rsidRPr="006D74F7">
        <w:rPr>
          <w:rStyle w:val="Znakapoznpodarou"/>
          <w:sz w:val="16"/>
          <w:szCs w:val="16"/>
          <w:lang w:val="en-GB"/>
        </w:rPr>
        <w:footnoteRef/>
      </w:r>
      <w:r w:rsidRPr="006D74F7">
        <w:rPr>
          <w:sz w:val="16"/>
          <w:szCs w:val="16"/>
          <w:lang w:val="en-GB"/>
        </w:rPr>
        <w:t xml:space="preserve"> </w:t>
      </w:r>
      <w:r>
        <w:rPr>
          <w:sz w:val="16"/>
          <w:szCs w:val="16"/>
          <w:lang w:val="en-GB"/>
        </w:rPr>
        <w:t>High year-on-year rise of the collection of the corporate tax was partially influenced by the extension of the time period for the payment of the tax advances of the year before the last</w:t>
      </w:r>
      <w:r w:rsidRPr="006D74F7">
        <w:rPr>
          <w:sz w:val="16"/>
          <w:szCs w:val="16"/>
          <w:lang w:val="en-GB"/>
        </w:rPr>
        <w:t xml:space="preserve"> (</w:t>
      </w:r>
      <w:r>
        <w:rPr>
          <w:sz w:val="16"/>
          <w:szCs w:val="16"/>
          <w:lang w:val="en-GB"/>
        </w:rPr>
        <w:t>based on the individual requests from the firms</w:t>
      </w:r>
      <w:r w:rsidRPr="006D74F7">
        <w:rPr>
          <w:sz w:val="16"/>
          <w:szCs w:val="16"/>
          <w:lang w:val="en-GB"/>
        </w:rPr>
        <w:t>)</w:t>
      </w:r>
      <w:r>
        <w:rPr>
          <w:sz w:val="16"/>
          <w:szCs w:val="16"/>
          <w:lang w:val="en-GB"/>
        </w:rPr>
        <w:t xml:space="preserve"> with a negative impact on the collection of this tax into the SB in the amount of </w:t>
      </w:r>
      <w:r w:rsidRPr="006D74F7">
        <w:rPr>
          <w:sz w:val="16"/>
          <w:szCs w:val="16"/>
          <w:lang w:val="en-GB"/>
        </w:rPr>
        <w:t>22</w:t>
      </w:r>
      <w:r>
        <w:rPr>
          <w:sz w:val="16"/>
          <w:szCs w:val="16"/>
          <w:lang w:val="en-GB"/>
        </w:rPr>
        <w:t>.</w:t>
      </w:r>
      <w:r w:rsidRPr="006D74F7">
        <w:rPr>
          <w:sz w:val="16"/>
          <w:szCs w:val="16"/>
          <w:lang w:val="en-GB"/>
        </w:rPr>
        <w:t>1</w:t>
      </w:r>
      <w:r>
        <w:rPr>
          <w:sz w:val="16"/>
          <w:szCs w:val="16"/>
          <w:lang w:val="en-GB"/>
        </w:rPr>
        <w:t xml:space="preserve"> CZK bn </w:t>
      </w:r>
      <w:r w:rsidRPr="006D74F7">
        <w:rPr>
          <w:sz w:val="16"/>
          <w:szCs w:val="16"/>
          <w:lang w:val="en-GB"/>
        </w:rPr>
        <w:t>(</w:t>
      </w:r>
      <w:r>
        <w:rPr>
          <w:sz w:val="16"/>
          <w:szCs w:val="16"/>
          <w:lang w:val="en-GB"/>
        </w:rPr>
        <w:t xml:space="preserve">for year </w:t>
      </w:r>
      <w:r w:rsidRPr="006D74F7">
        <w:rPr>
          <w:sz w:val="16"/>
          <w:szCs w:val="16"/>
          <w:lang w:val="en-GB"/>
        </w:rPr>
        <w:t xml:space="preserve">2021). </w:t>
      </w:r>
      <w:r>
        <w:rPr>
          <w:sz w:val="16"/>
          <w:szCs w:val="16"/>
          <w:lang w:val="en-GB"/>
        </w:rPr>
        <w:t xml:space="preserve">Further it also concerned the change in the taxation of reserves of the insurance companies. </w:t>
      </w:r>
    </w:p>
  </w:footnote>
  <w:footnote w:id="97">
    <w:p w14:paraId="4BD023A9" w14:textId="33FB1AEA" w:rsidR="00E37C1C" w:rsidRPr="005A4C24" w:rsidRDefault="00E37C1C" w:rsidP="005A4C24">
      <w:pPr>
        <w:pStyle w:val="Textpoznpodarou"/>
        <w:jc w:val="both"/>
        <w:rPr>
          <w:sz w:val="16"/>
          <w:szCs w:val="16"/>
          <w:lang w:val="en-GB"/>
        </w:rPr>
      </w:pPr>
      <w:r w:rsidRPr="00F62C95">
        <w:rPr>
          <w:rStyle w:val="Znakapoznpodarou"/>
          <w:sz w:val="16"/>
          <w:szCs w:val="16"/>
        </w:rPr>
        <w:footnoteRef/>
      </w:r>
      <w:r w:rsidRPr="00F62C95">
        <w:rPr>
          <w:sz w:val="16"/>
          <w:szCs w:val="16"/>
        </w:rPr>
        <w:t xml:space="preserve"> </w:t>
      </w:r>
      <w:r w:rsidRPr="005A4C24">
        <w:rPr>
          <w:sz w:val="16"/>
          <w:szCs w:val="16"/>
          <w:lang w:val="en-GB"/>
        </w:rPr>
        <w:t xml:space="preserve">State-wide collection of this tax (149.6 CZK bn) </w:t>
      </w:r>
      <w:r>
        <w:rPr>
          <w:sz w:val="16"/>
          <w:szCs w:val="16"/>
          <w:lang w:val="en-GB"/>
        </w:rPr>
        <w:t xml:space="preserve">was only around the level from year </w:t>
      </w:r>
      <w:r w:rsidRPr="005A4C24">
        <w:rPr>
          <w:sz w:val="16"/>
          <w:szCs w:val="16"/>
          <w:lang w:val="en-GB"/>
        </w:rPr>
        <w:t>2016</w:t>
      </w:r>
      <w:r>
        <w:rPr>
          <w:sz w:val="16"/>
          <w:szCs w:val="16"/>
          <w:lang w:val="en-GB"/>
        </w:rPr>
        <w:t xml:space="preserve"> last year</w:t>
      </w:r>
      <w:r w:rsidRPr="005A4C24">
        <w:rPr>
          <w:sz w:val="16"/>
          <w:szCs w:val="16"/>
          <w:lang w:val="en-GB"/>
        </w:rPr>
        <w:t>,</w:t>
      </w:r>
      <w:r>
        <w:rPr>
          <w:sz w:val="16"/>
          <w:szCs w:val="16"/>
          <w:lang w:val="en-GB"/>
        </w:rPr>
        <w:t xml:space="preserve"> mainly due to the decrease of the tax burden on labour since year 2</w:t>
      </w:r>
      <w:r w:rsidRPr="005A4C24">
        <w:rPr>
          <w:spacing w:val="-4"/>
          <w:sz w:val="16"/>
          <w:szCs w:val="16"/>
          <w:lang w:val="en-GB"/>
        </w:rPr>
        <w:t>021 (</w:t>
      </w:r>
      <w:r>
        <w:rPr>
          <w:spacing w:val="-4"/>
          <w:sz w:val="16"/>
          <w:szCs w:val="16"/>
          <w:lang w:val="en-GB"/>
        </w:rPr>
        <w:t>in connection with the abolition of the so called super gross wage</w:t>
      </w:r>
      <w:r w:rsidRPr="005A4C24">
        <w:rPr>
          <w:spacing w:val="-4"/>
          <w:sz w:val="16"/>
          <w:szCs w:val="16"/>
          <w:lang w:val="en-GB"/>
        </w:rPr>
        <w:t>).</w:t>
      </w:r>
    </w:p>
  </w:footnote>
  <w:footnote w:id="98">
    <w:p w14:paraId="0AF4E13D" w14:textId="605E9363"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Sum of monthly outlays in all the central government institutions thus could have reached maximum of one twelve of the total SB outlays determined by the adopted Act on SB from year </w:t>
      </w:r>
      <w:r w:rsidRPr="005A4C24">
        <w:rPr>
          <w:sz w:val="16"/>
          <w:szCs w:val="16"/>
          <w:lang w:val="en-GB"/>
        </w:rPr>
        <w:t xml:space="preserve">2021. </w:t>
      </w:r>
      <w:r>
        <w:rPr>
          <w:sz w:val="16"/>
          <w:szCs w:val="16"/>
          <w:lang w:val="en-GB"/>
        </w:rPr>
        <w:t xml:space="preserve">The possibilities to pre-finance some current transfers were restricted </w:t>
      </w:r>
      <w:r>
        <w:rPr>
          <w:spacing w:val="-4"/>
          <w:sz w:val="16"/>
          <w:szCs w:val="16"/>
          <w:lang w:val="en-GB"/>
        </w:rPr>
        <w:t xml:space="preserve">at the beginning of the year and utilisation of other source of financing was also substantially limited </w:t>
      </w:r>
      <w:r w:rsidRPr="005A4C24">
        <w:rPr>
          <w:spacing w:val="-4"/>
          <w:sz w:val="16"/>
          <w:szCs w:val="16"/>
          <w:lang w:val="en-GB"/>
        </w:rPr>
        <w:t>(</w:t>
      </w:r>
      <w:r>
        <w:rPr>
          <w:spacing w:val="-4"/>
          <w:sz w:val="16"/>
          <w:szCs w:val="16"/>
          <w:lang w:val="en-GB"/>
        </w:rPr>
        <w:t xml:space="preserve">e.g. extra-budgetary sources </w:t>
      </w:r>
      <w:r w:rsidRPr="005A4C24">
        <w:rPr>
          <w:sz w:val="16"/>
          <w:szCs w:val="16"/>
          <w:lang w:val="en-GB"/>
        </w:rPr>
        <w:t xml:space="preserve">– </w:t>
      </w:r>
      <w:r>
        <w:rPr>
          <w:sz w:val="16"/>
          <w:szCs w:val="16"/>
          <w:lang w:val="en-GB"/>
        </w:rPr>
        <w:t>mainly claims from the unused expenditures from the past years</w:t>
      </w:r>
      <w:r w:rsidRPr="005A4C24">
        <w:rPr>
          <w:sz w:val="16"/>
          <w:szCs w:val="16"/>
          <w:lang w:val="en-GB"/>
        </w:rPr>
        <w:t xml:space="preserve">). </w:t>
      </w:r>
      <w:r>
        <w:rPr>
          <w:sz w:val="16"/>
          <w:szCs w:val="16"/>
          <w:lang w:val="en-GB"/>
        </w:rPr>
        <w:t xml:space="preserve">It led among other things to the postponement of non-essential operational outlays as well as investment. </w:t>
      </w:r>
    </w:p>
  </w:footnote>
  <w:footnote w:id="99">
    <w:p w14:paraId="6F71A8A4" w14:textId="37733EB2"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The due January adjustment meant increase of the average retirement pension by </w:t>
      </w:r>
      <w:r w:rsidRPr="005A4C24">
        <w:rPr>
          <w:sz w:val="16"/>
          <w:szCs w:val="16"/>
          <w:lang w:val="en-GB"/>
        </w:rPr>
        <w:t>5</w:t>
      </w:r>
      <w:r>
        <w:rPr>
          <w:sz w:val="16"/>
          <w:szCs w:val="16"/>
          <w:lang w:val="en-GB"/>
        </w:rPr>
        <w:t>.</w:t>
      </w:r>
      <w:r w:rsidRPr="005A4C24">
        <w:rPr>
          <w:sz w:val="16"/>
          <w:szCs w:val="16"/>
          <w:lang w:val="en-GB"/>
        </w:rPr>
        <w:t>2% (805</w:t>
      </w:r>
      <w:r>
        <w:rPr>
          <w:sz w:val="16"/>
          <w:szCs w:val="16"/>
          <w:lang w:val="en-GB"/>
        </w:rPr>
        <w:t xml:space="preserve"> CZK</w:t>
      </w:r>
      <w:r w:rsidRPr="005A4C24">
        <w:rPr>
          <w:sz w:val="16"/>
          <w:szCs w:val="16"/>
          <w:lang w:val="en-GB"/>
        </w:rPr>
        <w:t xml:space="preserve">), </w:t>
      </w:r>
      <w:r>
        <w:rPr>
          <w:sz w:val="16"/>
          <w:szCs w:val="16"/>
          <w:lang w:val="en-GB"/>
        </w:rPr>
        <w:t xml:space="preserve">the extraordinary adjustment in June analogically by </w:t>
      </w:r>
      <w:r w:rsidRPr="005A4C24">
        <w:rPr>
          <w:sz w:val="16"/>
          <w:szCs w:val="16"/>
          <w:lang w:val="en-GB"/>
        </w:rPr>
        <w:t>6</w:t>
      </w:r>
      <w:r>
        <w:rPr>
          <w:sz w:val="16"/>
          <w:szCs w:val="16"/>
          <w:lang w:val="en-GB"/>
        </w:rPr>
        <w:t>.</w:t>
      </w:r>
      <w:r w:rsidRPr="005A4C24">
        <w:rPr>
          <w:sz w:val="16"/>
          <w:szCs w:val="16"/>
          <w:lang w:val="en-GB"/>
        </w:rPr>
        <w:t>3% a</w:t>
      </w:r>
      <w:r>
        <w:rPr>
          <w:sz w:val="16"/>
          <w:szCs w:val="16"/>
          <w:lang w:val="en-GB"/>
        </w:rPr>
        <w:t xml:space="preserve">nd even 4% then in September. The average monthly retirement pension </w:t>
      </w:r>
      <w:r w:rsidRPr="005A4C24">
        <w:rPr>
          <w:sz w:val="16"/>
          <w:szCs w:val="16"/>
          <w:lang w:val="en-GB"/>
        </w:rPr>
        <w:t>(</w:t>
      </w:r>
      <w:r>
        <w:rPr>
          <w:sz w:val="16"/>
          <w:szCs w:val="16"/>
          <w:lang w:val="en-GB"/>
        </w:rPr>
        <w:t>without combination with other incomes</w:t>
      </w:r>
      <w:r w:rsidRPr="005A4C24">
        <w:rPr>
          <w:sz w:val="16"/>
          <w:szCs w:val="16"/>
          <w:lang w:val="en-GB"/>
        </w:rPr>
        <w:t xml:space="preserve">) </w:t>
      </w:r>
      <w:r>
        <w:rPr>
          <w:sz w:val="16"/>
          <w:szCs w:val="16"/>
          <w:lang w:val="en-GB"/>
        </w:rPr>
        <w:t xml:space="preserve">thus arrived at </w:t>
      </w:r>
      <w:r w:rsidRPr="005A4C24">
        <w:rPr>
          <w:sz w:val="16"/>
          <w:szCs w:val="16"/>
          <w:lang w:val="en-GB"/>
        </w:rPr>
        <w:t>19</w:t>
      </w:r>
      <w:r>
        <w:rPr>
          <w:sz w:val="16"/>
          <w:szCs w:val="16"/>
          <w:lang w:val="en-GB"/>
        </w:rPr>
        <w:t> </w:t>
      </w:r>
      <w:r w:rsidRPr="005A4C24">
        <w:rPr>
          <w:sz w:val="16"/>
          <w:szCs w:val="16"/>
          <w:lang w:val="en-GB"/>
        </w:rPr>
        <w:t>755</w:t>
      </w:r>
      <w:r>
        <w:rPr>
          <w:sz w:val="16"/>
          <w:szCs w:val="16"/>
          <w:lang w:val="en-GB"/>
        </w:rPr>
        <w:t xml:space="preserve"> CZK for males</w:t>
      </w:r>
      <w:r w:rsidRPr="005A4C24">
        <w:rPr>
          <w:sz w:val="16"/>
          <w:szCs w:val="16"/>
          <w:lang w:val="en-GB"/>
        </w:rPr>
        <w:t>,</w:t>
      </w:r>
      <w:r>
        <w:rPr>
          <w:sz w:val="16"/>
          <w:szCs w:val="16"/>
          <w:lang w:val="en-GB"/>
        </w:rPr>
        <w:t xml:space="preserve"> </w:t>
      </w:r>
      <w:r w:rsidRPr="005A4C24">
        <w:rPr>
          <w:sz w:val="16"/>
          <w:szCs w:val="16"/>
          <w:lang w:val="en-GB"/>
        </w:rPr>
        <w:t xml:space="preserve">16 484 </w:t>
      </w:r>
      <w:r>
        <w:rPr>
          <w:sz w:val="16"/>
          <w:szCs w:val="16"/>
          <w:lang w:val="en-GB"/>
        </w:rPr>
        <w:t>CZK for females in December last year</w:t>
      </w:r>
      <w:r w:rsidRPr="005A4C24">
        <w:rPr>
          <w:sz w:val="16"/>
          <w:szCs w:val="16"/>
          <w:lang w:val="en-GB"/>
        </w:rPr>
        <w:t>.</w:t>
      </w:r>
    </w:p>
  </w:footnote>
  <w:footnote w:id="100">
    <w:p w14:paraId="765F805B" w14:textId="22B999CE" w:rsidR="00E37C1C" w:rsidRPr="005A4C24" w:rsidRDefault="00E37C1C" w:rsidP="005A4C24">
      <w:pPr>
        <w:pStyle w:val="Textpoznpodarou"/>
        <w:jc w:val="both"/>
        <w:rPr>
          <w:lang w:val="en-GB"/>
        </w:rPr>
      </w:pPr>
      <w:r w:rsidRPr="005A4C24">
        <w:rPr>
          <w:rStyle w:val="Znakapoznpodarou"/>
          <w:spacing w:val="-4"/>
          <w:sz w:val="16"/>
          <w:szCs w:val="16"/>
          <w:lang w:val="en-GB"/>
        </w:rPr>
        <w:footnoteRef/>
      </w:r>
      <w:r w:rsidRPr="005A4C24">
        <w:rPr>
          <w:rStyle w:val="Znakapoznpodarou"/>
          <w:spacing w:val="-4"/>
          <w:sz w:val="16"/>
          <w:szCs w:val="16"/>
          <w:lang w:val="en-GB"/>
        </w:rPr>
        <w:t xml:space="preserve"> </w:t>
      </w:r>
      <w:r>
        <w:rPr>
          <w:sz w:val="16"/>
          <w:szCs w:val="16"/>
          <w:lang w:val="en-GB"/>
        </w:rPr>
        <w:t xml:space="preserve">It was stimulated by unusually high adjustment in year </w:t>
      </w:r>
      <w:r w:rsidRPr="005A4C24">
        <w:rPr>
          <w:sz w:val="16"/>
          <w:szCs w:val="16"/>
          <w:lang w:val="en-GB"/>
        </w:rPr>
        <w:t>2022</w:t>
      </w:r>
      <w:r>
        <w:rPr>
          <w:sz w:val="16"/>
          <w:szCs w:val="16"/>
          <w:lang w:val="en-GB"/>
        </w:rPr>
        <w:t>, which exceeded the effect of</w:t>
      </w:r>
      <w:r w:rsidRPr="005A4C24">
        <w:rPr>
          <w:sz w:val="16"/>
          <w:szCs w:val="16"/>
          <w:lang w:val="en-GB"/>
        </w:rPr>
        <w:t xml:space="preserve"> „</w:t>
      </w:r>
      <w:proofErr w:type="gramStart"/>
      <w:r w:rsidRPr="005A4C24">
        <w:rPr>
          <w:sz w:val="16"/>
          <w:szCs w:val="16"/>
          <w:lang w:val="en-GB"/>
        </w:rPr>
        <w:t>pen</w:t>
      </w:r>
      <w:r>
        <w:rPr>
          <w:sz w:val="16"/>
          <w:szCs w:val="16"/>
          <w:lang w:val="en-GB"/>
        </w:rPr>
        <w:t>alty</w:t>
      </w:r>
      <w:r w:rsidRPr="005A4C24">
        <w:rPr>
          <w:sz w:val="16"/>
          <w:szCs w:val="16"/>
          <w:lang w:val="en-GB"/>
        </w:rPr>
        <w:t xml:space="preserve">“ </w:t>
      </w:r>
      <w:r>
        <w:rPr>
          <w:sz w:val="16"/>
          <w:szCs w:val="16"/>
          <w:lang w:val="en-GB"/>
        </w:rPr>
        <w:t>for</w:t>
      </w:r>
      <w:proofErr w:type="gramEnd"/>
      <w:r>
        <w:rPr>
          <w:sz w:val="16"/>
          <w:szCs w:val="16"/>
          <w:lang w:val="en-GB"/>
        </w:rPr>
        <w:t xml:space="preserve"> leaving into the early retirement. From the total number of all recipients of the </w:t>
      </w:r>
      <w:proofErr w:type="gramStart"/>
      <w:r>
        <w:rPr>
          <w:sz w:val="16"/>
          <w:szCs w:val="16"/>
          <w:lang w:val="en-GB"/>
        </w:rPr>
        <w:t>retirements</w:t>
      </w:r>
      <w:proofErr w:type="gramEnd"/>
      <w:r>
        <w:rPr>
          <w:sz w:val="16"/>
          <w:szCs w:val="16"/>
          <w:lang w:val="en-GB"/>
        </w:rPr>
        <w:t xml:space="preserve"> pensions, persons with early retirement comprised already </w:t>
      </w:r>
      <w:r w:rsidRPr="005A4C24">
        <w:rPr>
          <w:sz w:val="16"/>
          <w:szCs w:val="16"/>
          <w:lang w:val="en-GB"/>
        </w:rPr>
        <w:t>28</w:t>
      </w:r>
      <w:r>
        <w:rPr>
          <w:sz w:val="16"/>
          <w:szCs w:val="16"/>
          <w:lang w:val="en-GB"/>
        </w:rPr>
        <w:t>.</w:t>
      </w:r>
      <w:r w:rsidRPr="005A4C24">
        <w:rPr>
          <w:sz w:val="16"/>
          <w:szCs w:val="16"/>
          <w:lang w:val="en-GB"/>
        </w:rPr>
        <w:t>7%.</w:t>
      </w:r>
    </w:p>
  </w:footnote>
  <w:footnote w:id="101">
    <w:p w14:paraId="48CC08BC" w14:textId="2D72FEAD" w:rsidR="00E37C1C" w:rsidRPr="005A4C24" w:rsidRDefault="00E37C1C" w:rsidP="005A4C24">
      <w:pPr>
        <w:pStyle w:val="Textpoznpodarou"/>
        <w:jc w:val="both"/>
        <w:rPr>
          <w:spacing w:val="-4"/>
          <w:lang w:val="en-GB"/>
        </w:rPr>
      </w:pPr>
      <w:r w:rsidRPr="005A4C24">
        <w:rPr>
          <w:rStyle w:val="Znakapoznpodarou"/>
          <w:spacing w:val="-4"/>
          <w:sz w:val="16"/>
          <w:szCs w:val="16"/>
          <w:lang w:val="en-GB"/>
        </w:rPr>
        <w:footnoteRef/>
      </w:r>
      <w:r w:rsidRPr="005A4C24">
        <w:rPr>
          <w:spacing w:val="-4"/>
          <w:sz w:val="16"/>
          <w:szCs w:val="16"/>
          <w:lang w:val="en-GB"/>
        </w:rPr>
        <w:t xml:space="preserve"> </w:t>
      </w:r>
      <w:r>
        <w:rPr>
          <w:rFonts w:cs="Arial"/>
          <w:color w:val="0D0D0D" w:themeColor="text1" w:themeTint="F2"/>
          <w:spacing w:val="-4"/>
          <w:sz w:val="16"/>
          <w:szCs w:val="16"/>
          <w:lang w:val="en-GB"/>
        </w:rPr>
        <w:t>D</w:t>
      </w:r>
      <w:r w:rsidRPr="00FF2F4F">
        <w:rPr>
          <w:rFonts w:cs="Arial"/>
          <w:color w:val="0D0D0D" w:themeColor="text1" w:themeTint="F2"/>
          <w:spacing w:val="-4"/>
          <w:sz w:val="16"/>
          <w:szCs w:val="16"/>
          <w:lang w:val="en-GB"/>
        </w:rPr>
        <w:t>ifference between revenues and expenditure</w:t>
      </w:r>
      <w:r>
        <w:rPr>
          <w:rFonts w:cs="Arial"/>
          <w:color w:val="0D0D0D" w:themeColor="text1" w:themeTint="F2"/>
          <w:spacing w:val="-4"/>
          <w:sz w:val="16"/>
          <w:szCs w:val="16"/>
          <w:lang w:val="en-GB"/>
        </w:rPr>
        <w:t>s</w:t>
      </w:r>
      <w:r w:rsidRPr="00FF2F4F">
        <w:rPr>
          <w:rFonts w:cs="Arial"/>
          <w:color w:val="0D0D0D" w:themeColor="text1" w:themeTint="F2"/>
          <w:spacing w:val="-4"/>
          <w:sz w:val="16"/>
          <w:szCs w:val="16"/>
          <w:lang w:val="en-GB"/>
        </w:rPr>
        <w:t xml:space="preserve"> on pensions f</w:t>
      </w:r>
      <w:r>
        <w:rPr>
          <w:rFonts w:cs="Arial"/>
          <w:color w:val="0D0D0D" w:themeColor="text1" w:themeTint="F2"/>
          <w:spacing w:val="-4"/>
          <w:sz w:val="16"/>
          <w:szCs w:val="16"/>
          <w:lang w:val="en-GB"/>
        </w:rPr>
        <w:t>rom</w:t>
      </w:r>
      <w:r w:rsidRPr="00FF2F4F">
        <w:rPr>
          <w:rFonts w:cs="Arial"/>
          <w:color w:val="0D0D0D" w:themeColor="text1" w:themeTint="F2"/>
          <w:spacing w:val="-4"/>
          <w:sz w:val="16"/>
          <w:szCs w:val="16"/>
          <w:lang w:val="en-GB"/>
        </w:rPr>
        <w:t xml:space="preserve"> the SB. Expenditures do not contain the costs of administration of the pension insurance system.</w:t>
      </w:r>
    </w:p>
  </w:footnote>
  <w:footnote w:id="102">
    <w:p w14:paraId="567800DE" w14:textId="0EBBC173" w:rsidR="00E37C1C" w:rsidRPr="005A4C24" w:rsidRDefault="00E37C1C" w:rsidP="005A4C24">
      <w:pPr>
        <w:pStyle w:val="Textpoznpodarou"/>
        <w:jc w:val="both"/>
        <w:rPr>
          <w:sz w:val="16"/>
          <w:szCs w:val="16"/>
          <w:lang w:val="en-GB"/>
        </w:rPr>
      </w:pPr>
      <w:r w:rsidRPr="005A4C24">
        <w:rPr>
          <w:rStyle w:val="Znakapoznpodarou"/>
          <w:sz w:val="16"/>
          <w:szCs w:val="16"/>
          <w:lang w:val="en-GB"/>
        </w:rPr>
        <w:footnoteRef/>
      </w:r>
      <w:r w:rsidRPr="005A4C24">
        <w:rPr>
          <w:sz w:val="16"/>
          <w:szCs w:val="16"/>
          <w:lang w:val="en-GB"/>
        </w:rPr>
        <w:t xml:space="preserve"> </w:t>
      </w:r>
      <w:r>
        <w:rPr>
          <w:sz w:val="16"/>
          <w:szCs w:val="16"/>
          <w:lang w:val="en-GB"/>
        </w:rPr>
        <w:t xml:space="preserve">It is paid out </w:t>
      </w:r>
      <w:r w:rsidRPr="005A4C24">
        <w:rPr>
          <w:sz w:val="16"/>
          <w:szCs w:val="16"/>
          <w:lang w:val="en-GB"/>
        </w:rPr>
        <w:t>(</w:t>
      </w:r>
      <w:r>
        <w:rPr>
          <w:sz w:val="16"/>
          <w:szCs w:val="16"/>
          <w:lang w:val="en-GB"/>
        </w:rPr>
        <w:t xml:space="preserve">in the amount of </w:t>
      </w:r>
      <w:r w:rsidRPr="005A4C24">
        <w:rPr>
          <w:sz w:val="16"/>
          <w:szCs w:val="16"/>
          <w:lang w:val="en-GB"/>
        </w:rPr>
        <w:t>5 t</w:t>
      </w:r>
      <w:r>
        <w:rPr>
          <w:sz w:val="16"/>
          <w:szCs w:val="16"/>
          <w:lang w:val="en-GB"/>
        </w:rPr>
        <w:t>housand CZK for each child</w:t>
      </w:r>
      <w:r w:rsidRPr="005A4C24">
        <w:rPr>
          <w:sz w:val="16"/>
          <w:szCs w:val="16"/>
          <w:lang w:val="en-GB"/>
        </w:rPr>
        <w:t>)</w:t>
      </w:r>
      <w:r>
        <w:rPr>
          <w:sz w:val="16"/>
          <w:szCs w:val="16"/>
          <w:lang w:val="en-GB"/>
        </w:rPr>
        <w:t xml:space="preserve"> to families with middle and lower incomes from August this year with the aim to partially compensate for the rising prices of energies, food and further needs to these families. </w:t>
      </w:r>
    </w:p>
  </w:footnote>
  <w:footnote w:id="103">
    <w:p w14:paraId="54C6260E" w14:textId="56896FC8" w:rsidR="00E37C1C" w:rsidRPr="00C33AA6" w:rsidRDefault="00E37C1C" w:rsidP="00095191">
      <w:pPr>
        <w:pStyle w:val="Textpoznpodarou"/>
        <w:jc w:val="both"/>
        <w:rPr>
          <w:sz w:val="16"/>
          <w:szCs w:val="16"/>
          <w:lang w:val="en-GB"/>
        </w:rPr>
      </w:pPr>
      <w:r w:rsidRPr="0095169D">
        <w:rPr>
          <w:rStyle w:val="Znakapoznpodarou"/>
          <w:sz w:val="16"/>
          <w:szCs w:val="16"/>
        </w:rPr>
        <w:footnoteRef/>
      </w:r>
      <w:r w:rsidRPr="0095169D">
        <w:rPr>
          <w:sz w:val="16"/>
          <w:szCs w:val="16"/>
        </w:rPr>
        <w:t xml:space="preserve"> </w:t>
      </w:r>
      <w:r w:rsidRPr="00C33AA6">
        <w:rPr>
          <w:sz w:val="16"/>
          <w:szCs w:val="16"/>
          <w:lang w:val="en-GB"/>
        </w:rPr>
        <w:t xml:space="preserve">It occurred mainly due to the </w:t>
      </w:r>
      <w:r>
        <w:rPr>
          <w:sz w:val="16"/>
          <w:szCs w:val="16"/>
          <w:lang w:val="en-GB"/>
        </w:rPr>
        <w:t xml:space="preserve">legal raising of the benefits for people with disabilities in the two most severe degrees of dependency. </w:t>
      </w:r>
      <w:r w:rsidRPr="00C33AA6">
        <w:rPr>
          <w:sz w:val="16"/>
          <w:szCs w:val="16"/>
          <w:lang w:val="en-GB"/>
        </w:rPr>
        <w:t xml:space="preserve"> </w:t>
      </w:r>
    </w:p>
  </w:footnote>
  <w:footnote w:id="104">
    <w:p w14:paraId="50AEC605" w14:textId="5BB8DC9D" w:rsidR="00E37C1C" w:rsidRPr="001B75F7" w:rsidRDefault="00E37C1C" w:rsidP="00095191">
      <w:pPr>
        <w:pStyle w:val="Textpoznpodarou"/>
        <w:jc w:val="both"/>
        <w:rPr>
          <w:sz w:val="16"/>
          <w:szCs w:val="16"/>
          <w:lang w:val="en-GB"/>
        </w:rPr>
      </w:pPr>
      <w:r w:rsidRPr="00C33AA6">
        <w:rPr>
          <w:rStyle w:val="Znakapoznpodarou"/>
          <w:sz w:val="16"/>
          <w:szCs w:val="16"/>
          <w:lang w:val="en-GB"/>
        </w:rPr>
        <w:footnoteRef/>
      </w:r>
      <w:r w:rsidRPr="00C33AA6">
        <w:rPr>
          <w:sz w:val="16"/>
          <w:szCs w:val="16"/>
          <w:lang w:val="en-GB"/>
        </w:rPr>
        <w:t xml:space="preserve"> Expenditures on</w:t>
      </w:r>
      <w:r>
        <w:rPr>
          <w:sz w:val="16"/>
          <w:szCs w:val="16"/>
          <w:lang w:val="en-GB"/>
        </w:rPr>
        <w:t xml:space="preserve"> sickness insurance benefits thus exceeded the revenues flowing to sickness insurance by </w:t>
      </w:r>
      <w:r w:rsidRPr="001B75F7">
        <w:rPr>
          <w:sz w:val="16"/>
          <w:szCs w:val="16"/>
          <w:lang w:val="en-GB"/>
        </w:rPr>
        <w:t>8</w:t>
      </w:r>
      <w:r>
        <w:rPr>
          <w:sz w:val="16"/>
          <w:szCs w:val="16"/>
          <w:lang w:val="en-GB"/>
        </w:rPr>
        <w:t xml:space="preserve"> CZK bn in year 2022</w:t>
      </w:r>
      <w:r w:rsidRPr="001B75F7">
        <w:rPr>
          <w:sz w:val="16"/>
          <w:szCs w:val="16"/>
          <w:lang w:val="en-GB"/>
        </w:rPr>
        <w:t xml:space="preserve">. </w:t>
      </w:r>
      <w:r>
        <w:rPr>
          <w:sz w:val="16"/>
          <w:szCs w:val="16"/>
          <w:lang w:val="en-GB"/>
        </w:rPr>
        <w:t xml:space="preserve">It marked better result than in year </w:t>
      </w:r>
      <w:r w:rsidRPr="001B75F7">
        <w:rPr>
          <w:sz w:val="16"/>
          <w:szCs w:val="16"/>
          <w:lang w:val="en-GB"/>
        </w:rPr>
        <w:t>2021 (–14</w:t>
      </w:r>
      <w:r>
        <w:rPr>
          <w:sz w:val="16"/>
          <w:szCs w:val="16"/>
          <w:lang w:val="en-GB"/>
        </w:rPr>
        <w:t>.</w:t>
      </w:r>
      <w:r w:rsidRPr="001B75F7">
        <w:rPr>
          <w:sz w:val="16"/>
          <w:szCs w:val="16"/>
          <w:lang w:val="en-GB"/>
        </w:rPr>
        <w:t>4</w:t>
      </w:r>
      <w:r>
        <w:rPr>
          <w:sz w:val="16"/>
          <w:szCs w:val="16"/>
          <w:lang w:val="en-GB"/>
        </w:rPr>
        <w:t xml:space="preserve"> bn</w:t>
      </w:r>
      <w:r w:rsidRPr="001B75F7">
        <w:rPr>
          <w:sz w:val="16"/>
          <w:szCs w:val="16"/>
          <w:lang w:val="en-GB"/>
        </w:rPr>
        <w:t>)</w:t>
      </w:r>
      <w:r>
        <w:rPr>
          <w:sz w:val="16"/>
          <w:szCs w:val="16"/>
          <w:lang w:val="en-GB"/>
        </w:rPr>
        <w:t xml:space="preserve"> and </w:t>
      </w:r>
      <w:r w:rsidRPr="001B75F7">
        <w:rPr>
          <w:sz w:val="16"/>
          <w:szCs w:val="16"/>
          <w:lang w:val="en-GB"/>
        </w:rPr>
        <w:t>2020 (–21</w:t>
      </w:r>
      <w:r>
        <w:rPr>
          <w:sz w:val="16"/>
          <w:szCs w:val="16"/>
          <w:lang w:val="en-GB"/>
        </w:rPr>
        <w:t>.</w:t>
      </w:r>
      <w:r w:rsidRPr="001B75F7">
        <w:rPr>
          <w:sz w:val="16"/>
          <w:szCs w:val="16"/>
          <w:lang w:val="en-GB"/>
        </w:rPr>
        <w:t>3</w:t>
      </w:r>
      <w:r>
        <w:rPr>
          <w:sz w:val="16"/>
          <w:szCs w:val="16"/>
          <w:lang w:val="en-GB"/>
        </w:rPr>
        <w:t xml:space="preserve"> bn</w:t>
      </w:r>
      <w:r w:rsidRPr="001B75F7">
        <w:rPr>
          <w:sz w:val="16"/>
          <w:szCs w:val="16"/>
          <w:lang w:val="en-GB"/>
        </w:rPr>
        <w:t xml:space="preserve">). </w:t>
      </w:r>
      <w:r>
        <w:rPr>
          <w:sz w:val="16"/>
          <w:szCs w:val="16"/>
          <w:lang w:val="en-GB"/>
        </w:rPr>
        <w:t xml:space="preserve">The surplus in the area of sickness insurance was last recorded in year </w:t>
      </w:r>
      <w:r w:rsidRPr="001B75F7">
        <w:rPr>
          <w:sz w:val="16"/>
          <w:szCs w:val="16"/>
          <w:lang w:val="en-GB"/>
        </w:rPr>
        <w:t>2018 (+0</w:t>
      </w:r>
      <w:r>
        <w:rPr>
          <w:sz w:val="16"/>
          <w:szCs w:val="16"/>
          <w:lang w:val="en-GB"/>
        </w:rPr>
        <w:t>.</w:t>
      </w:r>
      <w:r w:rsidRPr="001B75F7">
        <w:rPr>
          <w:sz w:val="16"/>
          <w:szCs w:val="16"/>
          <w:lang w:val="en-GB"/>
        </w:rPr>
        <w:t>6</w:t>
      </w:r>
      <w:r>
        <w:rPr>
          <w:sz w:val="16"/>
          <w:szCs w:val="16"/>
          <w:lang w:val="en-GB"/>
        </w:rPr>
        <w:t xml:space="preserve"> bn</w:t>
      </w:r>
      <w:r w:rsidRPr="001B75F7">
        <w:rPr>
          <w:sz w:val="16"/>
          <w:szCs w:val="16"/>
          <w:lang w:val="en-GB"/>
        </w:rPr>
        <w:t xml:space="preserve">). </w:t>
      </w:r>
    </w:p>
  </w:footnote>
  <w:footnote w:id="105">
    <w:p w14:paraId="5BEF8CF9" w14:textId="6E758E09" w:rsidR="00E37C1C" w:rsidRPr="001B75F7" w:rsidRDefault="00E37C1C" w:rsidP="00095191">
      <w:pPr>
        <w:pStyle w:val="Textpoznpodarou"/>
        <w:jc w:val="both"/>
        <w:rPr>
          <w:spacing w:val="-2"/>
          <w:sz w:val="16"/>
          <w:szCs w:val="16"/>
          <w:lang w:val="en-GB"/>
        </w:rPr>
      </w:pPr>
      <w:r w:rsidRPr="001B75F7">
        <w:rPr>
          <w:rStyle w:val="Znakapoznpodarou"/>
          <w:spacing w:val="-2"/>
          <w:sz w:val="16"/>
          <w:szCs w:val="16"/>
          <w:lang w:val="en-GB"/>
        </w:rPr>
        <w:footnoteRef/>
      </w:r>
      <w:r w:rsidRPr="001B75F7">
        <w:rPr>
          <w:spacing w:val="-2"/>
          <w:sz w:val="16"/>
          <w:szCs w:val="16"/>
          <w:lang w:val="en-GB"/>
        </w:rPr>
        <w:t xml:space="preserve"> </w:t>
      </w:r>
      <w:r>
        <w:rPr>
          <w:spacing w:val="-2"/>
          <w:sz w:val="16"/>
          <w:szCs w:val="16"/>
          <w:lang w:val="en-GB"/>
        </w:rPr>
        <w:t>Net expenditures c</w:t>
      </w:r>
      <w:r w:rsidRPr="00956F60">
        <w:rPr>
          <w:sz w:val="16"/>
          <w:szCs w:val="16"/>
          <w:lang w:val="en-GB"/>
        </w:rPr>
        <w:t>orrespond to the balance of the budget chapter State debt</w:t>
      </w:r>
      <w:r>
        <w:rPr>
          <w:sz w:val="16"/>
          <w:szCs w:val="16"/>
          <w:lang w:val="en-GB"/>
        </w:rPr>
        <w:t xml:space="preserve"> </w:t>
      </w:r>
      <w:r w:rsidRPr="001B75F7">
        <w:rPr>
          <w:spacing w:val="-2"/>
          <w:sz w:val="16"/>
          <w:szCs w:val="16"/>
          <w:lang w:val="en-GB"/>
        </w:rPr>
        <w:t>(</w:t>
      </w:r>
      <w:r>
        <w:rPr>
          <w:spacing w:val="-2"/>
          <w:sz w:val="16"/>
          <w:szCs w:val="16"/>
          <w:lang w:val="en-GB"/>
        </w:rPr>
        <w:t>no</w:t>
      </w:r>
      <w:r w:rsidRPr="001B75F7">
        <w:rPr>
          <w:spacing w:val="-2"/>
          <w:sz w:val="16"/>
          <w:szCs w:val="16"/>
          <w:lang w:val="en-GB"/>
        </w:rPr>
        <w:t>. 396).</w:t>
      </w:r>
    </w:p>
  </w:footnote>
  <w:footnote w:id="106">
    <w:p w14:paraId="10002086" w14:textId="77E06E5A" w:rsidR="00E37C1C" w:rsidRPr="001B75F7" w:rsidRDefault="00E37C1C" w:rsidP="00095191">
      <w:pPr>
        <w:pStyle w:val="Textpoznpodarou"/>
        <w:jc w:val="both"/>
        <w:rPr>
          <w:sz w:val="16"/>
          <w:szCs w:val="16"/>
          <w:lang w:val="en-GB"/>
        </w:rPr>
      </w:pPr>
      <w:r w:rsidRPr="001B75F7">
        <w:rPr>
          <w:rStyle w:val="Znakapoznpodarou"/>
          <w:sz w:val="16"/>
          <w:szCs w:val="16"/>
          <w:lang w:val="en-GB"/>
        </w:rPr>
        <w:footnoteRef/>
      </w:r>
      <w:r w:rsidRPr="001B75F7">
        <w:rPr>
          <w:sz w:val="16"/>
          <w:szCs w:val="16"/>
          <w:lang w:val="en-GB"/>
        </w:rPr>
        <w:t xml:space="preserve"> Monthly payments of the state increased from 1767 CZK to 1967 CZK per person since January 2022. According to the later approved amendment of Act on Public Health Insurance however the payment decreased to 1487 since September 2022. </w:t>
      </w:r>
    </w:p>
  </w:footnote>
  <w:footnote w:id="107">
    <w:p w14:paraId="6FEC7604" w14:textId="01975E28" w:rsidR="00E37C1C" w:rsidRPr="00C6337A" w:rsidRDefault="00E37C1C" w:rsidP="00C6337A">
      <w:pPr>
        <w:pStyle w:val="Textpoznpodarou"/>
        <w:jc w:val="both"/>
        <w:rPr>
          <w:sz w:val="16"/>
          <w:szCs w:val="16"/>
          <w:lang w:val="en-GB"/>
        </w:rPr>
      </w:pPr>
      <w:r w:rsidRPr="0024098E">
        <w:rPr>
          <w:rStyle w:val="Znakapoznpodarou"/>
          <w:sz w:val="16"/>
          <w:szCs w:val="16"/>
        </w:rPr>
        <w:footnoteRef/>
      </w:r>
      <w:r w:rsidRPr="0024098E">
        <w:rPr>
          <w:sz w:val="16"/>
          <w:szCs w:val="16"/>
        </w:rPr>
        <w:t xml:space="preserve"> </w:t>
      </w:r>
      <w:r w:rsidRPr="00C6337A">
        <w:rPr>
          <w:sz w:val="16"/>
          <w:szCs w:val="16"/>
          <w:lang w:val="en-GB"/>
        </w:rPr>
        <w:t>39</w:t>
      </w:r>
      <w:r>
        <w:rPr>
          <w:sz w:val="16"/>
          <w:szCs w:val="16"/>
          <w:lang w:val="en-GB"/>
        </w:rPr>
        <w:t>.</w:t>
      </w:r>
      <w:r w:rsidRPr="00C6337A">
        <w:rPr>
          <w:sz w:val="16"/>
          <w:szCs w:val="16"/>
          <w:lang w:val="en-GB"/>
        </w:rPr>
        <w:t>5</w:t>
      </w:r>
      <w:r>
        <w:rPr>
          <w:sz w:val="16"/>
          <w:szCs w:val="16"/>
          <w:lang w:val="en-GB"/>
        </w:rPr>
        <w:t xml:space="preserve"> CZK bn was drawn on investment from the SB in December</w:t>
      </w:r>
      <w:r w:rsidRPr="00C6337A">
        <w:rPr>
          <w:sz w:val="16"/>
          <w:szCs w:val="16"/>
          <w:lang w:val="en-GB"/>
        </w:rPr>
        <w:t xml:space="preserve">, </w:t>
      </w:r>
      <w:r>
        <w:rPr>
          <w:sz w:val="16"/>
          <w:szCs w:val="16"/>
          <w:lang w:val="en-GB"/>
        </w:rPr>
        <w:t xml:space="preserve">i.e. more than for the first four months of the year </w:t>
      </w:r>
      <w:r w:rsidRPr="00C6337A">
        <w:rPr>
          <w:sz w:val="16"/>
          <w:szCs w:val="16"/>
          <w:lang w:val="en-GB"/>
        </w:rPr>
        <w:t>(28</w:t>
      </w:r>
      <w:r>
        <w:rPr>
          <w:sz w:val="16"/>
          <w:szCs w:val="16"/>
          <w:lang w:val="en-GB"/>
        </w:rPr>
        <w:t>.</w:t>
      </w:r>
      <w:r w:rsidRPr="00C6337A">
        <w:rPr>
          <w:sz w:val="16"/>
          <w:szCs w:val="16"/>
          <w:lang w:val="en-GB"/>
        </w:rPr>
        <w:t>5</w:t>
      </w:r>
      <w:r>
        <w:rPr>
          <w:sz w:val="16"/>
          <w:szCs w:val="16"/>
          <w:lang w:val="en-GB"/>
        </w:rPr>
        <w:t xml:space="preserve"> bn</w:t>
      </w:r>
      <w:r w:rsidRPr="00C6337A">
        <w:rPr>
          <w:sz w:val="16"/>
          <w:szCs w:val="16"/>
          <w:lang w:val="en-GB"/>
        </w:rPr>
        <w:t xml:space="preserve">), </w:t>
      </w:r>
      <w:r>
        <w:rPr>
          <w:sz w:val="16"/>
          <w:szCs w:val="16"/>
          <w:lang w:val="en-GB"/>
        </w:rPr>
        <w:t xml:space="preserve">which were to a large extent impacted by the regime of the interim budget. </w:t>
      </w:r>
    </w:p>
  </w:footnote>
  <w:footnote w:id="108">
    <w:p w14:paraId="485A8424" w14:textId="77777777" w:rsidR="00E37C1C" w:rsidRPr="009378B2" w:rsidRDefault="00E37C1C" w:rsidP="005A4C24">
      <w:pPr>
        <w:pStyle w:val="Textpoznpodarou"/>
        <w:jc w:val="both"/>
        <w:rPr>
          <w:sz w:val="16"/>
          <w:szCs w:val="16"/>
          <w:lang w:val="en-GB"/>
        </w:rPr>
      </w:pPr>
      <w:r w:rsidRPr="00C6337A">
        <w:rPr>
          <w:rStyle w:val="Znakapoznpodarou"/>
          <w:sz w:val="16"/>
          <w:szCs w:val="16"/>
          <w:lang w:val="en-GB"/>
        </w:rPr>
        <w:footnoteRef/>
      </w:r>
      <w:r w:rsidRPr="00C6337A">
        <w:rPr>
          <w:sz w:val="16"/>
          <w:szCs w:val="16"/>
          <w:lang w:val="en-GB"/>
        </w:rPr>
        <w:t xml:space="preserve"> </w:t>
      </w:r>
      <w:r>
        <w:rPr>
          <w:sz w:val="16"/>
          <w:szCs w:val="16"/>
          <w:lang w:val="en-GB"/>
        </w:rPr>
        <w:t xml:space="preserve">Increase of debt in the preceding two years severely affected by the impacts of the pandemics however also exceeded </w:t>
      </w:r>
      <w:r w:rsidRPr="009378B2">
        <w:rPr>
          <w:sz w:val="16"/>
          <w:szCs w:val="16"/>
          <w:lang w:val="en-GB"/>
        </w:rPr>
        <w:t>400</w:t>
      </w:r>
      <w:r>
        <w:rPr>
          <w:sz w:val="16"/>
          <w:szCs w:val="16"/>
          <w:lang w:val="en-GB"/>
        </w:rPr>
        <w:t xml:space="preserve"> CZK bn </w:t>
      </w:r>
      <w:r w:rsidRPr="009378B2">
        <w:rPr>
          <w:sz w:val="16"/>
          <w:szCs w:val="16"/>
          <w:lang w:val="en-GB"/>
        </w:rPr>
        <w:t>(+409</w:t>
      </w:r>
      <w:r>
        <w:rPr>
          <w:sz w:val="16"/>
          <w:szCs w:val="16"/>
          <w:lang w:val="en-GB"/>
        </w:rPr>
        <w:t>.</w:t>
      </w:r>
      <w:r w:rsidRPr="009378B2">
        <w:rPr>
          <w:sz w:val="16"/>
          <w:szCs w:val="16"/>
          <w:lang w:val="en-GB"/>
        </w:rPr>
        <w:t>5</w:t>
      </w:r>
      <w:r>
        <w:rPr>
          <w:sz w:val="16"/>
          <w:szCs w:val="16"/>
          <w:lang w:val="en-GB"/>
        </w:rPr>
        <w:t xml:space="preserve"> bn in year 2020</w:t>
      </w:r>
      <w:r w:rsidRPr="009378B2">
        <w:rPr>
          <w:sz w:val="16"/>
          <w:szCs w:val="16"/>
          <w:lang w:val="en-GB"/>
        </w:rPr>
        <w:t>, +416</w:t>
      </w:r>
      <w:r>
        <w:rPr>
          <w:sz w:val="16"/>
          <w:szCs w:val="16"/>
          <w:lang w:val="en-GB"/>
        </w:rPr>
        <w:t>.</w:t>
      </w:r>
      <w:r w:rsidRPr="009378B2">
        <w:rPr>
          <w:sz w:val="16"/>
          <w:szCs w:val="16"/>
          <w:lang w:val="en-GB"/>
        </w:rPr>
        <w:t>1</w:t>
      </w:r>
      <w:r>
        <w:rPr>
          <w:sz w:val="16"/>
          <w:szCs w:val="16"/>
          <w:lang w:val="en-GB"/>
        </w:rPr>
        <w:t xml:space="preserve"> bn one year later</w:t>
      </w:r>
      <w:r w:rsidRPr="009378B2">
        <w:rPr>
          <w:sz w:val="16"/>
          <w:szCs w:val="16"/>
          <w:lang w:val="en-GB"/>
        </w:rPr>
        <w:t>).</w:t>
      </w:r>
    </w:p>
  </w:footnote>
  <w:footnote w:id="109">
    <w:p w14:paraId="538C3A09" w14:textId="77777777" w:rsidR="00E37C1C" w:rsidRPr="009378B2" w:rsidRDefault="00E37C1C" w:rsidP="005A4C24">
      <w:pPr>
        <w:pStyle w:val="Textpoznpodarou"/>
        <w:jc w:val="both"/>
        <w:rPr>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 xml:space="preserve">Value of all state bonds in circulation expanded by </w:t>
      </w:r>
      <w:r w:rsidRPr="009378B2">
        <w:rPr>
          <w:spacing w:val="-4"/>
          <w:sz w:val="16"/>
          <w:szCs w:val="16"/>
          <w:lang w:val="en-GB"/>
        </w:rPr>
        <w:t>243</w:t>
      </w:r>
      <w:r>
        <w:rPr>
          <w:spacing w:val="-4"/>
          <w:sz w:val="16"/>
          <w:szCs w:val="16"/>
          <w:lang w:val="en-GB"/>
        </w:rPr>
        <w:t>.</w:t>
      </w:r>
      <w:r w:rsidRPr="009378B2">
        <w:rPr>
          <w:spacing w:val="-4"/>
          <w:sz w:val="16"/>
          <w:szCs w:val="16"/>
          <w:lang w:val="en-GB"/>
        </w:rPr>
        <w:t>7</w:t>
      </w:r>
      <w:r>
        <w:rPr>
          <w:spacing w:val="-4"/>
          <w:sz w:val="16"/>
          <w:szCs w:val="16"/>
          <w:lang w:val="en-GB"/>
        </w:rPr>
        <w:t xml:space="preserve"> CZK bn for the last year, i.e. to </w:t>
      </w:r>
      <w:r w:rsidRPr="009378B2">
        <w:rPr>
          <w:spacing w:val="-4"/>
          <w:sz w:val="16"/>
          <w:szCs w:val="16"/>
          <w:lang w:val="en-GB"/>
        </w:rPr>
        <w:t>2</w:t>
      </w:r>
      <w:r>
        <w:rPr>
          <w:spacing w:val="-4"/>
          <w:sz w:val="16"/>
          <w:szCs w:val="16"/>
          <w:lang w:val="en-GB"/>
        </w:rPr>
        <w:t> </w:t>
      </w:r>
      <w:r w:rsidRPr="009378B2">
        <w:rPr>
          <w:spacing w:val="-4"/>
          <w:sz w:val="16"/>
          <w:szCs w:val="16"/>
          <w:lang w:val="en-GB"/>
        </w:rPr>
        <w:t>609</w:t>
      </w:r>
      <w:r>
        <w:rPr>
          <w:spacing w:val="-4"/>
          <w:sz w:val="16"/>
          <w:szCs w:val="16"/>
          <w:lang w:val="en-GB"/>
        </w:rPr>
        <w:t>.</w:t>
      </w:r>
      <w:r w:rsidRPr="009378B2">
        <w:rPr>
          <w:spacing w:val="-4"/>
          <w:sz w:val="16"/>
          <w:szCs w:val="16"/>
          <w:lang w:val="en-GB"/>
        </w:rPr>
        <w:t>8</w:t>
      </w:r>
      <w:r>
        <w:rPr>
          <w:spacing w:val="-4"/>
          <w:sz w:val="16"/>
          <w:szCs w:val="16"/>
          <w:lang w:val="en-GB"/>
        </w:rPr>
        <w:t xml:space="preserve"> bn</w:t>
      </w:r>
      <w:r w:rsidRPr="009378B2">
        <w:rPr>
          <w:spacing w:val="-4"/>
          <w:sz w:val="16"/>
          <w:szCs w:val="16"/>
          <w:lang w:val="en-GB"/>
        </w:rPr>
        <w:t xml:space="preserve">. </w:t>
      </w:r>
      <w:r>
        <w:rPr>
          <w:spacing w:val="-4"/>
          <w:sz w:val="16"/>
          <w:szCs w:val="16"/>
          <w:lang w:val="en-GB"/>
        </w:rPr>
        <w:t xml:space="preserve">Domestic financial institutions held precisely two thirds of the value of bonds in December </w:t>
      </w:r>
      <w:r w:rsidRPr="009378B2">
        <w:rPr>
          <w:spacing w:val="-4"/>
          <w:sz w:val="16"/>
          <w:szCs w:val="16"/>
          <w:lang w:val="en-GB"/>
        </w:rPr>
        <w:t>2022</w:t>
      </w:r>
      <w:r>
        <w:rPr>
          <w:spacing w:val="-4"/>
          <w:sz w:val="16"/>
          <w:szCs w:val="16"/>
          <w:lang w:val="en-GB"/>
        </w:rPr>
        <w:t xml:space="preserve">, non-residents then little less than </w:t>
      </w:r>
      <w:r w:rsidRPr="009378B2">
        <w:rPr>
          <w:spacing w:val="-4"/>
          <w:sz w:val="16"/>
          <w:szCs w:val="16"/>
          <w:lang w:val="en-GB"/>
        </w:rPr>
        <w:t xml:space="preserve">27%. </w:t>
      </w:r>
      <w:r>
        <w:rPr>
          <w:spacing w:val="-4"/>
          <w:sz w:val="16"/>
          <w:szCs w:val="16"/>
          <w:lang w:val="en-GB"/>
        </w:rPr>
        <w:t xml:space="preserve">From the view of the total possession of bonds the proportion of domestic households strengthened the most year-on-year </w:t>
      </w:r>
      <w:r w:rsidRPr="009378B2">
        <w:rPr>
          <w:spacing w:val="-4"/>
          <w:sz w:val="16"/>
          <w:szCs w:val="16"/>
          <w:lang w:val="en-GB"/>
        </w:rPr>
        <w:t>(</w:t>
      </w:r>
      <w:r>
        <w:rPr>
          <w:spacing w:val="-4"/>
          <w:sz w:val="16"/>
          <w:szCs w:val="16"/>
          <w:lang w:val="en-GB"/>
        </w:rPr>
        <w:t xml:space="preserve">to more than double </w:t>
      </w:r>
      <w:r w:rsidRPr="009378B2">
        <w:rPr>
          <w:spacing w:val="-4"/>
          <w:sz w:val="16"/>
          <w:szCs w:val="16"/>
          <w:lang w:val="en-GB"/>
        </w:rPr>
        <w:t>–3</w:t>
      </w:r>
      <w:r>
        <w:rPr>
          <w:spacing w:val="-4"/>
          <w:sz w:val="16"/>
          <w:szCs w:val="16"/>
          <w:lang w:val="en-GB"/>
        </w:rPr>
        <w:t>.</w:t>
      </w:r>
      <w:r w:rsidRPr="009378B2">
        <w:rPr>
          <w:spacing w:val="-4"/>
          <w:sz w:val="16"/>
          <w:szCs w:val="16"/>
          <w:lang w:val="en-GB"/>
        </w:rPr>
        <w:t xml:space="preserve">7%), </w:t>
      </w:r>
      <w:r>
        <w:rPr>
          <w:spacing w:val="-4"/>
          <w:sz w:val="16"/>
          <w:szCs w:val="16"/>
          <w:lang w:val="en-GB"/>
        </w:rPr>
        <w:t xml:space="preserve">to a lesser extent then also the proportion of pension funds, insurance companies, investment funds and also non-residents. </w:t>
      </w:r>
    </w:p>
  </w:footnote>
  <w:footnote w:id="110">
    <w:p w14:paraId="414D1650" w14:textId="77777777" w:rsidR="00E37C1C" w:rsidRPr="009378B2" w:rsidRDefault="00E37C1C" w:rsidP="003643CB">
      <w:pPr>
        <w:pStyle w:val="Textpoznpodarou"/>
        <w:jc w:val="both"/>
        <w:rPr>
          <w:sz w:val="16"/>
          <w:szCs w:val="16"/>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 xml:space="preserve">Unless stated otherwise, data regarding the budget of sector </w:t>
      </w:r>
      <w:r w:rsidRPr="009378B2">
        <w:rPr>
          <w:sz w:val="16"/>
          <w:szCs w:val="16"/>
          <w:lang w:val="en-GB"/>
        </w:rPr>
        <w:t xml:space="preserve">VI </w:t>
      </w:r>
      <w:r>
        <w:rPr>
          <w:sz w:val="16"/>
          <w:szCs w:val="16"/>
          <w:lang w:val="en-GB"/>
        </w:rPr>
        <w:t xml:space="preserve">in the CR are expressed without seasonal adjustment. </w:t>
      </w:r>
    </w:p>
  </w:footnote>
  <w:footnote w:id="111">
    <w:p w14:paraId="2FBF7CA9" w14:textId="6159AF93" w:rsidR="00E37C1C" w:rsidRPr="009378B2" w:rsidRDefault="00E37C1C" w:rsidP="007E031B">
      <w:pPr>
        <w:pStyle w:val="Textpoznpodarou"/>
        <w:jc w:val="both"/>
        <w:rPr>
          <w:sz w:val="16"/>
          <w:szCs w:val="16"/>
          <w:lang w:val="en-GB"/>
        </w:rPr>
      </w:pPr>
      <w:r w:rsidRPr="009378B2">
        <w:rPr>
          <w:rStyle w:val="Znakapoznpodarou"/>
          <w:sz w:val="16"/>
          <w:szCs w:val="16"/>
          <w:lang w:val="en-GB"/>
        </w:rPr>
        <w:footnoteRef/>
      </w:r>
      <w:r w:rsidRPr="009378B2">
        <w:rPr>
          <w:sz w:val="16"/>
          <w:szCs w:val="16"/>
          <w:lang w:val="en-GB"/>
        </w:rPr>
        <w:t xml:space="preserve"> </w:t>
      </w:r>
      <w:r>
        <w:rPr>
          <w:sz w:val="16"/>
          <w:szCs w:val="16"/>
          <w:lang w:val="en-GB"/>
        </w:rPr>
        <w:t>Data regarding the budget of government institutions for Q4 2</w:t>
      </w:r>
      <w:r w:rsidRPr="00E56530">
        <w:rPr>
          <w:sz w:val="16"/>
          <w:szCs w:val="16"/>
          <w:lang w:val="en-GB"/>
        </w:rPr>
        <w:t>02</w:t>
      </w:r>
      <w:r>
        <w:rPr>
          <w:sz w:val="16"/>
          <w:szCs w:val="16"/>
          <w:lang w:val="en-GB"/>
        </w:rPr>
        <w:t>2</w:t>
      </w:r>
      <w:r w:rsidRPr="00E56530">
        <w:rPr>
          <w:sz w:val="16"/>
          <w:szCs w:val="16"/>
          <w:lang w:val="en-GB"/>
        </w:rPr>
        <w:t xml:space="preserve"> </w:t>
      </w:r>
      <w:r>
        <w:rPr>
          <w:sz w:val="16"/>
          <w:szCs w:val="16"/>
          <w:lang w:val="en-GB"/>
        </w:rPr>
        <w:t>will be published by the CZSO on 3</w:t>
      </w:r>
      <w:r w:rsidRPr="00471D6A">
        <w:rPr>
          <w:sz w:val="16"/>
          <w:szCs w:val="16"/>
          <w:vertAlign w:val="superscript"/>
          <w:lang w:val="en-GB"/>
        </w:rPr>
        <w:t>rd</w:t>
      </w:r>
      <w:r>
        <w:rPr>
          <w:sz w:val="16"/>
          <w:szCs w:val="16"/>
          <w:lang w:val="en-GB"/>
        </w:rPr>
        <w:t xml:space="preserve"> April </w:t>
      </w:r>
      <w:r w:rsidRPr="00E56530">
        <w:rPr>
          <w:sz w:val="16"/>
          <w:szCs w:val="16"/>
          <w:lang w:val="en-GB"/>
        </w:rPr>
        <w:t>20</w:t>
      </w:r>
      <w:r>
        <w:rPr>
          <w:sz w:val="16"/>
          <w:szCs w:val="16"/>
          <w:lang w:val="en-GB"/>
        </w:rPr>
        <w:t>23, Eurostat then analogically on 21</w:t>
      </w:r>
      <w:r w:rsidRPr="00471D6A">
        <w:rPr>
          <w:sz w:val="16"/>
          <w:szCs w:val="16"/>
          <w:vertAlign w:val="superscript"/>
          <w:lang w:val="en-GB"/>
        </w:rPr>
        <w:t>st</w:t>
      </w:r>
      <w:r>
        <w:rPr>
          <w:sz w:val="16"/>
          <w:szCs w:val="16"/>
          <w:lang w:val="en-GB"/>
        </w:rPr>
        <w:t xml:space="preserve"> April 2023</w:t>
      </w:r>
      <w:r w:rsidRPr="00E56530">
        <w:rPr>
          <w:sz w:val="16"/>
          <w:szCs w:val="16"/>
          <w:lang w:val="en-GB"/>
        </w:rPr>
        <w:t>.</w:t>
      </w:r>
      <w:r>
        <w:rPr>
          <w:sz w:val="16"/>
          <w:szCs w:val="16"/>
          <w:lang w:val="en-GB"/>
        </w:rPr>
        <w:t xml:space="preserve"> More detailed assessment of the development for Q3 2022</w:t>
      </w:r>
      <w:r w:rsidRPr="00E56530">
        <w:rPr>
          <w:sz w:val="16"/>
          <w:szCs w:val="16"/>
          <w:lang w:val="en-GB"/>
        </w:rPr>
        <w:t> </w:t>
      </w:r>
      <w:r>
        <w:rPr>
          <w:sz w:val="16"/>
          <w:szCs w:val="16"/>
          <w:lang w:val="en-GB"/>
        </w:rPr>
        <w:t>is contained in the publication Analysis of the sector accounts</w:t>
      </w:r>
      <w:r w:rsidRPr="00E56530">
        <w:rPr>
          <w:sz w:val="16"/>
          <w:szCs w:val="16"/>
          <w:lang w:val="en-GB"/>
        </w:rPr>
        <w:t>:</w:t>
      </w:r>
      <w:r>
        <w:rPr>
          <w:sz w:val="16"/>
          <w:szCs w:val="16"/>
          <w:lang w:val="en-GB"/>
        </w:rPr>
        <w:t xml:space="preserve"> </w:t>
      </w:r>
      <w:hyperlink r:id="rId3" w:history="1">
        <w:r w:rsidRPr="009378B2">
          <w:rPr>
            <w:rStyle w:val="Hypertextovodkaz"/>
            <w:sz w:val="16"/>
            <w:szCs w:val="16"/>
            <w:lang w:val="en-GB"/>
          </w:rPr>
          <w:t>https://www.czso.cz/csu/czso/cri/analyza-ctvrtletnich-sektorovych-uctu-3-ctvrtleti-2022</w:t>
        </w:r>
      </w:hyperlink>
      <w:r>
        <w:rPr>
          <w:rStyle w:val="Hypertextovodkaz"/>
          <w:sz w:val="16"/>
          <w:szCs w:val="16"/>
          <w:lang w:val="en-GB"/>
        </w:rPr>
        <w:t>.</w:t>
      </w:r>
    </w:p>
  </w:footnote>
  <w:footnote w:id="112">
    <w:p w14:paraId="007E3BE2" w14:textId="6BA49B16" w:rsidR="00E37C1C" w:rsidRPr="00A274FC" w:rsidRDefault="00E37C1C" w:rsidP="00095191">
      <w:pPr>
        <w:pStyle w:val="Textpoznpodarou"/>
        <w:jc w:val="both"/>
        <w:rPr>
          <w:sz w:val="16"/>
          <w:szCs w:val="16"/>
        </w:rPr>
      </w:pPr>
      <w:r w:rsidRPr="00A274FC">
        <w:rPr>
          <w:rStyle w:val="Znakapoznpodarou"/>
          <w:sz w:val="16"/>
          <w:szCs w:val="16"/>
        </w:rPr>
        <w:footnoteRef/>
      </w:r>
      <w:r>
        <w:rPr>
          <w:sz w:val="16"/>
          <w:szCs w:val="16"/>
        </w:rPr>
        <w:t xml:space="preserve"> </w:t>
      </w:r>
      <w:r w:rsidRPr="00095191">
        <w:rPr>
          <w:sz w:val="16"/>
          <w:szCs w:val="16"/>
          <w:lang w:val="en-GB"/>
        </w:rPr>
        <w:t>Data regarding</w:t>
      </w:r>
      <w:r>
        <w:rPr>
          <w:sz w:val="16"/>
          <w:szCs w:val="16"/>
          <w:lang w:val="en-GB"/>
        </w:rPr>
        <w:t xml:space="preserve"> the budget balance of sector </w:t>
      </w:r>
      <w:r w:rsidRPr="00956F60">
        <w:rPr>
          <w:sz w:val="16"/>
          <w:szCs w:val="16"/>
          <w:lang w:val="en-GB"/>
        </w:rPr>
        <w:t xml:space="preserve">VI </w:t>
      </w:r>
      <w:r>
        <w:rPr>
          <w:sz w:val="16"/>
          <w:szCs w:val="16"/>
          <w:lang w:val="en-GB"/>
        </w:rPr>
        <w:t xml:space="preserve">in the EU countries expressed after seasonal adjustment.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51D2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21" Type="http://schemas.openxmlformats.org/officeDocument/2006/relationships/chart" Target="charts/chart9.xm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czso.cz/csu/czso/cri/analyza-ctvrtletnich-sektorovych-uctu-3-ctvrtleti-2022" TargetMode="External"/><Relationship Id="rId2" Type="http://schemas.openxmlformats.org/officeDocument/2006/relationships/hyperlink" Target="https://www.czso.cz/csu/czso/methodological-note-to-consumer-price-index-imputed-rentals" TargetMode="External"/><Relationship Id="rId1" Type="http://schemas.openxmlformats.org/officeDocument/2006/relationships/hyperlink" Target="https://www.czso.cz/csu/czso/update-of-the-compilation-method-international-trade-in-goods-change-of-ownersh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Q-makro-2022\Celorok-2022\ENGL\ENGL-Trh%20pr&#225;ce%20celorok-2022-ak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Q-makro-2022\Celorok-2022\ENGL\ENGL-Trh%20pr&#225;ce%20rok-2022-akt.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Q-makro-2022\Celorok-2022\ENGL\ENGL-Trh%20pr&#225;ce%20celorok-2022-ak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Q-makro-2022\Celorok-2022\ENGL\ENGL-Grafy-st.rozpo&#269;et-rok-2022-akt.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Q-makro-2022\Celorok-2022\ENGL\ENGL-Grafy-st.rozpo&#269;et-rok-2022-ak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E:\Q-makro-2022\Celorok-2022\ENGL\ENGL-Grafy-st.rozpo&#269;et-rok-2022-ak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Q-makro-2022\Celorok-2022\ENGL\ENGL-Odv&#283;tv&#237;_grafy-rok-2022-ak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G:\Q-makro-2022\Celorok-2022\ENGL\ENGL-Odv&#283;tv&#237;_grafy-rok-2022-akt.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Anal&#253;za\Q\2022\2022Q4\eng\Makroanal&#253;za%20grafy_eng.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1'!$C$25:$C$48</c:f>
              <c:numCache>
                <c:formatCode>#\ ##0.0</c:formatCode>
                <c:ptCount val="24"/>
                <c:pt idx="0">
                  <c:v>3.695024939296502</c:v>
                </c:pt>
                <c:pt idx="1">
                  <c:v>5.9154748938585584</c:v>
                </c:pt>
                <c:pt idx="2">
                  <c:v>5.8516412927584582</c:v>
                </c:pt>
                <c:pt idx="3">
                  <c:v>5.8958110920111153</c:v>
                </c:pt>
                <c:pt idx="4">
                  <c:v>4.7409332982438741</c:v>
                </c:pt>
                <c:pt idx="5" formatCode="General">
                  <c:v>2.821338885097731</c:v>
                </c:pt>
                <c:pt idx="6" formatCode="General">
                  <c:v>2.6959141687858903</c:v>
                </c:pt>
                <c:pt idx="7">
                  <c:v>2.6197437017841025</c:v>
                </c:pt>
                <c:pt idx="8">
                  <c:v>2.9978799448777949</c:v>
                </c:pt>
                <c:pt idx="9" formatCode="General">
                  <c:v>3.0712313540949907</c:v>
                </c:pt>
                <c:pt idx="10" formatCode="General">
                  <c:v>3.0292239015638387</c:v>
                </c:pt>
                <c:pt idx="11" formatCode="General">
                  <c:v>2.7681270582493624</c:v>
                </c:pt>
                <c:pt idx="12" formatCode="General">
                  <c:v>-1.4629386956710846</c:v>
                </c:pt>
                <c:pt idx="13" formatCode="General">
                  <c:v>-10.78290466571336</c:v>
                </c:pt>
                <c:pt idx="14" formatCode="General">
                  <c:v>-5.2159569739525011</c:v>
                </c:pt>
                <c:pt idx="15" formatCode="General">
                  <c:v>-4.5960804470275178</c:v>
                </c:pt>
                <c:pt idx="16" formatCode="General">
                  <c:v>-1.8871144320826687</c:v>
                </c:pt>
                <c:pt idx="17" formatCode="General">
                  <c:v>9.1334269072149539</c:v>
                </c:pt>
                <c:pt idx="18" formatCode="General">
                  <c:v>3.7708183512418287</c:v>
                </c:pt>
                <c:pt idx="19" formatCode="General">
                  <c:v>3.4726640387638668</c:v>
                </c:pt>
                <c:pt idx="20" formatCode="General">
                  <c:v>4.6608438845384939</c:v>
                </c:pt>
                <c:pt idx="21" formatCode="General">
                  <c:v>3.510335140502491</c:v>
                </c:pt>
                <c:pt idx="22" formatCode="General">
                  <c:v>1.4589487053958976</c:v>
                </c:pt>
                <c:pt idx="23" formatCode="General">
                  <c:v>0.2381533010240986</c:v>
                </c:pt>
              </c:numCache>
            </c:numRef>
          </c:val>
          <c:extLst>
            <c:ext xmlns:c16="http://schemas.microsoft.com/office/drawing/2014/chart" uri="{C3380CC4-5D6E-409C-BE32-E72D297353CC}">
              <c16:uniqueId val="{00000000-39EA-4290-B610-2C747921A51E}"/>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1'!$D$25:$D$48</c:f>
              <c:numCache>
                <c:formatCode>#\ ##0.##########</c:formatCode>
                <c:ptCount val="24"/>
                <c:pt idx="0">
                  <c:v>2.4</c:v>
                </c:pt>
                <c:pt idx="1">
                  <c:v>2.9</c:v>
                </c:pt>
                <c:pt idx="2">
                  <c:v>3.3</c:v>
                </c:pt>
                <c:pt idx="3">
                  <c:v>3.3</c:v>
                </c:pt>
                <c:pt idx="4">
                  <c:v>2.6</c:v>
                </c:pt>
                <c:pt idx="5">
                  <c:v>2.4</c:v>
                </c:pt>
                <c:pt idx="6">
                  <c:v>1.7</c:v>
                </c:pt>
                <c:pt idx="7">
                  <c:v>1.5</c:v>
                </c:pt>
                <c:pt idx="8">
                  <c:v>2.1</c:v>
                </c:pt>
                <c:pt idx="9">
                  <c:v>1.8</c:v>
                </c:pt>
                <c:pt idx="10" formatCode="#\ ##0.0">
                  <c:v>2</c:v>
                </c:pt>
                <c:pt idx="11">
                  <c:v>1.4</c:v>
                </c:pt>
                <c:pt idx="12">
                  <c:v>-2.2000000000000002</c:v>
                </c:pt>
                <c:pt idx="13">
                  <c:v>-13.4</c:v>
                </c:pt>
                <c:pt idx="14">
                  <c:v>-3.7</c:v>
                </c:pt>
                <c:pt idx="15">
                  <c:v>-3.8</c:v>
                </c:pt>
                <c:pt idx="16">
                  <c:v>-0.7</c:v>
                </c:pt>
                <c:pt idx="17">
                  <c:v>13.8</c:v>
                </c:pt>
                <c:pt idx="18">
                  <c:v>4.3</c:v>
                </c:pt>
                <c:pt idx="19">
                  <c:v>5.0999999999999996</c:v>
                </c:pt>
                <c:pt idx="20">
                  <c:v>5.7</c:v>
                </c:pt>
                <c:pt idx="21">
                  <c:v>4.4000000000000004</c:v>
                </c:pt>
                <c:pt idx="22">
                  <c:v>2.6</c:v>
                </c:pt>
                <c:pt idx="23">
                  <c:v>1.7</c:v>
                </c:pt>
              </c:numCache>
            </c:numRef>
          </c:val>
          <c:extLst>
            <c:ext xmlns:c16="http://schemas.microsoft.com/office/drawing/2014/chart" uri="{C3380CC4-5D6E-409C-BE32-E72D297353CC}">
              <c16:uniqueId val="{00000001-39EA-4290-B610-2C747921A51E}"/>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1'!$E$25:$E$48</c:f>
              <c:numCache>
                <c:formatCode>#\ ##0.0</c:formatCode>
                <c:ptCount val="24"/>
                <c:pt idx="0">
                  <c:v>1.6501768420245781</c:v>
                </c:pt>
                <c:pt idx="1">
                  <c:v>2.4798258472657153</c:v>
                </c:pt>
                <c:pt idx="2">
                  <c:v>0.83559458693113697</c:v>
                </c:pt>
                <c:pt idx="3">
                  <c:v>0.81343215586227302</c:v>
                </c:pt>
                <c:pt idx="4">
                  <c:v>0.54160105647851253</c:v>
                </c:pt>
                <c:pt idx="5">
                  <c:v>0.60167090858045924</c:v>
                </c:pt>
                <c:pt idx="6">
                  <c:v>0.71259214422481421</c:v>
                </c:pt>
                <c:pt idx="7">
                  <c:v>0.73865794240386151</c:v>
                </c:pt>
                <c:pt idx="8">
                  <c:v>0.91207969856712623</c:v>
                </c:pt>
                <c:pt idx="9" formatCode="General">
                  <c:v>0.67331582335634721</c:v>
                </c:pt>
                <c:pt idx="10" formatCode="General">
                  <c:v>0.67154597277419725</c:v>
                </c:pt>
                <c:pt idx="11" formatCode="General">
                  <c:v>0.4833658554360909</c:v>
                </c:pt>
                <c:pt idx="12" formatCode="General">
                  <c:v>-3.2425707440500986</c:v>
                </c:pt>
                <c:pt idx="13" formatCode="General">
                  <c:v>-8.8487042688318525</c:v>
                </c:pt>
                <c:pt idx="14" formatCode="General">
                  <c:v>6.9532258277307903</c:v>
                </c:pt>
                <c:pt idx="15" formatCode="General">
                  <c:v>1.1405152853573952</c:v>
                </c:pt>
                <c:pt idx="16" formatCode="General">
                  <c:v>-0.49517222231260405</c:v>
                </c:pt>
                <c:pt idx="17" formatCode="General">
                  <c:v>1.3898756783505632</c:v>
                </c:pt>
                <c:pt idx="18" formatCode="General">
                  <c:v>1.6977481966623031</c:v>
                </c:pt>
                <c:pt idx="19" formatCode="General">
                  <c:v>0.84991835957713135</c:v>
                </c:pt>
                <c:pt idx="20" formatCode="General">
                  <c:v>0.6474448352556692</c:v>
                </c:pt>
                <c:pt idx="21" formatCode="General">
                  <c:v>0.27532381544612861</c:v>
                </c:pt>
                <c:pt idx="22" formatCode="General">
                  <c:v>-0.31771606445079215</c:v>
                </c:pt>
                <c:pt idx="23" formatCode="General">
                  <c:v>-0.36354894355976342</c:v>
                </c:pt>
              </c:numCache>
            </c:numRef>
          </c:val>
          <c:smooth val="0"/>
          <c:extLst>
            <c:ext xmlns:c16="http://schemas.microsoft.com/office/drawing/2014/chart" uri="{C3380CC4-5D6E-409C-BE32-E72D297353CC}">
              <c16:uniqueId val="{00000002-39EA-4290-B610-2C747921A51E}"/>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1'!$A$25:$B$48</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1'!$F$25:$F$48</c:f>
              <c:numCache>
                <c:formatCode>#\ ##0.##########</c:formatCode>
                <c:ptCount val="24"/>
                <c:pt idx="0">
                  <c:v>0.8</c:v>
                </c:pt>
                <c:pt idx="1">
                  <c:v>0.8</c:v>
                </c:pt>
                <c:pt idx="2">
                  <c:v>0.8</c:v>
                </c:pt>
                <c:pt idx="3">
                  <c:v>0.8</c:v>
                </c:pt>
                <c:pt idx="4">
                  <c:v>0.1</c:v>
                </c:pt>
                <c:pt idx="5">
                  <c:v>0.6</c:v>
                </c:pt>
                <c:pt idx="6">
                  <c:v>0.1</c:v>
                </c:pt>
                <c:pt idx="7">
                  <c:v>0.7</c:v>
                </c:pt>
                <c:pt idx="8">
                  <c:v>0.7</c:v>
                </c:pt>
                <c:pt idx="9">
                  <c:v>0.4</c:v>
                </c:pt>
                <c:pt idx="10">
                  <c:v>0.3</c:v>
                </c:pt>
                <c:pt idx="11">
                  <c:v>0.1</c:v>
                </c:pt>
                <c:pt idx="12">
                  <c:v>-2.9</c:v>
                </c:pt>
                <c:pt idx="13">
                  <c:v>-11.1</c:v>
                </c:pt>
                <c:pt idx="14">
                  <c:v>11.5</c:v>
                </c:pt>
                <c:pt idx="15">
                  <c:v>-0.1</c:v>
                </c:pt>
                <c:pt idx="16">
                  <c:v>0.2</c:v>
                </c:pt>
                <c:pt idx="17">
                  <c:v>1.9</c:v>
                </c:pt>
                <c:pt idx="18">
                  <c:v>2.2000000000000002</c:v>
                </c:pt>
                <c:pt idx="19">
                  <c:v>0.7</c:v>
                </c:pt>
                <c:pt idx="20">
                  <c:v>0.7</c:v>
                </c:pt>
                <c:pt idx="21">
                  <c:v>0.7</c:v>
                </c:pt>
                <c:pt idx="22">
                  <c:v>0.4</c:v>
                </c:pt>
                <c:pt idx="23">
                  <c:v>-0.1</c:v>
                </c:pt>
              </c:numCache>
            </c:numRef>
          </c:val>
          <c:smooth val="0"/>
          <c:extLst>
            <c:ext xmlns:c16="http://schemas.microsoft.com/office/drawing/2014/chart" uri="{C3380CC4-5D6E-409C-BE32-E72D297353CC}">
              <c16:uniqueId val="{00000003-39EA-4290-B610-2C747921A51E}"/>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ax val="15"/>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656266097578916E-2"/>
          <c:y val="2.3304908251716772E-2"/>
          <c:w val="0.92389825103638334"/>
          <c:h val="0.62842367443431268"/>
        </c:manualLayout>
      </c:layout>
      <c:barChart>
        <c:barDir val="col"/>
        <c:grouping val="clustered"/>
        <c:varyColors val="0"/>
        <c:ser>
          <c:idx val="1"/>
          <c:order val="0"/>
          <c:tx>
            <c:strRef>
              <c:f>'Vnější vztahy 2'!$A$7</c:f>
              <c:strCache>
                <c:ptCount val="1"/>
                <c:pt idx="0">
                  <c:v>2021</c:v>
                </c:pt>
              </c:strCache>
            </c:strRef>
          </c:tx>
          <c:spPr>
            <a:solidFill>
              <a:schemeClr val="bg1">
                <a:lumMod val="65000"/>
              </a:schemeClr>
            </a:solidFill>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2'!$B$7:$N$7</c:f>
              <c:numCache>
                <c:formatCode>General</c:formatCode>
                <c:ptCount val="13"/>
                <c:pt idx="0">
                  <c:v>-153.86668029099999</c:v>
                </c:pt>
                <c:pt idx="1">
                  <c:v>-54.645038548999999</c:v>
                </c:pt>
                <c:pt idx="2">
                  <c:v>-36.171383530999996</c:v>
                </c:pt>
                <c:pt idx="3">
                  <c:v>-26.521202938000002</c:v>
                </c:pt>
                <c:pt idx="4">
                  <c:v>-141.32686977699998</c:v>
                </c:pt>
                <c:pt idx="5">
                  <c:v>-74.679230379999993</c:v>
                </c:pt>
                <c:pt idx="6">
                  <c:v>26.090102950000002</c:v>
                </c:pt>
                <c:pt idx="7">
                  <c:v>-155.29868747500001</c:v>
                </c:pt>
                <c:pt idx="8">
                  <c:v>66.780931019999983</c:v>
                </c:pt>
                <c:pt idx="9">
                  <c:v>-64.711664618</c:v>
                </c:pt>
                <c:pt idx="10">
                  <c:v>3.5199225900000002</c:v>
                </c:pt>
                <c:pt idx="11">
                  <c:v>91.675185939999992</c:v>
                </c:pt>
                <c:pt idx="12">
                  <c:v>426.56033102399999</c:v>
                </c:pt>
              </c:numCache>
            </c:numRef>
          </c:val>
          <c:extLst>
            <c:ext xmlns:c16="http://schemas.microsoft.com/office/drawing/2014/chart" uri="{C3380CC4-5D6E-409C-BE32-E72D297353CC}">
              <c16:uniqueId val="{00000000-9BF2-4FC8-8E83-3A97193D6CFB}"/>
            </c:ext>
          </c:extLst>
        </c:ser>
        <c:ser>
          <c:idx val="2"/>
          <c:order val="1"/>
          <c:tx>
            <c:strRef>
              <c:f>'Vnější vztahy 2'!$A$8</c:f>
              <c:strCache>
                <c:ptCount val="1"/>
                <c:pt idx="0">
                  <c:v>2022</c:v>
                </c:pt>
              </c:strCache>
            </c:strRef>
          </c:tx>
          <c:spPr>
            <a:solidFill>
              <a:srgbClr val="BD1B21"/>
            </a:solidFill>
            <a:ln>
              <a:noFill/>
            </a:ln>
          </c:spPr>
          <c:invertIfNegative val="0"/>
          <c:cat>
            <c:strRef>
              <c:f>'Vnější vztahy 2'!$B$5:$N$5</c:f>
              <c:strCache>
                <c:ptCount val="13"/>
                <c:pt idx="0">
                  <c:v>Oil and natural gas</c:v>
                </c:pt>
                <c:pt idx="1">
                  <c:v>Food products</c:v>
                </c:pt>
                <c:pt idx="2">
                  <c:v>Clothing</c:v>
                </c:pt>
                <c:pt idx="3">
                  <c:v>Coke, refined                                                               oil products</c:v>
                </c:pt>
                <c:pt idx="4">
                  <c:v>Chemical subst.                                           and prod.</c:v>
                </c:pt>
                <c:pt idx="5">
                  <c:v>Pharmaceutical                                       products</c:v>
                </c:pt>
                <c:pt idx="6">
                  <c:v>Other non-metal                                        prod.</c:v>
                </c:pt>
                <c:pt idx="7">
                  <c:v>Basic metals</c:v>
                </c:pt>
                <c:pt idx="8">
                  <c:v>Metal products</c:v>
                </c:pt>
                <c:pt idx="9">
                  <c:v>Computers,                                           el. appliances</c:v>
                </c:pt>
                <c:pt idx="10">
                  <c:v>Electrical                                       equipment</c:v>
                </c:pt>
                <c:pt idx="11">
                  <c:v>Machines                                        and appl. n.e.c.</c:v>
                </c:pt>
                <c:pt idx="12">
                  <c:v>Motor vehicles</c:v>
                </c:pt>
              </c:strCache>
            </c:strRef>
          </c:cat>
          <c:val>
            <c:numRef>
              <c:f>'Vnější vztahy 2'!$B$8:$N$8</c:f>
              <c:numCache>
                <c:formatCode>General</c:formatCode>
                <c:ptCount val="13"/>
                <c:pt idx="0">
                  <c:v>-330.89006094299998</c:v>
                </c:pt>
                <c:pt idx="1">
                  <c:v>-60.951914401000003</c:v>
                </c:pt>
                <c:pt idx="2">
                  <c:v>-45.948661972999993</c:v>
                </c:pt>
                <c:pt idx="3">
                  <c:v>-49.306866261000003</c:v>
                </c:pt>
                <c:pt idx="4">
                  <c:v>-158.905875579</c:v>
                </c:pt>
                <c:pt idx="5">
                  <c:v>-72.845484352</c:v>
                </c:pt>
                <c:pt idx="6">
                  <c:v>30.168586841</c:v>
                </c:pt>
                <c:pt idx="7">
                  <c:v>-184.889162244</c:v>
                </c:pt>
                <c:pt idx="8">
                  <c:v>76.811881745000008</c:v>
                </c:pt>
                <c:pt idx="9">
                  <c:v>-63.673747178000006</c:v>
                </c:pt>
                <c:pt idx="10">
                  <c:v>-19.503311348</c:v>
                </c:pt>
                <c:pt idx="11">
                  <c:v>95.513267457000012</c:v>
                </c:pt>
                <c:pt idx="12">
                  <c:v>461.96911854000001</c:v>
                </c:pt>
              </c:numCache>
            </c:numRef>
          </c:val>
          <c:extLst>
            <c:ext xmlns:c16="http://schemas.microsoft.com/office/drawing/2014/chart" uri="{C3380CC4-5D6E-409C-BE32-E72D297353CC}">
              <c16:uniqueId val="{00000001-9BF2-4FC8-8E83-3A97193D6CFB}"/>
            </c:ext>
          </c:extLst>
        </c:ser>
        <c:dLbls>
          <c:showLegendKey val="0"/>
          <c:showVal val="0"/>
          <c:showCatName val="0"/>
          <c:showSerName val="0"/>
          <c:showPercent val="0"/>
          <c:showBubbleSize val="0"/>
        </c:dLbls>
        <c:gapWidth val="97"/>
        <c:axId val="130226048"/>
        <c:axId val="130227584"/>
      </c:barChart>
      <c:catAx>
        <c:axId val="13022604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130227584"/>
        <c:crosses val="autoZero"/>
        <c:auto val="1"/>
        <c:lblAlgn val="ctr"/>
        <c:lblOffset val="100"/>
        <c:noMultiLvlLbl val="0"/>
      </c:catAx>
      <c:valAx>
        <c:axId val="130227584"/>
        <c:scaling>
          <c:orientation val="minMax"/>
          <c:max val="500"/>
          <c:min val="-3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130226048"/>
        <c:crosses val="autoZero"/>
        <c:crossBetween val="between"/>
        <c:majorUnit val="50"/>
      </c:valAx>
      <c:spPr>
        <a:ln>
          <a:solidFill>
            <a:schemeClr val="tx1"/>
          </a:solidFill>
        </a:ln>
      </c:spPr>
    </c:plotArea>
    <c:legend>
      <c:legendPos val="b"/>
      <c:layout>
        <c:manualLayout>
          <c:xMode val="edge"/>
          <c:yMode val="edge"/>
          <c:x val="9.1143194866599123E-2"/>
          <c:y val="8.2577176038395428E-2"/>
          <c:w val="0.22793671901384668"/>
          <c:h val="6.7923505362327427E-2"/>
        </c:manualLayout>
      </c:layout>
      <c:overlay val="1"/>
      <c:spPr>
        <a:ln w="6350">
          <a:no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2'!$C$26:$C$49</c:f>
              <c:numCache>
                <c:formatCode>General</c:formatCode>
                <c:ptCount val="24"/>
                <c:pt idx="0">
                  <c:v>2.4000000000000057</c:v>
                </c:pt>
                <c:pt idx="1">
                  <c:v>2.2000000000000028</c:v>
                </c:pt>
                <c:pt idx="2" formatCode="0.0">
                  <c:v>2.5</c:v>
                </c:pt>
                <c:pt idx="3" formatCode="0.0">
                  <c:v>2.6</c:v>
                </c:pt>
                <c:pt idx="4" formatCode="0.0">
                  <c:v>1.9</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pt idx="21" formatCode="0.0">
                  <c:v>15.8</c:v>
                </c:pt>
                <c:pt idx="22" formatCode="0.0">
                  <c:v>17.600000000000001</c:v>
                </c:pt>
                <c:pt idx="23" formatCode="0.0">
                  <c:v>15.7</c:v>
                </c:pt>
              </c:numCache>
            </c:numRef>
          </c:val>
          <c:extLst>
            <c:ext xmlns:c16="http://schemas.microsoft.com/office/drawing/2014/chart" uri="{C3380CC4-5D6E-409C-BE32-E72D297353CC}">
              <c16:uniqueId val="{00000000-E70E-4DD5-BF36-F045C7F463A2}"/>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2'!$D$26:$D$49</c:f>
              <c:numCache>
                <c:formatCode>General</c:formatCode>
                <c:ptCount val="24"/>
                <c:pt idx="0">
                  <c:v>4.2000000000000028</c:v>
                </c:pt>
                <c:pt idx="1">
                  <c:v>4.5</c:v>
                </c:pt>
                <c:pt idx="2" formatCode="0.0">
                  <c:v>5.7</c:v>
                </c:pt>
                <c:pt idx="3" formatCode="0.0">
                  <c:v>6.3</c:v>
                </c:pt>
                <c:pt idx="4" formatCode="0.0">
                  <c:v>2.9</c:v>
                </c:pt>
                <c:pt idx="5" formatCode="#\ ##0.0_ ;\-#\ ##0.0\ ">
                  <c:v>2.2999999999999998</c:v>
                </c:pt>
                <c:pt idx="6" formatCode="0.0">
                  <c:v>0.6</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c:v>
                </c:pt>
                <c:pt idx="16" formatCode="0.0">
                  <c:v>0.3</c:v>
                </c:pt>
                <c:pt idx="17" formatCode="0.0">
                  <c:v>-0.8</c:v>
                </c:pt>
                <c:pt idx="18" formatCode="0.0">
                  <c:v>1.4</c:v>
                </c:pt>
                <c:pt idx="19" formatCode="0.0">
                  <c:v>2.2999999999999998</c:v>
                </c:pt>
                <c:pt idx="20" formatCode="0.0">
                  <c:v>6.7</c:v>
                </c:pt>
                <c:pt idx="21" formatCode="0.0">
                  <c:v>14.6</c:v>
                </c:pt>
                <c:pt idx="22" formatCode="0.0">
                  <c:v>20</c:v>
                </c:pt>
                <c:pt idx="23" formatCode="0.0">
                  <c:v>25.5</c:v>
                </c:pt>
              </c:numCache>
            </c:numRef>
          </c:val>
          <c:smooth val="0"/>
          <c:extLst>
            <c:ext xmlns:c16="http://schemas.microsoft.com/office/drawing/2014/chart" uri="{C3380CC4-5D6E-409C-BE32-E72D297353CC}">
              <c16:uniqueId val="{00000001-E70E-4DD5-BF36-F045C7F463A2}"/>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2'!$F$26:$F$49</c:f>
              <c:numCache>
                <c:formatCode>General</c:formatCode>
                <c:ptCount val="24"/>
                <c:pt idx="0">
                  <c:v>0.79999999999999716</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c:v>
                </c:pt>
                <c:pt idx="17" formatCode="0.0">
                  <c:v>1.3</c:v>
                </c:pt>
                <c:pt idx="18" formatCode="0.0">
                  <c:v>3.6</c:v>
                </c:pt>
                <c:pt idx="19" formatCode="0.0">
                  <c:v>5.6</c:v>
                </c:pt>
                <c:pt idx="20" formatCode="0.0">
                  <c:v>16</c:v>
                </c:pt>
                <c:pt idx="21" formatCode="0.0">
                  <c:v>21.4</c:v>
                </c:pt>
                <c:pt idx="22" formatCode="0.0">
                  <c:v>23.6</c:v>
                </c:pt>
                <c:pt idx="23" formatCode="0.0">
                  <c:v>14.9</c:v>
                </c:pt>
              </c:numCache>
            </c:numRef>
          </c:val>
          <c:smooth val="0"/>
          <c:extLst>
            <c:ext xmlns:c16="http://schemas.microsoft.com/office/drawing/2014/chart" uri="{C3380CC4-5D6E-409C-BE32-E72D297353CC}">
              <c16:uniqueId val="{00000002-E70E-4DD5-BF36-F045C7F463A2}"/>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2'!$G$26:$G$49</c:f>
              <c:numCache>
                <c:formatCode>General</c:formatCode>
                <c:ptCount val="24"/>
                <c:pt idx="0">
                  <c:v>6</c:v>
                </c:pt>
                <c:pt idx="1">
                  <c:v>3.9000000000000057</c:v>
                </c:pt>
                <c:pt idx="2" formatCode="0.0">
                  <c:v>2.5</c:v>
                </c:pt>
                <c:pt idx="3" formatCode="0.0">
                  <c:v>2.5</c:v>
                </c:pt>
                <c:pt idx="4" formatCode="0.0">
                  <c:v>1</c:v>
                </c:pt>
                <c:pt idx="5" formatCode="0.0">
                  <c:v>3</c:v>
                </c:pt>
                <c:pt idx="6" formatCode="0.0">
                  <c:v>4.5</c:v>
                </c:pt>
                <c:pt idx="7" formatCode="0.0">
                  <c:v>2.6</c:v>
                </c:pt>
                <c:pt idx="8" formatCode="0.0">
                  <c:v>0.6</c:v>
                </c:pt>
                <c:pt idx="9" formatCode="0.0">
                  <c:v>0.8</c:v>
                </c:pt>
                <c:pt idx="10" formatCode="0.0">
                  <c:v>-0.2</c:v>
                </c:pt>
                <c:pt idx="11" formatCode="0.0">
                  <c:v>0.5</c:v>
                </c:pt>
                <c:pt idx="12">
                  <c:v>1.7</c:v>
                </c:pt>
                <c:pt idx="13" formatCode="0.0">
                  <c:v>-3.4</c:v>
                </c:pt>
                <c:pt idx="14" formatCode="0.0">
                  <c:v>-0.2</c:v>
                </c:pt>
                <c:pt idx="15" formatCode="0.0">
                  <c:v>0.6</c:v>
                </c:pt>
                <c:pt idx="16" formatCode="0.0">
                  <c:v>2.4</c:v>
                </c:pt>
                <c:pt idx="17" formatCode="0.0">
                  <c:v>9.1</c:v>
                </c:pt>
                <c:pt idx="18" formatCode="0.0">
                  <c:v>8.8000000000000007</c:v>
                </c:pt>
                <c:pt idx="19" formatCode="0.0">
                  <c:v>13.1</c:v>
                </c:pt>
                <c:pt idx="20" formatCode="0.0">
                  <c:v>17.2</c:v>
                </c:pt>
                <c:pt idx="21" formatCode="0.0">
                  <c:v>22.7</c:v>
                </c:pt>
                <c:pt idx="22" formatCode="0.0">
                  <c:v>19.7</c:v>
                </c:pt>
                <c:pt idx="23" formatCode="0.0">
                  <c:v>13.1</c:v>
                </c:pt>
              </c:numCache>
            </c:numRef>
          </c:val>
          <c:smooth val="0"/>
          <c:extLst>
            <c:ext xmlns:c16="http://schemas.microsoft.com/office/drawing/2014/chart" uri="{C3380CC4-5D6E-409C-BE32-E72D297353CC}">
              <c16:uniqueId val="{00000003-E70E-4DD5-BF36-F045C7F463A2}"/>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2'!$H$26:$H$49</c:f>
              <c:numCache>
                <c:formatCode>###\ ###\ ##0.0</c:formatCode>
                <c:ptCount val="24"/>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pt idx="21" formatCode="0.0">
                  <c:v>21.4</c:v>
                </c:pt>
                <c:pt idx="22" formatCode="0.0">
                  <c:v>24.3</c:v>
                </c:pt>
                <c:pt idx="23" formatCode="0.0">
                  <c:v>25.6</c:v>
                </c:pt>
              </c:numCache>
            </c:numRef>
          </c:val>
          <c:smooth val="0"/>
          <c:extLst xmlns:c15="http://schemas.microsoft.com/office/drawing/2012/chart">
            <c:ext xmlns:c16="http://schemas.microsoft.com/office/drawing/2014/chart" uri="{C3380CC4-5D6E-409C-BE32-E72D297353CC}">
              <c16:uniqueId val="{00000004-E70E-4DD5-BF36-F045C7F463A2}"/>
            </c:ext>
          </c:extLst>
        </c:ser>
        <c:ser>
          <c:idx val="6"/>
          <c:order val="6"/>
          <c:tx>
            <c:strRef>
              <c:f>'Ceny 2'!$I$5</c:f>
              <c:strCache>
                <c:ptCount val="1"/>
                <c:pt idx="0">
                  <c:v>Recreation and culture</c:v>
                </c:pt>
              </c:strCache>
            </c:strRef>
          </c:tx>
          <c:spPr>
            <a:ln w="22225">
              <a:solidFill>
                <a:srgbClr val="FF0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2'!$I$26:$I$49</c:f>
              <c:numCache>
                <c:formatCode>###\ ###\ ##0.0</c:formatCode>
                <c:ptCount val="24"/>
                <c:pt idx="0">
                  <c:v>0.7</c:v>
                </c:pt>
                <c:pt idx="1">
                  <c:v>1.1000000000000001</c:v>
                </c:pt>
                <c:pt idx="2">
                  <c:v>1.3</c:v>
                </c:pt>
                <c:pt idx="3">
                  <c:v>0.9</c:v>
                </c:pt>
                <c:pt idx="4" formatCode="General">
                  <c:v>0.5</c:v>
                </c:pt>
                <c:pt idx="5" formatCode="General">
                  <c:v>0.59999999999999432</c:v>
                </c:pt>
                <c:pt idx="6" formatCode="General">
                  <c:v>2.2000000000000028</c:v>
                </c:pt>
                <c:pt idx="7" formatCode="General">
                  <c:v>0.5</c:v>
                </c:pt>
                <c:pt idx="8" formatCode="General">
                  <c:v>1.7000000000000028</c:v>
                </c:pt>
                <c:pt idx="9" formatCode="General">
                  <c:v>1</c:v>
                </c:pt>
                <c:pt idx="10" formatCode="General">
                  <c:v>1.7000000000000028</c:v>
                </c:pt>
                <c:pt idx="11" formatCode="General">
                  <c:v>2.0999999999999943</c:v>
                </c:pt>
                <c:pt idx="12" formatCode="General">
                  <c:v>2.0999999999999943</c:v>
                </c:pt>
                <c:pt idx="13" formatCode="General">
                  <c:v>2</c:v>
                </c:pt>
                <c:pt idx="14" formatCode="General">
                  <c:v>2.2000000000000028</c:v>
                </c:pt>
                <c:pt idx="15" formatCode="General">
                  <c:v>2.5</c:v>
                </c:pt>
                <c:pt idx="16" formatCode="General">
                  <c:v>1.4000000000000057</c:v>
                </c:pt>
                <c:pt idx="17" formatCode="General">
                  <c:v>2</c:v>
                </c:pt>
                <c:pt idx="18" formatCode="General">
                  <c:v>3.0999999999999943</c:v>
                </c:pt>
                <c:pt idx="19" formatCode="General">
                  <c:v>5.2999999999999972</c:v>
                </c:pt>
                <c:pt idx="20" formatCode="General">
                  <c:v>8.5</c:v>
                </c:pt>
                <c:pt idx="21" formatCode="General">
                  <c:v>11.299999999999997</c:v>
                </c:pt>
                <c:pt idx="22" formatCode="General">
                  <c:v>12.599999999999994</c:v>
                </c:pt>
                <c:pt idx="23" formatCode="0.0">
                  <c:v>13.2</c:v>
                </c:pt>
              </c:numCache>
            </c:numRef>
          </c:val>
          <c:smooth val="0"/>
          <c:extLst>
            <c:ext xmlns:c16="http://schemas.microsoft.com/office/drawing/2014/chart" uri="{C3380CC4-5D6E-409C-BE32-E72D297353CC}">
              <c16:uniqueId val="{00000005-E70E-4DD5-BF36-F045C7F463A2}"/>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5"/>
                <c:order val="4"/>
                <c:tx>
                  <c:strRef>
                    <c:extLst>
                      <c:ext uri="{02D57815-91ED-43cb-92C2-25804820EDAC}">
                        <c15:formulaRef>
                          <c15:sqref>'Ceny 2'!$E$5</c15:sqref>
                        </c15:formulaRef>
                      </c:ext>
                    </c:extLst>
                    <c:strCache>
                      <c:ptCount val="1"/>
                      <c:pt idx="0">
                        <c:v>Alcoholic beverages and tobacco</c:v>
                      </c:pt>
                    </c:strCache>
                  </c:strRef>
                </c:tx>
                <c:spPr>
                  <a:ln w="22225">
                    <a:solidFill>
                      <a:schemeClr val="accent2"/>
                    </a:solidFill>
                  </a:ln>
                </c:spPr>
                <c:marker>
                  <c:symbol val="none"/>
                </c:marker>
                <c:cat>
                  <c:multiLvlStrRef>
                    <c:extLst>
                      <c:ext uri="{02D57815-91ED-43cb-92C2-25804820EDAC}">
                        <c15:formulaRef>
                          <c15:sqref>'Ceny 2'!$A$26:$B$49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extLst>
                      <c:ext uri="{02D57815-91ED-43cb-92C2-25804820EDAC}">
                        <c15:formulaRef>
                          <c15:sqref>'Ceny 2'!$E$26:$E$49</c15:sqref>
                        </c15:formulaRef>
                      </c:ext>
                    </c:extLst>
                    <c:numCache>
                      <c:formatCode>General</c:formatCode>
                      <c:ptCount val="24"/>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pt idx="23" formatCode="0.0">
                        <c:v>6</c:v>
                      </c:pt>
                    </c:numCache>
                  </c:numRef>
                </c:val>
                <c:smooth val="0"/>
                <c:extLst>
                  <c:ext xmlns:c16="http://schemas.microsoft.com/office/drawing/2014/chart" uri="{C3380CC4-5D6E-409C-BE32-E72D297353CC}">
                    <c16:uniqueId val="{00000006-E70E-4DD5-BF36-F045C7F463A2}"/>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71700861195542"/>
          <c:h val="0.105771324327717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1'!$C$26:$C$49</c:f>
              <c:numCache>
                <c:formatCode>General</c:formatCode>
                <c:ptCount val="24"/>
                <c:pt idx="0">
                  <c:v>17.200000000000003</c:v>
                </c:pt>
                <c:pt idx="1">
                  <c:v>18.700000000000003</c:v>
                </c:pt>
                <c:pt idx="2">
                  <c:v>15.799999999999997</c:v>
                </c:pt>
                <c:pt idx="3">
                  <c:v>12</c:v>
                </c:pt>
                <c:pt idx="4">
                  <c:v>9.2000000000000028</c:v>
                </c:pt>
                <c:pt idx="5">
                  <c:v>8</c:v>
                </c:pt>
                <c:pt idx="6">
                  <c:v>9.4000000000000057</c:v>
                </c:pt>
                <c:pt idx="7">
                  <c:v>11.400000000000006</c:v>
                </c:pt>
                <c:pt idx="8">
                  <c:v>11.299999999999997</c:v>
                </c:pt>
                <c:pt idx="9">
                  <c:v>10.599999999999994</c:v>
                </c:pt>
                <c:pt idx="10">
                  <c:v>9.5</c:v>
                </c:pt>
                <c:pt idx="11">
                  <c:v>9.4000000000000057</c:v>
                </c:pt>
                <c:pt idx="12">
                  <c:v>10.599999999999994</c:v>
                </c:pt>
                <c:pt idx="13">
                  <c:v>10.200000000000003</c:v>
                </c:pt>
                <c:pt idx="14">
                  <c:v>11.200000000000003</c:v>
                </c:pt>
                <c:pt idx="15">
                  <c:v>13.299999999999997</c:v>
                </c:pt>
                <c:pt idx="16">
                  <c:v>15.200000000000003</c:v>
                </c:pt>
                <c:pt idx="17">
                  <c:v>17.900000000000006</c:v>
                </c:pt>
                <c:pt idx="18">
                  <c:v>21.299999999999997</c:v>
                </c:pt>
                <c:pt idx="19">
                  <c:v>25.200000000000003</c:v>
                </c:pt>
                <c:pt idx="20">
                  <c:v>27.299999999999997</c:v>
                </c:pt>
                <c:pt idx="21">
                  <c:v>27.599999999999994</c:v>
                </c:pt>
                <c:pt idx="22">
                  <c:v>23.400000000000006</c:v>
                </c:pt>
                <c:pt idx="23">
                  <c:v>13.799999999999997</c:v>
                </c:pt>
              </c:numCache>
            </c:numRef>
          </c:val>
          <c:extLst>
            <c:ext xmlns:c16="http://schemas.microsoft.com/office/drawing/2014/chart" uri="{C3380CC4-5D6E-409C-BE32-E72D297353CC}">
              <c16:uniqueId val="{00000000-E820-4CD9-A37D-6AF33A4648CE}"/>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1'!$D$26:$D$49</c:f>
              <c:numCache>
                <c:formatCode>General</c:formatCode>
                <c:ptCount val="24"/>
                <c:pt idx="0">
                  <c:v>16.200000000000003</c:v>
                </c:pt>
                <c:pt idx="1">
                  <c:v>19</c:v>
                </c:pt>
                <c:pt idx="2">
                  <c:v>16.400000000000006</c:v>
                </c:pt>
                <c:pt idx="3">
                  <c:v>11.099999999999994</c:v>
                </c:pt>
                <c:pt idx="4">
                  <c:v>8.2999999999999972</c:v>
                </c:pt>
                <c:pt idx="5">
                  <c:v>4</c:v>
                </c:pt>
                <c:pt idx="6">
                  <c:v>6</c:v>
                </c:pt>
                <c:pt idx="7">
                  <c:v>8.7000000000000028</c:v>
                </c:pt>
                <c:pt idx="8">
                  <c:v>9.4000000000000057</c:v>
                </c:pt>
                <c:pt idx="9">
                  <c:v>8.7000000000000028</c:v>
                </c:pt>
                <c:pt idx="10">
                  <c:v>6.5</c:v>
                </c:pt>
                <c:pt idx="11">
                  <c:v>7.0999999999999943</c:v>
                </c:pt>
                <c:pt idx="12">
                  <c:v>6.2000000000000028</c:v>
                </c:pt>
                <c:pt idx="13">
                  <c:v>8</c:v>
                </c:pt>
                <c:pt idx="14">
                  <c:v>9.4000000000000057</c:v>
                </c:pt>
                <c:pt idx="15">
                  <c:v>10.599999999999994</c:v>
                </c:pt>
                <c:pt idx="16">
                  <c:v>14.299999999999997</c:v>
                </c:pt>
                <c:pt idx="17">
                  <c:v>15.799999999999997</c:v>
                </c:pt>
                <c:pt idx="18">
                  <c:v>16.599999999999994</c:v>
                </c:pt>
                <c:pt idx="19">
                  <c:v>20</c:v>
                </c:pt>
                <c:pt idx="20">
                  <c:v>19</c:v>
                </c:pt>
                <c:pt idx="21">
                  <c:v>16.700000000000003</c:v>
                </c:pt>
                <c:pt idx="22">
                  <c:v>15.599999999999994</c:v>
                </c:pt>
                <c:pt idx="23">
                  <c:v>8.4000000000000057</c:v>
                </c:pt>
              </c:numCache>
            </c:numRef>
          </c:val>
          <c:extLst>
            <c:ext xmlns:c16="http://schemas.microsoft.com/office/drawing/2014/chart" uri="{C3380CC4-5D6E-409C-BE32-E72D297353CC}">
              <c16:uniqueId val="{00000001-E820-4CD9-A37D-6AF33A4648CE}"/>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1'!$E$26:$E$49</c:f>
              <c:numCache>
                <c:formatCode>General</c:formatCode>
                <c:ptCount val="24"/>
                <c:pt idx="0" formatCode="0.0">
                  <c:v>9.5238095238095184</c:v>
                </c:pt>
                <c:pt idx="1">
                  <c:v>9.5278969957081472</c:v>
                </c:pt>
                <c:pt idx="2">
                  <c:v>12.542087542087543</c:v>
                </c:pt>
                <c:pt idx="3">
                  <c:v>12.469237079573418</c:v>
                </c:pt>
                <c:pt idx="4">
                  <c:v>12.801932367149746</c:v>
                </c:pt>
                <c:pt idx="5">
                  <c:v>12.225705329153584</c:v>
                </c:pt>
                <c:pt idx="6">
                  <c:v>9.498878085265531</c:v>
                </c:pt>
                <c:pt idx="7">
                  <c:v>8.4609773887673185</c:v>
                </c:pt>
                <c:pt idx="8">
                  <c:v>7.4232690935046435</c:v>
                </c:pt>
                <c:pt idx="9">
                  <c:v>5.7262569832402335</c:v>
                </c:pt>
                <c:pt idx="10">
                  <c:v>5.1912568306010911</c:v>
                </c:pt>
                <c:pt idx="11">
                  <c:v>5.5144586415601964</c:v>
                </c:pt>
                <c:pt idx="12">
                  <c:v>6.0465116279069662</c:v>
                </c:pt>
                <c:pt idx="13">
                  <c:v>7.1334214002641829</c:v>
                </c:pt>
                <c:pt idx="14">
                  <c:v>7.9870129870129887</c:v>
                </c:pt>
                <c:pt idx="15">
                  <c:v>7.6481835564053569</c:v>
                </c:pt>
                <c:pt idx="16">
                  <c:v>7.6441102756892292</c:v>
                </c:pt>
                <c:pt idx="17">
                  <c:v>7.9531442663378584</c:v>
                </c:pt>
                <c:pt idx="18">
                  <c:v>9.3205051112447421</c:v>
                </c:pt>
                <c:pt idx="19">
                  <c:v>12.433392539964473</c:v>
                </c:pt>
                <c:pt idx="20">
                  <c:v>16.880093131548307</c:v>
                </c:pt>
                <c:pt idx="21">
                  <c:v>24.671616219303274</c:v>
                </c:pt>
                <c:pt idx="22">
                  <c:v>22.937293729372925</c:v>
                </c:pt>
                <c:pt idx="23">
                  <c:v>18.325434439178508</c:v>
                </c:pt>
              </c:numCache>
            </c:numRef>
          </c:val>
          <c:smooth val="0"/>
          <c:extLst>
            <c:ext xmlns:c16="http://schemas.microsoft.com/office/drawing/2014/chart" uri="{C3380CC4-5D6E-409C-BE32-E72D297353CC}">
              <c16:uniqueId val="{00000002-E820-4CD9-A37D-6AF33A4648CE}"/>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1'!$F$26:$F$49</c:f>
              <c:numCache>
                <c:formatCode>General</c:formatCode>
                <c:ptCount val="24"/>
                <c:pt idx="0" formatCode="0.0">
                  <c:v>13.636363636363626</c:v>
                </c:pt>
                <c:pt idx="1">
                  <c:v>14.589905362776051</c:v>
                </c:pt>
                <c:pt idx="2">
                  <c:v>18.266253869969049</c:v>
                </c:pt>
                <c:pt idx="3">
                  <c:v>18.773373223635019</c:v>
                </c:pt>
                <c:pt idx="4">
                  <c:v>15.071428571428555</c:v>
                </c:pt>
                <c:pt idx="5">
                  <c:v>14.24638678596007</c:v>
                </c:pt>
                <c:pt idx="6">
                  <c:v>10.732984293193695</c:v>
                </c:pt>
                <c:pt idx="7">
                  <c:v>8.7531486146095574</c:v>
                </c:pt>
                <c:pt idx="8">
                  <c:v>8.3178150217256359</c:v>
                </c:pt>
                <c:pt idx="9">
                  <c:v>4.9397590361445651</c:v>
                </c:pt>
                <c:pt idx="10">
                  <c:v>3.3096926713947994</c:v>
                </c:pt>
                <c:pt idx="11">
                  <c:v>2.9530978575564575</c:v>
                </c:pt>
                <c:pt idx="12">
                  <c:v>3.5530085959885298</c:v>
                </c:pt>
                <c:pt idx="13">
                  <c:v>5.2812858783008068</c:v>
                </c:pt>
                <c:pt idx="14">
                  <c:v>6.2356979405034281</c:v>
                </c:pt>
                <c:pt idx="15">
                  <c:v>5.1743532058492718</c:v>
                </c:pt>
                <c:pt idx="16">
                  <c:v>4.759269507470961</c:v>
                </c:pt>
                <c:pt idx="17">
                  <c:v>4.5256270447110012</c:v>
                </c:pt>
                <c:pt idx="18">
                  <c:v>6.2466343564889826</c:v>
                </c:pt>
                <c:pt idx="19">
                  <c:v>9.1443850267379503</c:v>
                </c:pt>
                <c:pt idx="20">
                  <c:v>12.255678816693077</c:v>
                </c:pt>
                <c:pt idx="21">
                  <c:v>19.718309859154942</c:v>
                </c:pt>
                <c:pt idx="22">
                  <c:v>18.499746578813998</c:v>
                </c:pt>
                <c:pt idx="23">
                  <c:v>16.903478686918177</c:v>
                </c:pt>
              </c:numCache>
            </c:numRef>
          </c:val>
          <c:smooth val="0"/>
          <c:extLst>
            <c:ext xmlns:c16="http://schemas.microsoft.com/office/drawing/2014/chart" uri="{C3380CC4-5D6E-409C-BE32-E72D297353CC}">
              <c16:uniqueId val="{00000003-E820-4CD9-A37D-6AF33A4648CE}"/>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4"/>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91551808092412446"/>
          <c:h val="0.68283314851777921"/>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4'!$C$54:$C$125</c:f>
              <c:numCache>
                <c:formatCode>General</c:formatCode>
                <c:ptCount val="72"/>
                <c:pt idx="0">
                  <c:v>2.0999999999999943</c:v>
                </c:pt>
                <c:pt idx="1">
                  <c:v>3.0999999999999943</c:v>
                </c:pt>
                <c:pt idx="2" formatCode="0.0">
                  <c:v>3</c:v>
                </c:pt>
                <c:pt idx="3" formatCode="0.0">
                  <c:v>3.2000000000000028</c:v>
                </c:pt>
                <c:pt idx="4">
                  <c:v>2.2999999999999972</c:v>
                </c:pt>
                <c:pt idx="5">
                  <c:v>1.2999999999999972</c:v>
                </c:pt>
                <c:pt idx="6">
                  <c:v>1.1000000000000001</c:v>
                </c:pt>
                <c:pt idx="7">
                  <c:v>1.4</c:v>
                </c:pt>
                <c:pt idx="8">
                  <c:v>1.7</c:v>
                </c:pt>
                <c:pt idx="9">
                  <c:v>1.1000000000000001</c:v>
                </c:pt>
                <c:pt idx="10">
                  <c:v>0.9</c:v>
                </c:pt>
                <c:pt idx="11">
                  <c:v>0.7</c:v>
                </c:pt>
                <c:pt idx="12">
                  <c:v>0.5</c:v>
                </c:pt>
                <c:pt idx="13">
                  <c:v>-0.3</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c:v>
                </c:pt>
                <c:pt idx="33">
                  <c:v>0.9</c:v>
                </c:pt>
                <c:pt idx="34">
                  <c:v>0.9</c:v>
                </c:pt>
                <c:pt idx="35">
                  <c:v>2.1</c:v>
                </c:pt>
                <c:pt idx="36">
                  <c:v>2.4</c:v>
                </c:pt>
                <c:pt idx="37">
                  <c:v>1.4</c:v>
                </c:pt>
                <c:pt idx="38">
                  <c:v>0.4</c:v>
                </c:pt>
                <c:pt idx="39">
                  <c:v>-0.8</c:v>
                </c:pt>
                <c:pt idx="40">
                  <c:v>-0.9</c:v>
                </c:pt>
                <c:pt idx="41">
                  <c:v>-0.3</c:v>
                </c:pt>
                <c:pt idx="42">
                  <c:v>-0.1</c:v>
                </c:pt>
                <c:pt idx="43">
                  <c:v>-0.5</c:v>
                </c:pt>
                <c:pt idx="44">
                  <c:v>-0.4</c:v>
                </c:pt>
                <c:pt idx="45">
                  <c:v>0.3</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pt idx="63">
                  <c:v>26.6</c:v>
                </c:pt>
                <c:pt idx="64">
                  <c:v>27.9</c:v>
                </c:pt>
                <c:pt idx="65">
                  <c:v>28.5</c:v>
                </c:pt>
                <c:pt idx="66">
                  <c:v>26.8</c:v>
                </c:pt>
                <c:pt idx="67">
                  <c:v>25.2</c:v>
                </c:pt>
                <c:pt idx="68">
                  <c:v>25.8</c:v>
                </c:pt>
                <c:pt idx="69">
                  <c:v>24.1</c:v>
                </c:pt>
                <c:pt idx="70">
                  <c:v>21.3</c:v>
                </c:pt>
                <c:pt idx="71">
                  <c:v>20.100000000000001</c:v>
                </c:pt>
              </c:numCache>
            </c:numRef>
          </c:val>
          <c:extLst>
            <c:ext xmlns:c16="http://schemas.microsoft.com/office/drawing/2014/chart" uri="{C3380CC4-5D6E-409C-BE32-E72D297353CC}">
              <c16:uniqueId val="{00000000-B77D-45A0-AD00-D7744C50E98F}"/>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4'!$D$54:$D$125</c:f>
              <c:numCache>
                <c:formatCode>General</c:formatCode>
                <c:ptCount val="72"/>
                <c:pt idx="0">
                  <c:v>2.2999999999999972</c:v>
                </c:pt>
                <c:pt idx="1">
                  <c:v>5.7999999999999972</c:v>
                </c:pt>
                <c:pt idx="2" formatCode="0.0">
                  <c:v>6.2000000000000028</c:v>
                </c:pt>
                <c:pt idx="3" formatCode="0.0">
                  <c:v>6.4000000000000057</c:v>
                </c:pt>
                <c:pt idx="4">
                  <c:v>4.2999999999999972</c:v>
                </c:pt>
                <c:pt idx="5">
                  <c:v>4.0999999999999943</c:v>
                </c:pt>
                <c:pt idx="6">
                  <c:v>2.9</c:v>
                </c:pt>
                <c:pt idx="7">
                  <c:v>1.7</c:v>
                </c:pt>
                <c:pt idx="8">
                  <c:v>1.9</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9.1999999999999993</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c:v>
                </c:pt>
                <c:pt idx="46">
                  <c:v>-1.8</c:v>
                </c:pt>
                <c:pt idx="47">
                  <c:v>-2.2000000000000002</c:v>
                </c:pt>
                <c:pt idx="48">
                  <c:v>-0.3</c:v>
                </c:pt>
                <c:pt idx="49">
                  <c:v>-0.8</c:v>
                </c:pt>
                <c:pt idx="50">
                  <c:v>-0.3</c:v>
                </c:pt>
                <c:pt idx="51">
                  <c:v>1</c:v>
                </c:pt>
                <c:pt idx="52">
                  <c:v>0.3</c:v>
                </c:pt>
                <c:pt idx="53">
                  <c:v>1.1000000000000001</c:v>
                </c:pt>
                <c:pt idx="54">
                  <c:v>2</c:v>
                </c:pt>
                <c:pt idx="55">
                  <c:v>3.6</c:v>
                </c:pt>
                <c:pt idx="56">
                  <c:v>4.3</c:v>
                </c:pt>
                <c:pt idx="57">
                  <c:v>12.7</c:v>
                </c:pt>
                <c:pt idx="58">
                  <c:v>14</c:v>
                </c:pt>
                <c:pt idx="59">
                  <c:v>14.6</c:v>
                </c:pt>
                <c:pt idx="60">
                  <c:v>24.2</c:v>
                </c:pt>
                <c:pt idx="61">
                  <c:v>25.1</c:v>
                </c:pt>
                <c:pt idx="62">
                  <c:v>26.3</c:v>
                </c:pt>
                <c:pt idx="63">
                  <c:v>28.3</c:v>
                </c:pt>
                <c:pt idx="64">
                  <c:v>34</c:v>
                </c:pt>
                <c:pt idx="65">
                  <c:v>33.299999999999997</c:v>
                </c:pt>
                <c:pt idx="66">
                  <c:v>30.4</c:v>
                </c:pt>
                <c:pt idx="67">
                  <c:v>28.8</c:v>
                </c:pt>
                <c:pt idx="68">
                  <c:v>31.3</c:v>
                </c:pt>
                <c:pt idx="69">
                  <c:v>24.5</c:v>
                </c:pt>
                <c:pt idx="70">
                  <c:v>23.5</c:v>
                </c:pt>
                <c:pt idx="71">
                  <c:v>21.9</c:v>
                </c:pt>
              </c:numCache>
            </c:numRef>
          </c:val>
          <c:smooth val="0"/>
          <c:extLst>
            <c:ext xmlns:c16="http://schemas.microsoft.com/office/drawing/2014/chart" uri="{C3380CC4-5D6E-409C-BE32-E72D297353CC}">
              <c16:uniqueId val="{00000001-B77D-45A0-AD00-D7744C50E98F}"/>
            </c:ext>
          </c:extLst>
        </c:ser>
        <c:ser>
          <c:idx val="2"/>
          <c:order val="2"/>
          <c:tx>
            <c:strRef>
              <c:f>'Ceny 4'!$E$5</c:f>
              <c:strCache>
                <c:ptCount val="1"/>
                <c:pt idx="0">
                  <c:v>Manufacturing</c:v>
                </c:pt>
              </c:strCache>
            </c:strRef>
          </c:tx>
          <c:spPr>
            <a:ln w="19050">
              <a:solidFill>
                <a:srgbClr val="BD1B2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4'!$E$54:$E$125</c:f>
              <c:numCache>
                <c:formatCode>General</c:formatCode>
                <c:ptCount val="72"/>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c:v>
                </c:pt>
                <c:pt idx="25">
                  <c:v>2.9</c:v>
                </c:pt>
                <c:pt idx="26">
                  <c:v>3</c:v>
                </c:pt>
                <c:pt idx="27">
                  <c:v>3.5</c:v>
                </c:pt>
                <c:pt idx="28">
                  <c:v>2.9</c:v>
                </c:pt>
                <c:pt idx="29">
                  <c:v>1.4</c:v>
                </c:pt>
                <c:pt idx="30">
                  <c:v>0.9</c:v>
                </c:pt>
                <c:pt idx="31">
                  <c:v>0.8</c:v>
                </c:pt>
                <c:pt idx="32">
                  <c:v>0.7</c:v>
                </c:pt>
                <c:pt idx="33">
                  <c:v>-0.4</c:v>
                </c:pt>
                <c:pt idx="34">
                  <c:v>-0.7</c:v>
                </c:pt>
                <c:pt idx="35">
                  <c:v>0.8</c:v>
                </c:pt>
                <c:pt idx="36">
                  <c:v>1.2</c:v>
                </c:pt>
                <c:pt idx="37">
                  <c:v>-0.1</c:v>
                </c:pt>
                <c:pt idx="38">
                  <c:v>-1.2</c:v>
                </c:pt>
                <c:pt idx="39">
                  <c:v>-2.5</c:v>
                </c:pt>
                <c:pt idx="40">
                  <c:v>-2.6</c:v>
                </c:pt>
                <c:pt idx="41">
                  <c:v>-1.9</c:v>
                </c:pt>
                <c:pt idx="42">
                  <c:v>-1.6</c:v>
                </c:pt>
                <c:pt idx="43">
                  <c:v>-2</c:v>
                </c:pt>
                <c:pt idx="44">
                  <c:v>-1.9</c:v>
                </c:pt>
                <c:pt idx="45">
                  <c:v>-1.1000000000000001</c:v>
                </c:pt>
                <c:pt idx="46">
                  <c:v>-1.4</c:v>
                </c:pt>
                <c:pt idx="47">
                  <c:v>-1.2</c:v>
                </c:pt>
                <c:pt idx="48">
                  <c:v>-0.3</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pt idx="63">
                  <c:v>22.3</c:v>
                </c:pt>
                <c:pt idx="64">
                  <c:v>24.6</c:v>
                </c:pt>
                <c:pt idx="65">
                  <c:v>25.8</c:v>
                </c:pt>
                <c:pt idx="66">
                  <c:v>22.7</c:v>
                </c:pt>
                <c:pt idx="67">
                  <c:v>20</c:v>
                </c:pt>
                <c:pt idx="68">
                  <c:v>18.899999999999999</c:v>
                </c:pt>
                <c:pt idx="69">
                  <c:v>18.399999999999999</c:v>
                </c:pt>
                <c:pt idx="70">
                  <c:v>15.7</c:v>
                </c:pt>
                <c:pt idx="71">
                  <c:v>14</c:v>
                </c:pt>
              </c:numCache>
            </c:numRef>
          </c:val>
          <c:smooth val="0"/>
          <c:extLst>
            <c:ext xmlns:c16="http://schemas.microsoft.com/office/drawing/2014/chart" uri="{C3380CC4-5D6E-409C-BE32-E72D297353CC}">
              <c16:uniqueId val="{00000002-B77D-45A0-AD00-D7744C50E98F}"/>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4'!$F$54:$F$125</c:f>
              <c:numCache>
                <c:formatCode>General</c:formatCode>
                <c:ptCount val="72"/>
                <c:pt idx="0">
                  <c:v>-1.0999999999999943</c:v>
                </c:pt>
                <c:pt idx="1">
                  <c:v>-1.2000000000000028</c:v>
                </c:pt>
                <c:pt idx="2" formatCode="0.0">
                  <c:v>-1.2000000000000028</c:v>
                </c:pt>
                <c:pt idx="3" formatCode="0.0">
                  <c:v>-1.4000000000000057</c:v>
                </c:pt>
                <c:pt idx="4">
                  <c:v>-1.2999999999999972</c:v>
                </c:pt>
                <c:pt idx="5">
                  <c:v>-1.0999999999999943</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8.1999999999999993</c:v>
                </c:pt>
                <c:pt idx="28">
                  <c:v>8.6</c:v>
                </c:pt>
                <c:pt idx="29">
                  <c:v>7.9</c:v>
                </c:pt>
                <c:pt idx="30">
                  <c:v>8</c:v>
                </c:pt>
                <c:pt idx="31">
                  <c:v>7.7</c:v>
                </c:pt>
                <c:pt idx="32">
                  <c:v>7.7</c:v>
                </c:pt>
                <c:pt idx="33">
                  <c:v>7.5</c:v>
                </c:pt>
                <c:pt idx="34">
                  <c:v>8.6999999999999993</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c:v>
                </c:pt>
                <c:pt idx="56">
                  <c:v>1.2</c:v>
                </c:pt>
                <c:pt idx="57">
                  <c:v>3.7</c:v>
                </c:pt>
                <c:pt idx="58">
                  <c:v>5.6</c:v>
                </c:pt>
                <c:pt idx="59">
                  <c:v>7.1</c:v>
                </c:pt>
                <c:pt idx="60">
                  <c:v>40.6</c:v>
                </c:pt>
                <c:pt idx="61">
                  <c:v>45.5</c:v>
                </c:pt>
                <c:pt idx="62">
                  <c:v>48.9</c:v>
                </c:pt>
                <c:pt idx="63">
                  <c:v>51.4</c:v>
                </c:pt>
                <c:pt idx="64">
                  <c:v>45.8</c:v>
                </c:pt>
                <c:pt idx="65">
                  <c:v>44.6</c:v>
                </c:pt>
                <c:pt idx="66">
                  <c:v>49.8</c:v>
                </c:pt>
                <c:pt idx="67">
                  <c:v>54.3</c:v>
                </c:pt>
                <c:pt idx="68">
                  <c:v>64</c:v>
                </c:pt>
                <c:pt idx="69">
                  <c:v>56.8</c:v>
                </c:pt>
                <c:pt idx="70">
                  <c:v>52.6</c:v>
                </c:pt>
                <c:pt idx="71">
                  <c:v>53.5</c:v>
                </c:pt>
              </c:numCache>
            </c:numRef>
          </c:val>
          <c:smooth val="0"/>
          <c:extLst>
            <c:ext xmlns:c16="http://schemas.microsoft.com/office/drawing/2014/chart" uri="{C3380CC4-5D6E-409C-BE32-E72D297353CC}">
              <c16:uniqueId val="{00000003-B77D-45A0-AD00-D7744C50E98F}"/>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4'!$G$54:$G$125</c:f>
              <c:numCache>
                <c:formatCode>General</c:formatCode>
                <c:ptCount val="72"/>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c:v>
                </c:pt>
                <c:pt idx="13">
                  <c:v>1.9</c:v>
                </c:pt>
                <c:pt idx="14">
                  <c:v>1.9</c:v>
                </c:pt>
                <c:pt idx="15">
                  <c:v>1.9</c:v>
                </c:pt>
                <c:pt idx="16">
                  <c:v>1.9</c:v>
                </c:pt>
                <c:pt idx="17">
                  <c:v>1.9</c:v>
                </c:pt>
                <c:pt idx="18">
                  <c:v>1.9</c:v>
                </c:pt>
                <c:pt idx="19">
                  <c:v>1.9</c:v>
                </c:pt>
                <c:pt idx="20">
                  <c:v>1.9</c:v>
                </c:pt>
                <c:pt idx="21">
                  <c:v>1.9</c:v>
                </c:pt>
                <c:pt idx="22">
                  <c:v>1.9</c:v>
                </c:pt>
                <c:pt idx="23">
                  <c:v>1.9</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pt idx="63">
                  <c:v>5.3</c:v>
                </c:pt>
                <c:pt idx="64">
                  <c:v>5.3</c:v>
                </c:pt>
                <c:pt idx="65">
                  <c:v>5.3</c:v>
                </c:pt>
                <c:pt idx="66">
                  <c:v>5.3</c:v>
                </c:pt>
                <c:pt idx="67">
                  <c:v>5.3</c:v>
                </c:pt>
                <c:pt idx="68">
                  <c:v>5.3</c:v>
                </c:pt>
                <c:pt idx="69">
                  <c:v>5.3</c:v>
                </c:pt>
                <c:pt idx="70">
                  <c:v>5.3</c:v>
                </c:pt>
                <c:pt idx="71">
                  <c:v>5.3</c:v>
                </c:pt>
              </c:numCache>
            </c:numRef>
          </c:val>
          <c:smooth val="0"/>
          <c:extLst>
            <c:ext xmlns:c16="http://schemas.microsoft.com/office/drawing/2014/chart" uri="{C3380CC4-5D6E-409C-BE32-E72D297353CC}">
              <c16:uniqueId val="{00000004-B77D-45A0-AD00-D7744C50E98F}"/>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6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5"/>
      </c:valAx>
      <c:spPr>
        <a:ln>
          <a:solidFill>
            <a:schemeClr val="tx1"/>
          </a:solidFill>
        </a:ln>
      </c:spPr>
    </c:plotArea>
    <c:legend>
      <c:legendPos val="b"/>
      <c:layout>
        <c:manualLayout>
          <c:xMode val="edge"/>
          <c:yMode val="edge"/>
          <c:x val="4.7919139114029445E-2"/>
          <c:y val="0.82577215938493387"/>
          <c:w val="0.91970088217624568"/>
          <c:h val="0.1575613218008427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4495121574960907"/>
          <c:h val="0.67557130739459548"/>
        </c:manualLayout>
      </c:layout>
      <c:barChart>
        <c:barDir val="col"/>
        <c:grouping val="stacked"/>
        <c:varyColors val="0"/>
        <c:ser>
          <c:idx val="0"/>
          <c:order val="0"/>
          <c:tx>
            <c:strRef>
              <c:f>'Trh práce 1-SNÚ'!$AC$7</c:f>
              <c:strCache>
                <c:ptCount val="1"/>
                <c:pt idx="0">
                  <c:v>Agriculture, forestry and fishing</c:v>
                </c:pt>
              </c:strCache>
            </c:strRef>
          </c:tx>
          <c:spPr>
            <a:solidFill>
              <a:srgbClr val="7DBB2D"/>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1-SNÚ'!$AC$28:$AC$60</c:f>
              <c:numCache>
                <c:formatCode>#\ ##0.0</c:formatCode>
                <c:ptCount val="33"/>
                <c:pt idx="0">
                  <c:v>-5.6991893197978323E-2</c:v>
                </c:pt>
                <c:pt idx="1">
                  <c:v>-5.3077004431979151E-2</c:v>
                </c:pt>
                <c:pt idx="2">
                  <c:v>-6.9683605158033346E-2</c:v>
                </c:pt>
                <c:pt idx="3">
                  <c:v>-0.13993931548915456</c:v>
                </c:pt>
                <c:pt idx="4">
                  <c:v>-0.12488466174466099</c:v>
                </c:pt>
                <c:pt idx="5">
                  <c:v>-3.2025271621926824E-2</c:v>
                </c:pt>
                <c:pt idx="6">
                  <c:v>-4.5209168072263314E-2</c:v>
                </c:pt>
                <c:pt idx="7">
                  <c:v>5.8178231424048252E-2</c:v>
                </c:pt>
                <c:pt idx="8">
                  <c:v>9.8473168738459127E-2</c:v>
                </c:pt>
                <c:pt idx="9">
                  <c:v>3.5827695758654118E-2</c:v>
                </c:pt>
                <c:pt idx="10">
                  <c:v>1.9597324357556144E-2</c:v>
                </c:pt>
                <c:pt idx="11">
                  <c:v>-9.3256093124704398E-2</c:v>
                </c:pt>
                <c:pt idx="12">
                  <c:v>2.8281779223500534E-2</c:v>
                </c:pt>
                <c:pt idx="13">
                  <c:v>3.1385538570036599E-2</c:v>
                </c:pt>
                <c:pt idx="14">
                  <c:v>1.6521075080556488E-2</c:v>
                </c:pt>
                <c:pt idx="15">
                  <c:v>8.3398360204895924E-2</c:v>
                </c:pt>
                <c:pt idx="16">
                  <c:v>-3.2066957439228133E-2</c:v>
                </c:pt>
                <c:pt idx="17">
                  <c:v>-9.1886912097250681E-2</c:v>
                </c:pt>
                <c:pt idx="18">
                  <c:v>-0.12544281535318705</c:v>
                </c:pt>
                <c:pt idx="19">
                  <c:v>-0.13296546528421765</c:v>
                </c:pt>
                <c:pt idx="20">
                  <c:v>-8.0149764825409767E-2</c:v>
                </c:pt>
                <c:pt idx="21">
                  <c:v>1.2847127079559917E-4</c:v>
                </c:pt>
                <c:pt idx="22">
                  <c:v>9.2281662728676842E-2</c:v>
                </c:pt>
                <c:pt idx="23">
                  <c:v>7.8785121950452425E-2</c:v>
                </c:pt>
                <c:pt idx="24">
                  <c:v>3.9467525638141862E-2</c:v>
                </c:pt>
                <c:pt idx="25">
                  <c:v>-3.5679661917382199E-2</c:v>
                </c:pt>
                <c:pt idx="26">
                  <c:v>-6.7116536974324847E-2</c:v>
                </c:pt>
                <c:pt idx="27">
                  <c:v>-2.1524420295770993E-2</c:v>
                </c:pt>
                <c:pt idx="28">
                  <c:v>-2.1396085155666728E-2</c:v>
                </c:pt>
                <c:pt idx="29">
                  <c:v>8.9564611387649637E-2</c:v>
                </c:pt>
                <c:pt idx="30">
                  <c:v>3.6987296379261805E-2</c:v>
                </c:pt>
                <c:pt idx="31">
                  <c:v>-5.9061454391102539E-2</c:v>
                </c:pt>
              </c:numCache>
            </c:numRef>
          </c:val>
          <c:extLst>
            <c:ext xmlns:c16="http://schemas.microsoft.com/office/drawing/2014/chart" uri="{C3380CC4-5D6E-409C-BE32-E72D297353CC}">
              <c16:uniqueId val="{00000000-6FA5-466A-A201-D4067BB917F6}"/>
            </c:ext>
          </c:extLst>
        </c:ser>
        <c:ser>
          <c:idx val="1"/>
          <c:order val="1"/>
          <c:tx>
            <c:strRef>
              <c:f>'Trh práce 1-SNÚ'!$AD$7</c:f>
              <c:strCache>
                <c:ptCount val="1"/>
                <c:pt idx="0">
                  <c:v>Manufacturing </c:v>
                </c:pt>
              </c:strCache>
            </c:strRef>
          </c:tx>
          <c:spPr>
            <a:solidFill>
              <a:srgbClr val="A6CDE8"/>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1-SNÚ'!$AD$28:$AD$60</c:f>
              <c:numCache>
                <c:formatCode>#\ ##0.0</c:formatCode>
                <c:ptCount val="33"/>
                <c:pt idx="0">
                  <c:v>0.88197902580416176</c:v>
                </c:pt>
                <c:pt idx="1">
                  <c:v>0.93619594656509764</c:v>
                </c:pt>
                <c:pt idx="2">
                  <c:v>0.79380670100221373</c:v>
                </c:pt>
                <c:pt idx="3">
                  <c:v>0.92941048859384778</c:v>
                </c:pt>
                <c:pt idx="4">
                  <c:v>0.86436958871149239</c:v>
                </c:pt>
                <c:pt idx="5">
                  <c:v>0.64306976785438008</c:v>
                </c:pt>
                <c:pt idx="6">
                  <c:v>0.67102358376255722</c:v>
                </c:pt>
                <c:pt idx="7">
                  <c:v>0.51768439491468099</c:v>
                </c:pt>
                <c:pt idx="8">
                  <c:v>0.27352595704925392</c:v>
                </c:pt>
                <c:pt idx="9">
                  <c:v>0.40495174469100209</c:v>
                </c:pt>
                <c:pt idx="10">
                  <c:v>0.48296390541252465</c:v>
                </c:pt>
                <c:pt idx="11">
                  <c:v>0.47073561501166572</c:v>
                </c:pt>
                <c:pt idx="12">
                  <c:v>0.35993792705298522</c:v>
                </c:pt>
                <c:pt idx="13">
                  <c:v>0.28632749685910475</c:v>
                </c:pt>
                <c:pt idx="14">
                  <c:v>9.3203449496172111E-2</c:v>
                </c:pt>
                <c:pt idx="15">
                  <c:v>8.6360902490994762E-2</c:v>
                </c:pt>
                <c:pt idx="16">
                  <c:v>0.14709256185686426</c:v>
                </c:pt>
                <c:pt idx="17">
                  <c:v>-2.0854942188738988E-2</c:v>
                </c:pt>
                <c:pt idx="18">
                  <c:v>-0.16258097669671445</c:v>
                </c:pt>
                <c:pt idx="19">
                  <c:v>-0.55102805433099211</c:v>
                </c:pt>
                <c:pt idx="20">
                  <c:v>-0.82136508594643176</c:v>
                </c:pt>
                <c:pt idx="21">
                  <c:v>-1.0952359365711679</c:v>
                </c:pt>
                <c:pt idx="22">
                  <c:v>-1.0796051443294794</c:v>
                </c:pt>
                <c:pt idx="23">
                  <c:v>-0.91314157662366346</c:v>
                </c:pt>
                <c:pt idx="24">
                  <c:v>-0.48322704277798206</c:v>
                </c:pt>
                <c:pt idx="25">
                  <c:v>-6.9933638079916316E-2</c:v>
                </c:pt>
                <c:pt idx="26">
                  <c:v>0.17887110622763175</c:v>
                </c:pt>
                <c:pt idx="27">
                  <c:v>0.31056393603222171</c:v>
                </c:pt>
                <c:pt idx="28">
                  <c:v>7.5243526180121478E-2</c:v>
                </c:pt>
                <c:pt idx="29">
                  <c:v>0.3891904573249359</c:v>
                </c:pt>
                <c:pt idx="30">
                  <c:v>0.19536879625969056</c:v>
                </c:pt>
                <c:pt idx="31">
                  <c:v>9.9464098143858024E-2</c:v>
                </c:pt>
              </c:numCache>
            </c:numRef>
          </c:val>
          <c:extLst>
            <c:ext xmlns:c16="http://schemas.microsoft.com/office/drawing/2014/chart" uri="{C3380CC4-5D6E-409C-BE32-E72D297353CC}">
              <c16:uniqueId val="{00000001-6FA5-466A-A201-D4067BB917F6}"/>
            </c:ext>
          </c:extLst>
        </c:ser>
        <c:ser>
          <c:idx val="2"/>
          <c:order val="2"/>
          <c:tx>
            <c:strRef>
              <c:f>'Trh práce 1-SNÚ'!$AE$7</c:f>
              <c:strCache>
                <c:ptCount val="1"/>
                <c:pt idx="0">
                  <c:v>Construction</c:v>
                </c:pt>
              </c:strCache>
            </c:strRef>
          </c:tx>
          <c:spPr>
            <a:solidFill>
              <a:srgbClr val="48AEE7"/>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1-SNÚ'!$AE$28:$AE$60</c:f>
              <c:numCache>
                <c:formatCode>#\ ##0.0</c:formatCode>
                <c:ptCount val="33"/>
                <c:pt idx="0">
                  <c:v>-0.11535945278349405</c:v>
                </c:pt>
                <c:pt idx="1">
                  <c:v>-0.10277905701098218</c:v>
                </c:pt>
                <c:pt idx="2">
                  <c:v>-0.15744780912986214</c:v>
                </c:pt>
                <c:pt idx="3">
                  <c:v>-0.17964656072744931</c:v>
                </c:pt>
                <c:pt idx="4">
                  <c:v>-0.11205258317894969</c:v>
                </c:pt>
                <c:pt idx="5">
                  <c:v>-0.12466911878830755</c:v>
                </c:pt>
                <c:pt idx="6">
                  <c:v>-2.5910926178730021E-2</c:v>
                </c:pt>
                <c:pt idx="7">
                  <c:v>9.6483224892210846E-3</c:v>
                </c:pt>
                <c:pt idx="8">
                  <c:v>-9.8473168738459124E-3</c:v>
                </c:pt>
                <c:pt idx="9">
                  <c:v>1.9091640634913781E-2</c:v>
                </c:pt>
                <c:pt idx="10">
                  <c:v>7.2407555983877492E-2</c:v>
                </c:pt>
                <c:pt idx="11">
                  <c:v>-7.2320666550757598E-2</c:v>
                </c:pt>
                <c:pt idx="12">
                  <c:v>0.10670200915568524</c:v>
                </c:pt>
                <c:pt idx="13">
                  <c:v>7.102944379245156E-2</c:v>
                </c:pt>
                <c:pt idx="14">
                  <c:v>5.9006500400454305E-2</c:v>
                </c:pt>
                <c:pt idx="15">
                  <c:v>0.11179404853203206</c:v>
                </c:pt>
                <c:pt idx="16">
                  <c:v>3.5683531586509498E-2</c:v>
                </c:pt>
                <c:pt idx="17">
                  <c:v>8.4487365089419189E-2</c:v>
                </c:pt>
                <c:pt idx="18">
                  <c:v>9.86228608640492E-2</c:v>
                </c:pt>
                <c:pt idx="19">
                  <c:v>0.12706817507064183</c:v>
                </c:pt>
                <c:pt idx="20">
                  <c:v>1.7073866434947418E-2</c:v>
                </c:pt>
                <c:pt idx="21">
                  <c:v>-0.21562985151107064</c:v>
                </c:pt>
                <c:pt idx="22">
                  <c:v>-0.10234473200166617</c:v>
                </c:pt>
                <c:pt idx="23">
                  <c:v>-5.2591242475965305E-2</c:v>
                </c:pt>
                <c:pt idx="24">
                  <c:v>-5.9386582004809708E-2</c:v>
                </c:pt>
                <c:pt idx="25">
                  <c:v>0.13637809786507285</c:v>
                </c:pt>
                <c:pt idx="26">
                  <c:v>-3.172884093474513E-2</c:v>
                </c:pt>
                <c:pt idx="27">
                  <c:v>6.5121292659549482E-2</c:v>
                </c:pt>
                <c:pt idx="28">
                  <c:v>0.26034410470168473</c:v>
                </c:pt>
                <c:pt idx="29">
                  <c:v>0.27560497205938905</c:v>
                </c:pt>
                <c:pt idx="30">
                  <c:v>0.25807425799466832</c:v>
                </c:pt>
                <c:pt idx="31">
                  <c:v>0.24362385324511113</c:v>
                </c:pt>
              </c:numCache>
            </c:numRef>
          </c:val>
          <c:extLst>
            <c:ext xmlns:c16="http://schemas.microsoft.com/office/drawing/2014/chart" uri="{C3380CC4-5D6E-409C-BE32-E72D297353CC}">
              <c16:uniqueId val="{00000002-6FA5-466A-A201-D4067BB917F6}"/>
            </c:ext>
          </c:extLst>
        </c:ser>
        <c:ser>
          <c:idx val="3"/>
          <c:order val="3"/>
          <c:tx>
            <c:strRef>
              <c:f>'Trh práce 1-SNÚ'!$AF$7</c:f>
              <c:strCache>
                <c:ptCount val="1"/>
                <c:pt idx="0">
                  <c:v>Trade, transport.,accommod.,food service</c:v>
                </c:pt>
              </c:strCache>
            </c:strRef>
          </c:tx>
          <c:spPr>
            <a:solidFill>
              <a:srgbClr val="FDDEB3"/>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1-SNÚ'!$AF$28:$AF$60</c:f>
              <c:numCache>
                <c:formatCode>#\ ##0.0</c:formatCode>
                <c:ptCount val="33"/>
                <c:pt idx="0">
                  <c:v>0.23291997178704796</c:v>
                </c:pt>
                <c:pt idx="1">
                  <c:v>0.49484250453607476</c:v>
                </c:pt>
                <c:pt idx="2">
                  <c:v>0.32328110679066302</c:v>
                </c:pt>
                <c:pt idx="3">
                  <c:v>0.16315218273979085</c:v>
                </c:pt>
                <c:pt idx="4">
                  <c:v>8.7514387555562234E-2</c:v>
                </c:pt>
                <c:pt idx="5">
                  <c:v>0.23539827888748016</c:v>
                </c:pt>
                <c:pt idx="6">
                  <c:v>-1.0121455538566413E-2</c:v>
                </c:pt>
                <c:pt idx="7">
                  <c:v>6.4501534410011871E-2</c:v>
                </c:pt>
                <c:pt idx="8">
                  <c:v>0.17491894128532504</c:v>
                </c:pt>
                <c:pt idx="9">
                  <c:v>5.376054029532935E-3</c:v>
                </c:pt>
                <c:pt idx="10">
                  <c:v>0.3554863488114835</c:v>
                </c:pt>
                <c:pt idx="11">
                  <c:v>0.17830036428397431</c:v>
                </c:pt>
                <c:pt idx="12">
                  <c:v>0.15887539134747272</c:v>
                </c:pt>
                <c:pt idx="13">
                  <c:v>0.40293713210708682</c:v>
                </c:pt>
                <c:pt idx="14">
                  <c:v>0.21063905082977827</c:v>
                </c:pt>
                <c:pt idx="15">
                  <c:v>0.22355083238122012</c:v>
                </c:pt>
                <c:pt idx="16">
                  <c:v>0.43914483415040123</c:v>
                </c:pt>
                <c:pt idx="17">
                  <c:v>0.11318361828645723</c:v>
                </c:pt>
                <c:pt idx="18">
                  <c:v>-1.4877414534236133E-2</c:v>
                </c:pt>
                <c:pt idx="19">
                  <c:v>-4.6754453974505915E-2</c:v>
                </c:pt>
                <c:pt idx="20">
                  <c:v>-0.11596996469808202</c:v>
                </c:pt>
                <c:pt idx="21">
                  <c:v>-0.57289010255494677</c:v>
                </c:pt>
                <c:pt idx="22">
                  <c:v>-0.41512925330551576</c:v>
                </c:pt>
                <c:pt idx="23">
                  <c:v>-0.99009534683119627</c:v>
                </c:pt>
                <c:pt idx="24">
                  <c:v>-0.85418472506699616</c:v>
                </c:pt>
                <c:pt idx="25">
                  <c:v>-0.15881388948083999</c:v>
                </c:pt>
                <c:pt idx="26">
                  <c:v>0.24439275764343901</c:v>
                </c:pt>
                <c:pt idx="27">
                  <c:v>0.73867123838551074</c:v>
                </c:pt>
                <c:pt idx="28">
                  <c:v>0.44187240187036858</c:v>
                </c:pt>
                <c:pt idx="29">
                  <c:v>0.90504152566544072</c:v>
                </c:pt>
                <c:pt idx="30">
                  <c:v>0.40806899534767266</c:v>
                </c:pt>
                <c:pt idx="31">
                  <c:v>0.19173600533448865</c:v>
                </c:pt>
              </c:numCache>
            </c:numRef>
          </c:val>
          <c:extLst>
            <c:ext xmlns:c16="http://schemas.microsoft.com/office/drawing/2014/chart" uri="{C3380CC4-5D6E-409C-BE32-E72D297353CC}">
              <c16:uniqueId val="{00000003-6FA5-466A-A201-D4067BB917F6}"/>
            </c:ext>
          </c:extLst>
        </c:ser>
        <c:ser>
          <c:idx val="4"/>
          <c:order val="4"/>
          <c:tx>
            <c:strRef>
              <c:f>'Trh práce 1-SNÚ'!$AG$7</c:f>
              <c:strCache>
                <c:ptCount val="1"/>
                <c:pt idx="0">
                  <c:v>Information and communication</c:v>
                </c:pt>
              </c:strCache>
            </c:strRef>
          </c:tx>
          <c:spPr>
            <a:solidFill>
              <a:srgbClr val="F8A124"/>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1-SNÚ'!$AG$28:$AG$60</c:f>
              <c:numCache>
                <c:formatCode>#\ ##0.0</c:formatCode>
                <c:ptCount val="33"/>
                <c:pt idx="0">
                  <c:v>1.2223778472118108E-2</c:v>
                </c:pt>
                <c:pt idx="1">
                  <c:v>6.0238966213004064E-2</c:v>
                </c:pt>
                <c:pt idx="2">
                  <c:v>7.0191816584150843E-2</c:v>
                </c:pt>
                <c:pt idx="3">
                  <c:v>9.7973099947945536E-2</c:v>
                </c:pt>
                <c:pt idx="4">
                  <c:v>0.11574107777423734</c:v>
                </c:pt>
                <c:pt idx="5">
                  <c:v>0.11485523362541727</c:v>
                </c:pt>
                <c:pt idx="6">
                  <c:v>0.13512625118059429</c:v>
                </c:pt>
                <c:pt idx="7">
                  <c:v>0.16390616372126973</c:v>
                </c:pt>
                <c:pt idx="8">
                  <c:v>0.13639011895367553</c:v>
                </c:pt>
                <c:pt idx="9">
                  <c:v>0.13690890950828222</c:v>
                </c:pt>
                <c:pt idx="10">
                  <c:v>0.13784590844137601</c:v>
                </c:pt>
                <c:pt idx="11">
                  <c:v>0.11872218009337367</c:v>
                </c:pt>
                <c:pt idx="12">
                  <c:v>0.12284956731327347</c:v>
                </c:pt>
                <c:pt idx="13">
                  <c:v>0.1377705293912645</c:v>
                </c:pt>
                <c:pt idx="14">
                  <c:v>0.12183128760081174</c:v>
                </c:pt>
                <c:pt idx="15">
                  <c:v>0.14710233552673219</c:v>
                </c:pt>
                <c:pt idx="16">
                  <c:v>0.15146954390177916</c:v>
                </c:pt>
                <c:pt idx="17">
                  <c:v>8.5481334090471192E-2</c:v>
                </c:pt>
                <c:pt idx="18">
                  <c:v>0.13044502296953692</c:v>
                </c:pt>
                <c:pt idx="19">
                  <c:v>0.14053979740227912</c:v>
                </c:pt>
                <c:pt idx="20">
                  <c:v>0.12892698928003887</c:v>
                </c:pt>
                <c:pt idx="21">
                  <c:v>8.7929408340245083E-2</c:v>
                </c:pt>
                <c:pt idx="22">
                  <c:v>0.10800290465149717</c:v>
                </c:pt>
                <c:pt idx="23">
                  <c:v>7.2310646091645572E-2</c:v>
                </c:pt>
                <c:pt idx="24">
                  <c:v>7.4765946455353255E-2</c:v>
                </c:pt>
                <c:pt idx="25">
                  <c:v>0.13000003001443672</c:v>
                </c:pt>
                <c:pt idx="26">
                  <c:v>0.1020163856665933</c:v>
                </c:pt>
                <c:pt idx="27">
                  <c:v>3.6434664030067142E-2</c:v>
                </c:pt>
                <c:pt idx="28">
                  <c:v>0.11743404910570686</c:v>
                </c:pt>
                <c:pt idx="29">
                  <c:v>0.10430214598303141</c:v>
                </c:pt>
                <c:pt idx="30">
                  <c:v>0.10363509437990248</c:v>
                </c:pt>
                <c:pt idx="31">
                  <c:v>0.18052956826783198</c:v>
                </c:pt>
              </c:numCache>
            </c:numRef>
          </c:val>
          <c:extLst>
            <c:ext xmlns:c16="http://schemas.microsoft.com/office/drawing/2014/chart" uri="{C3380CC4-5D6E-409C-BE32-E72D297353CC}">
              <c16:uniqueId val="{00000004-6FA5-466A-A201-D4067BB917F6}"/>
            </c:ext>
          </c:extLst>
        </c:ser>
        <c:ser>
          <c:idx val="5"/>
          <c:order val="5"/>
          <c:tx>
            <c:strRef>
              <c:f>'Trh práce 1-SNÚ'!$AH$7</c:f>
              <c:strCache>
                <c:ptCount val="1"/>
                <c:pt idx="0">
                  <c:v>Professional,scientific.,technic.&amp;admin.act.</c:v>
                </c:pt>
              </c:strCache>
            </c:strRef>
          </c:tx>
          <c:spPr>
            <a:solidFill>
              <a:srgbClr val="E8C0BE"/>
            </a:solidFill>
            <a:ln w="19050">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1-SNÚ'!$AH$28:$AH$60</c:f>
              <c:numCache>
                <c:formatCode>#\ ##0.0</c:formatCode>
                <c:ptCount val="33"/>
                <c:pt idx="0">
                  <c:v>0.10850077322277182</c:v>
                </c:pt>
                <c:pt idx="1">
                  <c:v>0.12304838994193759</c:v>
                </c:pt>
                <c:pt idx="2">
                  <c:v>0.25299155723995104</c:v>
                </c:pt>
                <c:pt idx="3">
                  <c:v>0.35101672163818687</c:v>
                </c:pt>
                <c:pt idx="4">
                  <c:v>0.2419070060625246</c:v>
                </c:pt>
                <c:pt idx="5">
                  <c:v>0.24438309320163906</c:v>
                </c:pt>
                <c:pt idx="6">
                  <c:v>0.25066507602369625</c:v>
                </c:pt>
                <c:pt idx="7">
                  <c:v>0.26288795818240235</c:v>
                </c:pt>
                <c:pt idx="8">
                  <c:v>0.40909387284647242</c:v>
                </c:pt>
                <c:pt idx="9">
                  <c:v>0.3560353520194568</c:v>
                </c:pt>
                <c:pt idx="10">
                  <c:v>0.31414586903784036</c:v>
                </c:pt>
                <c:pt idx="11">
                  <c:v>0.14060149424955432</c:v>
                </c:pt>
                <c:pt idx="12">
                  <c:v>0.17385474809809426</c:v>
                </c:pt>
                <c:pt idx="13">
                  <c:v>0.14777045635809</c:v>
                </c:pt>
                <c:pt idx="14">
                  <c:v>9.3482836335189431E-2</c:v>
                </c:pt>
                <c:pt idx="15">
                  <c:v>0.18868972158064815</c:v>
                </c:pt>
                <c:pt idx="16">
                  <c:v>-9.607104657906403E-3</c:v>
                </c:pt>
                <c:pt idx="17">
                  <c:v>-3.2359213034248137E-2</c:v>
                </c:pt>
                <c:pt idx="18">
                  <c:v>-2.9422579116094784E-2</c:v>
                </c:pt>
                <c:pt idx="19">
                  <c:v>-0.20393566719821937</c:v>
                </c:pt>
                <c:pt idx="20">
                  <c:v>-0.16053845350835916</c:v>
                </c:pt>
                <c:pt idx="21">
                  <c:v>-0.28764717531134654</c:v>
                </c:pt>
                <c:pt idx="22">
                  <c:v>-0.41553472496120397</c:v>
                </c:pt>
                <c:pt idx="23">
                  <c:v>-0.1922734345041095</c:v>
                </c:pt>
                <c:pt idx="24">
                  <c:v>-0.1810873840664603</c:v>
                </c:pt>
                <c:pt idx="25">
                  <c:v>8.9049082608734648E-2</c:v>
                </c:pt>
                <c:pt idx="26">
                  <c:v>0.19420077094891311</c:v>
                </c:pt>
                <c:pt idx="27">
                  <c:v>9.0255163593153873E-2</c:v>
                </c:pt>
                <c:pt idx="28">
                  <c:v>7.9511462322772064E-2</c:v>
                </c:pt>
                <c:pt idx="29">
                  <c:v>3.6049989567917377E-2</c:v>
                </c:pt>
                <c:pt idx="30">
                  <c:v>0.13800036522398282</c:v>
                </c:pt>
                <c:pt idx="31">
                  <c:v>0.13672596600231007</c:v>
                </c:pt>
              </c:numCache>
            </c:numRef>
          </c:val>
          <c:extLst>
            <c:ext xmlns:c16="http://schemas.microsoft.com/office/drawing/2014/chart" uri="{C3380CC4-5D6E-409C-BE32-E72D297353CC}">
              <c16:uniqueId val="{00000005-6FA5-466A-A201-D4067BB917F6}"/>
            </c:ext>
          </c:extLst>
        </c:ser>
        <c:ser>
          <c:idx val="6"/>
          <c:order val="6"/>
          <c:tx>
            <c:strRef>
              <c:f>'Trh práce 1-SNÚ'!$AI$7</c:f>
              <c:strCache>
                <c:ptCount val="1"/>
                <c:pt idx="0">
                  <c:v>Public admin, education, health, soc. work</c:v>
                </c:pt>
              </c:strCache>
            </c:strRef>
          </c:tx>
          <c:spPr>
            <a:solidFill>
              <a:srgbClr val="D58D8B"/>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1-SNÚ'!$AI$28:$AI$60</c:f>
              <c:numCache>
                <c:formatCode>#\ ##0.0</c:formatCode>
                <c:ptCount val="33"/>
                <c:pt idx="0">
                  <c:v>0.22356544035179357</c:v>
                </c:pt>
                <c:pt idx="1">
                  <c:v>0.22121632087472565</c:v>
                </c:pt>
                <c:pt idx="2">
                  <c:v>0.12507865060484022</c:v>
                </c:pt>
                <c:pt idx="3">
                  <c:v>0.12632707202590393</c:v>
                </c:pt>
                <c:pt idx="4">
                  <c:v>0.32907195728800698</c:v>
                </c:pt>
                <c:pt idx="5">
                  <c:v>0.33515671077902104</c:v>
                </c:pt>
                <c:pt idx="6">
                  <c:v>0.44146897214787112</c:v>
                </c:pt>
                <c:pt idx="7">
                  <c:v>0.55904533116329413</c:v>
                </c:pt>
                <c:pt idx="8">
                  <c:v>0.45377965834973044</c:v>
                </c:pt>
                <c:pt idx="9">
                  <c:v>0.48758720415555434</c:v>
                </c:pt>
                <c:pt idx="10">
                  <c:v>0.52434236449693816</c:v>
                </c:pt>
                <c:pt idx="11">
                  <c:v>0.53403271627626769</c:v>
                </c:pt>
                <c:pt idx="12">
                  <c:v>0.4379247919471016</c:v>
                </c:pt>
                <c:pt idx="13">
                  <c:v>0.46550221824222543</c:v>
                </c:pt>
                <c:pt idx="14">
                  <c:v>0.29622455251541197</c:v>
                </c:pt>
                <c:pt idx="15">
                  <c:v>0.24393461389689397</c:v>
                </c:pt>
                <c:pt idx="16">
                  <c:v>0.20792519366754575</c:v>
                </c:pt>
                <c:pt idx="17">
                  <c:v>0.13389130580837372</c:v>
                </c:pt>
                <c:pt idx="18">
                  <c:v>0.14884797866511187</c:v>
                </c:pt>
                <c:pt idx="19">
                  <c:v>0.16857035494868175</c:v>
                </c:pt>
                <c:pt idx="20">
                  <c:v>0.34228599406292859</c:v>
                </c:pt>
                <c:pt idx="21">
                  <c:v>0.27122120568819491</c:v>
                </c:pt>
                <c:pt idx="22">
                  <c:v>0.38125393952574577</c:v>
                </c:pt>
                <c:pt idx="23">
                  <c:v>0.32350181091089736</c:v>
                </c:pt>
                <c:pt idx="24">
                  <c:v>0.18331090663762326</c:v>
                </c:pt>
                <c:pt idx="25">
                  <c:v>0.29725547988582457</c:v>
                </c:pt>
                <c:pt idx="26">
                  <c:v>0.29415318706918947</c:v>
                </c:pt>
                <c:pt idx="27">
                  <c:v>0.35013560951715972</c:v>
                </c:pt>
                <c:pt idx="28">
                  <c:v>0.42965143934736039</c:v>
                </c:pt>
                <c:pt idx="29">
                  <c:v>0.38472623581885712</c:v>
                </c:pt>
                <c:pt idx="30">
                  <c:v>0.45225291500434744</c:v>
                </c:pt>
                <c:pt idx="31">
                  <c:v>0.51709436972247869</c:v>
                </c:pt>
              </c:numCache>
            </c:numRef>
          </c:val>
          <c:extLst>
            <c:ext xmlns:c16="http://schemas.microsoft.com/office/drawing/2014/chart" uri="{C3380CC4-5D6E-409C-BE32-E72D297353CC}">
              <c16:uniqueId val="{00000006-6FA5-466A-A201-D4067BB917F6}"/>
            </c:ext>
          </c:extLst>
        </c:ser>
        <c:ser>
          <c:idx val="7"/>
          <c:order val="7"/>
          <c:tx>
            <c:strRef>
              <c:f>'Trh práce 1-SNÚ'!$AJ$7</c:f>
              <c:strCache>
                <c:ptCount val="1"/>
                <c:pt idx="0">
                  <c:v>Other branches*</c:v>
                </c:pt>
              </c:strCache>
            </c:strRef>
          </c:tx>
          <c:spPr>
            <a:solidFill>
              <a:schemeClr val="bg1">
                <a:lumMod val="85000"/>
              </a:schemeClr>
            </a:solidFill>
            <a:ln>
              <a:noFill/>
            </a:ln>
          </c:spPr>
          <c:invertIfNegative val="0"/>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1-SNÚ'!$AJ$28:$AJ$60</c:f>
              <c:numCache>
                <c:formatCode>#\ ##0.0</c:formatCode>
                <c:ptCount val="33"/>
                <c:pt idx="0">
                  <c:v>-5.4437084192551728E-2</c:v>
                </c:pt>
                <c:pt idx="1">
                  <c:v>8.941660229076856E-2</c:v>
                </c:pt>
                <c:pt idx="2">
                  <c:v>4.9980639099324334E-2</c:v>
                </c:pt>
                <c:pt idx="3">
                  <c:v>-2.6133949538887476E-2</c:v>
                </c:pt>
                <c:pt idx="4">
                  <c:v>0.12610768889994062</c:v>
                </c:pt>
                <c:pt idx="5">
                  <c:v>7.9147344977730044E-2</c:v>
                </c:pt>
                <c:pt idx="6">
                  <c:v>0.10645843330278808</c:v>
                </c:pt>
                <c:pt idx="7">
                  <c:v>0.17588007788617954</c:v>
                </c:pt>
                <c:pt idx="8">
                  <c:v>-5.5355305533561008E-2</c:v>
                </c:pt>
                <c:pt idx="9">
                  <c:v>-2.887491916922294E-3</c:v>
                </c:pt>
                <c:pt idx="10">
                  <c:v>4.6771521213818591E-2</c:v>
                </c:pt>
                <c:pt idx="11">
                  <c:v>4.0303999761385406E-2</c:v>
                </c:pt>
                <c:pt idx="12">
                  <c:v>0.20445408817735128</c:v>
                </c:pt>
                <c:pt idx="13">
                  <c:v>0.19370645045850754</c:v>
                </c:pt>
                <c:pt idx="14">
                  <c:v>1.6316191398610472E-2</c:v>
                </c:pt>
                <c:pt idx="15">
                  <c:v>1.837148864209727E-2</c:v>
                </c:pt>
                <c:pt idx="16">
                  <c:v>-2.6762648689882127E-2</c:v>
                </c:pt>
                <c:pt idx="17">
                  <c:v>2.1167858355736847E-2</c:v>
                </c:pt>
                <c:pt idx="18">
                  <c:v>0.1052494015809112</c:v>
                </c:pt>
                <c:pt idx="19">
                  <c:v>0.12295850095305616</c:v>
                </c:pt>
                <c:pt idx="20">
                  <c:v>-0.12300902911636498</c:v>
                </c:pt>
                <c:pt idx="21">
                  <c:v>-0.35208469413468202</c:v>
                </c:pt>
                <c:pt idx="22">
                  <c:v>-0.34275256276516941</c:v>
                </c:pt>
                <c:pt idx="23">
                  <c:v>-0.43863649018293677</c:v>
                </c:pt>
                <c:pt idx="24">
                  <c:v>-0.16702360380385478</c:v>
                </c:pt>
                <c:pt idx="25">
                  <c:v>4.1494959075315155E-2</c:v>
                </c:pt>
                <c:pt idx="26">
                  <c:v>-1.4410260105194726E-2</c:v>
                </c:pt>
                <c:pt idx="27">
                  <c:v>0.11548352276335078</c:v>
                </c:pt>
                <c:pt idx="28">
                  <c:v>8.7370481299106573E-2</c:v>
                </c:pt>
                <c:pt idx="29">
                  <c:v>0.16487733570777549</c:v>
                </c:pt>
                <c:pt idx="30">
                  <c:v>0.18233305228690899</c:v>
                </c:pt>
                <c:pt idx="31">
                  <c:v>1.4718902415907245E-2</c:v>
                </c:pt>
              </c:numCache>
            </c:numRef>
          </c:val>
          <c:extLst>
            <c:ext xmlns:c16="http://schemas.microsoft.com/office/drawing/2014/chart" uri="{C3380CC4-5D6E-409C-BE32-E72D297353CC}">
              <c16:uniqueId val="{00000007-6FA5-466A-A201-D4067BB917F6}"/>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1-SNÚ'!$AK$7</c:f>
              <c:strCache>
                <c:ptCount val="1"/>
                <c:pt idx="0">
                  <c:v>Total employment growth</c:v>
                </c:pt>
              </c:strCache>
            </c:strRef>
          </c:tx>
          <c:spPr>
            <a:ln w="19050">
              <a:solidFill>
                <a:schemeClr val="tx1">
                  <a:lumMod val="95000"/>
                  <a:lumOff val="5000"/>
                </a:schemeClr>
              </a:solid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1-SNÚ'!$AK$28:$AK$60</c:f>
              <c:numCache>
                <c:formatCode>#\ ##0.0</c:formatCode>
                <c:ptCount val="33"/>
                <c:pt idx="0">
                  <c:v>1.2324005594638692</c:v>
                </c:pt>
                <c:pt idx="1">
                  <c:v>1.7691026689786469</c:v>
                </c:pt>
                <c:pt idx="2">
                  <c:v>1.3881990570332476</c:v>
                </c:pt>
                <c:pt idx="3">
                  <c:v>1.3221597391901838</c:v>
                </c:pt>
                <c:pt idx="4">
                  <c:v>1.5277744613681534</c:v>
                </c:pt>
                <c:pt idx="5">
                  <c:v>1.4953160389154334</c:v>
                </c:pt>
                <c:pt idx="6">
                  <c:v>1.5235007666279472</c:v>
                </c:pt>
                <c:pt idx="7">
                  <c:v>1.811732014191108</c:v>
                </c:pt>
                <c:pt idx="8">
                  <c:v>1.4809790948155097</c:v>
                </c:pt>
                <c:pt idx="9">
                  <c:v>1.4428911088804739</c:v>
                </c:pt>
                <c:pt idx="10">
                  <c:v>1.953560797755415</c:v>
                </c:pt>
                <c:pt idx="11">
                  <c:v>1.3171196100007592</c:v>
                </c:pt>
                <c:pt idx="12">
                  <c:v>1.5928803023154643</c:v>
                </c:pt>
                <c:pt idx="13">
                  <c:v>1.7364292657787672</c:v>
                </c:pt>
                <c:pt idx="14">
                  <c:v>0.90722494365698481</c:v>
                </c:pt>
                <c:pt idx="15">
                  <c:v>1.1032023032555145</c:v>
                </c:pt>
                <c:pt idx="16">
                  <c:v>0.91287895437608313</c:v>
                </c:pt>
                <c:pt idx="17">
                  <c:v>0.29311041431022034</c:v>
                </c:pt>
                <c:pt idx="18">
                  <c:v>0.15084147837937678</c:v>
                </c:pt>
                <c:pt idx="19">
                  <c:v>-0.37554681241327614</c:v>
                </c:pt>
                <c:pt idx="20">
                  <c:v>-0.81274544831673268</c:v>
                </c:pt>
                <c:pt idx="21">
                  <c:v>-2.1642086747839784</c:v>
                </c:pt>
                <c:pt idx="22">
                  <c:v>-1.7738279104571149</c:v>
                </c:pt>
                <c:pt idx="23">
                  <c:v>-2.1121405116648759</c:v>
                </c:pt>
                <c:pt idx="24">
                  <c:v>-1.4473649589889845</c:v>
                </c:pt>
                <c:pt idx="25">
                  <c:v>0.42975045997124539</c:v>
                </c:pt>
                <c:pt idx="26">
                  <c:v>0.90037856954150186</c:v>
                </c:pt>
                <c:pt idx="27">
                  <c:v>1.6851410066852424</c:v>
                </c:pt>
                <c:pt idx="28">
                  <c:v>1.4700313796714539</c:v>
                </c:pt>
                <c:pt idx="29">
                  <c:v>2.3493572735149968</c:v>
                </c:pt>
                <c:pt idx="30">
                  <c:v>1.7747207728764351</c:v>
                </c:pt>
                <c:pt idx="31">
                  <c:v>1.3248313087408832</c:v>
                </c:pt>
              </c:numCache>
            </c:numRef>
          </c:val>
          <c:smooth val="0"/>
          <c:extLst>
            <c:ext xmlns:c16="http://schemas.microsoft.com/office/drawing/2014/chart" uri="{C3380CC4-5D6E-409C-BE32-E72D297353CC}">
              <c16:uniqueId val="{00000008-6FA5-466A-A201-D4067BB917F6}"/>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1-SNÚ'!$AL$7</c:f>
              <c:strCache>
                <c:ptCount val="1"/>
              </c:strCache>
            </c:strRef>
          </c:tx>
          <c:spPr>
            <a:ln>
              <a:noFill/>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1-SNÚ'!$AL$28:$AL$60</c:f>
              <c:numCache>
                <c:formatCode>General</c:formatCode>
                <c:ptCount val="33"/>
              </c:numCache>
            </c:numRef>
          </c:val>
          <c:smooth val="0"/>
          <c:extLst>
            <c:ext xmlns:c16="http://schemas.microsoft.com/office/drawing/2014/chart" uri="{C3380CC4-5D6E-409C-BE32-E72D297353CC}">
              <c16:uniqueId val="{00000009-6FA5-466A-A201-D4067BB917F6}"/>
            </c:ext>
          </c:extLst>
        </c:ser>
        <c:ser>
          <c:idx val="10"/>
          <c:order val="10"/>
          <c:tx>
            <c:strRef>
              <c:f>'Trh práce 1-SNÚ'!$AM$7</c:f>
              <c:strCache>
                <c:ptCount val="1"/>
                <c:pt idx="0">
                  <c:v>Employment expectations (industry)</c:v>
                </c:pt>
              </c:strCache>
            </c:strRef>
          </c:tx>
          <c:spPr>
            <a:ln w="15875">
              <a:solidFill>
                <a:schemeClr val="tx1">
                  <a:lumMod val="95000"/>
                  <a:lumOff val="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1-SNÚ'!$AM$28:$AM$60</c:f>
              <c:numCache>
                <c:formatCode>#\ ##0.0</c:formatCode>
                <c:ptCount val="33"/>
                <c:pt idx="0">
                  <c:v>-3</c:v>
                </c:pt>
                <c:pt idx="1">
                  <c:v>4.3</c:v>
                </c:pt>
                <c:pt idx="2">
                  <c:v>5.5</c:v>
                </c:pt>
                <c:pt idx="3">
                  <c:v>7.8</c:v>
                </c:pt>
                <c:pt idx="4">
                  <c:v>8.1999999999999993</c:v>
                </c:pt>
                <c:pt idx="5">
                  <c:v>9.9</c:v>
                </c:pt>
                <c:pt idx="6">
                  <c:v>3.8</c:v>
                </c:pt>
                <c:pt idx="7">
                  <c:v>9.5</c:v>
                </c:pt>
                <c:pt idx="8">
                  <c:v>11.1</c:v>
                </c:pt>
                <c:pt idx="9">
                  <c:v>5.7</c:v>
                </c:pt>
                <c:pt idx="10">
                  <c:v>8.1999999999999993</c:v>
                </c:pt>
                <c:pt idx="11">
                  <c:v>7.3</c:v>
                </c:pt>
                <c:pt idx="12">
                  <c:v>9.8000000000000007</c:v>
                </c:pt>
                <c:pt idx="13">
                  <c:v>9.4</c:v>
                </c:pt>
                <c:pt idx="14">
                  <c:v>6.2</c:v>
                </c:pt>
                <c:pt idx="15">
                  <c:v>6.3</c:v>
                </c:pt>
                <c:pt idx="16">
                  <c:v>2.5</c:v>
                </c:pt>
                <c:pt idx="17">
                  <c:v>2.6</c:v>
                </c:pt>
                <c:pt idx="18">
                  <c:v>0.5</c:v>
                </c:pt>
                <c:pt idx="19">
                  <c:v>-2.8</c:v>
                </c:pt>
                <c:pt idx="20">
                  <c:v>2.9</c:v>
                </c:pt>
                <c:pt idx="21">
                  <c:v>-19</c:v>
                </c:pt>
                <c:pt idx="22">
                  <c:v>-10.9</c:v>
                </c:pt>
                <c:pt idx="23">
                  <c:v>-3.5</c:v>
                </c:pt>
                <c:pt idx="24">
                  <c:v>4.4000000000000004</c:v>
                </c:pt>
                <c:pt idx="25">
                  <c:v>8.6</c:v>
                </c:pt>
                <c:pt idx="26">
                  <c:v>4.7</c:v>
                </c:pt>
                <c:pt idx="27">
                  <c:v>1.8</c:v>
                </c:pt>
                <c:pt idx="28">
                  <c:v>11.2</c:v>
                </c:pt>
                <c:pt idx="29">
                  <c:v>2.2999999999999998</c:v>
                </c:pt>
                <c:pt idx="30">
                  <c:v>2.1</c:v>
                </c:pt>
                <c:pt idx="31">
                  <c:v>-9.9</c:v>
                </c:pt>
                <c:pt idx="32">
                  <c:v>-13.6</c:v>
                </c:pt>
              </c:numCache>
            </c:numRef>
          </c:val>
          <c:smooth val="0"/>
          <c:extLst>
            <c:ext xmlns:c16="http://schemas.microsoft.com/office/drawing/2014/chart" uri="{C3380CC4-5D6E-409C-BE32-E72D297353CC}">
              <c16:uniqueId val="{0000000A-6FA5-466A-A201-D4067BB917F6}"/>
            </c:ext>
          </c:extLst>
        </c:ser>
        <c:ser>
          <c:idx val="11"/>
          <c:order val="11"/>
          <c:tx>
            <c:strRef>
              <c:f>'Trh práce 1-SNÚ'!$AN$7</c:f>
              <c:strCache>
                <c:ptCount val="1"/>
                <c:pt idx="0">
                  <c:v>Empl. expectations (construction)</c:v>
                </c:pt>
              </c:strCache>
            </c:strRef>
          </c:tx>
          <c:spPr>
            <a:ln w="15875">
              <a:solidFill>
                <a:srgbClr val="00B0F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1-SNÚ'!$AN$28:$AN$60</c:f>
              <c:numCache>
                <c:formatCode>#\ ##0.0</c:formatCode>
                <c:ptCount val="33"/>
                <c:pt idx="0">
                  <c:v>-4.2</c:v>
                </c:pt>
                <c:pt idx="1">
                  <c:v>7.4</c:v>
                </c:pt>
                <c:pt idx="2">
                  <c:v>1</c:v>
                </c:pt>
                <c:pt idx="3">
                  <c:v>-0.1</c:v>
                </c:pt>
                <c:pt idx="4">
                  <c:v>-3.5</c:v>
                </c:pt>
                <c:pt idx="5">
                  <c:v>-6.4</c:v>
                </c:pt>
                <c:pt idx="6">
                  <c:v>-4.7</c:v>
                </c:pt>
                <c:pt idx="7">
                  <c:v>-6.9</c:v>
                </c:pt>
                <c:pt idx="8">
                  <c:v>-7.5</c:v>
                </c:pt>
                <c:pt idx="9">
                  <c:v>-12.2</c:v>
                </c:pt>
                <c:pt idx="10">
                  <c:v>-6.2</c:v>
                </c:pt>
                <c:pt idx="11">
                  <c:v>-2.8</c:v>
                </c:pt>
                <c:pt idx="12">
                  <c:v>4.3</c:v>
                </c:pt>
                <c:pt idx="13">
                  <c:v>5.5</c:v>
                </c:pt>
                <c:pt idx="14">
                  <c:v>8.8000000000000007</c:v>
                </c:pt>
                <c:pt idx="15">
                  <c:v>9.6</c:v>
                </c:pt>
                <c:pt idx="16">
                  <c:v>6.4</c:v>
                </c:pt>
                <c:pt idx="17">
                  <c:v>9.6</c:v>
                </c:pt>
                <c:pt idx="18">
                  <c:v>3.8</c:v>
                </c:pt>
                <c:pt idx="19">
                  <c:v>10.7</c:v>
                </c:pt>
                <c:pt idx="20">
                  <c:v>5.7</c:v>
                </c:pt>
                <c:pt idx="21">
                  <c:v>-4.2</c:v>
                </c:pt>
                <c:pt idx="22">
                  <c:v>1.5</c:v>
                </c:pt>
                <c:pt idx="23">
                  <c:v>-1.5</c:v>
                </c:pt>
                <c:pt idx="24">
                  <c:v>3.6</c:v>
                </c:pt>
                <c:pt idx="25">
                  <c:v>4.0999999999999996</c:v>
                </c:pt>
                <c:pt idx="26">
                  <c:v>4.2</c:v>
                </c:pt>
                <c:pt idx="27">
                  <c:v>8.9</c:v>
                </c:pt>
                <c:pt idx="28">
                  <c:v>9.5</c:v>
                </c:pt>
                <c:pt idx="29">
                  <c:v>7.3</c:v>
                </c:pt>
                <c:pt idx="30">
                  <c:v>1.3</c:v>
                </c:pt>
                <c:pt idx="31">
                  <c:v>0.1</c:v>
                </c:pt>
                <c:pt idx="32">
                  <c:v>-11.3</c:v>
                </c:pt>
              </c:numCache>
            </c:numRef>
          </c:val>
          <c:smooth val="0"/>
          <c:extLst>
            <c:ext xmlns:c16="http://schemas.microsoft.com/office/drawing/2014/chart" uri="{C3380CC4-5D6E-409C-BE32-E72D297353CC}">
              <c16:uniqueId val="{0000000B-6FA5-466A-A201-D4067BB917F6}"/>
            </c:ext>
          </c:extLst>
        </c:ser>
        <c:ser>
          <c:idx val="12"/>
          <c:order val="12"/>
          <c:tx>
            <c:strRef>
              <c:f>'Trh práce 1-SNÚ'!$AO$7</c:f>
              <c:strCache>
                <c:ptCount val="1"/>
                <c:pt idx="0">
                  <c:v>Empl. expectations (trade)</c:v>
                </c:pt>
              </c:strCache>
            </c:strRef>
          </c:tx>
          <c:spPr>
            <a:ln w="15875">
              <a:solidFill>
                <a:schemeClr val="accent6">
                  <a:lumMod val="75000"/>
                </a:schemeClr>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1-SNÚ'!$AO$28:$AO$60</c:f>
              <c:numCache>
                <c:formatCode>#\ ##0.0</c:formatCode>
                <c:ptCount val="33"/>
                <c:pt idx="0">
                  <c:v>11.9</c:v>
                </c:pt>
                <c:pt idx="1">
                  <c:v>3.7</c:v>
                </c:pt>
                <c:pt idx="2">
                  <c:v>0.8</c:v>
                </c:pt>
                <c:pt idx="3">
                  <c:v>2.2999999999999998</c:v>
                </c:pt>
                <c:pt idx="4">
                  <c:v>14.8</c:v>
                </c:pt>
                <c:pt idx="5">
                  <c:v>18.2</c:v>
                </c:pt>
                <c:pt idx="6">
                  <c:v>18.7</c:v>
                </c:pt>
                <c:pt idx="7">
                  <c:v>21.4</c:v>
                </c:pt>
                <c:pt idx="8">
                  <c:v>14.5</c:v>
                </c:pt>
                <c:pt idx="9">
                  <c:v>17.100000000000001</c:v>
                </c:pt>
                <c:pt idx="10">
                  <c:v>18.8</c:v>
                </c:pt>
                <c:pt idx="11">
                  <c:v>15.3</c:v>
                </c:pt>
                <c:pt idx="12">
                  <c:v>29.9</c:v>
                </c:pt>
                <c:pt idx="13">
                  <c:v>32.5</c:v>
                </c:pt>
                <c:pt idx="14">
                  <c:v>27.1</c:v>
                </c:pt>
                <c:pt idx="15">
                  <c:v>15.3</c:v>
                </c:pt>
                <c:pt idx="16">
                  <c:v>11.9</c:v>
                </c:pt>
                <c:pt idx="17">
                  <c:v>15.9</c:v>
                </c:pt>
                <c:pt idx="18">
                  <c:v>13.7</c:v>
                </c:pt>
                <c:pt idx="19">
                  <c:v>13</c:v>
                </c:pt>
                <c:pt idx="20">
                  <c:v>11.4</c:v>
                </c:pt>
                <c:pt idx="21">
                  <c:v>-5.9</c:v>
                </c:pt>
                <c:pt idx="22">
                  <c:v>-3.5</c:v>
                </c:pt>
                <c:pt idx="23">
                  <c:v>0.7</c:v>
                </c:pt>
                <c:pt idx="24">
                  <c:v>5.6</c:v>
                </c:pt>
                <c:pt idx="25">
                  <c:v>13.2</c:v>
                </c:pt>
                <c:pt idx="26">
                  <c:v>10.7</c:v>
                </c:pt>
                <c:pt idx="27">
                  <c:v>8.3000000000000007</c:v>
                </c:pt>
                <c:pt idx="28">
                  <c:v>10.1</c:v>
                </c:pt>
                <c:pt idx="29">
                  <c:v>3.1</c:v>
                </c:pt>
                <c:pt idx="30">
                  <c:v>5.2</c:v>
                </c:pt>
                <c:pt idx="31">
                  <c:v>12.5</c:v>
                </c:pt>
                <c:pt idx="32">
                  <c:v>10.199999999999999</c:v>
                </c:pt>
              </c:numCache>
            </c:numRef>
          </c:val>
          <c:smooth val="0"/>
          <c:extLst>
            <c:ext xmlns:c16="http://schemas.microsoft.com/office/drawing/2014/chart" uri="{C3380CC4-5D6E-409C-BE32-E72D297353CC}">
              <c16:uniqueId val="{0000000C-6FA5-466A-A201-D4067BB917F6}"/>
            </c:ext>
          </c:extLst>
        </c:ser>
        <c:ser>
          <c:idx val="13"/>
          <c:order val="13"/>
          <c:tx>
            <c:strRef>
              <c:f>'Trh práce 1-SNÚ'!$AP$7</c:f>
              <c:strCache>
                <c:ptCount val="1"/>
                <c:pt idx="0">
                  <c:v>Empl. expectations (selected services)</c:v>
                </c:pt>
              </c:strCache>
            </c:strRef>
          </c:tx>
          <c:spPr>
            <a:ln w="15875">
              <a:solidFill>
                <a:srgbClr val="C00000"/>
              </a:solidFill>
              <a:prstDash val="sysDot"/>
            </a:ln>
          </c:spPr>
          <c:marker>
            <c:symbol val="none"/>
          </c:marker>
          <c:cat>
            <c:multiLvlStrRef>
              <c:f>'Trh práce 1-SNÚ'!$AA$28:$AB$60</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 1-SNÚ'!$AP$28:$AP$60</c:f>
              <c:numCache>
                <c:formatCode>#\ ##0.0</c:formatCode>
                <c:ptCount val="33"/>
                <c:pt idx="0">
                  <c:v>-16.2</c:v>
                </c:pt>
                <c:pt idx="1">
                  <c:v>-24.6</c:v>
                </c:pt>
                <c:pt idx="2">
                  <c:v>5.2</c:v>
                </c:pt>
                <c:pt idx="3">
                  <c:v>5.2</c:v>
                </c:pt>
                <c:pt idx="4">
                  <c:v>2.8</c:v>
                </c:pt>
                <c:pt idx="5">
                  <c:v>21.8</c:v>
                </c:pt>
                <c:pt idx="6">
                  <c:v>-4.8</c:v>
                </c:pt>
                <c:pt idx="7">
                  <c:v>7.9</c:v>
                </c:pt>
                <c:pt idx="8">
                  <c:v>11.1</c:v>
                </c:pt>
                <c:pt idx="9">
                  <c:v>11</c:v>
                </c:pt>
                <c:pt idx="10">
                  <c:v>19.7</c:v>
                </c:pt>
                <c:pt idx="11">
                  <c:v>3.1</c:v>
                </c:pt>
                <c:pt idx="12">
                  <c:v>15.7</c:v>
                </c:pt>
                <c:pt idx="13">
                  <c:v>10.5</c:v>
                </c:pt>
                <c:pt idx="14">
                  <c:v>9.5</c:v>
                </c:pt>
                <c:pt idx="15">
                  <c:v>-7.6</c:v>
                </c:pt>
                <c:pt idx="16">
                  <c:v>-6.5</c:v>
                </c:pt>
                <c:pt idx="17">
                  <c:v>-1.1000000000000001</c:v>
                </c:pt>
                <c:pt idx="18">
                  <c:v>-4.5999999999999996</c:v>
                </c:pt>
                <c:pt idx="19">
                  <c:v>-15.4</c:v>
                </c:pt>
                <c:pt idx="20">
                  <c:v>-20.5</c:v>
                </c:pt>
                <c:pt idx="21">
                  <c:v>-32.299999999999997</c:v>
                </c:pt>
                <c:pt idx="22">
                  <c:v>-28.6</c:v>
                </c:pt>
                <c:pt idx="23">
                  <c:v>-30.1</c:v>
                </c:pt>
                <c:pt idx="24">
                  <c:v>-27</c:v>
                </c:pt>
                <c:pt idx="25">
                  <c:v>-27.7</c:v>
                </c:pt>
                <c:pt idx="26">
                  <c:v>-12.1</c:v>
                </c:pt>
                <c:pt idx="27">
                  <c:v>-15.8</c:v>
                </c:pt>
                <c:pt idx="28">
                  <c:v>-6.8</c:v>
                </c:pt>
                <c:pt idx="29">
                  <c:v>-3.5</c:v>
                </c:pt>
                <c:pt idx="30">
                  <c:v>-6.1</c:v>
                </c:pt>
                <c:pt idx="31">
                  <c:v>-6.4</c:v>
                </c:pt>
                <c:pt idx="32">
                  <c:v>-10.7</c:v>
                </c:pt>
              </c:numCache>
            </c:numRef>
          </c:val>
          <c:smooth val="0"/>
          <c:extLst>
            <c:ext xmlns:c16="http://schemas.microsoft.com/office/drawing/2014/chart" uri="{C3380CC4-5D6E-409C-BE32-E72D297353CC}">
              <c16:uniqueId val="{0000000D-6FA5-466A-A201-D4067BB917F6}"/>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5"/>
          <c:min val="-4.5"/>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employment growth</a:t>
                </a:r>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00"/>
          <c:min val="-40"/>
        </c:scaling>
        <c:delete val="0"/>
        <c:axPos val="r"/>
        <c:title>
          <c:tx>
            <c:rich>
              <a:bodyPr/>
              <a:lstStyle/>
              <a:p>
                <a:pPr>
                  <a:defRPr sz="700" b="0" i="1"/>
                </a:pPr>
                <a:r>
                  <a:rPr lang="cs-CZ" sz="700" b="0" i="1"/>
                  <a:t>Employment expectations (in businesses)</a:t>
                </a:r>
              </a:p>
            </c:rich>
          </c:tx>
          <c:overlay val="0"/>
        </c:title>
        <c:numFmt formatCode="#,##0" sourceLinked="0"/>
        <c:majorTickMark val="out"/>
        <c:minorTickMark val="none"/>
        <c:tickLblPos val="nextTo"/>
        <c:crossAx val="332941824"/>
        <c:crosses val="max"/>
        <c:crossBetween val="between"/>
        <c:majorUnit val="1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7.303653606351831E-3"/>
          <c:y val="0.77992823117070742"/>
          <c:w val="0.98456316582992143"/>
          <c:h val="0.21194618315349945"/>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413005601973626"/>
        </c:manualLayout>
      </c:layout>
      <c:barChart>
        <c:barDir val="col"/>
        <c:grouping val="clustered"/>
        <c:varyColors val="0"/>
        <c:ser>
          <c:idx val="0"/>
          <c:order val="0"/>
          <c:tx>
            <c:strRef>
              <c:f>'Trh práce-2b'!$A$30</c:f>
              <c:strCache>
                <c:ptCount val="1"/>
                <c:pt idx="0">
                  <c:v>Male unemployment rate</c:v>
                </c:pt>
              </c:strCache>
            </c:strRef>
          </c:tx>
          <c:spPr>
            <a:solidFill>
              <a:srgbClr val="BCBCBC"/>
            </a:solidFill>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práce-2b'!$B$30:$AH$30</c:f>
              <c:numCache>
                <c:formatCode>0.0</c:formatCode>
                <c:ptCount val="33"/>
                <c:pt idx="0">
                  <c:v>5.018449855727825</c:v>
                </c:pt>
                <c:pt idx="1">
                  <c:v>4.3151435519817865</c:v>
                </c:pt>
                <c:pt idx="2">
                  <c:v>4.0653569827424283</c:v>
                </c:pt>
                <c:pt idx="3">
                  <c:v>3.7854260166193523</c:v>
                </c:pt>
                <c:pt idx="4">
                  <c:v>3.6474975169630262</c:v>
                </c:pt>
                <c:pt idx="5">
                  <c:v>3.5654830555353301</c:v>
                </c:pt>
                <c:pt idx="6">
                  <c:v>3.3989604167359637</c:v>
                </c:pt>
                <c:pt idx="7">
                  <c:v>3.1504941789659227</c:v>
                </c:pt>
                <c:pt idx="8">
                  <c:v>2.6905697458963438</c:v>
                </c:pt>
                <c:pt idx="9">
                  <c:v>2.4896599632821239</c:v>
                </c:pt>
                <c:pt idx="10">
                  <c:v>2.2551170095832918</c:v>
                </c:pt>
                <c:pt idx="11">
                  <c:v>2.0776134206978401</c:v>
                </c:pt>
                <c:pt idx="12">
                  <c:v>1.8918478975900792</c:v>
                </c:pt>
                <c:pt idx="13">
                  <c:v>1.8305349024755444</c:v>
                </c:pt>
                <c:pt idx="14">
                  <c:v>1.8940050899262619</c:v>
                </c:pt>
                <c:pt idx="15">
                  <c:v>1.6761905519941769</c:v>
                </c:pt>
                <c:pt idx="16">
                  <c:v>1.8002825463432963</c:v>
                </c:pt>
                <c:pt idx="17">
                  <c:v>1.6771476901478308</c:v>
                </c:pt>
                <c:pt idx="18">
                  <c:v>1.7720037672502047</c:v>
                </c:pt>
                <c:pt idx="19">
                  <c:v>1.8485018676570995</c:v>
                </c:pt>
                <c:pt idx="20">
                  <c:v>1.8397687048630029</c:v>
                </c:pt>
                <c:pt idx="21">
                  <c:v>2.2844542160880894</c:v>
                </c:pt>
                <c:pt idx="22">
                  <c:v>2.5189637649999312</c:v>
                </c:pt>
                <c:pt idx="23">
                  <c:v>2.5568056874518637</c:v>
                </c:pt>
                <c:pt idx="24">
                  <c:v>2.6511157781093431</c:v>
                </c:pt>
                <c:pt idx="25">
                  <c:v>2.5558537145751248</c:v>
                </c:pt>
                <c:pt idx="26">
                  <c:v>2.2901538060327766</c:v>
                </c:pt>
                <c:pt idx="27">
                  <c:v>1.9496167650763063</c:v>
                </c:pt>
                <c:pt idx="28">
                  <c:v>1.9720395538197195</c:v>
                </c:pt>
                <c:pt idx="29">
                  <c:v>1.8974171672263427</c:v>
                </c:pt>
                <c:pt idx="30">
                  <c:v>1.9138067672143422</c:v>
                </c:pt>
                <c:pt idx="31">
                  <c:v>2.0818370633895995</c:v>
                </c:pt>
              </c:numCache>
            </c:numRef>
          </c:val>
          <c:extLst>
            <c:ext xmlns:c16="http://schemas.microsoft.com/office/drawing/2014/chart" uri="{C3380CC4-5D6E-409C-BE32-E72D297353CC}">
              <c16:uniqueId val="{00000000-5C69-4D3C-A0A0-1C371541B4BE}"/>
            </c:ext>
          </c:extLst>
        </c:ser>
        <c:ser>
          <c:idx val="1"/>
          <c:order val="1"/>
          <c:tx>
            <c:strRef>
              <c:f>'Trh práce-2b'!$A$31</c:f>
              <c:strCache>
                <c:ptCount val="1"/>
                <c:pt idx="0">
                  <c:v>Female unemployment rate</c:v>
                </c:pt>
              </c:strCache>
            </c:strRef>
          </c:tx>
          <c:spPr>
            <a:solidFill>
              <a:schemeClr val="bg1">
                <a:lumMod val="95000"/>
              </a:schemeClr>
            </a:solidFill>
            <a:ln>
              <a:solidFill>
                <a:schemeClr val="bg1">
                  <a:lumMod val="65000"/>
                </a:schemeClr>
              </a:solidFill>
            </a:ln>
          </c:spPr>
          <c:invertIfNegative val="0"/>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práce-2b'!$B$31:$AH$31</c:f>
              <c:numCache>
                <c:formatCode>0.0</c:formatCode>
                <c:ptCount val="33"/>
                <c:pt idx="0">
                  <c:v>6.9222553285182284</c:v>
                </c:pt>
                <c:pt idx="1">
                  <c:v>6.1574734010641619</c:v>
                </c:pt>
                <c:pt idx="2">
                  <c:v>5.9782623258088377</c:v>
                </c:pt>
                <c:pt idx="3">
                  <c:v>5.6620152495567586</c:v>
                </c:pt>
                <c:pt idx="4">
                  <c:v>5.0673452085604369</c:v>
                </c:pt>
                <c:pt idx="5">
                  <c:v>4.8043887472568434</c:v>
                </c:pt>
                <c:pt idx="6">
                  <c:v>4.8106927452925108</c:v>
                </c:pt>
                <c:pt idx="7">
                  <c:v>4.3651406959211547</c:v>
                </c:pt>
                <c:pt idx="8">
                  <c:v>4.2662202987956901</c:v>
                </c:pt>
                <c:pt idx="9">
                  <c:v>3.895989609330353</c:v>
                </c:pt>
                <c:pt idx="10">
                  <c:v>3.4106288974811796</c:v>
                </c:pt>
                <c:pt idx="11">
                  <c:v>3.0248852601317608</c:v>
                </c:pt>
                <c:pt idx="12">
                  <c:v>2.937438095997102</c:v>
                </c:pt>
                <c:pt idx="13">
                  <c:v>2.8942131985459234</c:v>
                </c:pt>
                <c:pt idx="14">
                  <c:v>2.8595897081181061</c:v>
                </c:pt>
                <c:pt idx="15">
                  <c:v>2.6790615757528808</c:v>
                </c:pt>
                <c:pt idx="16">
                  <c:v>2.2422670386030705</c:v>
                </c:pt>
                <c:pt idx="17">
                  <c:v>2.4749436172794574</c:v>
                </c:pt>
                <c:pt idx="18">
                  <c:v>2.5674106554391818</c:v>
                </c:pt>
                <c:pt idx="19">
                  <c:v>2.4331319301010672</c:v>
                </c:pt>
                <c:pt idx="20">
                  <c:v>2.0406633937113834</c:v>
                </c:pt>
                <c:pt idx="21">
                  <c:v>2.8151720875870319</c:v>
                </c:pt>
                <c:pt idx="22">
                  <c:v>3.37211739582686</c:v>
                </c:pt>
                <c:pt idx="23">
                  <c:v>3.8941512714495925</c:v>
                </c:pt>
                <c:pt idx="24">
                  <c:v>4.1466133438217581</c:v>
                </c:pt>
                <c:pt idx="25">
                  <c:v>3.9108278351467125</c:v>
                </c:pt>
                <c:pt idx="26">
                  <c:v>3.2642331011371843</c:v>
                </c:pt>
                <c:pt idx="27">
                  <c:v>2.7320770364618543</c:v>
                </c:pt>
                <c:pt idx="28">
                  <c:v>2.9886729723100074</c:v>
                </c:pt>
                <c:pt idx="29">
                  <c:v>3.2165326130380656</c:v>
                </c:pt>
                <c:pt idx="30">
                  <c:v>2.9001874705692408</c:v>
                </c:pt>
                <c:pt idx="31">
                  <c:v>2.7940167262836417</c:v>
                </c:pt>
              </c:numCache>
            </c:numRef>
          </c:val>
          <c:extLst>
            <c:ext xmlns:c16="http://schemas.microsoft.com/office/drawing/2014/chart" uri="{C3380CC4-5D6E-409C-BE32-E72D297353CC}">
              <c16:uniqueId val="{00000001-5C69-4D3C-A0A0-1C371541B4BE}"/>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práce-2b'!$A$32</c:f>
              <c:strCache>
                <c:ptCount val="1"/>
                <c:pt idx="0">
                  <c:v>Rate of economic activity, males</c:v>
                </c:pt>
              </c:strCache>
            </c:strRef>
          </c:tx>
          <c:spPr>
            <a:ln w="19050">
              <a:solidFill>
                <a:srgbClr val="4FD1FF"/>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práce-2b'!$B$32:$AH$32</c:f>
              <c:numCache>
                <c:formatCode>0.0</c:formatCode>
                <c:ptCount val="33"/>
                <c:pt idx="0">
                  <c:v>81.413481997639423</c:v>
                </c:pt>
                <c:pt idx="1">
                  <c:v>81.419110594189576</c:v>
                </c:pt>
                <c:pt idx="2">
                  <c:v>81.349582359517356</c:v>
                </c:pt>
                <c:pt idx="3">
                  <c:v>81.513665177863871</c:v>
                </c:pt>
                <c:pt idx="4">
                  <c:v>81.95464671816957</c:v>
                </c:pt>
                <c:pt idx="5">
                  <c:v>82.083249820800901</c:v>
                </c:pt>
                <c:pt idx="6">
                  <c:v>82.176405797492166</c:v>
                </c:pt>
                <c:pt idx="7">
                  <c:v>82.467848071365168</c:v>
                </c:pt>
                <c:pt idx="8">
                  <c:v>82.727860041774349</c:v>
                </c:pt>
                <c:pt idx="9">
                  <c:v>82.857472384057985</c:v>
                </c:pt>
                <c:pt idx="10">
                  <c:v>83.019684737731765</c:v>
                </c:pt>
                <c:pt idx="11">
                  <c:v>83.176217916024044</c:v>
                </c:pt>
                <c:pt idx="12">
                  <c:v>83.366789147231756</c:v>
                </c:pt>
                <c:pt idx="13">
                  <c:v>83.41277761607445</c:v>
                </c:pt>
                <c:pt idx="14">
                  <c:v>83.22791826411914</c:v>
                </c:pt>
                <c:pt idx="15">
                  <c:v>83.429606669855332</c:v>
                </c:pt>
                <c:pt idx="16">
                  <c:v>83.682240247092324</c:v>
                </c:pt>
                <c:pt idx="17">
                  <c:v>83.455854890894599</c:v>
                </c:pt>
                <c:pt idx="18">
                  <c:v>83.299122325687904</c:v>
                </c:pt>
                <c:pt idx="19">
                  <c:v>83.581723193428729</c:v>
                </c:pt>
                <c:pt idx="20">
                  <c:v>83.439582450321765</c:v>
                </c:pt>
                <c:pt idx="21">
                  <c:v>83.067870438412925</c:v>
                </c:pt>
                <c:pt idx="22">
                  <c:v>83.403417829033472</c:v>
                </c:pt>
                <c:pt idx="23">
                  <c:v>83.153717731021928</c:v>
                </c:pt>
                <c:pt idx="24">
                  <c:v>82.990935835508196</c:v>
                </c:pt>
                <c:pt idx="25">
                  <c:v>83.019143570825904</c:v>
                </c:pt>
                <c:pt idx="26">
                  <c:v>83.358986296034871</c:v>
                </c:pt>
                <c:pt idx="27">
                  <c:v>83.646745052051983</c:v>
                </c:pt>
                <c:pt idx="28">
                  <c:v>83.752911933942713</c:v>
                </c:pt>
                <c:pt idx="29">
                  <c:v>83.77188977710199</c:v>
                </c:pt>
                <c:pt idx="30">
                  <c:v>83.585423870007347</c:v>
                </c:pt>
                <c:pt idx="31">
                  <c:v>83.347599287949279</c:v>
                </c:pt>
              </c:numCache>
            </c:numRef>
          </c:val>
          <c:smooth val="0"/>
          <c:extLst>
            <c:ext xmlns:c16="http://schemas.microsoft.com/office/drawing/2014/chart" uri="{C3380CC4-5D6E-409C-BE32-E72D297353CC}">
              <c16:uniqueId val="{00000002-5C69-4D3C-A0A0-1C371541B4BE}"/>
            </c:ext>
          </c:extLst>
        </c:ser>
        <c:ser>
          <c:idx val="3"/>
          <c:order val="3"/>
          <c:tx>
            <c:strRef>
              <c:f>'Trh práce-2b'!$A$33</c:f>
              <c:strCache>
                <c:ptCount val="1"/>
                <c:pt idx="0">
                  <c:v>Rate of economic activity, females</c:v>
                </c:pt>
              </c:strCache>
            </c:strRef>
          </c:tx>
          <c:spPr>
            <a:ln w="19050">
              <a:solidFill>
                <a:schemeClr val="accent2">
                  <a:lumMod val="60000"/>
                  <a:lumOff val="40000"/>
                </a:schemeClr>
              </a:solidFill>
              <a:prstDash val="solid"/>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práce-2b'!$B$33:$AH$33</c:f>
              <c:numCache>
                <c:formatCode>0.0</c:formatCode>
                <c:ptCount val="33"/>
                <c:pt idx="0">
                  <c:v>66.54252814007161</c:v>
                </c:pt>
                <c:pt idx="1">
                  <c:v>66.666431768491464</c:v>
                </c:pt>
                <c:pt idx="2">
                  <c:v>66.654792914968979</c:v>
                </c:pt>
                <c:pt idx="3">
                  <c:v>66.418889866464653</c:v>
                </c:pt>
                <c:pt idx="4">
                  <c:v>67.04627543928467</c:v>
                </c:pt>
                <c:pt idx="5">
                  <c:v>67.7106216149934</c:v>
                </c:pt>
                <c:pt idx="6">
                  <c:v>67.837768163348059</c:v>
                </c:pt>
                <c:pt idx="7">
                  <c:v>68.456265295297257</c:v>
                </c:pt>
                <c:pt idx="8">
                  <c:v>68.697468612411953</c:v>
                </c:pt>
                <c:pt idx="9">
                  <c:v>68.713756307271595</c:v>
                </c:pt>
                <c:pt idx="10">
                  <c:v>69.103189641889657</c:v>
                </c:pt>
                <c:pt idx="11">
                  <c:v>68.910813934937678</c:v>
                </c:pt>
                <c:pt idx="12">
                  <c:v>69.34051694184366</c:v>
                </c:pt>
                <c:pt idx="13">
                  <c:v>69.813848571477024</c:v>
                </c:pt>
                <c:pt idx="14">
                  <c:v>69.950002702371691</c:v>
                </c:pt>
                <c:pt idx="15">
                  <c:v>70.044975969350247</c:v>
                </c:pt>
                <c:pt idx="16">
                  <c:v>70.049718587143374</c:v>
                </c:pt>
                <c:pt idx="17">
                  <c:v>69.833313596022066</c:v>
                </c:pt>
                <c:pt idx="18">
                  <c:v>69.925958459528331</c:v>
                </c:pt>
                <c:pt idx="19">
                  <c:v>69.668015731742159</c:v>
                </c:pt>
                <c:pt idx="20">
                  <c:v>69.333922930053191</c:v>
                </c:pt>
                <c:pt idx="21">
                  <c:v>68.928487762383369</c:v>
                </c:pt>
                <c:pt idx="22">
                  <c:v>68.946784735681547</c:v>
                </c:pt>
                <c:pt idx="23">
                  <c:v>69.349546510975927</c:v>
                </c:pt>
                <c:pt idx="24">
                  <c:v>69.402776735529287</c:v>
                </c:pt>
                <c:pt idx="25">
                  <c:v>68.843817581364831</c:v>
                </c:pt>
                <c:pt idx="26">
                  <c:v>69.983896064987391</c:v>
                </c:pt>
                <c:pt idx="27">
                  <c:v>70.127127346898362</c:v>
                </c:pt>
                <c:pt idx="28">
                  <c:v>70.135331194241289</c:v>
                </c:pt>
                <c:pt idx="29">
                  <c:v>70.397950263800368</c:v>
                </c:pt>
                <c:pt idx="30">
                  <c:v>70.91598815813694</c:v>
                </c:pt>
                <c:pt idx="31">
                  <c:v>70.823612459758422</c:v>
                </c:pt>
              </c:numCache>
            </c:numRef>
          </c:val>
          <c:smooth val="0"/>
          <c:extLst>
            <c:ext xmlns:c16="http://schemas.microsoft.com/office/drawing/2014/chart" uri="{C3380CC4-5D6E-409C-BE32-E72D297353CC}">
              <c16:uniqueId val="{00000003-5C69-4D3C-A0A0-1C371541B4BE}"/>
            </c:ext>
          </c:extLst>
        </c:ser>
        <c:ser>
          <c:idx val="4"/>
          <c:order val="4"/>
          <c:tx>
            <c:strRef>
              <c:f>'Trh práce-2b'!$A$34</c:f>
              <c:strCache>
                <c:ptCount val="1"/>
                <c:pt idx="0">
                  <c:v>Economically inactive willing to work*</c:v>
                </c:pt>
              </c:strCache>
            </c:strRef>
          </c:tx>
          <c:spPr>
            <a:ln w="19050">
              <a:solidFill>
                <a:schemeClr val="bg2">
                  <a:lumMod val="50000"/>
                </a:schemeClr>
              </a:solidFill>
              <a:prstDash val="sys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práce-2b'!$B$34:$AH$34</c:f>
              <c:numCache>
                <c:formatCode>0.0</c:formatCode>
                <c:ptCount val="33"/>
                <c:pt idx="0">
                  <c:v>138.5</c:v>
                </c:pt>
                <c:pt idx="1">
                  <c:v>141.4</c:v>
                </c:pt>
                <c:pt idx="2">
                  <c:v>137.1</c:v>
                </c:pt>
                <c:pt idx="3">
                  <c:v>130.4</c:v>
                </c:pt>
                <c:pt idx="4">
                  <c:v>141</c:v>
                </c:pt>
                <c:pt idx="5">
                  <c:v>126.4</c:v>
                </c:pt>
                <c:pt idx="6">
                  <c:v>129.69999999999999</c:v>
                </c:pt>
                <c:pt idx="7">
                  <c:v>127.1</c:v>
                </c:pt>
                <c:pt idx="8">
                  <c:v>133.1</c:v>
                </c:pt>
                <c:pt idx="9">
                  <c:v>120.1</c:v>
                </c:pt>
                <c:pt idx="10">
                  <c:v>121.3</c:v>
                </c:pt>
                <c:pt idx="11">
                  <c:v>119.1</c:v>
                </c:pt>
                <c:pt idx="12">
                  <c:v>113.5</c:v>
                </c:pt>
                <c:pt idx="13">
                  <c:v>108.4</c:v>
                </c:pt>
                <c:pt idx="14">
                  <c:v>110.3</c:v>
                </c:pt>
                <c:pt idx="15">
                  <c:v>101.7</c:v>
                </c:pt>
                <c:pt idx="16">
                  <c:v>104.6</c:v>
                </c:pt>
                <c:pt idx="17">
                  <c:v>104.6</c:v>
                </c:pt>
                <c:pt idx="18">
                  <c:v>97.6</c:v>
                </c:pt>
                <c:pt idx="19">
                  <c:v>99.9</c:v>
                </c:pt>
                <c:pt idx="20">
                  <c:v>93.4</c:v>
                </c:pt>
                <c:pt idx="21">
                  <c:v>109.3</c:v>
                </c:pt>
                <c:pt idx="22">
                  <c:v>98.8</c:v>
                </c:pt>
                <c:pt idx="23">
                  <c:v>95.7</c:v>
                </c:pt>
                <c:pt idx="24">
                  <c:v>108</c:v>
                </c:pt>
                <c:pt idx="25">
                  <c:v>113.7</c:v>
                </c:pt>
                <c:pt idx="26">
                  <c:v>64.599999999999994</c:v>
                </c:pt>
                <c:pt idx="27">
                  <c:v>63.3</c:v>
                </c:pt>
                <c:pt idx="28">
                  <c:v>67</c:v>
                </c:pt>
                <c:pt idx="29">
                  <c:v>58.7</c:v>
                </c:pt>
                <c:pt idx="30">
                  <c:v>56.6</c:v>
                </c:pt>
                <c:pt idx="31">
                  <c:v>50</c:v>
                </c:pt>
              </c:numCache>
            </c:numRef>
          </c:val>
          <c:smooth val="0"/>
          <c:extLst>
            <c:ext xmlns:c16="http://schemas.microsoft.com/office/drawing/2014/chart" uri="{C3380CC4-5D6E-409C-BE32-E72D297353CC}">
              <c16:uniqueId val="{00000004-5C69-4D3C-A0A0-1C371541B4BE}"/>
            </c:ext>
          </c:extLst>
        </c:ser>
        <c:ser>
          <c:idx val="5"/>
          <c:order val="5"/>
          <c:tx>
            <c:strRef>
              <c:f>'Trh práce-2b'!$A$35</c:f>
              <c:strCache>
                <c:ptCount val="1"/>
                <c:pt idx="0">
                  <c:v>Unemployment expectations**</c:v>
                </c:pt>
              </c:strCache>
            </c:strRef>
          </c:tx>
          <c:spPr>
            <a:ln w="15875">
              <a:solidFill>
                <a:schemeClr val="accent6">
                  <a:lumMod val="75000"/>
                </a:schemeClr>
              </a:solidFill>
              <a:prstDash val="dash"/>
            </a:ln>
          </c:spPr>
          <c:marker>
            <c:symbol val="none"/>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práce-2b'!$B$35:$AH$35</c:f>
              <c:numCache>
                <c:formatCode>0.0</c:formatCode>
                <c:ptCount val="33"/>
                <c:pt idx="0">
                  <c:v>7.1643000000000052</c:v>
                </c:pt>
                <c:pt idx="1">
                  <c:v>7.285100000000007</c:v>
                </c:pt>
                <c:pt idx="2">
                  <c:v>12.284650000000003</c:v>
                </c:pt>
                <c:pt idx="3">
                  <c:v>4.916600000000007</c:v>
                </c:pt>
                <c:pt idx="4">
                  <c:v>1.0857999999999979</c:v>
                </c:pt>
                <c:pt idx="5">
                  <c:v>8.5</c:v>
                </c:pt>
                <c:pt idx="6">
                  <c:v>7.0434000000000001</c:v>
                </c:pt>
                <c:pt idx="7">
                  <c:v>3.6378000000000008</c:v>
                </c:pt>
                <c:pt idx="8">
                  <c:v>-1.5695999999999994</c:v>
                </c:pt>
                <c:pt idx="9">
                  <c:v>-4.08</c:v>
                </c:pt>
                <c:pt idx="10">
                  <c:v>3.47</c:v>
                </c:pt>
                <c:pt idx="11">
                  <c:v>-0.24125000000000119</c:v>
                </c:pt>
                <c:pt idx="12">
                  <c:v>-2.7831500000000031</c:v>
                </c:pt>
                <c:pt idx="13">
                  <c:v>-3.4120999999999997</c:v>
                </c:pt>
                <c:pt idx="14">
                  <c:v>1.7031000000000025</c:v>
                </c:pt>
                <c:pt idx="15">
                  <c:v>5.4753000000000016</c:v>
                </c:pt>
                <c:pt idx="16">
                  <c:v>6.049950000000007</c:v>
                </c:pt>
                <c:pt idx="17">
                  <c:v>6.7826500000000092</c:v>
                </c:pt>
                <c:pt idx="18">
                  <c:v>13.915050000000004</c:v>
                </c:pt>
                <c:pt idx="19">
                  <c:v>12.833350000000015</c:v>
                </c:pt>
                <c:pt idx="20">
                  <c:v>16.191749999999999</c:v>
                </c:pt>
                <c:pt idx="21">
                  <c:v>48.613783013874162</c:v>
                </c:pt>
                <c:pt idx="22">
                  <c:v>46.743935992335011</c:v>
                </c:pt>
                <c:pt idx="23">
                  <c:v>59.451661916404809</c:v>
                </c:pt>
                <c:pt idx="24">
                  <c:v>51.491542099717549</c:v>
                </c:pt>
                <c:pt idx="25">
                  <c:v>17.798405633777271</c:v>
                </c:pt>
                <c:pt idx="26">
                  <c:v>14.166188913138253</c:v>
                </c:pt>
                <c:pt idx="27">
                  <c:v>24.802588956528094</c:v>
                </c:pt>
                <c:pt idx="28">
                  <c:v>15.46</c:v>
                </c:pt>
                <c:pt idx="29">
                  <c:v>21.48</c:v>
                </c:pt>
                <c:pt idx="30">
                  <c:v>27.68</c:v>
                </c:pt>
                <c:pt idx="31">
                  <c:v>46.57</c:v>
                </c:pt>
                <c:pt idx="32">
                  <c:v>31.69</c:v>
                </c:pt>
              </c:numCache>
            </c:numRef>
          </c:val>
          <c:smooth val="0"/>
          <c:extLst>
            <c:ext xmlns:c16="http://schemas.microsoft.com/office/drawing/2014/chart" uri="{C3380CC4-5D6E-409C-BE32-E72D297353CC}">
              <c16:uniqueId val="{00000005-5C69-4D3C-A0A0-1C371541B4BE}"/>
            </c:ext>
          </c:extLst>
        </c:ser>
        <c:ser>
          <c:idx val="6"/>
          <c:order val="6"/>
          <c:tx>
            <c:strRef>
              <c:f>'Trh práce-2b'!$A$36</c:f>
              <c:strCache>
                <c:ptCount val="1"/>
                <c:pt idx="0">
                  <c:v>JV for people with lower education***</c:v>
                </c:pt>
              </c:strCache>
            </c:strRef>
          </c:tx>
          <c:spPr>
            <a:ln>
              <a:noFill/>
            </a:ln>
          </c:spPr>
          <c:marker>
            <c:symbol val="circle"/>
            <c:size val="4"/>
            <c:spPr>
              <a:solidFill>
                <a:srgbClr val="8EB149"/>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práce-2b'!$B$36:$AH$36</c:f>
              <c:numCache>
                <c:formatCode>0.0</c:formatCode>
                <c:ptCount val="33"/>
                <c:pt idx="0">
                  <c:v>31.7</c:v>
                </c:pt>
                <c:pt idx="1">
                  <c:v>39.700000000000003</c:v>
                </c:pt>
                <c:pt idx="2">
                  <c:v>44.4</c:v>
                </c:pt>
                <c:pt idx="3">
                  <c:v>41.2</c:v>
                </c:pt>
                <c:pt idx="4">
                  <c:v>45.3</c:v>
                </c:pt>
                <c:pt idx="5">
                  <c:v>51.4</c:v>
                </c:pt>
                <c:pt idx="6">
                  <c:v>52.8</c:v>
                </c:pt>
                <c:pt idx="7">
                  <c:v>47.2</c:v>
                </c:pt>
                <c:pt idx="8">
                  <c:v>51.5</c:v>
                </c:pt>
                <c:pt idx="9">
                  <c:v>59.1</c:v>
                </c:pt>
                <c:pt idx="10">
                  <c:v>63.1</c:v>
                </c:pt>
                <c:pt idx="11">
                  <c:v>60.9</c:v>
                </c:pt>
                <c:pt idx="12">
                  <c:v>65.3</c:v>
                </c:pt>
                <c:pt idx="13">
                  <c:v>73.3</c:v>
                </c:pt>
                <c:pt idx="14">
                  <c:v>74.2</c:v>
                </c:pt>
                <c:pt idx="15">
                  <c:v>70.400000000000006</c:v>
                </c:pt>
                <c:pt idx="16">
                  <c:v>70.2</c:v>
                </c:pt>
                <c:pt idx="17">
                  <c:v>68</c:v>
                </c:pt>
                <c:pt idx="18">
                  <c:v>65.8</c:v>
                </c:pt>
                <c:pt idx="19">
                  <c:v>59.1</c:v>
                </c:pt>
                <c:pt idx="20">
                  <c:v>57.7</c:v>
                </c:pt>
                <c:pt idx="21">
                  <c:v>54.3</c:v>
                </c:pt>
                <c:pt idx="22">
                  <c:v>49.1</c:v>
                </c:pt>
                <c:pt idx="23">
                  <c:v>46.6</c:v>
                </c:pt>
                <c:pt idx="24">
                  <c:v>47.9</c:v>
                </c:pt>
                <c:pt idx="25">
                  <c:v>53.9</c:v>
                </c:pt>
                <c:pt idx="26">
                  <c:v>55.5</c:v>
                </c:pt>
                <c:pt idx="27">
                  <c:v>48.9</c:v>
                </c:pt>
                <c:pt idx="28">
                  <c:v>53.7</c:v>
                </c:pt>
                <c:pt idx="29">
                  <c:v>51.3</c:v>
                </c:pt>
                <c:pt idx="30">
                  <c:v>48.2</c:v>
                </c:pt>
                <c:pt idx="31">
                  <c:v>43.887</c:v>
                </c:pt>
              </c:numCache>
            </c:numRef>
          </c:val>
          <c:smooth val="0"/>
          <c:extLst>
            <c:ext xmlns:c16="http://schemas.microsoft.com/office/drawing/2014/chart" uri="{C3380CC4-5D6E-409C-BE32-E72D297353CC}">
              <c16:uniqueId val="{00000006-5C69-4D3C-A0A0-1C371541B4BE}"/>
            </c:ext>
          </c:extLst>
        </c:ser>
        <c:ser>
          <c:idx val="7"/>
          <c:order val="7"/>
          <c:tx>
            <c:strRef>
              <c:f>'Trh práce-2b'!$A$37</c:f>
              <c:strCache>
                <c:ptCount val="1"/>
                <c:pt idx="0">
                  <c:v>JV for people with higher education***</c:v>
                </c:pt>
              </c:strCache>
            </c:strRef>
          </c:tx>
          <c:spPr>
            <a:ln>
              <a:noFill/>
            </a:ln>
          </c:spPr>
          <c:marker>
            <c:symbol val="diamond"/>
            <c:size val="5"/>
            <c:spPr>
              <a:solidFill>
                <a:srgbClr val="00B050"/>
              </a:solidFill>
              <a:ln>
                <a:noFill/>
              </a:ln>
            </c:spPr>
          </c:marker>
          <c:cat>
            <c:multiLvlStrRef>
              <c:f>'Trh práce-2b'!$B$28:$AH$29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'Trh práce-2b'!$B$37:$AH$37</c:f>
              <c:numCache>
                <c:formatCode>0.0</c:formatCode>
                <c:ptCount val="33"/>
                <c:pt idx="0">
                  <c:v>16.600000000000001</c:v>
                </c:pt>
                <c:pt idx="1">
                  <c:v>19.3</c:v>
                </c:pt>
                <c:pt idx="2">
                  <c:v>20</c:v>
                </c:pt>
                <c:pt idx="3">
                  <c:v>19.600000000000001</c:v>
                </c:pt>
                <c:pt idx="4">
                  <c:v>23.4</c:v>
                </c:pt>
                <c:pt idx="5">
                  <c:v>24.8</c:v>
                </c:pt>
                <c:pt idx="6">
                  <c:v>25.2</c:v>
                </c:pt>
                <c:pt idx="7">
                  <c:v>23.5</c:v>
                </c:pt>
                <c:pt idx="8">
                  <c:v>25.9</c:v>
                </c:pt>
                <c:pt idx="9">
                  <c:v>30.3</c:v>
                </c:pt>
                <c:pt idx="10">
                  <c:v>31.4</c:v>
                </c:pt>
                <c:pt idx="11">
                  <c:v>31.8</c:v>
                </c:pt>
                <c:pt idx="12">
                  <c:v>34.299999999999997</c:v>
                </c:pt>
                <c:pt idx="13">
                  <c:v>38</c:v>
                </c:pt>
                <c:pt idx="14">
                  <c:v>37.200000000000003</c:v>
                </c:pt>
                <c:pt idx="15">
                  <c:v>36.6</c:v>
                </c:pt>
                <c:pt idx="16">
                  <c:v>37.299999999999997</c:v>
                </c:pt>
                <c:pt idx="17">
                  <c:v>38.299999999999997</c:v>
                </c:pt>
                <c:pt idx="18">
                  <c:v>38.6</c:v>
                </c:pt>
                <c:pt idx="19">
                  <c:v>36.299999999999997</c:v>
                </c:pt>
                <c:pt idx="20">
                  <c:v>37.700000000000003</c:v>
                </c:pt>
                <c:pt idx="21">
                  <c:v>38.1</c:v>
                </c:pt>
                <c:pt idx="22">
                  <c:v>34.4</c:v>
                </c:pt>
                <c:pt idx="23">
                  <c:v>34.1</c:v>
                </c:pt>
                <c:pt idx="24">
                  <c:v>36.299999999999997</c:v>
                </c:pt>
                <c:pt idx="25">
                  <c:v>39.6</c:v>
                </c:pt>
                <c:pt idx="26">
                  <c:v>40.299999999999997</c:v>
                </c:pt>
                <c:pt idx="27">
                  <c:v>39.200000000000003</c:v>
                </c:pt>
                <c:pt idx="28">
                  <c:v>42.5</c:v>
                </c:pt>
                <c:pt idx="29">
                  <c:v>41</c:v>
                </c:pt>
                <c:pt idx="30">
                  <c:v>38.5</c:v>
                </c:pt>
                <c:pt idx="31">
                  <c:v>36.56</c:v>
                </c:pt>
              </c:numCache>
            </c:numRef>
          </c:val>
          <c:smooth val="0"/>
          <c:extLst>
            <c:ext xmlns:c16="http://schemas.microsoft.com/office/drawing/2014/chart" uri="{C3380CC4-5D6E-409C-BE32-E72D297353CC}">
              <c16:uniqueId val="{00000007-5C69-4D3C-A0A0-1C371541B4BE}"/>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Unemployment rate</a:t>
                </a:r>
              </a:p>
            </c:rich>
          </c:tx>
          <c:overlay val="0"/>
        </c:title>
        <c:numFmt formatCode="0.0" sourceLinked="0"/>
        <c:majorTickMark val="out"/>
        <c:minorTickMark val="none"/>
        <c:tickLblPos val="nextTo"/>
        <c:spPr>
          <a:ln>
            <a:solidFill>
              <a:schemeClr val="tx1"/>
            </a:solidFill>
          </a:ln>
        </c:spPr>
        <c:crossAx val="100654464"/>
        <c:crosses val="autoZero"/>
        <c:crossBetween val="between"/>
        <c:majorUnit val="0.5"/>
      </c:valAx>
      <c:valAx>
        <c:axId val="323971328"/>
        <c:scaling>
          <c:orientation val="minMax"/>
          <c:max val="142"/>
          <c:min val="-10"/>
        </c:scaling>
        <c:delete val="0"/>
        <c:axPos val="r"/>
        <c:title>
          <c:tx>
            <c:rich>
              <a:bodyPr/>
              <a:lstStyle/>
              <a:p>
                <a:pPr>
                  <a:defRPr sz="700" b="0" i="1"/>
                </a:pPr>
                <a:r>
                  <a:rPr lang="cs-CZ" sz="700" b="0" i="1"/>
                  <a:t>Ec. activity rate, Ec. inactive, Unemployment expectations, Jobs</a:t>
                </a:r>
              </a:p>
            </c:rich>
          </c:tx>
          <c:overlay val="0"/>
        </c:title>
        <c:numFmt formatCode="#,##0" sourceLinked="0"/>
        <c:majorTickMark val="out"/>
        <c:minorTickMark val="none"/>
        <c:tickLblPos val="nextTo"/>
        <c:crossAx val="331670576"/>
        <c:crosses val="max"/>
        <c:crossBetween val="between"/>
        <c:majorUnit val="1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7.7707750087519942E-2"/>
          <c:y val="0.85621702146200651"/>
          <c:w val="0.87725909810586777"/>
          <c:h val="0.13327617558991148"/>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11162452186132E-2"/>
          <c:y val="2.0203894786331125E-2"/>
          <c:w val="0.94100987714831696"/>
          <c:h val="0.80794462874881756"/>
        </c:manualLayout>
      </c:layout>
      <c:barChart>
        <c:barDir val="col"/>
        <c:grouping val="clustered"/>
        <c:varyColors val="0"/>
        <c:ser>
          <c:idx val="4"/>
          <c:order val="1"/>
          <c:tx>
            <c:strRef>
              <c:f>'Trh práce 3'!$D$65</c:f>
              <c:strCache>
                <c:ptCount val="1"/>
                <c:pt idx="0">
                  <c:v>Total wage (real growth)</c:v>
                </c:pt>
              </c:strCache>
            </c:strRef>
          </c:tx>
          <c:spPr>
            <a:solidFill>
              <a:srgbClr val="DBDBDB"/>
            </a:solidFill>
            <a:ln w="19050">
              <a:noFill/>
            </a:ln>
          </c:spPr>
          <c:invertIfNegative val="0"/>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3'!$D$66:$D$83</c:f>
              <c:numCache>
                <c:formatCode>#\ ##0.0</c:formatCode>
                <c:ptCount val="18"/>
                <c:pt idx="0">
                  <c:v>3</c:v>
                </c:pt>
                <c:pt idx="1">
                  <c:v>4</c:v>
                </c:pt>
                <c:pt idx="2">
                  <c:v>4.2999999999999972</c:v>
                </c:pt>
                <c:pt idx="3">
                  <c:v>1.4000000000000057</c:v>
                </c:pt>
                <c:pt idx="4">
                  <c:v>2.2999999999999972</c:v>
                </c:pt>
                <c:pt idx="5">
                  <c:v>0.70000000000000284</c:v>
                </c:pt>
                <c:pt idx="6">
                  <c:v>0.59999999999999432</c:v>
                </c:pt>
                <c:pt idx="7">
                  <c:v>-0.79999999999999716</c:v>
                </c:pt>
                <c:pt idx="8">
                  <c:v>-1.5</c:v>
                </c:pt>
                <c:pt idx="9">
                  <c:v>2.5</c:v>
                </c:pt>
                <c:pt idx="10">
                  <c:v>2.9000000000000057</c:v>
                </c:pt>
                <c:pt idx="11">
                  <c:v>3.7000000000000028</c:v>
                </c:pt>
                <c:pt idx="12">
                  <c:v>4.2000000000000028</c:v>
                </c:pt>
                <c:pt idx="13">
                  <c:v>5.9000000000000057</c:v>
                </c:pt>
                <c:pt idx="14">
                  <c:v>5</c:v>
                </c:pt>
                <c:pt idx="15">
                  <c:v>1.4000000000000057</c:v>
                </c:pt>
                <c:pt idx="16">
                  <c:v>1</c:v>
                </c:pt>
                <c:pt idx="17">
                  <c:v>-7.5</c:v>
                </c:pt>
              </c:numCache>
            </c:numRef>
          </c:val>
          <c:extLst>
            <c:ext xmlns:c16="http://schemas.microsoft.com/office/drawing/2014/chart" uri="{C3380CC4-5D6E-409C-BE32-E72D297353CC}">
              <c16:uniqueId val="{00000000-300C-44B9-81AE-DB94D0F65606}"/>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3'!$C$65</c:f>
              <c:strCache>
                <c:ptCount val="1"/>
                <c:pt idx="0">
                  <c:v>Total wage (nominal growth)</c:v>
                </c:pt>
              </c:strCache>
            </c:strRef>
          </c:tx>
          <c:spPr>
            <a:ln w="19050">
              <a:solidFill>
                <a:schemeClr val="tx1">
                  <a:lumMod val="95000"/>
                  <a:lumOff val="5000"/>
                </a:schemeClr>
              </a:solidFill>
              <a:prstDash val="sysDash"/>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3'!$C$66:$C$83</c:f>
              <c:numCache>
                <c:formatCode>General</c:formatCode>
                <c:ptCount val="18"/>
                <c:pt idx="0" formatCode="0.0">
                  <c:v>5</c:v>
                </c:pt>
                <c:pt idx="1">
                  <c:v>6.5999999999999943</c:v>
                </c:pt>
                <c:pt idx="2">
                  <c:v>7.2000000000000028</c:v>
                </c:pt>
                <c:pt idx="3">
                  <c:v>7.7999999999999972</c:v>
                </c:pt>
                <c:pt idx="4" formatCode="#\ ##0.0">
                  <c:v>3.2999999999999972</c:v>
                </c:pt>
                <c:pt idx="5" formatCode="#\ ##0.0">
                  <c:v>2.2000000000000028</c:v>
                </c:pt>
                <c:pt idx="6" formatCode="#\ ##0.0">
                  <c:v>2.5</c:v>
                </c:pt>
                <c:pt idx="7" formatCode="#\ ##0.0">
                  <c:v>2.5</c:v>
                </c:pt>
                <c:pt idx="8" formatCode="#\ ##0.0">
                  <c:v>-9.9999999999994316E-2</c:v>
                </c:pt>
                <c:pt idx="9" formatCode="#\ ##0.0">
                  <c:v>2.9000000000000057</c:v>
                </c:pt>
                <c:pt idx="10" formatCode="#\ ##0.0">
                  <c:v>3.2000000000000028</c:v>
                </c:pt>
                <c:pt idx="11" formatCode="#\ ##0.0">
                  <c:v>4.4000000000000057</c:v>
                </c:pt>
                <c:pt idx="12" formatCode="#\ ##0.0">
                  <c:v>6.7999999999999972</c:v>
                </c:pt>
                <c:pt idx="13" formatCode="#\ ##0.0">
                  <c:v>8.0999999999999943</c:v>
                </c:pt>
                <c:pt idx="14" formatCode="#\ ##0.0">
                  <c:v>7.9000000000000057</c:v>
                </c:pt>
                <c:pt idx="15" formatCode="#\ ##0.0">
                  <c:v>4.5999999999999943</c:v>
                </c:pt>
                <c:pt idx="16" formatCode="#\ ##0.0">
                  <c:v>4.7999999999999972</c:v>
                </c:pt>
                <c:pt idx="17" formatCode="#\ ##0.0">
                  <c:v>6.5</c:v>
                </c:pt>
              </c:numCache>
            </c:numRef>
          </c:val>
          <c:smooth val="0"/>
          <c:extLst>
            <c:ext xmlns:c16="http://schemas.microsoft.com/office/drawing/2014/chart" uri="{C3380CC4-5D6E-409C-BE32-E72D297353CC}">
              <c16:uniqueId val="{00000001-300C-44B9-81AE-DB94D0F65606}"/>
            </c:ext>
          </c:extLst>
        </c:ser>
        <c:ser>
          <c:idx val="5"/>
          <c:order val="2"/>
          <c:tx>
            <c:strRef>
              <c:f>'Trh práce 3'!$E$65</c:f>
              <c:strCache>
                <c:ptCount val="1"/>
                <c:pt idx="0">
                  <c:v>Wage in industry (nominal growth)</c:v>
                </c:pt>
              </c:strCache>
            </c:strRef>
          </c:tx>
          <c:spPr>
            <a:ln w="9525">
              <a:solidFill>
                <a:srgbClr val="C0000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3'!$E$66:$E$83</c:f>
              <c:numCache>
                <c:formatCode>0.0</c:formatCode>
                <c:ptCount val="18"/>
                <c:pt idx="0">
                  <c:v>4.7940779037659382</c:v>
                </c:pt>
                <c:pt idx="1">
                  <c:v>6.3912092840724455</c:v>
                </c:pt>
                <c:pt idx="2">
                  <c:v>7.0295621014912797</c:v>
                </c:pt>
                <c:pt idx="3">
                  <c:v>8.8966569839003427</c:v>
                </c:pt>
                <c:pt idx="4">
                  <c:v>2.2922506555746338</c:v>
                </c:pt>
                <c:pt idx="5">
                  <c:v>4.4817679558011037</c:v>
                </c:pt>
                <c:pt idx="6">
                  <c:v>3.1854139345996089</c:v>
                </c:pt>
                <c:pt idx="7">
                  <c:v>3.0337815677271323</c:v>
                </c:pt>
                <c:pt idx="8">
                  <c:v>0.81171414929173125</c:v>
                </c:pt>
                <c:pt idx="9">
                  <c:v>3.3154404799494728</c:v>
                </c:pt>
                <c:pt idx="10">
                  <c:v>2.6016198044009684</c:v>
                </c:pt>
                <c:pt idx="11">
                  <c:v>4.2558737014558545</c:v>
                </c:pt>
                <c:pt idx="12">
                  <c:v>6.8214285714285836</c:v>
                </c:pt>
                <c:pt idx="13">
                  <c:v>7.7465730524908025</c:v>
                </c:pt>
                <c:pt idx="14">
                  <c:v>6.6310857355633459</c:v>
                </c:pt>
                <c:pt idx="15">
                  <c:v>2.0282854149691616</c:v>
                </c:pt>
                <c:pt idx="16">
                  <c:v>4.1128319215082172</c:v>
                </c:pt>
                <c:pt idx="17">
                  <c:v>8.007561022381708</c:v>
                </c:pt>
              </c:numCache>
            </c:numRef>
          </c:val>
          <c:smooth val="0"/>
          <c:extLst>
            <c:ext xmlns:c16="http://schemas.microsoft.com/office/drawing/2014/chart" uri="{C3380CC4-5D6E-409C-BE32-E72D297353CC}">
              <c16:uniqueId val="{00000002-300C-44B9-81AE-DB94D0F65606}"/>
            </c:ext>
          </c:extLst>
        </c:ser>
        <c:ser>
          <c:idx val="1"/>
          <c:order val="3"/>
          <c:tx>
            <c:strRef>
              <c:f>'Trh práce 3'!$F$65</c:f>
              <c:strCache>
                <c:ptCount val="1"/>
                <c:pt idx="0">
                  <c:v>Wage in trade (nominal growth)</c:v>
                </c:pt>
              </c:strCache>
            </c:strRef>
          </c:tx>
          <c:spPr>
            <a:ln w="9525">
              <a:solidFill>
                <a:srgbClr val="0070C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3'!$F$66:$F$83</c:f>
              <c:numCache>
                <c:formatCode>0.0</c:formatCode>
                <c:ptCount val="18"/>
                <c:pt idx="0">
                  <c:v>4.6374677953625394</c:v>
                </c:pt>
                <c:pt idx="1">
                  <c:v>6.9175753312228778</c:v>
                </c:pt>
                <c:pt idx="2">
                  <c:v>8.6796797894505886</c:v>
                </c:pt>
                <c:pt idx="3">
                  <c:v>7.6686342767771549</c:v>
                </c:pt>
                <c:pt idx="4">
                  <c:v>7.9658872592673902E-2</c:v>
                </c:pt>
                <c:pt idx="5">
                  <c:v>3.193182882292362</c:v>
                </c:pt>
                <c:pt idx="6">
                  <c:v>3.5117967332123357</c:v>
                </c:pt>
                <c:pt idx="7">
                  <c:v>2.25738581572719</c:v>
                </c:pt>
                <c:pt idx="8">
                  <c:v>-0.84015602897680708</c:v>
                </c:pt>
                <c:pt idx="9">
                  <c:v>3.3156097350105966</c:v>
                </c:pt>
                <c:pt idx="10">
                  <c:v>4.2301255230125605</c:v>
                </c:pt>
                <c:pt idx="11">
                  <c:v>4.7609489783629613</c:v>
                </c:pt>
                <c:pt idx="12">
                  <c:v>7.4453002260796382</c:v>
                </c:pt>
                <c:pt idx="13">
                  <c:v>6.9400855920113997</c:v>
                </c:pt>
                <c:pt idx="14">
                  <c:v>7.7869672513839703</c:v>
                </c:pt>
                <c:pt idx="15">
                  <c:v>3.5920918288419301</c:v>
                </c:pt>
                <c:pt idx="16">
                  <c:v>3.5212950241920993</c:v>
                </c:pt>
                <c:pt idx="17">
                  <c:v>8.4071434753757899</c:v>
                </c:pt>
              </c:numCache>
            </c:numRef>
          </c:val>
          <c:smooth val="0"/>
          <c:extLst>
            <c:ext xmlns:c16="http://schemas.microsoft.com/office/drawing/2014/chart" uri="{C3380CC4-5D6E-409C-BE32-E72D297353CC}">
              <c16:uniqueId val="{00000003-300C-44B9-81AE-DB94D0F65606}"/>
            </c:ext>
          </c:extLst>
        </c:ser>
        <c:ser>
          <c:idx val="2"/>
          <c:order val="4"/>
          <c:tx>
            <c:strRef>
              <c:f>'Trh práce 3'!$G$65</c:f>
              <c:strCache>
                <c:ptCount val="1"/>
                <c:pt idx="0">
                  <c:v>Wage in public services (nominal growth)*</c:v>
                </c:pt>
              </c:strCache>
            </c:strRef>
          </c:tx>
          <c:spPr>
            <a:ln w="9525">
              <a:solidFill>
                <a:srgbClr val="00B050"/>
              </a:solidFill>
              <a:prstDash val="solid"/>
            </a:ln>
          </c:spPr>
          <c:marker>
            <c:symbol val="none"/>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3'!$G$66:$G$83</c:f>
              <c:numCache>
                <c:formatCode>0.0</c:formatCode>
                <c:ptCount val="18"/>
                <c:pt idx="0">
                  <c:v>5.7448429075864311</c:v>
                </c:pt>
                <c:pt idx="1">
                  <c:v>6.2139886096904462</c:v>
                </c:pt>
                <c:pt idx="2">
                  <c:v>6.5213266053676193</c:v>
                </c:pt>
                <c:pt idx="3">
                  <c:v>4.5033471199856336</c:v>
                </c:pt>
                <c:pt idx="4">
                  <c:v>5.6068124661603491</c:v>
                </c:pt>
                <c:pt idx="5">
                  <c:v>9.2548488337286017E-2</c:v>
                </c:pt>
                <c:pt idx="6">
                  <c:v>1.3745128342853405</c:v>
                </c:pt>
                <c:pt idx="7">
                  <c:v>1.9623700739873584</c:v>
                </c:pt>
                <c:pt idx="8">
                  <c:v>0.61373585270925446</c:v>
                </c:pt>
                <c:pt idx="9">
                  <c:v>2.5772633649077363</c:v>
                </c:pt>
                <c:pt idx="10">
                  <c:v>3.7559457553514335</c:v>
                </c:pt>
                <c:pt idx="11">
                  <c:v>4.9014309200953221</c:v>
                </c:pt>
                <c:pt idx="12">
                  <c:v>7.9550010446935602</c:v>
                </c:pt>
                <c:pt idx="13">
                  <c:v>10.160948468455345</c:v>
                </c:pt>
                <c:pt idx="14">
                  <c:v>9.5948437653510865</c:v>
                </c:pt>
                <c:pt idx="15">
                  <c:v>8.4588710877466298</c:v>
                </c:pt>
                <c:pt idx="16">
                  <c:v>5.894506020291729</c:v>
                </c:pt>
                <c:pt idx="17">
                  <c:v>0.49511194805045022</c:v>
                </c:pt>
              </c:numCache>
            </c:numRef>
          </c:val>
          <c:smooth val="0"/>
          <c:extLst>
            <c:ext xmlns:c16="http://schemas.microsoft.com/office/drawing/2014/chart" uri="{C3380CC4-5D6E-409C-BE32-E72D297353CC}">
              <c16:uniqueId val="{00000004-300C-44B9-81AE-DB94D0F65606}"/>
            </c:ext>
          </c:extLst>
        </c:ser>
        <c:ser>
          <c:idx val="3"/>
          <c:order val="5"/>
          <c:tx>
            <c:strRef>
              <c:f>'Trh práce 3'!$H$65</c:f>
              <c:strCache>
                <c:ptCount val="1"/>
                <c:pt idx="0">
                  <c:v>Labour productivity in NE (real)**</c:v>
                </c:pt>
              </c:strCache>
            </c:strRef>
          </c:tx>
          <c:spPr>
            <a:ln w="19050">
              <a:noFill/>
            </a:ln>
          </c:spPr>
          <c:marker>
            <c:symbol val="circle"/>
            <c:size val="5"/>
            <c:spPr>
              <a:solidFill>
                <a:srgbClr val="FFFF00"/>
              </a:solidFill>
              <a:ln w="6350">
                <a:solidFill>
                  <a:schemeClr val="bg1">
                    <a:lumMod val="50000"/>
                  </a:schemeClr>
                </a:solidFill>
              </a:ln>
            </c:spPr>
          </c:marker>
          <c:cat>
            <c:numRef>
              <c:f>'Trh práce 3'!$B$66:$B$83</c:f>
              <c:numCache>
                <c:formatCode>General</c:formatCode>
                <c:ptCount val="18"/>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pt idx="15">
                  <c:v>2020</c:v>
                </c:pt>
                <c:pt idx="16">
                  <c:v>2021</c:v>
                </c:pt>
                <c:pt idx="17">
                  <c:v>2022</c:v>
                </c:pt>
              </c:numCache>
            </c:numRef>
          </c:cat>
          <c:val>
            <c:numRef>
              <c:f>'Trh práce 3'!$H$66:$H$83</c:f>
              <c:numCache>
                <c:formatCode>0.0</c:formatCode>
                <c:ptCount val="18"/>
                <c:pt idx="0">
                  <c:v>4.8184392486091383</c:v>
                </c:pt>
                <c:pt idx="1">
                  <c:v>6.0283887468309842</c:v>
                </c:pt>
                <c:pt idx="2">
                  <c:v>3.1203468878058942</c:v>
                </c:pt>
                <c:pt idx="3">
                  <c:v>1.1960060577281411</c:v>
                </c:pt>
                <c:pt idx="4">
                  <c:v>-3.3926648626845264</c:v>
                </c:pt>
                <c:pt idx="5">
                  <c:v>3.9244043600750871</c:v>
                </c:pt>
                <c:pt idx="6">
                  <c:v>2.0324802370246857</c:v>
                </c:pt>
                <c:pt idx="7">
                  <c:v>-1.1785053132423684</c:v>
                </c:pt>
                <c:pt idx="8">
                  <c:v>-0.3318870555178961</c:v>
                </c:pt>
                <c:pt idx="9">
                  <c:v>2.2922851854517035</c:v>
                </c:pt>
                <c:pt idx="10">
                  <c:v>3.42348826939795</c:v>
                </c:pt>
                <c:pt idx="11">
                  <c:v>0.80058075383486482</c:v>
                </c:pt>
                <c:pt idx="12">
                  <c:v>3.7890043117499772</c:v>
                </c:pt>
                <c:pt idx="13">
                  <c:v>2.0329992649659374</c:v>
                </c:pt>
                <c:pt idx="14">
                  <c:v>2.6850552456238574</c:v>
                </c:pt>
                <c:pt idx="15">
                  <c:v>-3.6283055899581313</c:v>
                </c:pt>
                <c:pt idx="16">
                  <c:v>2.9638733267345856</c:v>
                </c:pt>
                <c:pt idx="17">
                  <c:v>0.72609942307819608</c:v>
                </c:pt>
              </c:numCache>
            </c:numRef>
          </c:val>
          <c:smooth val="0"/>
          <c:extLst>
            <c:ext xmlns:c16="http://schemas.microsoft.com/office/drawing/2014/chart" uri="{C3380CC4-5D6E-409C-BE32-E72D297353CC}">
              <c16:uniqueId val="{00000005-300C-44B9-81AE-DB94D0F65606}"/>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1"/>
          <c:min val="-8"/>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9.1291858669558714E-3"/>
          <c:y val="0.87578213890776335"/>
          <c:w val="0.9774444484255399"/>
          <c:h val="0.11341860186258444"/>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557159743329959E-2"/>
          <c:y val="2.1711264016309892E-2"/>
          <c:w val="0.93757303275920301"/>
          <c:h val="0.73130361364404473"/>
        </c:manualLayout>
      </c:layout>
      <c:barChart>
        <c:barDir val="col"/>
        <c:grouping val="clustered"/>
        <c:varyColors val="0"/>
        <c:ser>
          <c:idx val="0"/>
          <c:order val="0"/>
          <c:tx>
            <c:strRef>
              <c:f>'Měnové podmínky 1'!$C$5</c:f>
              <c:strCache>
                <c:ptCount val="1"/>
                <c:pt idx="0">
                  <c:v>2W repo rate</c:v>
                </c:pt>
              </c:strCache>
            </c:strRef>
          </c:tx>
          <c:spPr>
            <a:solidFill>
              <a:schemeClr val="bg1">
                <a:lumMod val="65000"/>
              </a:schemeClr>
            </a:solidFill>
          </c:spPr>
          <c:invertIfNegative val="0"/>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1'!$C$66:$C$137</c:f>
              <c:numCache>
                <c:formatCode>General</c:formatCode>
                <c:ptCount val="72"/>
                <c:pt idx="0">
                  <c:v>0.05</c:v>
                </c:pt>
                <c:pt idx="1">
                  <c:v>0.05</c:v>
                </c:pt>
                <c:pt idx="2">
                  <c:v>0.05</c:v>
                </c:pt>
                <c:pt idx="3">
                  <c:v>0.05</c:v>
                </c:pt>
                <c:pt idx="4">
                  <c:v>0.05</c:v>
                </c:pt>
                <c:pt idx="5">
                  <c:v>0.05</c:v>
                </c:pt>
                <c:pt idx="6">
                  <c:v>0.05</c:v>
                </c:pt>
                <c:pt idx="7">
                  <c:v>0.25</c:v>
                </c:pt>
                <c:pt idx="8">
                  <c:v>0.25</c:v>
                </c:pt>
                <c:pt idx="9">
                  <c:v>0.25</c:v>
                </c:pt>
                <c:pt idx="10">
                  <c:v>0.5</c:v>
                </c:pt>
                <c:pt idx="11">
                  <c:v>0.5</c:v>
                </c:pt>
                <c:pt idx="12">
                  <c:v>0.5</c:v>
                </c:pt>
                <c:pt idx="13">
                  <c:v>0.75</c:v>
                </c:pt>
                <c:pt idx="14">
                  <c:v>0.75</c:v>
                </c:pt>
                <c:pt idx="15">
                  <c:v>0.75</c:v>
                </c:pt>
                <c:pt idx="16">
                  <c:v>0.75</c:v>
                </c:pt>
                <c:pt idx="17">
                  <c:v>1</c:v>
                </c:pt>
                <c:pt idx="18">
                  <c:v>1</c:v>
                </c:pt>
                <c:pt idx="19">
                  <c:v>1.25</c:v>
                </c:pt>
                <c:pt idx="20">
                  <c:v>1.5</c:v>
                </c:pt>
                <c:pt idx="21">
                  <c:v>1.5</c:v>
                </c:pt>
                <c:pt idx="22">
                  <c:v>1.75</c:v>
                </c:pt>
                <c:pt idx="23">
                  <c:v>1.75</c:v>
                </c:pt>
                <c:pt idx="24">
                  <c:v>1.75</c:v>
                </c:pt>
                <c:pt idx="25">
                  <c:v>1.75</c:v>
                </c:pt>
                <c:pt idx="26">
                  <c:v>1.75</c:v>
                </c:pt>
                <c:pt idx="27">
                  <c:v>1.75</c:v>
                </c:pt>
                <c:pt idx="28">
                  <c:v>2</c:v>
                </c:pt>
                <c:pt idx="29">
                  <c:v>2</c:v>
                </c:pt>
                <c:pt idx="30">
                  <c:v>2</c:v>
                </c:pt>
                <c:pt idx="31">
                  <c:v>2</c:v>
                </c:pt>
                <c:pt idx="32">
                  <c:v>2</c:v>
                </c:pt>
                <c:pt idx="33">
                  <c:v>2</c:v>
                </c:pt>
                <c:pt idx="34">
                  <c:v>2</c:v>
                </c:pt>
                <c:pt idx="35">
                  <c:v>2</c:v>
                </c:pt>
                <c:pt idx="36">
                  <c:v>2</c:v>
                </c:pt>
                <c:pt idx="37">
                  <c:v>2.25</c:v>
                </c:pt>
                <c:pt idx="38">
                  <c:v>1</c:v>
                </c:pt>
                <c:pt idx="39">
                  <c:v>1</c:v>
                </c:pt>
                <c:pt idx="40">
                  <c:v>0.25</c:v>
                </c:pt>
                <c:pt idx="41">
                  <c:v>0.25</c:v>
                </c:pt>
                <c:pt idx="42">
                  <c:v>0.25</c:v>
                </c:pt>
                <c:pt idx="43">
                  <c:v>0.25</c:v>
                </c:pt>
                <c:pt idx="44">
                  <c:v>0.25</c:v>
                </c:pt>
                <c:pt idx="45">
                  <c:v>0.25</c:v>
                </c:pt>
                <c:pt idx="46">
                  <c:v>0.25</c:v>
                </c:pt>
                <c:pt idx="47">
                  <c:v>0.25</c:v>
                </c:pt>
                <c:pt idx="48">
                  <c:v>0.25</c:v>
                </c:pt>
                <c:pt idx="49">
                  <c:v>0.25</c:v>
                </c:pt>
                <c:pt idx="50">
                  <c:v>0.25</c:v>
                </c:pt>
                <c:pt idx="51">
                  <c:v>0.25</c:v>
                </c:pt>
                <c:pt idx="52">
                  <c:v>0.25</c:v>
                </c:pt>
                <c:pt idx="53">
                  <c:v>0.5</c:v>
                </c:pt>
                <c:pt idx="54">
                  <c:v>0.5</c:v>
                </c:pt>
                <c:pt idx="55">
                  <c:v>0.75</c:v>
                </c:pt>
                <c:pt idx="56">
                  <c:v>0.75</c:v>
                </c:pt>
                <c:pt idx="57">
                  <c:v>1.5</c:v>
                </c:pt>
                <c:pt idx="58">
                  <c:v>2.75</c:v>
                </c:pt>
                <c:pt idx="59">
                  <c:v>3.75</c:v>
                </c:pt>
                <c:pt idx="60">
                  <c:v>3.75</c:v>
                </c:pt>
                <c:pt idx="61">
                  <c:v>4.5</c:v>
                </c:pt>
                <c:pt idx="62">
                  <c:v>4.5</c:v>
                </c:pt>
                <c:pt idx="63">
                  <c:v>5</c:v>
                </c:pt>
                <c:pt idx="64">
                  <c:v>5.75</c:v>
                </c:pt>
                <c:pt idx="65">
                  <c:v>7</c:v>
                </c:pt>
                <c:pt idx="66">
                  <c:v>7</c:v>
                </c:pt>
                <c:pt idx="67">
                  <c:v>7</c:v>
                </c:pt>
                <c:pt idx="68">
                  <c:v>7</c:v>
                </c:pt>
                <c:pt idx="69">
                  <c:v>7</c:v>
                </c:pt>
                <c:pt idx="70">
                  <c:v>7</c:v>
                </c:pt>
                <c:pt idx="71">
                  <c:v>7</c:v>
                </c:pt>
              </c:numCache>
            </c:numRef>
          </c:val>
          <c:extLst>
            <c:ext xmlns:c16="http://schemas.microsoft.com/office/drawing/2014/chart" uri="{C3380CC4-5D6E-409C-BE32-E72D297353CC}">
              <c16:uniqueId val="{00000000-7BB9-4C48-A5F4-FF74434588DE}"/>
            </c:ext>
          </c:extLst>
        </c:ser>
        <c:dLbls>
          <c:showLegendKey val="0"/>
          <c:showVal val="0"/>
          <c:showCatName val="0"/>
          <c:showSerName val="0"/>
          <c:showPercent val="0"/>
          <c:showBubbleSize val="0"/>
        </c:dLbls>
        <c:gapWidth val="31"/>
        <c:axId val="131001344"/>
        <c:axId val="131027712"/>
      </c:barChart>
      <c:lineChart>
        <c:grouping val="standard"/>
        <c:varyColors val="0"/>
        <c:ser>
          <c:idx val="3"/>
          <c:order val="1"/>
          <c:tx>
            <c:strRef>
              <c:f>'Měnové podmínky 1'!$F$5</c:f>
              <c:strCache>
                <c:ptCount val="1"/>
                <c:pt idx="0">
                  <c:v>Average yield of government bonds (2Y)</c:v>
                </c:pt>
              </c:strCache>
            </c:strRef>
          </c:tx>
          <c:spPr>
            <a:ln w="19050">
              <a:solidFill>
                <a:srgbClr val="7DBB2D"/>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1'!$F$66:$F$137</c:f>
              <c:numCache>
                <c:formatCode>General</c:formatCode>
                <c:ptCount val="72"/>
                <c:pt idx="0">
                  <c:v>-0.88</c:v>
                </c:pt>
                <c:pt idx="1">
                  <c:v>-0.53</c:v>
                </c:pt>
                <c:pt idx="2">
                  <c:v>-0.44</c:v>
                </c:pt>
                <c:pt idx="3">
                  <c:v>-0.23</c:v>
                </c:pt>
                <c:pt idx="4">
                  <c:v>-0.24</c:v>
                </c:pt>
                <c:pt idx="5">
                  <c:v>-0.25</c:v>
                </c:pt>
                <c:pt idx="6">
                  <c:v>-0.28999999999999998</c:v>
                </c:pt>
                <c:pt idx="7">
                  <c:v>-0.33</c:v>
                </c:pt>
                <c:pt idx="8">
                  <c:v>-0.28999999999999998</c:v>
                </c:pt>
                <c:pt idx="9">
                  <c:v>0.12</c:v>
                </c:pt>
                <c:pt idx="10">
                  <c:v>0.31</c:v>
                </c:pt>
                <c:pt idx="11">
                  <c:v>0.19</c:v>
                </c:pt>
                <c:pt idx="12">
                  <c:v>0.46</c:v>
                </c:pt>
                <c:pt idx="13">
                  <c:v>0.55000000000000004</c:v>
                </c:pt>
                <c:pt idx="14">
                  <c:v>0.62</c:v>
                </c:pt>
                <c:pt idx="15">
                  <c:v>0.6</c:v>
                </c:pt>
                <c:pt idx="16">
                  <c:v>0.7</c:v>
                </c:pt>
                <c:pt idx="17">
                  <c:v>0.89</c:v>
                </c:pt>
                <c:pt idx="18">
                  <c:v>1.0900000000000001</c:v>
                </c:pt>
                <c:pt idx="19">
                  <c:v>1.26</c:v>
                </c:pt>
                <c:pt idx="20">
                  <c:v>1.34</c:v>
                </c:pt>
                <c:pt idx="21">
                  <c:v>1.44</c:v>
                </c:pt>
                <c:pt idx="22">
                  <c:v>1.49</c:v>
                </c:pt>
                <c:pt idx="23">
                  <c:v>1.52</c:v>
                </c:pt>
                <c:pt idx="24">
                  <c:v>1.66</c:v>
                </c:pt>
                <c:pt idx="25">
                  <c:v>1.74</c:v>
                </c:pt>
                <c:pt idx="26">
                  <c:v>1.71</c:v>
                </c:pt>
                <c:pt idx="27">
                  <c:v>1.63</c:v>
                </c:pt>
                <c:pt idx="28">
                  <c:v>1.62</c:v>
                </c:pt>
                <c:pt idx="29">
                  <c:v>1.52</c:v>
                </c:pt>
                <c:pt idx="30">
                  <c:v>1.35</c:v>
                </c:pt>
                <c:pt idx="31">
                  <c:v>0.85</c:v>
                </c:pt>
                <c:pt idx="32">
                  <c:v>1.07</c:v>
                </c:pt>
                <c:pt idx="33">
                  <c:v>1.17</c:v>
                </c:pt>
                <c:pt idx="34">
                  <c:v>1.33</c:v>
                </c:pt>
                <c:pt idx="35">
                  <c:v>1.36</c:v>
                </c:pt>
                <c:pt idx="36">
                  <c:v>1.55</c:v>
                </c:pt>
                <c:pt idx="37">
                  <c:v>1.57</c:v>
                </c:pt>
                <c:pt idx="38">
                  <c:v>1.27</c:v>
                </c:pt>
                <c:pt idx="39">
                  <c:v>0.71</c:v>
                </c:pt>
                <c:pt idx="40">
                  <c:v>0.13</c:v>
                </c:pt>
                <c:pt idx="41">
                  <c:v>0.08</c:v>
                </c:pt>
                <c:pt idx="42">
                  <c:v>0.02</c:v>
                </c:pt>
                <c:pt idx="43">
                  <c:v>0.04</c:v>
                </c:pt>
                <c:pt idx="44">
                  <c:v>0.05</c:v>
                </c:pt>
                <c:pt idx="45">
                  <c:v>0</c:v>
                </c:pt>
                <c:pt idx="46">
                  <c:v>0.06</c:v>
                </c:pt>
                <c:pt idx="47">
                  <c:v>0.16</c:v>
                </c:pt>
                <c:pt idx="48">
                  <c:v>0.26</c:v>
                </c:pt>
                <c:pt idx="49">
                  <c:v>0.45</c:v>
                </c:pt>
                <c:pt idx="50">
                  <c:v>0.75</c:v>
                </c:pt>
                <c:pt idx="51">
                  <c:v>0.76</c:v>
                </c:pt>
                <c:pt idx="52">
                  <c:v>0.76</c:v>
                </c:pt>
                <c:pt idx="53">
                  <c:v>0.69</c:v>
                </c:pt>
                <c:pt idx="54">
                  <c:v>0.84</c:v>
                </c:pt>
                <c:pt idx="55">
                  <c:v>1.24</c:v>
                </c:pt>
                <c:pt idx="56">
                  <c:v>1.6</c:v>
                </c:pt>
                <c:pt idx="57">
                  <c:v>2.29</c:v>
                </c:pt>
                <c:pt idx="58">
                  <c:v>3</c:v>
                </c:pt>
                <c:pt idx="59">
                  <c:v>3.07</c:v>
                </c:pt>
                <c:pt idx="60">
                  <c:v>3.81</c:v>
                </c:pt>
                <c:pt idx="61">
                  <c:v>3.77</c:v>
                </c:pt>
                <c:pt idx="62">
                  <c:v>4.54</c:v>
                </c:pt>
                <c:pt idx="63">
                  <c:v>5.13</c:v>
                </c:pt>
                <c:pt idx="64">
                  <c:v>5.65</c:v>
                </c:pt>
                <c:pt idx="65">
                  <c:v>6.26</c:v>
                </c:pt>
                <c:pt idx="66">
                  <c:v>6.38</c:v>
                </c:pt>
                <c:pt idx="67">
                  <c:v>5.86</c:v>
                </c:pt>
                <c:pt idx="68">
                  <c:v>5.9</c:v>
                </c:pt>
                <c:pt idx="69">
                  <c:v>6.18</c:v>
                </c:pt>
                <c:pt idx="70">
                  <c:v>5.68</c:v>
                </c:pt>
                <c:pt idx="71">
                  <c:v>5.19</c:v>
                </c:pt>
              </c:numCache>
            </c:numRef>
          </c:val>
          <c:smooth val="0"/>
          <c:extLst>
            <c:ext xmlns:c16="http://schemas.microsoft.com/office/drawing/2014/chart" uri="{C3380CC4-5D6E-409C-BE32-E72D297353CC}">
              <c16:uniqueId val="{00000001-7BB9-4C48-A5F4-FF74434588DE}"/>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1'!$D$66:$D$137</c:f>
              <c:numCache>
                <c:formatCode>General</c:formatCode>
                <c:ptCount val="72"/>
                <c:pt idx="0">
                  <c:v>0.28000000000000003</c:v>
                </c:pt>
                <c:pt idx="1">
                  <c:v>0.28000000000000003</c:v>
                </c:pt>
                <c:pt idx="2">
                  <c:v>0.28000000000000003</c:v>
                </c:pt>
                <c:pt idx="3">
                  <c:v>0.28999999999999998</c:v>
                </c:pt>
                <c:pt idx="4">
                  <c:v>0.3</c:v>
                </c:pt>
                <c:pt idx="5">
                  <c:v>0.3</c:v>
                </c:pt>
                <c:pt idx="6">
                  <c:v>0.3</c:v>
                </c:pt>
                <c:pt idx="7">
                  <c:v>0.43</c:v>
                </c:pt>
                <c:pt idx="8">
                  <c:v>0.46</c:v>
                </c:pt>
                <c:pt idx="9">
                  <c:v>0.51</c:v>
                </c:pt>
                <c:pt idx="10">
                  <c:v>0.71</c:v>
                </c:pt>
                <c:pt idx="11">
                  <c:v>0.75</c:v>
                </c:pt>
                <c:pt idx="12">
                  <c:v>0.77</c:v>
                </c:pt>
                <c:pt idx="13">
                  <c:v>0.9</c:v>
                </c:pt>
                <c:pt idx="14">
                  <c:v>0.9</c:v>
                </c:pt>
                <c:pt idx="15">
                  <c:v>0.9</c:v>
                </c:pt>
                <c:pt idx="16">
                  <c:v>0.9</c:v>
                </c:pt>
                <c:pt idx="17">
                  <c:v>0.93</c:v>
                </c:pt>
                <c:pt idx="18">
                  <c:v>1.18</c:v>
                </c:pt>
                <c:pt idx="19">
                  <c:v>1.45</c:v>
                </c:pt>
                <c:pt idx="20">
                  <c:v>1.54</c:v>
                </c:pt>
                <c:pt idx="21">
                  <c:v>1.76</c:v>
                </c:pt>
                <c:pt idx="22">
                  <c:v>1.99</c:v>
                </c:pt>
                <c:pt idx="23">
                  <c:v>2.0099999999999998</c:v>
                </c:pt>
                <c:pt idx="24">
                  <c:v>2.0099999999999998</c:v>
                </c:pt>
                <c:pt idx="25">
                  <c:v>2.0099999999999998</c:v>
                </c:pt>
                <c:pt idx="26">
                  <c:v>2.0299999999999998</c:v>
                </c:pt>
                <c:pt idx="27">
                  <c:v>2.02</c:v>
                </c:pt>
                <c:pt idx="28">
                  <c:v>2.19</c:v>
                </c:pt>
                <c:pt idx="29">
                  <c:v>2.17</c:v>
                </c:pt>
                <c:pt idx="30">
                  <c:v>2.16</c:v>
                </c:pt>
                <c:pt idx="31">
                  <c:v>2.14</c:v>
                </c:pt>
                <c:pt idx="32">
                  <c:v>2.14</c:v>
                </c:pt>
                <c:pt idx="33">
                  <c:v>2.17</c:v>
                </c:pt>
                <c:pt idx="34">
                  <c:v>2.1800000000000002</c:v>
                </c:pt>
                <c:pt idx="35">
                  <c:v>2.1800000000000002</c:v>
                </c:pt>
                <c:pt idx="36">
                  <c:v>2.17</c:v>
                </c:pt>
                <c:pt idx="37">
                  <c:v>2.34</c:v>
                </c:pt>
                <c:pt idx="38">
                  <c:v>2</c:v>
                </c:pt>
                <c:pt idx="39">
                  <c:v>0.97</c:v>
                </c:pt>
                <c:pt idx="40">
                  <c:v>0.46</c:v>
                </c:pt>
                <c:pt idx="41">
                  <c:v>0.34</c:v>
                </c:pt>
                <c:pt idx="42">
                  <c:v>0.34</c:v>
                </c:pt>
                <c:pt idx="43">
                  <c:v>0.34</c:v>
                </c:pt>
                <c:pt idx="44">
                  <c:v>0.34</c:v>
                </c:pt>
                <c:pt idx="45">
                  <c:v>0.35</c:v>
                </c:pt>
                <c:pt idx="46">
                  <c:v>0.35</c:v>
                </c:pt>
                <c:pt idx="47">
                  <c:v>0.35</c:v>
                </c:pt>
                <c:pt idx="48">
                  <c:v>0.36</c:v>
                </c:pt>
                <c:pt idx="49">
                  <c:v>0.36</c:v>
                </c:pt>
                <c:pt idx="50">
                  <c:v>0.36</c:v>
                </c:pt>
                <c:pt idx="51">
                  <c:v>0.36</c:v>
                </c:pt>
                <c:pt idx="52">
                  <c:v>0.37</c:v>
                </c:pt>
                <c:pt idx="53">
                  <c:v>0.48</c:v>
                </c:pt>
                <c:pt idx="54">
                  <c:v>0.69</c:v>
                </c:pt>
                <c:pt idx="55">
                  <c:v>0.94</c:v>
                </c:pt>
                <c:pt idx="56">
                  <c:v>1.1100000000000001</c:v>
                </c:pt>
                <c:pt idx="57">
                  <c:v>2.02</c:v>
                </c:pt>
                <c:pt idx="58">
                  <c:v>2.97</c:v>
                </c:pt>
                <c:pt idx="59">
                  <c:v>3.5</c:v>
                </c:pt>
                <c:pt idx="60">
                  <c:v>4.21</c:v>
                </c:pt>
                <c:pt idx="61">
                  <c:v>4.6900000000000004</c:v>
                </c:pt>
                <c:pt idx="62">
                  <c:v>4.8600000000000003</c:v>
                </c:pt>
                <c:pt idx="63">
                  <c:v>5.36</c:v>
                </c:pt>
                <c:pt idx="64">
                  <c:v>5.97</c:v>
                </c:pt>
                <c:pt idx="65">
                  <c:v>6.64</c:v>
                </c:pt>
                <c:pt idx="66">
                  <c:v>7.3</c:v>
                </c:pt>
                <c:pt idx="67">
                  <c:v>7.27</c:v>
                </c:pt>
                <c:pt idx="68">
                  <c:v>7.25</c:v>
                </c:pt>
                <c:pt idx="69">
                  <c:v>7.28</c:v>
                </c:pt>
                <c:pt idx="70">
                  <c:v>7.27</c:v>
                </c:pt>
                <c:pt idx="71">
                  <c:v>7.26</c:v>
                </c:pt>
              </c:numCache>
            </c:numRef>
          </c:val>
          <c:smooth val="0"/>
          <c:extLst>
            <c:ext xmlns:c16="http://schemas.microsoft.com/office/drawing/2014/chart" uri="{C3380CC4-5D6E-409C-BE32-E72D297353CC}">
              <c16:uniqueId val="{00000002-7BB9-4C48-A5F4-FF74434588DE}"/>
            </c:ext>
          </c:extLst>
        </c:ser>
        <c:ser>
          <c:idx val="4"/>
          <c:order val="3"/>
          <c:tx>
            <c:strRef>
              <c:f>'Měnové podmínky 1'!$G$5</c:f>
              <c:strCache>
                <c:ptCount val="1"/>
                <c:pt idx="0">
                  <c:v>Average yield of government bonds (5Y)</c:v>
                </c:pt>
              </c:strCache>
            </c:strRef>
          </c:tx>
          <c:spPr>
            <a:ln w="19050">
              <a:solidFill>
                <a:srgbClr val="F8A124"/>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1'!$G$66:$G$137</c:f>
              <c:numCache>
                <c:formatCode>General</c:formatCode>
                <c:ptCount val="72"/>
                <c:pt idx="0">
                  <c:v>-0.22</c:v>
                </c:pt>
                <c:pt idx="1">
                  <c:v>0.09</c:v>
                </c:pt>
                <c:pt idx="2">
                  <c:v>0.1</c:v>
                </c:pt>
                <c:pt idx="3">
                  <c:v>0.16</c:v>
                </c:pt>
                <c:pt idx="4">
                  <c:v>0.04</c:v>
                </c:pt>
                <c:pt idx="5">
                  <c:v>-0.03</c:v>
                </c:pt>
                <c:pt idx="6">
                  <c:v>0.14000000000000001</c:v>
                </c:pt>
                <c:pt idx="7">
                  <c:v>0.09</c:v>
                </c:pt>
                <c:pt idx="8">
                  <c:v>0.1</c:v>
                </c:pt>
                <c:pt idx="9">
                  <c:v>0.63</c:v>
                </c:pt>
                <c:pt idx="10">
                  <c:v>0.87</c:v>
                </c:pt>
                <c:pt idx="11">
                  <c:v>0.68</c:v>
                </c:pt>
                <c:pt idx="12">
                  <c:v>0.99</c:v>
                </c:pt>
                <c:pt idx="13">
                  <c:v>1.07</c:v>
                </c:pt>
                <c:pt idx="14">
                  <c:v>1.0900000000000001</c:v>
                </c:pt>
                <c:pt idx="15">
                  <c:v>1.05</c:v>
                </c:pt>
                <c:pt idx="16">
                  <c:v>1.21</c:v>
                </c:pt>
                <c:pt idx="17">
                  <c:v>1.41</c:v>
                </c:pt>
                <c:pt idx="18">
                  <c:v>1.44</c:v>
                </c:pt>
                <c:pt idx="19">
                  <c:v>1.55</c:v>
                </c:pt>
                <c:pt idx="20">
                  <c:v>1.7</c:v>
                </c:pt>
                <c:pt idx="21">
                  <c:v>1.81</c:v>
                </c:pt>
                <c:pt idx="22">
                  <c:v>1.79</c:v>
                </c:pt>
                <c:pt idx="23">
                  <c:v>1.71</c:v>
                </c:pt>
                <c:pt idx="24">
                  <c:v>1.6</c:v>
                </c:pt>
                <c:pt idx="25">
                  <c:v>1.61</c:v>
                </c:pt>
                <c:pt idx="26">
                  <c:v>1.7</c:v>
                </c:pt>
                <c:pt idx="27">
                  <c:v>1.63</c:v>
                </c:pt>
                <c:pt idx="28">
                  <c:v>1.57</c:v>
                </c:pt>
                <c:pt idx="29">
                  <c:v>1.43</c:v>
                </c:pt>
                <c:pt idx="30">
                  <c:v>1.31</c:v>
                </c:pt>
                <c:pt idx="31">
                  <c:v>0.89</c:v>
                </c:pt>
                <c:pt idx="32">
                  <c:v>1.1299999999999999</c:v>
                </c:pt>
                <c:pt idx="33">
                  <c:v>1.23</c:v>
                </c:pt>
                <c:pt idx="34">
                  <c:v>1.32</c:v>
                </c:pt>
                <c:pt idx="35">
                  <c:v>1.31</c:v>
                </c:pt>
                <c:pt idx="36">
                  <c:v>1.51</c:v>
                </c:pt>
                <c:pt idx="37">
                  <c:v>1.52</c:v>
                </c:pt>
                <c:pt idx="38">
                  <c:v>1.23</c:v>
                </c:pt>
                <c:pt idx="39">
                  <c:v>1.06</c:v>
                </c:pt>
                <c:pt idx="40">
                  <c:v>0.56999999999999995</c:v>
                </c:pt>
                <c:pt idx="41">
                  <c:v>0.52</c:v>
                </c:pt>
                <c:pt idx="42">
                  <c:v>0.52</c:v>
                </c:pt>
                <c:pt idx="43">
                  <c:v>0.57999999999999996</c:v>
                </c:pt>
                <c:pt idx="44">
                  <c:v>0.57999999999999996</c:v>
                </c:pt>
                <c:pt idx="45">
                  <c:v>0.54</c:v>
                </c:pt>
                <c:pt idx="46">
                  <c:v>0.66</c:v>
                </c:pt>
                <c:pt idx="47">
                  <c:v>0.8</c:v>
                </c:pt>
                <c:pt idx="48">
                  <c:v>0.82</c:v>
                </c:pt>
                <c:pt idx="49">
                  <c:v>1.06</c:v>
                </c:pt>
                <c:pt idx="50">
                  <c:v>1.4</c:v>
                </c:pt>
                <c:pt idx="51">
                  <c:v>1.43</c:v>
                </c:pt>
                <c:pt idx="52">
                  <c:v>1.47</c:v>
                </c:pt>
                <c:pt idx="53">
                  <c:v>1.55</c:v>
                </c:pt>
                <c:pt idx="54">
                  <c:v>1.63</c:v>
                </c:pt>
                <c:pt idx="55">
                  <c:v>1.68</c:v>
                </c:pt>
                <c:pt idx="56">
                  <c:v>1.87</c:v>
                </c:pt>
                <c:pt idx="57">
                  <c:v>2.37</c:v>
                </c:pt>
                <c:pt idx="58">
                  <c:v>2.84</c:v>
                </c:pt>
                <c:pt idx="59">
                  <c:v>2.84</c:v>
                </c:pt>
                <c:pt idx="60">
                  <c:v>3.36</c:v>
                </c:pt>
                <c:pt idx="61">
                  <c:v>3.2</c:v>
                </c:pt>
                <c:pt idx="62">
                  <c:v>3.85</c:v>
                </c:pt>
                <c:pt idx="63">
                  <c:v>4.54</c:v>
                </c:pt>
                <c:pt idx="64">
                  <c:v>4.99</c:v>
                </c:pt>
                <c:pt idx="65">
                  <c:v>5.49</c:v>
                </c:pt>
                <c:pt idx="66">
                  <c:v>5.12</c:v>
                </c:pt>
                <c:pt idx="67">
                  <c:v>4.67</c:v>
                </c:pt>
                <c:pt idx="68">
                  <c:v>5.0599999999999996</c:v>
                </c:pt>
                <c:pt idx="69">
                  <c:v>5.69</c:v>
                </c:pt>
                <c:pt idx="70">
                  <c:v>5.31</c:v>
                </c:pt>
                <c:pt idx="71">
                  <c:v>4.9000000000000004</c:v>
                </c:pt>
              </c:numCache>
            </c:numRef>
          </c:val>
          <c:smooth val="0"/>
          <c:extLst>
            <c:ext xmlns:c16="http://schemas.microsoft.com/office/drawing/2014/chart" uri="{C3380CC4-5D6E-409C-BE32-E72D297353CC}">
              <c16:uniqueId val="{00000003-7BB9-4C48-A5F4-FF74434588DE}"/>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1'!$E$66:$E$137</c:f>
              <c:numCache>
                <c:formatCode>General</c:formatCode>
                <c:ptCount val="72"/>
                <c:pt idx="0">
                  <c:v>0.44</c:v>
                </c:pt>
                <c:pt idx="1">
                  <c:v>0.44</c:v>
                </c:pt>
                <c:pt idx="2">
                  <c:v>0.44</c:v>
                </c:pt>
                <c:pt idx="3">
                  <c:v>0.45</c:v>
                </c:pt>
                <c:pt idx="4">
                  <c:v>0.46</c:v>
                </c:pt>
                <c:pt idx="5">
                  <c:v>0.46</c:v>
                </c:pt>
                <c:pt idx="6">
                  <c:v>0.47</c:v>
                </c:pt>
                <c:pt idx="7">
                  <c:v>0.6</c:v>
                </c:pt>
                <c:pt idx="8">
                  <c:v>0.64</c:v>
                </c:pt>
                <c:pt idx="9">
                  <c:v>0.69</c:v>
                </c:pt>
                <c:pt idx="10">
                  <c:v>0.91</c:v>
                </c:pt>
                <c:pt idx="11">
                  <c:v>0.96</c:v>
                </c:pt>
                <c:pt idx="12">
                  <c:v>0.98</c:v>
                </c:pt>
                <c:pt idx="13">
                  <c:v>1.1100000000000001</c:v>
                </c:pt>
                <c:pt idx="14">
                  <c:v>1.1200000000000001</c:v>
                </c:pt>
                <c:pt idx="15">
                  <c:v>1.1200000000000001</c:v>
                </c:pt>
                <c:pt idx="16">
                  <c:v>1.1200000000000001</c:v>
                </c:pt>
                <c:pt idx="17">
                  <c:v>1.1499999999999999</c:v>
                </c:pt>
                <c:pt idx="18">
                  <c:v>1.39</c:v>
                </c:pt>
                <c:pt idx="19">
                  <c:v>1.67</c:v>
                </c:pt>
                <c:pt idx="20">
                  <c:v>1.79</c:v>
                </c:pt>
                <c:pt idx="21">
                  <c:v>1.95</c:v>
                </c:pt>
                <c:pt idx="22">
                  <c:v>2.1800000000000002</c:v>
                </c:pt>
                <c:pt idx="23">
                  <c:v>2.21</c:v>
                </c:pt>
                <c:pt idx="24">
                  <c:v>2.21</c:v>
                </c:pt>
                <c:pt idx="25">
                  <c:v>2.2000000000000002</c:v>
                </c:pt>
                <c:pt idx="26">
                  <c:v>2.2000000000000002</c:v>
                </c:pt>
                <c:pt idx="27">
                  <c:v>2.21</c:v>
                </c:pt>
                <c:pt idx="28">
                  <c:v>2.3199999999999998</c:v>
                </c:pt>
                <c:pt idx="29">
                  <c:v>2.29</c:v>
                </c:pt>
                <c:pt idx="30">
                  <c:v>2.2799999999999998</c:v>
                </c:pt>
                <c:pt idx="31">
                  <c:v>2.2200000000000002</c:v>
                </c:pt>
                <c:pt idx="32">
                  <c:v>2.2000000000000002</c:v>
                </c:pt>
                <c:pt idx="33">
                  <c:v>2.2799999999999998</c:v>
                </c:pt>
                <c:pt idx="34">
                  <c:v>2.2799999999999998</c:v>
                </c:pt>
                <c:pt idx="35">
                  <c:v>2.27</c:v>
                </c:pt>
                <c:pt idx="36">
                  <c:v>2.27</c:v>
                </c:pt>
                <c:pt idx="37">
                  <c:v>2.42</c:v>
                </c:pt>
                <c:pt idx="38">
                  <c:v>2.0099999999999998</c:v>
                </c:pt>
                <c:pt idx="39">
                  <c:v>0.92</c:v>
                </c:pt>
                <c:pt idx="40">
                  <c:v>0.51</c:v>
                </c:pt>
                <c:pt idx="41">
                  <c:v>0.43</c:v>
                </c:pt>
                <c:pt idx="42">
                  <c:v>0.43</c:v>
                </c:pt>
                <c:pt idx="43">
                  <c:v>0.43</c:v>
                </c:pt>
                <c:pt idx="44">
                  <c:v>0.44</c:v>
                </c:pt>
                <c:pt idx="45">
                  <c:v>0.43</c:v>
                </c:pt>
                <c:pt idx="46">
                  <c:v>0.44</c:v>
                </c:pt>
                <c:pt idx="47">
                  <c:v>0.49</c:v>
                </c:pt>
                <c:pt idx="48">
                  <c:v>0.49</c:v>
                </c:pt>
                <c:pt idx="49">
                  <c:v>0.54</c:v>
                </c:pt>
                <c:pt idx="50">
                  <c:v>0.56000000000000005</c:v>
                </c:pt>
                <c:pt idx="51">
                  <c:v>0.56000000000000005</c:v>
                </c:pt>
                <c:pt idx="52">
                  <c:v>0.67</c:v>
                </c:pt>
                <c:pt idx="53">
                  <c:v>0.78</c:v>
                </c:pt>
                <c:pt idx="54">
                  <c:v>1</c:v>
                </c:pt>
                <c:pt idx="55">
                  <c:v>1.3</c:v>
                </c:pt>
                <c:pt idx="56">
                  <c:v>1.52</c:v>
                </c:pt>
                <c:pt idx="57">
                  <c:v>2.44</c:v>
                </c:pt>
                <c:pt idx="58">
                  <c:v>3.5</c:v>
                </c:pt>
                <c:pt idx="59">
                  <c:v>3.96</c:v>
                </c:pt>
                <c:pt idx="60">
                  <c:v>4.55</c:v>
                </c:pt>
                <c:pt idx="61">
                  <c:v>4.87</c:v>
                </c:pt>
                <c:pt idx="62">
                  <c:v>5.12</c:v>
                </c:pt>
                <c:pt idx="63">
                  <c:v>5.74</c:v>
                </c:pt>
                <c:pt idx="64">
                  <c:v>6.33</c:v>
                </c:pt>
                <c:pt idx="65">
                  <c:v>7.02</c:v>
                </c:pt>
                <c:pt idx="66">
                  <c:v>7.55</c:v>
                </c:pt>
                <c:pt idx="67">
                  <c:v>7.48</c:v>
                </c:pt>
                <c:pt idx="68">
                  <c:v>7.44</c:v>
                </c:pt>
                <c:pt idx="69">
                  <c:v>7.45</c:v>
                </c:pt>
                <c:pt idx="70">
                  <c:v>7.39</c:v>
                </c:pt>
                <c:pt idx="71">
                  <c:v>7.28</c:v>
                </c:pt>
              </c:numCache>
            </c:numRef>
          </c:val>
          <c:smooth val="0"/>
          <c:extLst>
            <c:ext xmlns:c16="http://schemas.microsoft.com/office/drawing/2014/chart" uri="{C3380CC4-5D6E-409C-BE32-E72D297353CC}">
              <c16:uniqueId val="{00000004-7BB9-4C48-A5F4-FF74434588DE}"/>
            </c:ext>
          </c:extLst>
        </c:ser>
        <c:ser>
          <c:idx val="5"/>
          <c:order val="5"/>
          <c:tx>
            <c:strRef>
              <c:f>'Měnové podmínky 1'!$H$5</c:f>
              <c:strCache>
                <c:ptCount val="1"/>
                <c:pt idx="0">
                  <c:v>Average yield of government bonds (10Y)</c:v>
                </c:pt>
              </c:strCache>
            </c:strRef>
          </c:tx>
          <c:spPr>
            <a:ln w="19050">
              <a:solidFill>
                <a:srgbClr val="48AEE7"/>
              </a:solidFill>
            </a:ln>
          </c:spPr>
          <c:marker>
            <c:symbol val="none"/>
          </c:marker>
          <c:cat>
            <c:multiLvlStrRef>
              <c:f>'Měnové podmínky 1'!$A$66:$B$137</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'Měnové podmínky 1'!$H$66:$H$137</c:f>
              <c:numCache>
                <c:formatCode>General</c:formatCode>
                <c:ptCount val="72"/>
                <c:pt idx="0">
                  <c:v>0.47</c:v>
                </c:pt>
                <c:pt idx="1">
                  <c:v>0.63</c:v>
                </c:pt>
                <c:pt idx="2">
                  <c:v>0.87</c:v>
                </c:pt>
                <c:pt idx="3">
                  <c:v>0.96</c:v>
                </c:pt>
                <c:pt idx="4">
                  <c:v>0.74</c:v>
                </c:pt>
                <c:pt idx="5">
                  <c:v>0.77</c:v>
                </c:pt>
                <c:pt idx="6">
                  <c:v>0.9</c:v>
                </c:pt>
                <c:pt idx="7">
                  <c:v>0.83</c:v>
                </c:pt>
                <c:pt idx="8">
                  <c:v>0.97</c:v>
                </c:pt>
                <c:pt idx="9">
                  <c:v>1.45</c:v>
                </c:pt>
                <c:pt idx="10">
                  <c:v>1.68</c:v>
                </c:pt>
                <c:pt idx="11">
                  <c:v>1.5</c:v>
                </c:pt>
                <c:pt idx="12">
                  <c:v>1.77</c:v>
                </c:pt>
                <c:pt idx="13">
                  <c:v>1.82</c:v>
                </c:pt>
                <c:pt idx="14">
                  <c:v>1.81</c:v>
                </c:pt>
                <c:pt idx="15">
                  <c:v>1.74</c:v>
                </c:pt>
                <c:pt idx="16">
                  <c:v>1.89</c:v>
                </c:pt>
                <c:pt idx="17">
                  <c:v>2.14</c:v>
                </c:pt>
                <c:pt idx="18">
                  <c:v>2.11</c:v>
                </c:pt>
                <c:pt idx="19">
                  <c:v>2.14</c:v>
                </c:pt>
                <c:pt idx="20">
                  <c:v>2.14</c:v>
                </c:pt>
                <c:pt idx="21">
                  <c:v>2.14</c:v>
                </c:pt>
                <c:pt idx="22">
                  <c:v>2.0699999999999998</c:v>
                </c:pt>
                <c:pt idx="23">
                  <c:v>2.0099999999999998</c:v>
                </c:pt>
                <c:pt idx="24">
                  <c:v>1.85</c:v>
                </c:pt>
                <c:pt idx="25">
                  <c:v>1.76</c:v>
                </c:pt>
                <c:pt idx="26">
                  <c:v>1.82</c:v>
                </c:pt>
                <c:pt idx="27">
                  <c:v>1.82</c:v>
                </c:pt>
                <c:pt idx="28">
                  <c:v>1.86</c:v>
                </c:pt>
                <c:pt idx="29">
                  <c:v>1.58</c:v>
                </c:pt>
                <c:pt idx="30">
                  <c:v>1.36</c:v>
                </c:pt>
                <c:pt idx="31">
                  <c:v>0.99</c:v>
                </c:pt>
                <c:pt idx="32">
                  <c:v>1.24</c:v>
                </c:pt>
                <c:pt idx="33">
                  <c:v>1.32</c:v>
                </c:pt>
                <c:pt idx="34">
                  <c:v>1.47</c:v>
                </c:pt>
                <c:pt idx="35">
                  <c:v>1.51</c:v>
                </c:pt>
                <c:pt idx="36">
                  <c:v>1.62</c:v>
                </c:pt>
                <c:pt idx="37">
                  <c:v>1.47</c:v>
                </c:pt>
                <c:pt idx="38">
                  <c:v>1.28</c:v>
                </c:pt>
                <c:pt idx="39">
                  <c:v>1.28</c:v>
                </c:pt>
                <c:pt idx="40">
                  <c:v>0.92</c:v>
                </c:pt>
                <c:pt idx="41">
                  <c:v>0.86</c:v>
                </c:pt>
                <c:pt idx="42">
                  <c:v>0.86</c:v>
                </c:pt>
                <c:pt idx="43">
                  <c:v>0.95</c:v>
                </c:pt>
                <c:pt idx="44">
                  <c:v>0.98</c:v>
                </c:pt>
                <c:pt idx="45">
                  <c:v>0.94</c:v>
                </c:pt>
                <c:pt idx="46">
                  <c:v>1.1200000000000001</c:v>
                </c:pt>
                <c:pt idx="47">
                  <c:v>1.26</c:v>
                </c:pt>
                <c:pt idx="48">
                  <c:v>1.28</c:v>
                </c:pt>
                <c:pt idx="49">
                  <c:v>1.49</c:v>
                </c:pt>
                <c:pt idx="50">
                  <c:v>1.87</c:v>
                </c:pt>
                <c:pt idx="51">
                  <c:v>1.86</c:v>
                </c:pt>
                <c:pt idx="52">
                  <c:v>1.74</c:v>
                </c:pt>
                <c:pt idx="53">
                  <c:v>1.67</c:v>
                </c:pt>
                <c:pt idx="54">
                  <c:v>1.72</c:v>
                </c:pt>
                <c:pt idx="55">
                  <c:v>1.74</c:v>
                </c:pt>
                <c:pt idx="56">
                  <c:v>1.9</c:v>
                </c:pt>
                <c:pt idx="57">
                  <c:v>2.34</c:v>
                </c:pt>
                <c:pt idx="58">
                  <c:v>2.62</c:v>
                </c:pt>
                <c:pt idx="59">
                  <c:v>2.62</c:v>
                </c:pt>
                <c:pt idx="60">
                  <c:v>3.12</c:v>
                </c:pt>
                <c:pt idx="61">
                  <c:v>3.03</c:v>
                </c:pt>
                <c:pt idx="62">
                  <c:v>3.53</c:v>
                </c:pt>
                <c:pt idx="63">
                  <c:v>4.01</c:v>
                </c:pt>
                <c:pt idx="64">
                  <c:v>4.6100000000000003</c:v>
                </c:pt>
                <c:pt idx="65">
                  <c:v>5.12</c:v>
                </c:pt>
                <c:pt idx="66">
                  <c:v>4.4000000000000004</c:v>
                </c:pt>
                <c:pt idx="67">
                  <c:v>4.1100000000000003</c:v>
                </c:pt>
                <c:pt idx="68">
                  <c:v>4.72</c:v>
                </c:pt>
                <c:pt idx="69">
                  <c:v>5.52</c:v>
                </c:pt>
                <c:pt idx="70">
                  <c:v>5.1100000000000003</c:v>
                </c:pt>
                <c:pt idx="71">
                  <c:v>4.71</c:v>
                </c:pt>
              </c:numCache>
            </c:numRef>
          </c:val>
          <c:smooth val="0"/>
          <c:extLst>
            <c:ext xmlns:c16="http://schemas.microsoft.com/office/drawing/2014/chart" uri="{C3380CC4-5D6E-409C-BE32-E72D297353CC}">
              <c16:uniqueId val="{00000005-7BB9-4C48-A5F4-FF74434588DE}"/>
            </c:ext>
          </c:extLst>
        </c:ser>
        <c:dLbls>
          <c:showLegendKey val="0"/>
          <c:showVal val="0"/>
          <c:showCatName val="0"/>
          <c:showSerName val="0"/>
          <c:showPercent val="0"/>
          <c:showBubbleSize val="0"/>
        </c:dLbls>
        <c:marker val="1"/>
        <c:smooth val="0"/>
        <c:axId val="131001344"/>
        <c:axId val="131027712"/>
      </c:lineChart>
      <c:catAx>
        <c:axId val="131001344"/>
        <c:scaling>
          <c:orientation val="minMax"/>
        </c:scaling>
        <c:delete val="0"/>
        <c:axPos val="b"/>
        <c:numFmt formatCode="General" sourceLinked="0"/>
        <c:majorTickMark val="out"/>
        <c:minorTickMark val="none"/>
        <c:tickLblPos val="low"/>
        <c:spPr>
          <a:ln>
            <a:solidFill>
              <a:schemeClr val="tx1"/>
            </a:solidFill>
          </a:ln>
        </c:spPr>
        <c:crossAx val="131027712"/>
        <c:crosses val="autoZero"/>
        <c:auto val="1"/>
        <c:lblAlgn val="ctr"/>
        <c:lblOffset val="100"/>
        <c:noMultiLvlLbl val="0"/>
      </c:catAx>
      <c:valAx>
        <c:axId val="131027712"/>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1001344"/>
        <c:crosses val="autoZero"/>
        <c:crossBetween val="between"/>
        <c:majorUnit val="1"/>
      </c:valAx>
      <c:spPr>
        <a:ln>
          <a:solidFill>
            <a:schemeClr val="tx1"/>
          </a:solidFill>
        </a:ln>
      </c:spPr>
    </c:plotArea>
    <c:legend>
      <c:legendPos val="b"/>
      <c:layout>
        <c:manualLayout>
          <c:xMode val="edge"/>
          <c:yMode val="edge"/>
          <c:x val="4.2139690982776527E-2"/>
          <c:y val="0.87558269120103249"/>
          <c:w val="0.93886651469098281"/>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35993017189728E-2"/>
          <c:y val="1.7107238390107405E-2"/>
          <c:w val="0.83559968783080529"/>
          <c:h val="0.81067557818886482"/>
        </c:manualLayout>
      </c:layout>
      <c:barChart>
        <c:barDir val="col"/>
        <c:grouping val="clustered"/>
        <c:varyColors val="0"/>
        <c:ser>
          <c:idx val="2"/>
          <c:order val="4"/>
          <c:tx>
            <c:strRef>
              <c:f>'GRAF-1-Státní rozpočet-příjmy'!$A$40</c:f>
              <c:strCache>
                <c:ptCount val="1"/>
                <c:pt idx="0">
                  <c:v>State budget balance (right axis)</c:v>
                </c:pt>
              </c:strCache>
            </c:strRef>
          </c:tx>
          <c:spPr>
            <a:solidFill>
              <a:sysClr val="window" lastClr="FFFFFF">
                <a:lumMod val="75000"/>
              </a:sysClr>
            </a:solidFill>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rozpočet-příjmy'!$D$40:$S$40</c:f>
              <c:numCache>
                <c:formatCode>#\ ##0.0</c:formatCode>
                <c:ptCount val="16"/>
                <c:pt idx="0">
                  <c:v>-66.391999999999996</c:v>
                </c:pt>
                <c:pt idx="1">
                  <c:v>-20.003</c:v>
                </c:pt>
                <c:pt idx="2">
                  <c:v>-192.39400000000001</c:v>
                </c:pt>
                <c:pt idx="3">
                  <c:v>-156.416</c:v>
                </c:pt>
                <c:pt idx="4">
                  <c:v>-142.77099999999999</c:v>
                </c:pt>
                <c:pt idx="5">
                  <c:v>-101</c:v>
                </c:pt>
                <c:pt idx="6">
                  <c:v>-81.263999999999996</c:v>
                </c:pt>
                <c:pt idx="7">
                  <c:v>-77.78</c:v>
                </c:pt>
                <c:pt idx="8">
                  <c:v>-62.8</c:v>
                </c:pt>
                <c:pt idx="9">
                  <c:v>61.77</c:v>
                </c:pt>
                <c:pt idx="10">
                  <c:v>-6.15</c:v>
                </c:pt>
                <c:pt idx="11">
                  <c:v>2.94</c:v>
                </c:pt>
                <c:pt idx="12">
                  <c:v>-28.52</c:v>
                </c:pt>
                <c:pt idx="13">
                  <c:v>-367.44997523070992</c:v>
                </c:pt>
                <c:pt idx="14">
                  <c:v>-419.68746344218994</c:v>
                </c:pt>
                <c:pt idx="15">
                  <c:v>-360.40048457025</c:v>
                </c:pt>
              </c:numCache>
            </c:numRef>
          </c:val>
          <c:extLst>
            <c:ext xmlns:c16="http://schemas.microsoft.com/office/drawing/2014/chart" uri="{C3380CC4-5D6E-409C-BE32-E72D297353CC}">
              <c16:uniqueId val="{00000000-6303-460B-9661-021AA19B5AE7}"/>
            </c:ext>
          </c:extLst>
        </c:ser>
        <c:ser>
          <c:idx val="5"/>
          <c:order val="5"/>
          <c:tx>
            <c:strRef>
              <c:f>'GRAF-1-Státní rozpočet-příjmy'!$A$41</c:f>
              <c:strCache>
                <c:ptCount val="1"/>
                <c:pt idx="0">
                  <c:v>Adjusted SB balance (right axis)*</c:v>
                </c:pt>
              </c:strCache>
            </c:strRef>
          </c:tx>
          <c:spPr>
            <a:solidFill>
              <a:schemeClr val="bg1">
                <a:lumMod val="50000"/>
              </a:schemeClr>
            </a:solidFill>
            <a:ln>
              <a:noFill/>
            </a:ln>
          </c:spPr>
          <c:invertIfNegative val="0"/>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rozpočet-příjmy'!$D$41:$S$41</c:f>
              <c:numCache>
                <c:formatCode>General</c:formatCode>
                <c:ptCount val="16"/>
                <c:pt idx="6" formatCode="#\ ##0.0">
                  <c:v>-81.73296260617991</c:v>
                </c:pt>
                <c:pt idx="7" formatCode="#\ ##0.0">
                  <c:v>-64.099999999999994</c:v>
                </c:pt>
                <c:pt idx="8" formatCode="#\ ##0.0">
                  <c:v>-41.7</c:v>
                </c:pt>
                <c:pt idx="9" formatCode="#\ ##0.0">
                  <c:v>-13.6</c:v>
                </c:pt>
                <c:pt idx="10" formatCode="#\ ##0.0">
                  <c:v>-1.3</c:v>
                </c:pt>
                <c:pt idx="11" formatCode="#\ ##0.0">
                  <c:v>-3.5</c:v>
                </c:pt>
                <c:pt idx="12" formatCode="#\ ##0.0">
                  <c:v>-29.2</c:v>
                </c:pt>
                <c:pt idx="13" formatCode="#\ ##0.0">
                  <c:v>-364.9</c:v>
                </c:pt>
                <c:pt idx="14" formatCode="#\ ##0.0">
                  <c:v>-408.62534300788002</c:v>
                </c:pt>
                <c:pt idx="15" formatCode="#\ ##0.0">
                  <c:v>-316.12697116642994</c:v>
                </c:pt>
              </c:numCache>
            </c:numRef>
          </c:val>
          <c:extLst>
            <c:ext xmlns:c16="http://schemas.microsoft.com/office/drawing/2014/chart" uri="{C3380CC4-5D6E-409C-BE32-E72D297353CC}">
              <c16:uniqueId val="{00000001-6303-460B-9661-021AA19B5AE7}"/>
            </c:ext>
          </c:extLst>
        </c:ser>
        <c:dLbls>
          <c:showLegendKey val="0"/>
          <c:showVal val="0"/>
          <c:showCatName val="0"/>
          <c:showSerName val="0"/>
          <c:showPercent val="0"/>
          <c:showBubbleSize val="0"/>
        </c:dLbls>
        <c:gapWidth val="150"/>
        <c:axId val="194477056"/>
        <c:axId val="194475520"/>
      </c:barChart>
      <c:lineChart>
        <c:grouping val="standard"/>
        <c:varyColors val="0"/>
        <c:ser>
          <c:idx val="0"/>
          <c:order val="0"/>
          <c:tx>
            <c:strRef>
              <c:f>'GRAF-1-Státní rozpočet-příjmy'!$A$36</c:f>
              <c:strCache>
                <c:ptCount val="1"/>
                <c:pt idx="0">
                  <c:v>VAT</c:v>
                </c:pt>
              </c:strCache>
            </c:strRef>
          </c:tx>
          <c:spPr>
            <a:ln w="19050">
              <a:solidFill>
                <a:srgbClr val="BD1B25"/>
              </a:solidFill>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rozpočet-příjmy'!$D$36:$S$36</c:f>
              <c:numCache>
                <c:formatCode>0.0</c:formatCode>
                <c:ptCount val="16"/>
                <c:pt idx="0">
                  <c:v>8.540729176232901</c:v>
                </c:pt>
                <c:pt idx="1">
                  <c:v>7.9575260174295579</c:v>
                </c:pt>
                <c:pt idx="2">
                  <c:v>-0.61914651828048761</c:v>
                </c:pt>
                <c:pt idx="3">
                  <c:v>6.2852411182524435</c:v>
                </c:pt>
                <c:pt idx="4">
                  <c:v>2.1665739194954341</c:v>
                </c:pt>
                <c:pt idx="5">
                  <c:v>1.0312647518065461</c:v>
                </c:pt>
                <c:pt idx="6">
                  <c:v>10.865111598317938</c:v>
                </c:pt>
                <c:pt idx="7">
                  <c:v>4.674836283472743</c:v>
                </c:pt>
                <c:pt idx="8">
                  <c:v>2.7750247770069336</c:v>
                </c:pt>
                <c:pt idx="9">
                  <c:v>5.3881388621022381</c:v>
                </c:pt>
                <c:pt idx="10">
                  <c:v>9.138739563079028</c:v>
                </c:pt>
                <c:pt idx="11">
                  <c:v>8.2844267449172122</c:v>
                </c:pt>
                <c:pt idx="12">
                  <c:v>4.4229373336559235</c:v>
                </c:pt>
                <c:pt idx="13">
                  <c:v>-1.1882103979308738</c:v>
                </c:pt>
                <c:pt idx="14">
                  <c:v>8.7290514464571913</c:v>
                </c:pt>
                <c:pt idx="15">
                  <c:v>15.639235869949843</c:v>
                </c:pt>
              </c:numCache>
            </c:numRef>
          </c:val>
          <c:smooth val="0"/>
          <c:extLst>
            <c:ext xmlns:c16="http://schemas.microsoft.com/office/drawing/2014/chart" uri="{C3380CC4-5D6E-409C-BE32-E72D297353CC}">
              <c16:uniqueId val="{00000002-6303-460B-9661-021AA19B5AE7}"/>
            </c:ext>
          </c:extLst>
        </c:ser>
        <c:ser>
          <c:idx val="1"/>
          <c:order val="1"/>
          <c:tx>
            <c:strRef>
              <c:f>'GRAF-1-Státní rozpočet-příjmy'!$A$37</c:f>
              <c:strCache>
                <c:ptCount val="1"/>
                <c:pt idx="0">
                  <c:v>Consumption tax</c:v>
                </c:pt>
              </c:strCache>
            </c:strRef>
          </c:tx>
          <c:spPr>
            <a:ln w="19050">
              <a:solidFill>
                <a:srgbClr val="7DBB2D"/>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rozpočet-příjmy'!$D$37:$S$37</c:f>
              <c:numCache>
                <c:formatCode>0.0</c:formatCode>
                <c:ptCount val="16"/>
                <c:pt idx="0">
                  <c:v>16.227519866164769</c:v>
                </c:pt>
                <c:pt idx="1">
                  <c:v>-4.2605253688377047</c:v>
                </c:pt>
                <c:pt idx="2">
                  <c:v>-1.4733518755167978</c:v>
                </c:pt>
                <c:pt idx="3">
                  <c:v>5.4932478828107207</c:v>
                </c:pt>
                <c:pt idx="4">
                  <c:v>6.0099804729876354</c:v>
                </c:pt>
                <c:pt idx="5">
                  <c:v>0.13644426251875075</c:v>
                </c:pt>
                <c:pt idx="6">
                  <c:v>-2.2891402098378535</c:v>
                </c:pt>
                <c:pt idx="7">
                  <c:v>-1.4712034583739921</c:v>
                </c:pt>
                <c:pt idx="8">
                  <c:v>6.5034321704055031</c:v>
                </c:pt>
                <c:pt idx="9">
                  <c:v>5.1362126245847008</c:v>
                </c:pt>
                <c:pt idx="10">
                  <c:v>2.9071604626177248</c:v>
                </c:pt>
                <c:pt idx="11">
                  <c:v>2.8495977399742003</c:v>
                </c:pt>
                <c:pt idx="12">
                  <c:v>-0.19705021794949573</c:v>
                </c:pt>
                <c:pt idx="13">
                  <c:v>-2.7814436561206151</c:v>
                </c:pt>
                <c:pt idx="14">
                  <c:v>-2.9871716093147143</c:v>
                </c:pt>
                <c:pt idx="15">
                  <c:v>1.9170974105799417</c:v>
                </c:pt>
              </c:numCache>
            </c:numRef>
          </c:val>
          <c:smooth val="0"/>
          <c:extLst>
            <c:ext xmlns:c16="http://schemas.microsoft.com/office/drawing/2014/chart" uri="{C3380CC4-5D6E-409C-BE32-E72D297353CC}">
              <c16:uniqueId val="{00000003-6303-460B-9661-021AA19B5AE7}"/>
            </c:ext>
          </c:extLst>
        </c:ser>
        <c:ser>
          <c:idx val="3"/>
          <c:order val="2"/>
          <c:tx>
            <c:strRef>
              <c:f>'GRAF-1-Státní rozpočet-příjmy'!$A$38</c:f>
              <c:strCache>
                <c:ptCount val="1"/>
                <c:pt idx="0">
                  <c:v>Income tax of natural persons</c:v>
                </c:pt>
              </c:strCache>
            </c:strRef>
          </c:tx>
          <c:spPr>
            <a:ln w="19050">
              <a:solidFill>
                <a:srgbClr val="0071BC"/>
              </a:solidFill>
              <a:prstDash val="solid"/>
            </a:ln>
          </c:spPr>
          <c:marker>
            <c:symbol val="none"/>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rozpočet-příjmy'!$D$38:$S$38</c:f>
              <c:numCache>
                <c:formatCode>0.0</c:formatCode>
                <c:ptCount val="16"/>
                <c:pt idx="0">
                  <c:v>10.991820040899796</c:v>
                </c:pt>
                <c:pt idx="1">
                  <c:v>-5.6984931236428196</c:v>
                </c:pt>
                <c:pt idx="2">
                  <c:v>-11.562347358872387</c:v>
                </c:pt>
                <c:pt idx="3">
                  <c:v>2.5800852138235797</c:v>
                </c:pt>
                <c:pt idx="4">
                  <c:v>2.5844165833397454</c:v>
                </c:pt>
                <c:pt idx="5">
                  <c:v>2.1893979155731955</c:v>
                </c:pt>
                <c:pt idx="6">
                  <c:v>3.9254530779954564</c:v>
                </c:pt>
                <c:pt idx="7">
                  <c:v>3.6430386896357163</c:v>
                </c:pt>
                <c:pt idx="8">
                  <c:v>5.1430517711171575</c:v>
                </c:pt>
                <c:pt idx="9">
                  <c:v>11.681243926141889</c:v>
                </c:pt>
                <c:pt idx="10">
                  <c:v>11.863325211741511</c:v>
                </c:pt>
                <c:pt idx="11">
                  <c:v>14.033086138049029</c:v>
                </c:pt>
                <c:pt idx="12">
                  <c:v>12.165173495838829</c:v>
                </c:pt>
                <c:pt idx="13">
                  <c:v>-6.0491656046383468</c:v>
                </c:pt>
                <c:pt idx="14">
                  <c:v>-25.507086593654876</c:v>
                </c:pt>
                <c:pt idx="15">
                  <c:v>13.26046113672929</c:v>
                </c:pt>
              </c:numCache>
            </c:numRef>
          </c:val>
          <c:smooth val="0"/>
          <c:extLst>
            <c:ext xmlns:c16="http://schemas.microsoft.com/office/drawing/2014/chart" uri="{C3380CC4-5D6E-409C-BE32-E72D297353CC}">
              <c16:uniqueId val="{00000004-6303-460B-9661-021AA19B5AE7}"/>
            </c:ext>
          </c:extLst>
        </c:ser>
        <c:ser>
          <c:idx val="4"/>
          <c:order val="3"/>
          <c:tx>
            <c:strRef>
              <c:f>'GRAF-1-Státní rozpočet-příjmy'!$A$39</c:f>
              <c:strCache>
                <c:ptCount val="1"/>
                <c:pt idx="0">
                  <c:v>Income tax of legal persons (corporate tax)</c:v>
                </c:pt>
              </c:strCache>
            </c:strRef>
          </c:tx>
          <c:spPr>
            <a:ln w="19050">
              <a:noFill/>
            </a:ln>
          </c:spPr>
          <c:marker>
            <c:symbol val="diamond"/>
            <c:size val="6"/>
            <c:spPr>
              <a:solidFill>
                <a:srgbClr val="984807"/>
              </a:solidFill>
              <a:ln>
                <a:noFill/>
              </a:ln>
            </c:spPr>
          </c:marker>
          <c:cat>
            <c:numRef>
              <c:f>'GRAF-1-Státní rozpočet-příjmy'!$D$35:$S$35</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'GRAF-1-Státní rozpočet-příjmy'!$D$39:$S$39</c:f>
              <c:numCache>
                <c:formatCode>0.0</c:formatCode>
                <c:ptCount val="16"/>
                <c:pt idx="0">
                  <c:v>20.193443591258116</c:v>
                </c:pt>
                <c:pt idx="1">
                  <c:v>12.113766201855157</c:v>
                </c:pt>
                <c:pt idx="2">
                  <c:v>-34.469344145526264</c:v>
                </c:pt>
                <c:pt idx="3">
                  <c:v>3.5618729096990052</c:v>
                </c:pt>
                <c:pt idx="4">
                  <c:v>-4.6423381236880346</c:v>
                </c:pt>
                <c:pt idx="5">
                  <c:v>8.3735500804335032</c:v>
                </c:pt>
                <c:pt idx="6">
                  <c:v>-5.6875</c:v>
                </c:pt>
                <c:pt idx="7">
                  <c:v>9.6752816434725162</c:v>
                </c:pt>
                <c:pt idx="8">
                  <c:v>11.412386706948624</c:v>
                </c:pt>
                <c:pt idx="9">
                  <c:v>11.667005626737165</c:v>
                </c:pt>
                <c:pt idx="10">
                  <c:v>3.6000485672656595</c:v>
                </c:pt>
                <c:pt idx="11">
                  <c:v>1.9689422795194673</c:v>
                </c:pt>
                <c:pt idx="12">
                  <c:v>5.1089017872536004</c:v>
                </c:pt>
                <c:pt idx="13">
                  <c:v>-12.219312902832144</c:v>
                </c:pt>
                <c:pt idx="14">
                  <c:v>24.923332261143941</c:v>
                </c:pt>
                <c:pt idx="15">
                  <c:v>17.341113343647137</c:v>
                </c:pt>
              </c:numCache>
            </c:numRef>
          </c:val>
          <c:smooth val="0"/>
          <c:extLst>
            <c:ext xmlns:c16="http://schemas.microsoft.com/office/drawing/2014/chart" uri="{C3380CC4-5D6E-409C-BE32-E72D297353CC}">
              <c16:uniqueId val="{00000005-6303-460B-9661-021AA19B5AE7}"/>
            </c:ext>
          </c:extLst>
        </c:ser>
        <c:dLbls>
          <c:showLegendKey val="0"/>
          <c:showVal val="0"/>
          <c:showCatName val="0"/>
          <c:showSerName val="0"/>
          <c:showPercent val="0"/>
          <c:showBubbleSize val="0"/>
        </c:dLbls>
        <c:marker val="1"/>
        <c:smooth val="0"/>
        <c:axId val="194467712"/>
        <c:axId val="194473984"/>
      </c:lineChart>
      <c:catAx>
        <c:axId val="194467712"/>
        <c:scaling>
          <c:orientation val="minMax"/>
        </c:scaling>
        <c:delete val="0"/>
        <c:axPos val="b"/>
        <c:numFmt formatCode="General" sourceLinked="1"/>
        <c:majorTickMark val="out"/>
        <c:minorTickMark val="none"/>
        <c:tickLblPos val="low"/>
        <c:spPr>
          <a:ln w="6350">
            <a:solidFill>
              <a:schemeClr val="tx1"/>
            </a:solidFill>
          </a:ln>
        </c:spPr>
        <c:crossAx val="194473984"/>
        <c:crosses val="autoZero"/>
        <c:auto val="1"/>
        <c:lblAlgn val="ctr"/>
        <c:lblOffset val="0"/>
        <c:noMultiLvlLbl val="0"/>
      </c:catAx>
      <c:valAx>
        <c:axId val="194473984"/>
        <c:scaling>
          <c:orientation val="minMax"/>
          <c:max val="30"/>
          <c:min val="-45"/>
        </c:scaling>
        <c:delete val="0"/>
        <c:axPos val="l"/>
        <c:majorGridlines>
          <c:spPr>
            <a:ln w="6350">
              <a:solidFill>
                <a:schemeClr val="bg1">
                  <a:lumMod val="75000"/>
                </a:schemeClr>
              </a:solidFill>
            </a:ln>
          </c:spPr>
        </c:majorGridlines>
        <c:title>
          <c:tx>
            <c:rich>
              <a:bodyPr/>
              <a:lstStyle/>
              <a:p>
                <a:pPr>
                  <a:defRPr sz="700" b="0" i="1"/>
                </a:pPr>
                <a:r>
                  <a:rPr lang="cs-CZ" sz="700" b="0" i="1"/>
                  <a:t>Main</a:t>
                </a:r>
                <a:r>
                  <a:rPr lang="cs-CZ" sz="700" b="0" i="1" baseline="0"/>
                  <a:t> </a:t>
                </a:r>
                <a:r>
                  <a:rPr lang="cs-CZ" sz="700" b="0" i="1"/>
                  <a:t>tax revenues</a:t>
                </a:r>
              </a:p>
            </c:rich>
          </c:tx>
          <c:overlay val="0"/>
        </c:title>
        <c:numFmt formatCode="0" sourceLinked="0"/>
        <c:majorTickMark val="out"/>
        <c:minorTickMark val="none"/>
        <c:tickLblPos val="nextTo"/>
        <c:spPr>
          <a:ln w="6350">
            <a:solidFill>
              <a:schemeClr val="tx1"/>
            </a:solidFill>
          </a:ln>
        </c:spPr>
        <c:crossAx val="194467712"/>
        <c:crosses val="autoZero"/>
        <c:crossBetween val="between"/>
        <c:majorUnit val="5"/>
      </c:valAx>
      <c:valAx>
        <c:axId val="194475520"/>
        <c:scaling>
          <c:orientation val="minMax"/>
          <c:max val="300"/>
          <c:min val="-450"/>
        </c:scaling>
        <c:delete val="0"/>
        <c:axPos val="r"/>
        <c:title>
          <c:tx>
            <c:rich>
              <a:bodyPr/>
              <a:lstStyle/>
              <a:p>
                <a:pPr>
                  <a:defRPr sz="700" b="0" i="1"/>
                </a:pPr>
                <a:r>
                  <a:rPr lang="cs-CZ" sz="700" b="0" i="1"/>
                  <a:t>State budget balance</a:t>
                </a:r>
              </a:p>
            </c:rich>
          </c:tx>
          <c:overlay val="0"/>
        </c:title>
        <c:numFmt formatCode="#,##0" sourceLinked="0"/>
        <c:majorTickMark val="out"/>
        <c:minorTickMark val="none"/>
        <c:tickLblPos val="nextTo"/>
        <c:crossAx val="194477056"/>
        <c:crosses val="max"/>
        <c:crossBetween val="between"/>
        <c:majorUnit val="50"/>
      </c:valAx>
      <c:catAx>
        <c:axId val="194477056"/>
        <c:scaling>
          <c:orientation val="minMax"/>
        </c:scaling>
        <c:delete val="1"/>
        <c:axPos val="b"/>
        <c:numFmt formatCode="General" sourceLinked="1"/>
        <c:majorTickMark val="out"/>
        <c:minorTickMark val="none"/>
        <c:tickLblPos val="none"/>
        <c:crossAx val="194475520"/>
        <c:crosses val="autoZero"/>
        <c:auto val="1"/>
        <c:lblAlgn val="ctr"/>
        <c:lblOffset val="100"/>
        <c:noMultiLvlLbl val="0"/>
      </c:catAx>
      <c:spPr>
        <a:ln w="6350">
          <a:solidFill>
            <a:schemeClr val="tx1"/>
          </a:solidFill>
        </a:ln>
      </c:spPr>
    </c:plotArea>
    <c:legend>
      <c:legendPos val="b"/>
      <c:layout>
        <c:manualLayout>
          <c:xMode val="edge"/>
          <c:yMode val="edge"/>
          <c:x val="1.2976213978184912E-2"/>
          <c:y val="0.87917063492063496"/>
          <c:w val="0.97098232634607484"/>
          <c:h val="0.11321514421131233"/>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329773424963862E-2"/>
          <c:y val="1.7698902479006788E-2"/>
          <c:w val="0.82679258529004362"/>
          <c:h val="0.7567158159004691"/>
        </c:manualLayout>
      </c:layout>
      <c:barChart>
        <c:barDir val="col"/>
        <c:grouping val="clustered"/>
        <c:varyColors val="0"/>
        <c:ser>
          <c:idx val="0"/>
          <c:order val="0"/>
          <c:tx>
            <c:strRef>
              <c:f>'G2-St.rozpočet-výdaje'!$B$31</c:f>
              <c:strCache>
                <c:ptCount val="1"/>
                <c:pt idx="0">
                  <c:v>Total current expenditures (right axis)</c:v>
                </c:pt>
              </c:strCache>
            </c:strRef>
          </c:tx>
          <c:spPr>
            <a:solidFill>
              <a:srgbClr val="D3D3D3"/>
            </a:solidFill>
            <a:ln>
              <a:noFill/>
            </a:ln>
          </c:spPr>
          <c:invertIfNegative val="0"/>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'G2-St.rozpočet-výdaje'!$B$34:$B$49</c:f>
              <c:numCache>
                <c:formatCode>0.0</c:formatCode>
                <c:ptCount val="16"/>
                <c:pt idx="0">
                  <c:v>973.85</c:v>
                </c:pt>
                <c:pt idx="1">
                  <c:v>975.86</c:v>
                </c:pt>
                <c:pt idx="2">
                  <c:v>1032.78</c:v>
                </c:pt>
                <c:pt idx="3">
                  <c:v>1021.89</c:v>
                </c:pt>
                <c:pt idx="4">
                  <c:v>1031.83</c:v>
                </c:pt>
                <c:pt idx="5">
                  <c:v>1038.76</c:v>
                </c:pt>
                <c:pt idx="6">
                  <c:v>1070.8130000000001</c:v>
                </c:pt>
                <c:pt idx="7">
                  <c:v>1100.1020000000001</c:v>
                </c:pt>
                <c:pt idx="8">
                  <c:v>1121.6600000000001</c:v>
                </c:pt>
                <c:pt idx="9">
                  <c:v>1135.57</c:v>
                </c:pt>
                <c:pt idx="10">
                  <c:v>1198.05</c:v>
                </c:pt>
                <c:pt idx="11">
                  <c:v>1284.5</c:v>
                </c:pt>
                <c:pt idx="12">
                  <c:v>1412.5989294339895</c:v>
                </c:pt>
                <c:pt idx="13">
                  <c:v>1670.3085864663701</c:v>
                </c:pt>
                <c:pt idx="14">
                  <c:v>1729.78958897348</c:v>
                </c:pt>
                <c:pt idx="15">
                  <c:v>1797.9543482348001</c:v>
                </c:pt>
              </c:numCache>
            </c:numRef>
          </c:val>
          <c:extLst>
            <c:ext xmlns:c16="http://schemas.microsoft.com/office/drawing/2014/chart" uri="{C3380CC4-5D6E-409C-BE32-E72D297353CC}">
              <c16:uniqueId val="{00000000-90CC-4C79-8154-0BA7686BE574}"/>
            </c:ext>
          </c:extLst>
        </c:ser>
        <c:dLbls>
          <c:showLegendKey val="0"/>
          <c:showVal val="0"/>
          <c:showCatName val="0"/>
          <c:showSerName val="0"/>
          <c:showPercent val="0"/>
          <c:showBubbleSize val="0"/>
        </c:dLbls>
        <c:gapWidth val="70"/>
        <c:axId val="72836608"/>
        <c:axId val="72835072"/>
      </c:barChart>
      <c:lineChart>
        <c:grouping val="standard"/>
        <c:varyColors val="0"/>
        <c:ser>
          <c:idx val="1"/>
          <c:order val="1"/>
          <c:tx>
            <c:strRef>
              <c:f>'G2-St.rozpočet-výdaje'!$C$31</c:f>
              <c:strCache>
                <c:ptCount val="1"/>
                <c:pt idx="0">
                  <c:v>Wages of employees in publ. admin.*</c:v>
                </c:pt>
              </c:strCache>
            </c:strRef>
          </c:tx>
          <c:spPr>
            <a:ln w="15875">
              <a:solidFill>
                <a:srgbClr val="F8A124"/>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'G2-St.rozpočet-výdaje'!$C$34:$C$49</c:f>
              <c:numCache>
                <c:formatCode>0.0</c:formatCode>
                <c:ptCount val="16"/>
                <c:pt idx="0">
                  <c:v>95.76</c:v>
                </c:pt>
                <c:pt idx="1">
                  <c:v>97.33</c:v>
                </c:pt>
                <c:pt idx="2">
                  <c:v>100.19</c:v>
                </c:pt>
                <c:pt idx="3">
                  <c:v>97.67</c:v>
                </c:pt>
                <c:pt idx="4">
                  <c:v>89.6</c:v>
                </c:pt>
                <c:pt idx="5">
                  <c:v>90.45</c:v>
                </c:pt>
                <c:pt idx="6">
                  <c:v>92.375</c:v>
                </c:pt>
                <c:pt idx="7">
                  <c:v>96.582999999999998</c:v>
                </c:pt>
                <c:pt idx="8">
                  <c:v>104.19</c:v>
                </c:pt>
                <c:pt idx="9">
                  <c:v>109.86</c:v>
                </c:pt>
                <c:pt idx="10">
                  <c:v>120.08</c:v>
                </c:pt>
                <c:pt idx="11">
                  <c:v>133.9</c:v>
                </c:pt>
                <c:pt idx="12">
                  <c:v>143.72754730148006</c:v>
                </c:pt>
                <c:pt idx="13">
                  <c:v>150.49796216553</c:v>
                </c:pt>
                <c:pt idx="14">
                  <c:v>152.83601356255002</c:v>
                </c:pt>
                <c:pt idx="15">
                  <c:v>153.60033768561999</c:v>
                </c:pt>
              </c:numCache>
            </c:numRef>
          </c:val>
          <c:smooth val="0"/>
          <c:extLst>
            <c:ext xmlns:c16="http://schemas.microsoft.com/office/drawing/2014/chart" uri="{C3380CC4-5D6E-409C-BE32-E72D297353CC}">
              <c16:uniqueId val="{00000001-90CC-4C79-8154-0BA7686BE574}"/>
            </c:ext>
          </c:extLst>
        </c:ser>
        <c:ser>
          <c:idx val="6"/>
          <c:order val="2"/>
          <c:tx>
            <c:strRef>
              <c:f>'G2-St.rozpočet-výdaje'!$D$31</c:f>
              <c:strCache>
                <c:ptCount val="1"/>
                <c:pt idx="0">
                  <c:v>Unemployment benefits</c:v>
                </c:pt>
              </c:strCache>
            </c:strRef>
          </c:tx>
          <c:spPr>
            <a:ln w="15875">
              <a:solidFill>
                <a:srgbClr val="48AEE7"/>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'G2-St.rozpočet-výdaje'!$D$34:$D$49</c:f>
              <c:numCache>
                <c:formatCode>0.0</c:formatCode>
                <c:ptCount val="16"/>
                <c:pt idx="0">
                  <c:v>7.24</c:v>
                </c:pt>
                <c:pt idx="1">
                  <c:v>7.11</c:v>
                </c:pt>
                <c:pt idx="2">
                  <c:v>15.077999999999999</c:v>
                </c:pt>
                <c:pt idx="3">
                  <c:v>13.355</c:v>
                </c:pt>
                <c:pt idx="4">
                  <c:v>10.349</c:v>
                </c:pt>
                <c:pt idx="5">
                  <c:v>8.76</c:v>
                </c:pt>
                <c:pt idx="6">
                  <c:v>9.65</c:v>
                </c:pt>
                <c:pt idx="7">
                  <c:v>9.2620000000000005</c:v>
                </c:pt>
                <c:pt idx="8">
                  <c:v>8.2759999999999998</c:v>
                </c:pt>
                <c:pt idx="9">
                  <c:v>8.2200000000000006</c:v>
                </c:pt>
                <c:pt idx="10">
                  <c:v>7.82</c:v>
                </c:pt>
                <c:pt idx="11">
                  <c:v>7.51</c:v>
                </c:pt>
                <c:pt idx="12">
                  <c:v>8.1136251569399995</c:v>
                </c:pt>
                <c:pt idx="13">
                  <c:v>10.524849742540001</c:v>
                </c:pt>
                <c:pt idx="14">
                  <c:v>9.9694941281400009</c:v>
                </c:pt>
                <c:pt idx="15">
                  <c:v>9.8510506837400005</c:v>
                </c:pt>
              </c:numCache>
            </c:numRef>
          </c:val>
          <c:smooth val="0"/>
          <c:extLst>
            <c:ext xmlns:c16="http://schemas.microsoft.com/office/drawing/2014/chart" uri="{C3380CC4-5D6E-409C-BE32-E72D297353CC}">
              <c16:uniqueId val="{00000002-90CC-4C79-8154-0BA7686BE574}"/>
            </c:ext>
          </c:extLst>
        </c:ser>
        <c:ser>
          <c:idx val="7"/>
          <c:order val="3"/>
          <c:tx>
            <c:strRef>
              <c:f>'G2-St.rozpočet-výdaje'!$E$31</c:f>
              <c:strCache>
                <c:ptCount val="1"/>
                <c:pt idx="0">
                  <c:v>State social support**</c:v>
                </c:pt>
              </c:strCache>
            </c:strRef>
          </c:tx>
          <c:spPr>
            <a:ln w="15875">
              <a:solidFill>
                <a:srgbClr val="00B05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'G2-St.rozpočet-výdaje'!$E$34:$E$49</c:f>
              <c:numCache>
                <c:formatCode>0.0</c:formatCode>
                <c:ptCount val="16"/>
                <c:pt idx="0">
                  <c:v>49.47</c:v>
                </c:pt>
                <c:pt idx="1">
                  <c:v>41.97</c:v>
                </c:pt>
                <c:pt idx="2">
                  <c:v>41.167999999999999</c:v>
                </c:pt>
                <c:pt idx="3">
                  <c:v>40.881</c:v>
                </c:pt>
                <c:pt idx="4">
                  <c:v>36.094000000000001</c:v>
                </c:pt>
                <c:pt idx="5">
                  <c:v>35.554000000000002</c:v>
                </c:pt>
                <c:pt idx="6">
                  <c:v>37.423000000000002</c:v>
                </c:pt>
                <c:pt idx="7">
                  <c:v>37.543999999999997</c:v>
                </c:pt>
                <c:pt idx="8">
                  <c:v>37.65</c:v>
                </c:pt>
                <c:pt idx="9">
                  <c:v>37.78</c:v>
                </c:pt>
                <c:pt idx="10">
                  <c:v>37.22</c:v>
                </c:pt>
                <c:pt idx="11">
                  <c:v>39.22</c:v>
                </c:pt>
                <c:pt idx="12">
                  <c:v>37.87859106618</c:v>
                </c:pt>
                <c:pt idx="13">
                  <c:v>51.685289497479999</c:v>
                </c:pt>
                <c:pt idx="14">
                  <c:v>48.771589956349999</c:v>
                </c:pt>
                <c:pt idx="15">
                  <c:v>56.352518862019998</c:v>
                </c:pt>
              </c:numCache>
            </c:numRef>
          </c:val>
          <c:smooth val="0"/>
          <c:extLst>
            <c:ext xmlns:c16="http://schemas.microsoft.com/office/drawing/2014/chart" uri="{C3380CC4-5D6E-409C-BE32-E72D297353CC}">
              <c16:uniqueId val="{00000003-90CC-4C79-8154-0BA7686BE574}"/>
            </c:ext>
          </c:extLst>
        </c:ser>
        <c:ser>
          <c:idx val="2"/>
          <c:order val="4"/>
          <c:tx>
            <c:strRef>
              <c:f>'G2-St.rozpočet-výdaje'!$F$31</c:f>
              <c:strCache>
                <c:ptCount val="1"/>
                <c:pt idx="0">
                  <c:v>Sickness benefits</c:v>
                </c:pt>
              </c:strCache>
            </c:strRef>
          </c:tx>
          <c:spPr>
            <a:ln w="15875">
              <a:solidFill>
                <a:srgbClr val="0071BC"/>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'G2-St.rozpočet-výdaje'!$F$34:$F$49</c:f>
              <c:numCache>
                <c:formatCode>0.0</c:formatCode>
                <c:ptCount val="16"/>
                <c:pt idx="0">
                  <c:v>34.670999999999999</c:v>
                </c:pt>
                <c:pt idx="1">
                  <c:v>31.882000000000001</c:v>
                </c:pt>
                <c:pt idx="2">
                  <c:v>26.233000000000001</c:v>
                </c:pt>
                <c:pt idx="3">
                  <c:v>22.995999999999999</c:v>
                </c:pt>
                <c:pt idx="4">
                  <c:v>21.734000000000002</c:v>
                </c:pt>
                <c:pt idx="5">
                  <c:v>19.602</c:v>
                </c:pt>
                <c:pt idx="6">
                  <c:v>20.350000000000001</c:v>
                </c:pt>
                <c:pt idx="7">
                  <c:v>22.283000000000001</c:v>
                </c:pt>
                <c:pt idx="8">
                  <c:v>24.31</c:v>
                </c:pt>
                <c:pt idx="9">
                  <c:v>26.5</c:v>
                </c:pt>
                <c:pt idx="10">
                  <c:v>28.57</c:v>
                </c:pt>
                <c:pt idx="11">
                  <c:v>34.173699999999997</c:v>
                </c:pt>
                <c:pt idx="12">
                  <c:v>39.094712799999996</c:v>
                </c:pt>
                <c:pt idx="13">
                  <c:v>55.4</c:v>
                </c:pt>
                <c:pt idx="14">
                  <c:v>51.355800000000002</c:v>
                </c:pt>
                <c:pt idx="15">
                  <c:v>47.630528750690004</c:v>
                </c:pt>
              </c:numCache>
            </c:numRef>
          </c:val>
          <c:smooth val="0"/>
          <c:extLst>
            <c:ext xmlns:c16="http://schemas.microsoft.com/office/drawing/2014/chart" uri="{C3380CC4-5D6E-409C-BE32-E72D297353CC}">
              <c16:uniqueId val="{00000004-90CC-4C79-8154-0BA7686BE574}"/>
            </c:ext>
          </c:extLst>
        </c:ser>
        <c:ser>
          <c:idx val="3"/>
          <c:order val="5"/>
          <c:tx>
            <c:strRef>
              <c:f>'G2-St.rozpočet-výdaje'!$G$31</c:f>
              <c:strCache>
                <c:ptCount val="1"/>
                <c:pt idx="0">
                  <c:v>Social care benefits***</c:v>
                </c:pt>
              </c:strCache>
            </c:strRef>
          </c:tx>
          <c:spPr>
            <a:ln w="15875">
              <a:solidFill>
                <a:srgbClr val="7030A0"/>
              </a:solidFill>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'G2-St.rozpočet-výdaje'!$G$34:$G$49</c:f>
              <c:numCache>
                <c:formatCode>0.0</c:formatCode>
                <c:ptCount val="16"/>
                <c:pt idx="0">
                  <c:v>20.811</c:v>
                </c:pt>
                <c:pt idx="1">
                  <c:v>23.542000000000002</c:v>
                </c:pt>
                <c:pt idx="2">
                  <c:v>24.256</c:v>
                </c:pt>
                <c:pt idx="3">
                  <c:v>25.292000000000002</c:v>
                </c:pt>
                <c:pt idx="4">
                  <c:v>24.966999999999999</c:v>
                </c:pt>
                <c:pt idx="5">
                  <c:v>27.695499999999999</c:v>
                </c:pt>
                <c:pt idx="6">
                  <c:v>31.978999999999999</c:v>
                </c:pt>
                <c:pt idx="7">
                  <c:v>33.622</c:v>
                </c:pt>
                <c:pt idx="8">
                  <c:v>33.621000000000002</c:v>
                </c:pt>
                <c:pt idx="9">
                  <c:v>34.295000000000002</c:v>
                </c:pt>
                <c:pt idx="10">
                  <c:v>34.439</c:v>
                </c:pt>
                <c:pt idx="11">
                  <c:v>33.990400000000001</c:v>
                </c:pt>
                <c:pt idx="12">
                  <c:v>36.831099999999999</c:v>
                </c:pt>
                <c:pt idx="13">
                  <c:v>40.510199999999998</c:v>
                </c:pt>
                <c:pt idx="14">
                  <c:v>40.537129800000002</c:v>
                </c:pt>
              </c:numCache>
            </c:numRef>
          </c:val>
          <c:smooth val="0"/>
          <c:extLst>
            <c:ext xmlns:c16="http://schemas.microsoft.com/office/drawing/2014/chart" uri="{C3380CC4-5D6E-409C-BE32-E72D297353CC}">
              <c16:uniqueId val="{00000005-90CC-4C79-8154-0BA7686BE574}"/>
            </c:ext>
          </c:extLst>
        </c:ser>
        <c:ser>
          <c:idx val="4"/>
          <c:order val="6"/>
          <c:tx>
            <c:strRef>
              <c:f>'G2-St.rozpočet-výdaje'!$H$31</c:f>
              <c:strCache>
                <c:ptCount val="1"/>
                <c:pt idx="0">
                  <c:v>Non-invest.purchases&amp;related expend.****</c:v>
                </c:pt>
              </c:strCache>
            </c:strRef>
          </c:tx>
          <c:spPr>
            <a:ln w="15875">
              <a:solidFill>
                <a:srgbClr val="D5D000"/>
              </a:solidFill>
              <a:prstDash val="solid"/>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'G2-St.rozpočet-výdaje'!$H$34:$H$49</c:f>
              <c:numCache>
                <c:formatCode>0.0</c:formatCode>
                <c:ptCount val="16"/>
                <c:pt idx="0">
                  <c:v>63.827000000000005</c:v>
                </c:pt>
                <c:pt idx="1">
                  <c:v>71.581999999999994</c:v>
                </c:pt>
                <c:pt idx="2">
                  <c:v>69.73</c:v>
                </c:pt>
                <c:pt idx="3">
                  <c:v>65.116</c:v>
                </c:pt>
                <c:pt idx="4">
                  <c:v>57.98</c:v>
                </c:pt>
                <c:pt idx="5">
                  <c:v>53.174999999999997</c:v>
                </c:pt>
                <c:pt idx="6">
                  <c:v>54.192999999999998</c:v>
                </c:pt>
                <c:pt idx="7">
                  <c:v>54.751000000000005</c:v>
                </c:pt>
                <c:pt idx="8">
                  <c:v>62.36</c:v>
                </c:pt>
                <c:pt idx="9">
                  <c:v>57.560000000000009</c:v>
                </c:pt>
                <c:pt idx="10">
                  <c:v>62.76</c:v>
                </c:pt>
                <c:pt idx="11">
                  <c:v>68.41</c:v>
                </c:pt>
                <c:pt idx="12">
                  <c:v>66.430000000000007</c:v>
                </c:pt>
                <c:pt idx="13">
                  <c:v>77.884951001920001</c:v>
                </c:pt>
                <c:pt idx="14">
                  <c:v>78.966372350420002</c:v>
                </c:pt>
                <c:pt idx="15">
                  <c:v>91.408634165139986</c:v>
                </c:pt>
              </c:numCache>
            </c:numRef>
          </c:val>
          <c:smooth val="0"/>
          <c:extLst>
            <c:ext xmlns:c16="http://schemas.microsoft.com/office/drawing/2014/chart" uri="{C3380CC4-5D6E-409C-BE32-E72D297353CC}">
              <c16:uniqueId val="{00000006-90CC-4C79-8154-0BA7686BE574}"/>
            </c:ext>
          </c:extLst>
        </c:ser>
        <c:ser>
          <c:idx val="5"/>
          <c:order val="7"/>
          <c:tx>
            <c:strRef>
              <c:f>'G2-St.rozpočet-výdaje'!$I$31</c:f>
              <c:strCache>
                <c:ptCount val="1"/>
                <c:pt idx="0">
                  <c:v>State debt (net expenditures) *****</c:v>
                </c:pt>
              </c:strCache>
            </c:strRef>
          </c:tx>
          <c:spPr>
            <a:ln w="15875">
              <a:solidFill>
                <a:srgbClr val="996633"/>
              </a:solidFill>
              <a:prstDash val="sys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'G2-St.rozpočet-výdaje'!$I$34:$I$49</c:f>
              <c:numCache>
                <c:formatCode>0.0</c:formatCode>
                <c:ptCount val="16"/>
                <c:pt idx="0">
                  <c:v>34.130000000000003</c:v>
                </c:pt>
                <c:pt idx="1">
                  <c:v>37.64</c:v>
                </c:pt>
                <c:pt idx="2">
                  <c:v>44.46</c:v>
                </c:pt>
                <c:pt idx="3">
                  <c:v>35.840000000000003</c:v>
                </c:pt>
                <c:pt idx="4">
                  <c:v>45.120000000000005</c:v>
                </c:pt>
                <c:pt idx="5">
                  <c:v>41.400000000000006</c:v>
                </c:pt>
                <c:pt idx="6">
                  <c:v>50.89</c:v>
                </c:pt>
                <c:pt idx="7">
                  <c:v>48.49</c:v>
                </c:pt>
                <c:pt idx="8">
                  <c:v>45.28</c:v>
                </c:pt>
                <c:pt idx="9">
                  <c:v>40.65</c:v>
                </c:pt>
                <c:pt idx="10">
                  <c:v>39.769999999999996</c:v>
                </c:pt>
                <c:pt idx="11">
                  <c:v>40.729999999999997</c:v>
                </c:pt>
                <c:pt idx="12">
                  <c:v>39.550577993799998</c:v>
                </c:pt>
                <c:pt idx="13">
                  <c:v>40.145474011320005</c:v>
                </c:pt>
                <c:pt idx="14">
                  <c:v>42.233847726199997</c:v>
                </c:pt>
                <c:pt idx="15">
                  <c:v>49.705483243529997</c:v>
                </c:pt>
              </c:numCache>
            </c:numRef>
          </c:val>
          <c:smooth val="0"/>
          <c:extLst>
            <c:ext xmlns:c16="http://schemas.microsoft.com/office/drawing/2014/chart" uri="{C3380CC4-5D6E-409C-BE32-E72D297353CC}">
              <c16:uniqueId val="{00000007-90CC-4C79-8154-0BA7686BE574}"/>
            </c:ext>
          </c:extLst>
        </c:ser>
        <c:ser>
          <c:idx val="8"/>
          <c:order val="8"/>
          <c:tx>
            <c:strRef>
              <c:f>'G2-St.rozpočet-výdaje'!$J$31</c:f>
              <c:strCache>
                <c:ptCount val="1"/>
                <c:pt idx="0">
                  <c:v>Non-investment transfers to private entities</c:v>
                </c:pt>
              </c:strCache>
            </c:strRef>
          </c:tx>
          <c:spPr>
            <a:ln w="15875">
              <a:solidFill>
                <a:schemeClr val="tx1">
                  <a:lumMod val="95000"/>
                  <a:lumOff val="5000"/>
                </a:schemeClr>
              </a:solidFill>
              <a:prstDash val="dash"/>
            </a:ln>
          </c:spPr>
          <c:marker>
            <c:symbol val="none"/>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'G2-St.rozpočet-výdaje'!$J$34:$J$49</c:f>
              <c:numCache>
                <c:formatCode>0.00</c:formatCode>
                <c:ptCount val="16"/>
                <c:pt idx="0">
                  <c:v>23.696000000000002</c:v>
                </c:pt>
                <c:pt idx="1">
                  <c:v>26.108000000000001</c:v>
                </c:pt>
                <c:pt idx="2">
                  <c:v>28.491</c:v>
                </c:pt>
                <c:pt idx="3">
                  <c:v>28.100999999999999</c:v>
                </c:pt>
                <c:pt idx="4">
                  <c:v>33.262999999999998</c:v>
                </c:pt>
                <c:pt idx="5">
                  <c:v>35.61</c:v>
                </c:pt>
                <c:pt idx="6">
                  <c:v>35.03</c:v>
                </c:pt>
                <c:pt idx="7">
                  <c:v>41.23</c:v>
                </c:pt>
                <c:pt idx="8">
                  <c:v>39.14</c:v>
                </c:pt>
                <c:pt idx="9">
                  <c:v>44.23</c:v>
                </c:pt>
                <c:pt idx="10">
                  <c:v>48.3</c:v>
                </c:pt>
                <c:pt idx="11">
                  <c:v>57.32</c:v>
                </c:pt>
                <c:pt idx="12">
                  <c:v>57.932912725290002</c:v>
                </c:pt>
                <c:pt idx="13">
                  <c:v>106.75302514385</c:v>
                </c:pt>
                <c:pt idx="14">
                  <c:v>125.41352918255001</c:v>
                </c:pt>
                <c:pt idx="15">
                  <c:v>89.292856818779995</c:v>
                </c:pt>
              </c:numCache>
            </c:numRef>
          </c:val>
          <c:smooth val="0"/>
          <c:extLst>
            <c:ext xmlns:c16="http://schemas.microsoft.com/office/drawing/2014/chart" uri="{C3380CC4-5D6E-409C-BE32-E72D297353CC}">
              <c16:uniqueId val="{00000008-90CC-4C79-8154-0BA7686BE574}"/>
            </c:ext>
          </c:extLst>
        </c:ser>
        <c:ser>
          <c:idx val="9"/>
          <c:order val="9"/>
          <c:tx>
            <c:strRef>
              <c:f>'G2-St.rozpočet-výdaje'!$K$31</c:f>
              <c:strCache>
                <c:ptCount val="1"/>
                <c:pt idx="0">
                  <c:v>Capital expenditures</c:v>
                </c:pt>
              </c:strCache>
            </c:strRef>
          </c:tx>
          <c:spPr>
            <a:ln w="9525">
              <a:solidFill>
                <a:srgbClr val="C00000"/>
              </a:solidFill>
              <a:prstDash val="sysDot"/>
            </a:ln>
          </c:spPr>
          <c:marker>
            <c:symbol val="circle"/>
            <c:size val="4"/>
            <c:spPr>
              <a:solidFill>
                <a:srgbClr val="C00000"/>
              </a:solidFill>
              <a:ln>
                <a:noFill/>
              </a:ln>
            </c:spPr>
          </c:marker>
          <c:cat>
            <c:numRef>
              <c:f>'G2-St.rozpočet-výdaje'!$A$34:$A$49</c:f>
              <c:numCache>
                <c:formatCode>General</c:formatCode>
                <c:ptCount val="16"/>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pt idx="14">
                  <c:v>2021</c:v>
                </c:pt>
                <c:pt idx="15">
                  <c:v>2022</c:v>
                </c:pt>
              </c:numCache>
            </c:numRef>
          </c:cat>
          <c:val>
            <c:numRef>
              <c:f>'G2-St.rozpočet-výdaje'!$K$34:$K$49</c:f>
              <c:numCache>
                <c:formatCode>0.0</c:formatCode>
                <c:ptCount val="16"/>
                <c:pt idx="0">
                  <c:v>118.42</c:v>
                </c:pt>
                <c:pt idx="1">
                  <c:v>108.08</c:v>
                </c:pt>
                <c:pt idx="2">
                  <c:v>134.22999999999999</c:v>
                </c:pt>
                <c:pt idx="3">
                  <c:v>134.91</c:v>
                </c:pt>
                <c:pt idx="4">
                  <c:v>123.69</c:v>
                </c:pt>
                <c:pt idx="5">
                  <c:v>113.62</c:v>
                </c:pt>
                <c:pt idx="6">
                  <c:v>102.315</c:v>
                </c:pt>
                <c:pt idx="7">
                  <c:v>111.50700000000001</c:v>
                </c:pt>
                <c:pt idx="8">
                  <c:v>175.66</c:v>
                </c:pt>
                <c:pt idx="9">
                  <c:v>84.27</c:v>
                </c:pt>
                <c:pt idx="10">
                  <c:v>81.75</c:v>
                </c:pt>
                <c:pt idx="11">
                  <c:v>116.46</c:v>
                </c:pt>
                <c:pt idx="12">
                  <c:v>139.13928546782003</c:v>
                </c:pt>
                <c:pt idx="13">
                  <c:v>172.62079654905</c:v>
                </c:pt>
                <c:pt idx="14">
                  <c:v>177.13556603782001</c:v>
                </c:pt>
                <c:pt idx="15">
                  <c:v>186.85457144361001</c:v>
                </c:pt>
              </c:numCache>
            </c:numRef>
          </c:val>
          <c:smooth val="0"/>
          <c:extLst>
            <c:ext xmlns:c16="http://schemas.microsoft.com/office/drawing/2014/chart" uri="{C3380CC4-5D6E-409C-BE32-E72D297353CC}">
              <c16:uniqueId val="{00000009-90CC-4C79-8154-0BA7686BE574}"/>
            </c:ext>
          </c:extLst>
        </c:ser>
        <c:dLbls>
          <c:showLegendKey val="0"/>
          <c:showVal val="0"/>
          <c:showCatName val="0"/>
          <c:showSerName val="0"/>
          <c:showPercent val="0"/>
          <c:showBubbleSize val="0"/>
        </c:dLbls>
        <c:marker val="1"/>
        <c:smooth val="0"/>
        <c:axId val="72827648"/>
        <c:axId val="72829184"/>
      </c:lineChart>
      <c:catAx>
        <c:axId val="72827648"/>
        <c:scaling>
          <c:orientation val="minMax"/>
        </c:scaling>
        <c:delete val="0"/>
        <c:axPos val="b"/>
        <c:numFmt formatCode="General" sourceLinked="1"/>
        <c:majorTickMark val="out"/>
        <c:minorTickMark val="none"/>
        <c:tickLblPos val="low"/>
        <c:spPr>
          <a:ln w="6350">
            <a:solidFill>
              <a:schemeClr val="bg1">
                <a:lumMod val="50000"/>
              </a:schemeClr>
            </a:solidFill>
          </a:ln>
        </c:spPr>
        <c:crossAx val="72829184"/>
        <c:crosses val="autoZero"/>
        <c:auto val="1"/>
        <c:lblAlgn val="ctr"/>
        <c:lblOffset val="20"/>
        <c:noMultiLvlLbl val="0"/>
      </c:catAx>
      <c:valAx>
        <c:axId val="72829184"/>
        <c:scaling>
          <c:orientation val="minMax"/>
          <c:max val="200"/>
          <c:min val="0"/>
        </c:scaling>
        <c:delete val="0"/>
        <c:axPos val="l"/>
        <c:majorGridlines>
          <c:spPr>
            <a:ln w="6350">
              <a:solidFill>
                <a:schemeClr val="bg1">
                  <a:lumMod val="75000"/>
                </a:schemeClr>
              </a:solidFill>
            </a:ln>
          </c:spPr>
        </c:majorGridlines>
        <c:title>
          <c:tx>
            <c:rich>
              <a:bodyPr/>
              <a:lstStyle/>
              <a:p>
                <a:pPr>
                  <a:defRPr sz="700" b="0" i="1"/>
                </a:pPr>
                <a:r>
                  <a:rPr lang="cs-CZ" sz="700" b="0" i="1"/>
                  <a:t>Selected expenditures</a:t>
                </a:r>
              </a:p>
            </c:rich>
          </c:tx>
          <c:overlay val="0"/>
        </c:title>
        <c:numFmt formatCode="0" sourceLinked="0"/>
        <c:majorTickMark val="out"/>
        <c:minorTickMark val="none"/>
        <c:tickLblPos val="nextTo"/>
        <c:spPr>
          <a:ln w="6350">
            <a:solidFill>
              <a:schemeClr val="tx1"/>
            </a:solidFill>
          </a:ln>
        </c:spPr>
        <c:crossAx val="72827648"/>
        <c:crosses val="autoZero"/>
        <c:crossBetween val="between"/>
        <c:majorUnit val="20"/>
      </c:valAx>
      <c:valAx>
        <c:axId val="72835072"/>
        <c:scaling>
          <c:orientation val="minMax"/>
          <c:max val="2000"/>
          <c:min val="0"/>
        </c:scaling>
        <c:delete val="0"/>
        <c:axPos val="r"/>
        <c:title>
          <c:tx>
            <c:rich>
              <a:bodyPr/>
              <a:lstStyle/>
              <a:p>
                <a:pPr>
                  <a:defRPr sz="700" b="0" i="1"/>
                </a:pPr>
                <a:r>
                  <a:rPr lang="cs-CZ" sz="700" b="0" i="1"/>
                  <a:t>Total current expenditures)</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72836608"/>
        <c:crosses val="max"/>
        <c:crossBetween val="between"/>
        <c:majorUnit val="200"/>
        <c:minorUnit val="10"/>
      </c:valAx>
      <c:catAx>
        <c:axId val="72836608"/>
        <c:scaling>
          <c:orientation val="minMax"/>
        </c:scaling>
        <c:delete val="1"/>
        <c:axPos val="b"/>
        <c:numFmt formatCode="General" sourceLinked="1"/>
        <c:majorTickMark val="out"/>
        <c:minorTickMark val="none"/>
        <c:tickLblPos val="none"/>
        <c:crossAx val="72835072"/>
        <c:crosses val="autoZero"/>
        <c:auto val="1"/>
        <c:lblAlgn val="ctr"/>
        <c:lblOffset val="100"/>
        <c:noMultiLvlLbl val="0"/>
      </c:catAx>
      <c:spPr>
        <a:ln w="6350">
          <a:solidFill>
            <a:schemeClr val="tx1"/>
          </a:solidFill>
        </a:ln>
      </c:spPr>
    </c:plotArea>
    <c:legend>
      <c:legendPos val="b"/>
      <c:layout>
        <c:manualLayout>
          <c:xMode val="edge"/>
          <c:yMode val="edge"/>
          <c:x val="4.9271426954858796E-3"/>
          <c:y val="0.82695581191689638"/>
          <c:w val="0.9902846546325893"/>
          <c:h val="0.16585489978301934"/>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3'!$D$26:$D$49</c:f>
              <c:numCache>
                <c:formatCode>#\ ##0.0</c:formatCode>
                <c:ptCount val="24"/>
                <c:pt idx="0">
                  <c:v>1.1724461062125424</c:v>
                </c:pt>
                <c:pt idx="1">
                  <c:v>1.3838280833932579</c:v>
                </c:pt>
                <c:pt idx="2">
                  <c:v>1.3029633342515592</c:v>
                </c:pt>
                <c:pt idx="3">
                  <c:v>1.0570981809373126</c:v>
                </c:pt>
                <c:pt idx="4">
                  <c:v>1.5755125159315493</c:v>
                </c:pt>
                <c:pt idx="5">
                  <c:v>1.2433932618107362</c:v>
                </c:pt>
                <c:pt idx="6">
                  <c:v>0.98503190180886591</c:v>
                </c:pt>
                <c:pt idx="7">
                  <c:v>0.86242373693181407</c:v>
                </c:pt>
                <c:pt idx="8">
                  <c:v>0.93405360633092516</c:v>
                </c:pt>
                <c:pt idx="9">
                  <c:v>1.3264749570937773</c:v>
                </c:pt>
                <c:pt idx="10">
                  <c:v>1.0320858874492613</c:v>
                </c:pt>
                <c:pt idx="11">
                  <c:v>1.1072516380596791</c:v>
                </c:pt>
                <c:pt idx="12">
                  <c:v>-1.0200898881441904</c:v>
                </c:pt>
                <c:pt idx="13">
                  <c:v>-3.319130632152298</c:v>
                </c:pt>
                <c:pt idx="14">
                  <c:v>-1.7922184957520035</c:v>
                </c:pt>
                <c:pt idx="15">
                  <c:v>-4.4205469928881964</c:v>
                </c:pt>
                <c:pt idx="16">
                  <c:v>-2.9518338941199556</c:v>
                </c:pt>
                <c:pt idx="17">
                  <c:v>1.8968770554897822</c:v>
                </c:pt>
                <c:pt idx="18">
                  <c:v>1.8846956040757776</c:v>
                </c:pt>
                <c:pt idx="19">
                  <c:v>3.2917123189007609</c:v>
                </c:pt>
                <c:pt idx="20">
                  <c:v>3.1814812425400443</c:v>
                </c:pt>
                <c:pt idx="21">
                  <c:v>-7.4174055396546874E-3</c:v>
                </c:pt>
                <c:pt idx="22">
                  <c:v>-2.8088511245861643</c:v>
                </c:pt>
                <c:pt idx="23">
                  <c:v>-2.86347508964429</c:v>
                </c:pt>
              </c:numCache>
            </c:numRef>
          </c:val>
          <c:extLst>
            <c:ext xmlns:c16="http://schemas.microsoft.com/office/drawing/2014/chart" uri="{C3380CC4-5D6E-409C-BE32-E72D297353CC}">
              <c16:uniqueId val="{00000000-1C39-4C2A-B7AC-22DBB430B829}"/>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3'!$E$26:$E$49</c:f>
              <c:numCache>
                <c:formatCode>#\ ##0.0</c:formatCode>
                <c:ptCount val="24"/>
                <c:pt idx="0">
                  <c:v>0.43568874146674696</c:v>
                </c:pt>
                <c:pt idx="1">
                  <c:v>0.31651507948948093</c:v>
                </c:pt>
                <c:pt idx="2">
                  <c:v>0.23074272942367355</c:v>
                </c:pt>
                <c:pt idx="3">
                  <c:v>0.28553793240162256</c:v>
                </c:pt>
                <c:pt idx="4">
                  <c:v>0.57412630446352575</c:v>
                </c:pt>
                <c:pt idx="5">
                  <c:v>0.65995211680089227</c:v>
                </c:pt>
                <c:pt idx="6">
                  <c:v>0.81778085262984523</c:v>
                </c:pt>
                <c:pt idx="7">
                  <c:v>0.81086488978039961</c:v>
                </c:pt>
                <c:pt idx="8">
                  <c:v>0.45281581800869153</c:v>
                </c:pt>
                <c:pt idx="9">
                  <c:v>0.47909637272946859</c:v>
                </c:pt>
                <c:pt idx="10">
                  <c:v>0.44460153705879746</c:v>
                </c:pt>
                <c:pt idx="11">
                  <c:v>0.33726571383782183</c:v>
                </c:pt>
                <c:pt idx="12">
                  <c:v>0.80451284992688055</c:v>
                </c:pt>
                <c:pt idx="13">
                  <c:v>0.70708681585804789</c:v>
                </c:pt>
                <c:pt idx="14">
                  <c:v>0.41395179326421938</c:v>
                </c:pt>
                <c:pt idx="15">
                  <c:v>1.2239863422317085</c:v>
                </c:pt>
                <c:pt idx="16">
                  <c:v>0.19935804269977092</c:v>
                </c:pt>
                <c:pt idx="17">
                  <c:v>0.11457182275232361</c:v>
                </c:pt>
                <c:pt idx="18">
                  <c:v>0.66663542409335319</c:v>
                </c:pt>
                <c:pt idx="19">
                  <c:v>-4.6599956234866978E-2</c:v>
                </c:pt>
                <c:pt idx="20">
                  <c:v>0.40070657657155367</c:v>
                </c:pt>
                <c:pt idx="21">
                  <c:v>0.32871201808462563</c:v>
                </c:pt>
                <c:pt idx="22">
                  <c:v>-0.43678326455502947</c:v>
                </c:pt>
                <c:pt idx="23">
                  <c:v>0.16650379577834051</c:v>
                </c:pt>
              </c:numCache>
            </c:numRef>
          </c:val>
          <c:extLst>
            <c:ext xmlns:c16="http://schemas.microsoft.com/office/drawing/2014/chart" uri="{C3380CC4-5D6E-409C-BE32-E72D297353CC}">
              <c16:uniqueId val="{00000001-1C39-4C2A-B7AC-22DBB430B829}"/>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3'!$G$26:$G$49</c:f>
              <c:numCache>
                <c:formatCode>#\ ##0.0</c:formatCode>
                <c:ptCount val="24"/>
                <c:pt idx="0">
                  <c:v>-0.96460420103508648</c:v>
                </c:pt>
                <c:pt idx="1">
                  <c:v>0.50244635297633955</c:v>
                </c:pt>
                <c:pt idx="2">
                  <c:v>1.4868373962562362</c:v>
                </c:pt>
                <c:pt idx="3">
                  <c:v>2.3482189542959593</c:v>
                </c:pt>
                <c:pt idx="4">
                  <c:v>2.6506947871686029</c:v>
                </c:pt>
                <c:pt idx="5">
                  <c:v>1.7081773365114346</c:v>
                </c:pt>
                <c:pt idx="6">
                  <c:v>1.9279335844788137</c:v>
                </c:pt>
                <c:pt idx="7">
                  <c:v>0.67229902849733947</c:v>
                </c:pt>
                <c:pt idx="8">
                  <c:v>1.5906650874354982</c:v>
                </c:pt>
                <c:pt idx="9">
                  <c:v>-0.19146224798983871</c:v>
                </c:pt>
                <c:pt idx="10">
                  <c:v>0.25415698160207911</c:v>
                </c:pt>
                <c:pt idx="11">
                  <c:v>2.4122891717477368</c:v>
                </c:pt>
                <c:pt idx="12">
                  <c:v>0.69791730489126869</c:v>
                </c:pt>
                <c:pt idx="13">
                  <c:v>0.95595711935685235</c:v>
                </c:pt>
                <c:pt idx="14">
                  <c:v>-2.7554209500001341</c:v>
                </c:pt>
                <c:pt idx="15">
                  <c:v>-3.4824684565401789</c:v>
                </c:pt>
                <c:pt idx="16">
                  <c:v>1.0691356844743092</c:v>
                </c:pt>
                <c:pt idx="17">
                  <c:v>2.9229568698502431</c:v>
                </c:pt>
                <c:pt idx="18">
                  <c:v>6.9097346363336198</c:v>
                </c:pt>
                <c:pt idx="19">
                  <c:v>6.6616257432894894</c:v>
                </c:pt>
                <c:pt idx="20">
                  <c:v>4.0389782015964286</c:v>
                </c:pt>
                <c:pt idx="21">
                  <c:v>3.4613756239715832</c:v>
                </c:pt>
                <c:pt idx="22">
                  <c:v>1.4516124385714106</c:v>
                </c:pt>
                <c:pt idx="23">
                  <c:v>0.52701259461238481</c:v>
                </c:pt>
              </c:numCache>
            </c:numRef>
          </c:val>
          <c:extLst>
            <c:ext xmlns:c16="http://schemas.microsoft.com/office/drawing/2014/chart" uri="{C3380CC4-5D6E-409C-BE32-E72D297353CC}">
              <c16:uniqueId val="{00000002-1C39-4C2A-B7AC-22DBB430B829}"/>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3'!$F$26:$F$49</c:f>
              <c:numCache>
                <c:formatCode>#\ ##0.0</c:formatCode>
                <c:ptCount val="24"/>
                <c:pt idx="0">
                  <c:v>2.975467589155194</c:v>
                </c:pt>
                <c:pt idx="1">
                  <c:v>3.63036253408232</c:v>
                </c:pt>
                <c:pt idx="2">
                  <c:v>2.7474075811976926</c:v>
                </c:pt>
                <c:pt idx="3">
                  <c:v>2.1271051366721982</c:v>
                </c:pt>
                <c:pt idx="4">
                  <c:v>-0.18190275978441584</c:v>
                </c:pt>
                <c:pt idx="5">
                  <c:v>-0.9011007424628219</c:v>
                </c:pt>
                <c:pt idx="6">
                  <c:v>-1.1419594143316307</c:v>
                </c:pt>
                <c:pt idx="7">
                  <c:v>0.16780244720397519</c:v>
                </c:pt>
                <c:pt idx="8">
                  <c:v>-3.0487770722796181E-2</c:v>
                </c:pt>
                <c:pt idx="9">
                  <c:v>1.401018621045631</c:v>
                </c:pt>
                <c:pt idx="10">
                  <c:v>1.245438224612009</c:v>
                </c:pt>
                <c:pt idx="11">
                  <c:v>-1.1377389757832601</c:v>
                </c:pt>
                <c:pt idx="12">
                  <c:v>-1.982621142964861</c:v>
                </c:pt>
                <c:pt idx="13">
                  <c:v>-9.1465234127285537</c:v>
                </c:pt>
                <c:pt idx="14">
                  <c:v>-1.0987632014143376</c:v>
                </c:pt>
                <c:pt idx="15">
                  <c:v>2.0622607746427408</c:v>
                </c:pt>
                <c:pt idx="16">
                  <c:v>-0.24003125036630379</c:v>
                </c:pt>
                <c:pt idx="17">
                  <c:v>4.1602208095308058</c:v>
                </c:pt>
                <c:pt idx="18">
                  <c:v>-5.722578984705712</c:v>
                </c:pt>
                <c:pt idx="19">
                  <c:v>-6.4629212214111327</c:v>
                </c:pt>
                <c:pt idx="20">
                  <c:v>-2.9496051495240869</c:v>
                </c:pt>
                <c:pt idx="21">
                  <c:v>-0.3017305602428173</c:v>
                </c:pt>
                <c:pt idx="22">
                  <c:v>3.2479556728103578</c:v>
                </c:pt>
                <c:pt idx="23">
                  <c:v>2.4287920620491317</c:v>
                </c:pt>
              </c:numCache>
            </c:numRef>
          </c:val>
          <c:extLst>
            <c:ext xmlns:c16="http://schemas.microsoft.com/office/drawing/2014/chart" uri="{C3380CC4-5D6E-409C-BE32-E72D297353CC}">
              <c16:uniqueId val="{00000003-1C39-4C2A-B7AC-22DBB430B829}"/>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3'!$C$26:$C$49</c:f>
              <c:numCache>
                <c:formatCode>#\ ##0.0</c:formatCode>
                <c:ptCount val="24"/>
                <c:pt idx="0">
                  <c:v>3.6950522088079936</c:v>
                </c:pt>
                <c:pt idx="1">
                  <c:v>5.9154979768352121</c:v>
                </c:pt>
                <c:pt idx="2">
                  <c:v>5.8516739490936516</c:v>
                </c:pt>
                <c:pt idx="3">
                  <c:v>5.8958373145450764</c:v>
                </c:pt>
                <c:pt idx="4">
                  <c:v>4.7409433615299719</c:v>
                </c:pt>
                <c:pt idx="5">
                  <c:v>2.8213141032059923</c:v>
                </c:pt>
                <c:pt idx="6">
                  <c:v>2.6958490566037767</c:v>
                </c:pt>
                <c:pt idx="7">
                  <c:v>2.619723260012492</c:v>
                </c:pt>
                <c:pt idx="8">
                  <c:v>2.9978163782603531</c:v>
                </c:pt>
                <c:pt idx="9">
                  <c:v>3.0711985153536432</c:v>
                </c:pt>
                <c:pt idx="10">
                  <c:v>3.0292786172026638</c:v>
                </c:pt>
                <c:pt idx="11">
                  <c:v>2.7680914244993033</c:v>
                </c:pt>
                <c:pt idx="12">
                  <c:v>-1.4628912343715541</c:v>
                </c:pt>
                <c:pt idx="13">
                  <c:v>-10.782881996253849</c:v>
                </c:pt>
                <c:pt idx="14">
                  <c:v>-5.2160051898008959</c:v>
                </c:pt>
                <c:pt idx="15">
                  <c:v>-4.5960486594733538</c:v>
                </c:pt>
                <c:pt idx="16">
                  <c:v>-1.887115931441059</c:v>
                </c:pt>
                <c:pt idx="17">
                  <c:v>9.1334019596629616</c:v>
                </c:pt>
                <c:pt idx="18">
                  <c:v>3.770831782023393</c:v>
                </c:pt>
                <c:pt idx="19">
                  <c:v>3.4726638742077682</c:v>
                </c:pt>
                <c:pt idx="20">
                  <c:v>4.6607894840410893</c:v>
                </c:pt>
                <c:pt idx="21">
                  <c:v>3.5103450256849698</c:v>
                </c:pt>
                <c:pt idx="22">
                  <c:v>1.4589580267119402</c:v>
                </c:pt>
                <c:pt idx="23">
                  <c:v>0.23813308505727093</c:v>
                </c:pt>
              </c:numCache>
            </c:numRef>
          </c:val>
          <c:smooth val="0"/>
          <c:extLst>
            <c:ext xmlns:c16="http://schemas.microsoft.com/office/drawing/2014/chart" uri="{C3380CC4-5D6E-409C-BE32-E72D297353CC}">
              <c16:uniqueId val="{00000004-1C39-4C2A-B7AC-22DBB430B829}"/>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31640960282986E-2"/>
          <c:y val="1.7138089742005855E-2"/>
          <c:w val="0.92679412142088691"/>
          <c:h val="0.83329894861291631"/>
        </c:manualLayout>
      </c:layout>
      <c:areaChart>
        <c:grouping val="standard"/>
        <c:varyColors val="0"/>
        <c:ser>
          <c:idx val="0"/>
          <c:order val="0"/>
          <c:tx>
            <c:strRef>
              <c:f>'G3-Sektor vlád.institucí'!$A$43</c:f>
              <c:strCache>
                <c:ptCount val="1"/>
                <c:pt idx="0">
                  <c:v>Czechia</c:v>
                </c:pt>
              </c:strCache>
            </c:strRef>
          </c:tx>
          <c:spPr>
            <a:solidFill>
              <a:schemeClr val="bg2">
                <a:lumMod val="90000"/>
              </a:schemeClr>
            </a:solidFill>
            <a:ln w="19050">
              <a:noFill/>
            </a:ln>
            <a:effectLst/>
          </c:spP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vlád.institucí'!$B$43:$AF$43</c:f>
              <c:numCache>
                <c:formatCode>#\ ##0.##########</c:formatCode>
                <c:ptCount val="31"/>
                <c:pt idx="0">
                  <c:v>0.2</c:v>
                </c:pt>
                <c:pt idx="1">
                  <c:v>-0.4</c:v>
                </c:pt>
                <c:pt idx="2">
                  <c:v>-0.6</c:v>
                </c:pt>
                <c:pt idx="3">
                  <c:v>-1.9</c:v>
                </c:pt>
                <c:pt idx="4">
                  <c:v>0.7</c:v>
                </c:pt>
                <c:pt idx="5">
                  <c:v>0.8</c:v>
                </c:pt>
                <c:pt idx="6" formatCode="#\ ##0.0">
                  <c:v>1</c:v>
                </c:pt>
                <c:pt idx="7">
                  <c:v>0.4</c:v>
                </c:pt>
                <c:pt idx="8">
                  <c:v>0.9</c:v>
                </c:pt>
                <c:pt idx="9">
                  <c:v>1.6</c:v>
                </c:pt>
                <c:pt idx="10">
                  <c:v>1.7</c:v>
                </c:pt>
                <c:pt idx="11">
                  <c:v>1.7</c:v>
                </c:pt>
                <c:pt idx="12">
                  <c:v>1.2</c:v>
                </c:pt>
                <c:pt idx="13">
                  <c:v>1.6</c:v>
                </c:pt>
                <c:pt idx="14">
                  <c:v>0.2</c:v>
                </c:pt>
                <c:pt idx="15">
                  <c:v>0.6</c:v>
                </c:pt>
                <c:pt idx="16" formatCode="#\ ##0.0">
                  <c:v>1</c:v>
                </c:pt>
                <c:pt idx="17">
                  <c:v>1.1000000000000001</c:v>
                </c:pt>
                <c:pt idx="18">
                  <c:v>-0.2</c:v>
                </c:pt>
                <c:pt idx="19">
                  <c:v>-0.7</c:v>
                </c:pt>
                <c:pt idx="20">
                  <c:v>-2.6</c:v>
                </c:pt>
                <c:pt idx="21">
                  <c:v>-8.4</c:v>
                </c:pt>
                <c:pt idx="22">
                  <c:v>-5.3</c:v>
                </c:pt>
                <c:pt idx="23">
                  <c:v>-6.9</c:v>
                </c:pt>
                <c:pt idx="24">
                  <c:v>-7.4</c:v>
                </c:pt>
                <c:pt idx="25">
                  <c:v>-4.5</c:v>
                </c:pt>
                <c:pt idx="26">
                  <c:v>-4.4000000000000004</c:v>
                </c:pt>
                <c:pt idx="27">
                  <c:v>-4.2</c:v>
                </c:pt>
                <c:pt idx="28">
                  <c:v>-3.5</c:v>
                </c:pt>
                <c:pt idx="29" formatCode="#\ ##0.0">
                  <c:v>-3</c:v>
                </c:pt>
                <c:pt idx="30">
                  <c:v>-4.4000000000000004</c:v>
                </c:pt>
              </c:numCache>
            </c:numRef>
          </c:val>
          <c:extLst>
            <c:ext xmlns:c16="http://schemas.microsoft.com/office/drawing/2014/chart" uri="{C3380CC4-5D6E-409C-BE32-E72D297353CC}">
              <c16:uniqueId val="{00000000-CE97-4DB8-A38B-67358C67E93E}"/>
            </c:ext>
          </c:extLst>
        </c:ser>
        <c:dLbls>
          <c:showLegendKey val="0"/>
          <c:showVal val="0"/>
          <c:showCatName val="0"/>
          <c:showSerName val="0"/>
          <c:showPercent val="0"/>
          <c:showBubbleSize val="0"/>
        </c:dLbls>
        <c:axId val="1037159056"/>
        <c:axId val="1037161968"/>
      </c:areaChart>
      <c:lineChart>
        <c:grouping val="standard"/>
        <c:varyColors val="0"/>
        <c:ser>
          <c:idx val="1"/>
          <c:order val="1"/>
          <c:tx>
            <c:strRef>
              <c:f>'G3-Sektor vlád.institucí'!$A$44</c:f>
              <c:strCache>
                <c:ptCount val="1"/>
                <c:pt idx="0">
                  <c:v>EU27</c:v>
                </c:pt>
              </c:strCache>
            </c:strRef>
          </c:tx>
          <c:spPr>
            <a:ln w="19050" cap="rnd">
              <a:solidFill>
                <a:schemeClr val="accent2"/>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vlád.institucí'!$B$44:$AF$44</c:f>
              <c:numCache>
                <c:formatCode>#\ ##0.0</c:formatCode>
                <c:ptCount val="31"/>
                <c:pt idx="0" formatCode="#\ ##0.##########">
                  <c:v>-2.2000000000000002</c:v>
                </c:pt>
                <c:pt idx="1">
                  <c:v>-2</c:v>
                </c:pt>
                <c:pt idx="2" formatCode="#\ ##0.##########">
                  <c:v>-1.7</c:v>
                </c:pt>
                <c:pt idx="3" formatCode="#\ ##0.##########">
                  <c:v>-1.8</c:v>
                </c:pt>
                <c:pt idx="4" formatCode="#\ ##0.##########">
                  <c:v>-1.6</c:v>
                </c:pt>
                <c:pt idx="5" formatCode="#\ ##0.##########">
                  <c:v>-1.4</c:v>
                </c:pt>
                <c:pt idx="6" formatCode="#\ ##0.##########">
                  <c:v>-1.6</c:v>
                </c:pt>
                <c:pt idx="7" formatCode="#\ ##0.##########">
                  <c:v>-0.8</c:v>
                </c:pt>
                <c:pt idx="8" formatCode="#\ ##0.##########">
                  <c:v>-0.8</c:v>
                </c:pt>
                <c:pt idx="9" formatCode="#\ ##0.##########">
                  <c:v>-1.2</c:v>
                </c:pt>
                <c:pt idx="10" formatCode="#\ ##0.##########">
                  <c:v>-0.7</c:v>
                </c:pt>
                <c:pt idx="11" formatCode="#\ ##0.##########">
                  <c:v>-0.3</c:v>
                </c:pt>
                <c:pt idx="12" formatCode="#\ ##0.##########">
                  <c:v>-0.1</c:v>
                </c:pt>
                <c:pt idx="13" formatCode="#\ ##0.##########">
                  <c:v>-0.1</c:v>
                </c:pt>
                <c:pt idx="14" formatCode="#\ ##0.##########">
                  <c:v>-0.5</c:v>
                </c:pt>
                <c:pt idx="15" formatCode="#\ ##0.##########">
                  <c:v>-0.7</c:v>
                </c:pt>
                <c:pt idx="16" formatCode="#\ ##0.##########">
                  <c:v>-0.2</c:v>
                </c:pt>
                <c:pt idx="17" formatCode="#\ ##0.##########">
                  <c:v>-0.2</c:v>
                </c:pt>
                <c:pt idx="18" formatCode="#\ ##0.##########">
                  <c:v>-0.9</c:v>
                </c:pt>
                <c:pt idx="19" formatCode="#\ ##0.##########">
                  <c:v>-0.8</c:v>
                </c:pt>
                <c:pt idx="20" formatCode="#\ ##0.##########">
                  <c:v>-2.7</c:v>
                </c:pt>
                <c:pt idx="21" formatCode="#\ ##0.##########">
                  <c:v>-11.6</c:v>
                </c:pt>
                <c:pt idx="22" formatCode="#\ ##0.##########">
                  <c:v>-6.1</c:v>
                </c:pt>
                <c:pt idx="23" formatCode="#\ ##0.##########">
                  <c:v>-6.9</c:v>
                </c:pt>
                <c:pt idx="24" formatCode="#\ ##0.##########">
                  <c:v>-6.2</c:v>
                </c:pt>
                <c:pt idx="25" formatCode="#\ ##0.##########">
                  <c:v>-5.9</c:v>
                </c:pt>
                <c:pt idx="26" formatCode="#\ ##0.##########">
                  <c:v>-3.6</c:v>
                </c:pt>
                <c:pt idx="27" formatCode="#\ ##0.##########">
                  <c:v>-3.1</c:v>
                </c:pt>
                <c:pt idx="28" formatCode="#\ ##0.##########">
                  <c:v>-2.1</c:v>
                </c:pt>
                <c:pt idx="29" formatCode="#\ ##0.##########">
                  <c:v>-1.8</c:v>
                </c:pt>
                <c:pt idx="30" formatCode="#\ ##0.##########">
                  <c:v>-3.2</c:v>
                </c:pt>
              </c:numCache>
            </c:numRef>
          </c:val>
          <c:smooth val="0"/>
          <c:extLst>
            <c:ext xmlns:c16="http://schemas.microsoft.com/office/drawing/2014/chart" uri="{C3380CC4-5D6E-409C-BE32-E72D297353CC}">
              <c16:uniqueId val="{00000001-CE97-4DB8-A38B-67358C67E93E}"/>
            </c:ext>
          </c:extLst>
        </c:ser>
        <c:ser>
          <c:idx val="2"/>
          <c:order val="2"/>
          <c:tx>
            <c:strRef>
              <c:f>'G3-Sektor vlád.institucí'!$A$45</c:f>
              <c:strCache>
                <c:ptCount val="1"/>
                <c:pt idx="0">
                  <c:v>Germany</c:v>
                </c:pt>
              </c:strCache>
            </c:strRef>
          </c:tx>
          <c:spPr>
            <a:ln w="19050" cap="rnd">
              <a:solidFill>
                <a:srgbClr val="F8A124"/>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vlád.institucí'!$B$45:$AF$45</c:f>
              <c:numCache>
                <c:formatCode>#\ ##0.##########</c:formatCode>
                <c:ptCount val="31"/>
                <c:pt idx="0">
                  <c:v>0.8</c:v>
                </c:pt>
                <c:pt idx="1">
                  <c:v>0.7</c:v>
                </c:pt>
                <c:pt idx="2">
                  <c:v>1.6</c:v>
                </c:pt>
                <c:pt idx="3">
                  <c:v>0.8</c:v>
                </c:pt>
                <c:pt idx="4">
                  <c:v>1.1000000000000001</c:v>
                </c:pt>
                <c:pt idx="5">
                  <c:v>0.9</c:v>
                </c:pt>
                <c:pt idx="6">
                  <c:v>0.5</c:v>
                </c:pt>
                <c:pt idx="7">
                  <c:v>2.1</c:v>
                </c:pt>
                <c:pt idx="8">
                  <c:v>1.6</c:v>
                </c:pt>
                <c:pt idx="9">
                  <c:v>0.4</c:v>
                </c:pt>
                <c:pt idx="10">
                  <c:v>1.5</c:v>
                </c:pt>
                <c:pt idx="11">
                  <c:v>1.8</c:v>
                </c:pt>
                <c:pt idx="12">
                  <c:v>2.5</c:v>
                </c:pt>
                <c:pt idx="13">
                  <c:v>2.6</c:v>
                </c:pt>
                <c:pt idx="14">
                  <c:v>1.6</c:v>
                </c:pt>
                <c:pt idx="15">
                  <c:v>1.1000000000000001</c:v>
                </c:pt>
                <c:pt idx="16">
                  <c:v>2.4</c:v>
                </c:pt>
                <c:pt idx="17">
                  <c:v>2.1</c:v>
                </c:pt>
                <c:pt idx="18">
                  <c:v>0.6</c:v>
                </c:pt>
                <c:pt idx="19">
                  <c:v>1.1000000000000001</c:v>
                </c:pt>
                <c:pt idx="20">
                  <c:v>0.7</c:v>
                </c:pt>
                <c:pt idx="21">
                  <c:v>-8.3000000000000007</c:v>
                </c:pt>
                <c:pt idx="22">
                  <c:v>-5.9</c:v>
                </c:pt>
                <c:pt idx="23">
                  <c:v>-4.2</c:v>
                </c:pt>
                <c:pt idx="24">
                  <c:v>-4.5999999999999996</c:v>
                </c:pt>
                <c:pt idx="25">
                  <c:v>-5.5</c:v>
                </c:pt>
                <c:pt idx="26">
                  <c:v>-3.2</c:v>
                </c:pt>
                <c:pt idx="27">
                  <c:v>-1.8</c:v>
                </c:pt>
                <c:pt idx="28">
                  <c:v>-0.9</c:v>
                </c:pt>
                <c:pt idx="29">
                  <c:v>-1.1000000000000001</c:v>
                </c:pt>
                <c:pt idx="30">
                  <c:v>-3.8</c:v>
                </c:pt>
              </c:numCache>
            </c:numRef>
          </c:val>
          <c:smooth val="0"/>
          <c:extLst>
            <c:ext xmlns:c16="http://schemas.microsoft.com/office/drawing/2014/chart" uri="{C3380CC4-5D6E-409C-BE32-E72D297353CC}">
              <c16:uniqueId val="{00000002-CE97-4DB8-A38B-67358C67E93E}"/>
            </c:ext>
          </c:extLst>
        </c:ser>
        <c:ser>
          <c:idx val="4"/>
          <c:order val="3"/>
          <c:tx>
            <c:strRef>
              <c:f>'G3-Sektor vlád.institucí'!$A$46</c:f>
              <c:strCache>
                <c:ptCount val="1"/>
                <c:pt idx="0">
                  <c:v>Slovakia</c:v>
                </c:pt>
              </c:strCache>
            </c:strRef>
          </c:tx>
          <c:spPr>
            <a:ln w="19050" cap="rnd">
              <a:solidFill>
                <a:srgbClr val="00B050"/>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vlád.institucí'!$B$46:$AF$46</c:f>
              <c:numCache>
                <c:formatCode>#\ ##0.##########</c:formatCode>
                <c:ptCount val="31"/>
                <c:pt idx="0">
                  <c:v>-3.2</c:v>
                </c:pt>
                <c:pt idx="1">
                  <c:v>-2.5</c:v>
                </c:pt>
                <c:pt idx="2">
                  <c:v>-2.2999999999999998</c:v>
                </c:pt>
                <c:pt idx="3">
                  <c:v>-2.2999999999999998</c:v>
                </c:pt>
                <c:pt idx="4">
                  <c:v>-3.4</c:v>
                </c:pt>
                <c:pt idx="5" formatCode="#\ ##0.0">
                  <c:v>-3</c:v>
                </c:pt>
                <c:pt idx="6">
                  <c:v>-2.2000000000000002</c:v>
                </c:pt>
                <c:pt idx="7" formatCode="#\ ##0.0">
                  <c:v>-2</c:v>
                </c:pt>
                <c:pt idx="8">
                  <c:v>-2.1</c:v>
                </c:pt>
                <c:pt idx="9">
                  <c:v>-1.2</c:v>
                </c:pt>
                <c:pt idx="10">
                  <c:v>-1.3</c:v>
                </c:pt>
                <c:pt idx="11">
                  <c:v>0.4</c:v>
                </c:pt>
                <c:pt idx="12">
                  <c:v>-1.2</c:v>
                </c:pt>
                <c:pt idx="13" formatCode="#\ ##0.0">
                  <c:v>-1</c:v>
                </c:pt>
                <c:pt idx="14">
                  <c:v>-1.4</c:v>
                </c:pt>
                <c:pt idx="15">
                  <c:v>-0.4</c:v>
                </c:pt>
                <c:pt idx="16">
                  <c:v>-1.1000000000000001</c:v>
                </c:pt>
                <c:pt idx="17">
                  <c:v>-1.2</c:v>
                </c:pt>
                <c:pt idx="18">
                  <c:v>-1.9</c:v>
                </c:pt>
                <c:pt idx="19">
                  <c:v>-0.5</c:v>
                </c:pt>
                <c:pt idx="20" formatCode="#\ ##0.0">
                  <c:v>-3</c:v>
                </c:pt>
                <c:pt idx="21">
                  <c:v>-7.4</c:v>
                </c:pt>
                <c:pt idx="22">
                  <c:v>-5.3</c:v>
                </c:pt>
                <c:pt idx="23">
                  <c:v>-5.5</c:v>
                </c:pt>
                <c:pt idx="24">
                  <c:v>-6.1</c:v>
                </c:pt>
                <c:pt idx="25">
                  <c:v>-7.3</c:v>
                </c:pt>
                <c:pt idx="26">
                  <c:v>-3.2</c:v>
                </c:pt>
                <c:pt idx="27">
                  <c:v>-5.0999999999999996</c:v>
                </c:pt>
                <c:pt idx="28">
                  <c:v>-3.2</c:v>
                </c:pt>
                <c:pt idx="29">
                  <c:v>-3.3</c:v>
                </c:pt>
                <c:pt idx="30">
                  <c:v>-3.2</c:v>
                </c:pt>
              </c:numCache>
            </c:numRef>
          </c:val>
          <c:smooth val="0"/>
          <c:extLst>
            <c:ext xmlns:c16="http://schemas.microsoft.com/office/drawing/2014/chart" uri="{C3380CC4-5D6E-409C-BE32-E72D297353CC}">
              <c16:uniqueId val="{00000003-CE97-4DB8-A38B-67358C67E93E}"/>
            </c:ext>
          </c:extLst>
        </c:ser>
        <c:ser>
          <c:idx val="5"/>
          <c:order val="4"/>
          <c:tx>
            <c:strRef>
              <c:f>'G3-Sektor vlád.institucí'!$A$47</c:f>
              <c:strCache>
                <c:ptCount val="1"/>
                <c:pt idx="0">
                  <c:v>Denmark</c:v>
                </c:pt>
              </c:strCache>
            </c:strRef>
          </c:tx>
          <c:spPr>
            <a:ln w="19050" cap="rnd">
              <a:solidFill>
                <a:srgbClr val="0071BC"/>
              </a:solidFill>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vlád.institucí'!$B$47:$AF$47</c:f>
              <c:numCache>
                <c:formatCode>#\ ##0.##########</c:formatCode>
                <c:ptCount val="31"/>
                <c:pt idx="0">
                  <c:v>-3.4</c:v>
                </c:pt>
                <c:pt idx="1">
                  <c:v>-1.6</c:v>
                </c:pt>
                <c:pt idx="2">
                  <c:v>-0.8</c:v>
                </c:pt>
                <c:pt idx="3">
                  <c:v>-0.6</c:v>
                </c:pt>
                <c:pt idx="4">
                  <c:v>-0.4</c:v>
                </c:pt>
                <c:pt idx="5">
                  <c:v>-0.6</c:v>
                </c:pt>
                <c:pt idx="6">
                  <c:v>-0.4</c:v>
                </c:pt>
                <c:pt idx="7">
                  <c:v>0.6</c:v>
                </c:pt>
                <c:pt idx="8">
                  <c:v>2.2000000000000002</c:v>
                </c:pt>
                <c:pt idx="9">
                  <c:v>1.3</c:v>
                </c:pt>
                <c:pt idx="10">
                  <c:v>1.7</c:v>
                </c:pt>
                <c:pt idx="11" formatCode="#\ ##0.0">
                  <c:v>2</c:v>
                </c:pt>
                <c:pt idx="12">
                  <c:v>1.1000000000000001</c:v>
                </c:pt>
                <c:pt idx="13">
                  <c:v>1.2</c:v>
                </c:pt>
                <c:pt idx="14">
                  <c:v>1.7</c:v>
                </c:pt>
                <c:pt idx="15">
                  <c:v>-0.1</c:v>
                </c:pt>
                <c:pt idx="16">
                  <c:v>5.5</c:v>
                </c:pt>
                <c:pt idx="17">
                  <c:v>4.9000000000000004</c:v>
                </c:pt>
                <c:pt idx="18">
                  <c:v>3.3</c:v>
                </c:pt>
                <c:pt idx="19">
                  <c:v>3.1</c:v>
                </c:pt>
                <c:pt idx="20">
                  <c:v>1.2</c:v>
                </c:pt>
                <c:pt idx="21">
                  <c:v>-1.8</c:v>
                </c:pt>
                <c:pt idx="22">
                  <c:v>0.8</c:v>
                </c:pt>
                <c:pt idx="23">
                  <c:v>0.9</c:v>
                </c:pt>
                <c:pt idx="24">
                  <c:v>3.9</c:v>
                </c:pt>
                <c:pt idx="25">
                  <c:v>4.3</c:v>
                </c:pt>
                <c:pt idx="26">
                  <c:v>4.7</c:v>
                </c:pt>
                <c:pt idx="27">
                  <c:v>1.9</c:v>
                </c:pt>
                <c:pt idx="28">
                  <c:v>1.4</c:v>
                </c:pt>
                <c:pt idx="29">
                  <c:v>1.3</c:v>
                </c:pt>
                <c:pt idx="30">
                  <c:v>0.9</c:v>
                </c:pt>
              </c:numCache>
            </c:numRef>
          </c:val>
          <c:smooth val="0"/>
          <c:extLst>
            <c:ext xmlns:c16="http://schemas.microsoft.com/office/drawing/2014/chart" uri="{C3380CC4-5D6E-409C-BE32-E72D297353CC}">
              <c16:uniqueId val="{00000004-CE97-4DB8-A38B-67358C67E93E}"/>
            </c:ext>
          </c:extLst>
        </c:ser>
        <c:ser>
          <c:idx val="6"/>
          <c:order val="5"/>
          <c:tx>
            <c:strRef>
              <c:f>'G3-Sektor vlád.institucí'!$A$48</c:f>
              <c:strCache>
                <c:ptCount val="1"/>
                <c:pt idx="0">
                  <c:v>Spain</c:v>
                </c:pt>
              </c:strCache>
            </c:strRef>
          </c:tx>
          <c:spPr>
            <a:ln w="19050" cap="rnd">
              <a:solidFill>
                <a:srgbClr val="D5D000"/>
              </a:solidFill>
              <a:prstDash val="solid"/>
              <a:round/>
            </a:ln>
            <a:effectLst/>
          </c:spPr>
          <c:marker>
            <c:symbol val="none"/>
          </c:marker>
          <c:cat>
            <c:multiLvlStrRef>
              <c:f>'G3-Sektor vlád.institucí'!$B$41:$AF$42</c:f>
              <c:multiLvlStrCache>
                <c:ptCount val="31"/>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lvl>
                <c:lvl>
                  <c:pt idx="0">
                    <c:v>2015</c:v>
                  </c:pt>
                  <c:pt idx="4">
                    <c:v>2016</c:v>
                  </c:pt>
                  <c:pt idx="8">
                    <c:v>2017</c:v>
                  </c:pt>
                  <c:pt idx="12">
                    <c:v>2018</c:v>
                  </c:pt>
                  <c:pt idx="16">
                    <c:v>2019</c:v>
                  </c:pt>
                  <c:pt idx="20">
                    <c:v>2020</c:v>
                  </c:pt>
                  <c:pt idx="24">
                    <c:v>2021</c:v>
                  </c:pt>
                  <c:pt idx="28">
                    <c:v>2022</c:v>
                  </c:pt>
                </c:lvl>
              </c:multiLvlStrCache>
            </c:multiLvlStrRef>
          </c:cat>
          <c:val>
            <c:numRef>
              <c:f>'G3-Sektor vlád.institucí'!$B$48:$AF$48</c:f>
              <c:numCache>
                <c:formatCode>#\ ##0.##########</c:formatCode>
                <c:ptCount val="31"/>
                <c:pt idx="0" formatCode="#\ ##0.0">
                  <c:v>-5</c:v>
                </c:pt>
                <c:pt idx="1">
                  <c:v>-5.4</c:v>
                </c:pt>
                <c:pt idx="2">
                  <c:v>-5.8</c:v>
                </c:pt>
                <c:pt idx="3">
                  <c:v>-5.0999999999999996</c:v>
                </c:pt>
                <c:pt idx="4">
                  <c:v>-4.5</c:v>
                </c:pt>
                <c:pt idx="5">
                  <c:v>-4.7</c:v>
                </c:pt>
                <c:pt idx="6">
                  <c:v>-4.5999999999999996</c:v>
                </c:pt>
                <c:pt idx="7">
                  <c:v>-3.4</c:v>
                </c:pt>
                <c:pt idx="8">
                  <c:v>-3.5</c:v>
                </c:pt>
                <c:pt idx="9" formatCode="#\ ##0.0">
                  <c:v>-3</c:v>
                </c:pt>
                <c:pt idx="10">
                  <c:v>-2.9</c:v>
                </c:pt>
                <c:pt idx="11" formatCode="#\ ##0.0">
                  <c:v>-3</c:v>
                </c:pt>
                <c:pt idx="12">
                  <c:v>-2.8</c:v>
                </c:pt>
                <c:pt idx="13">
                  <c:v>-2.6</c:v>
                </c:pt>
                <c:pt idx="14">
                  <c:v>-2.7</c:v>
                </c:pt>
                <c:pt idx="15">
                  <c:v>-2.2999999999999998</c:v>
                </c:pt>
                <c:pt idx="16">
                  <c:v>-2.6</c:v>
                </c:pt>
                <c:pt idx="17">
                  <c:v>-3.3</c:v>
                </c:pt>
                <c:pt idx="18">
                  <c:v>-3.2</c:v>
                </c:pt>
                <c:pt idx="19">
                  <c:v>-3.2</c:v>
                </c:pt>
                <c:pt idx="20">
                  <c:v>-5.4</c:v>
                </c:pt>
                <c:pt idx="21">
                  <c:v>-20.3</c:v>
                </c:pt>
                <c:pt idx="22">
                  <c:v>-8.5</c:v>
                </c:pt>
                <c:pt idx="23">
                  <c:v>-7.9</c:v>
                </c:pt>
                <c:pt idx="24">
                  <c:v>-9.1</c:v>
                </c:pt>
                <c:pt idx="25">
                  <c:v>-7.9</c:v>
                </c:pt>
                <c:pt idx="26">
                  <c:v>-7.2</c:v>
                </c:pt>
                <c:pt idx="27">
                  <c:v>-3.7</c:v>
                </c:pt>
                <c:pt idx="28">
                  <c:v>-3.8</c:v>
                </c:pt>
                <c:pt idx="29">
                  <c:v>-3.7</c:v>
                </c:pt>
                <c:pt idx="30">
                  <c:v>-4.2</c:v>
                </c:pt>
              </c:numCache>
            </c:numRef>
          </c:val>
          <c:smooth val="0"/>
          <c:extLst>
            <c:ext xmlns:c16="http://schemas.microsoft.com/office/drawing/2014/chart" uri="{C3380CC4-5D6E-409C-BE32-E72D297353CC}">
              <c16:uniqueId val="{00000005-CE97-4DB8-A38B-67358C67E93E}"/>
            </c:ext>
          </c:extLst>
        </c:ser>
        <c:dLbls>
          <c:showLegendKey val="0"/>
          <c:showVal val="0"/>
          <c:showCatName val="0"/>
          <c:showSerName val="0"/>
          <c:showPercent val="0"/>
          <c:showBubbleSize val="0"/>
        </c:dLbls>
        <c:marker val="1"/>
        <c:smooth val="0"/>
        <c:axId val="1037159056"/>
        <c:axId val="1037161968"/>
      </c:lineChart>
      <c:catAx>
        <c:axId val="103715905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5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61968"/>
        <c:crosses val="autoZero"/>
        <c:auto val="1"/>
        <c:lblAlgn val="ctr"/>
        <c:lblOffset val="0"/>
        <c:noMultiLvlLbl val="0"/>
      </c:catAx>
      <c:valAx>
        <c:axId val="1037161968"/>
        <c:scaling>
          <c:orientation val="minMax"/>
          <c:max val="6"/>
          <c:min val="-21"/>
        </c:scaling>
        <c:delete val="0"/>
        <c:axPos val="l"/>
        <c:majorGridlines>
          <c:spPr>
            <a:ln w="6350" cap="flat" cmpd="sng" algn="ctr">
              <a:solidFill>
                <a:schemeClr val="bg1">
                  <a:lumMod val="7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95000"/>
                    <a:lumOff val="5000"/>
                  </a:schemeClr>
                </a:solidFill>
                <a:latin typeface="Arial" panose="020B0604020202020204" pitchFamily="34" charset="0"/>
                <a:ea typeface="+mn-ea"/>
                <a:cs typeface="Arial" panose="020B0604020202020204" pitchFamily="34" charset="0"/>
              </a:defRPr>
            </a:pPr>
            <a:endParaRPr lang="cs-CZ"/>
          </a:p>
        </c:txPr>
        <c:crossAx val="1037159056"/>
        <c:crosses val="autoZero"/>
        <c:crossBetween val="between"/>
        <c:majorUnit val="3"/>
      </c:valAx>
      <c:spPr>
        <a:noFill/>
        <a:ln w="6350">
          <a:solidFill>
            <a:schemeClr val="tx1"/>
          </a:solidFill>
        </a:ln>
        <a:effectLst/>
      </c:spPr>
    </c:plotArea>
    <c:legend>
      <c:legendPos val="b"/>
      <c:layout>
        <c:manualLayout>
          <c:xMode val="edge"/>
          <c:yMode val="edge"/>
          <c:x val="2.4935937784482533E-2"/>
          <c:y val="0.94085704236785406"/>
          <c:w val="0.95832448269547699"/>
          <c:h val="5.0505201930860791E-2"/>
        </c:manualLayout>
      </c:layout>
      <c:overlay val="0"/>
      <c:spPr>
        <a:noFill/>
        <a:ln w="6350">
          <a:solidFill>
            <a:schemeClr val="tx1"/>
          </a:solid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4'!$C$26:$C$49</c:f>
              <c:numCache>
                <c:formatCode>#\ ##0.0</c:formatCode>
                <c:ptCount val="24"/>
                <c:pt idx="0">
                  <c:v>-1.3480202956280747E-2</c:v>
                </c:pt>
                <c:pt idx="1">
                  <c:v>-0.10834731479250079</c:v>
                </c:pt>
                <c:pt idx="2">
                  <c:v>-0.17283036507391236</c:v>
                </c:pt>
                <c:pt idx="3">
                  <c:v>-5.7499524058591864E-2</c:v>
                </c:pt>
                <c:pt idx="4">
                  <c:v>3.3101048510961691E-2</c:v>
                </c:pt>
                <c:pt idx="5">
                  <c:v>7.1756948575291107E-2</c:v>
                </c:pt>
                <c:pt idx="6">
                  <c:v>0.13149584386693958</c:v>
                </c:pt>
                <c:pt idx="7">
                  <c:v>0.13446361914513508</c:v>
                </c:pt>
                <c:pt idx="8">
                  <c:v>7.2918853884007789E-2</c:v>
                </c:pt>
                <c:pt idx="9">
                  <c:v>8.5676115253478527E-2</c:v>
                </c:pt>
                <c:pt idx="10">
                  <c:v>0.11352421571245841</c:v>
                </c:pt>
                <c:pt idx="11">
                  <c:v>0.1297955956354544</c:v>
                </c:pt>
                <c:pt idx="12">
                  <c:v>0.21206913343969133</c:v>
                </c:pt>
                <c:pt idx="13">
                  <c:v>0.23393026126693048</c:v>
                </c:pt>
                <c:pt idx="14">
                  <c:v>0.24441243980560454</c:v>
                </c:pt>
                <c:pt idx="15">
                  <c:v>0.21978387176272138</c:v>
                </c:pt>
                <c:pt idx="16">
                  <c:v>-0.18221441644720782</c:v>
                </c:pt>
                <c:pt idx="17">
                  <c:v>-0.33863410192001336</c:v>
                </c:pt>
                <c:pt idx="18">
                  <c:v>-0.3687497371739023</c:v>
                </c:pt>
                <c:pt idx="19">
                  <c:v>-0.39562426253164018</c:v>
                </c:pt>
                <c:pt idx="20">
                  <c:v>-0.12834998401418826</c:v>
                </c:pt>
                <c:pt idx="21">
                  <c:v>1.4145340295686518E-2</c:v>
                </c:pt>
                <c:pt idx="22">
                  <c:v>-5.0814027754783588E-2</c:v>
                </c:pt>
                <c:pt idx="23">
                  <c:v>-3.4747962203343155E-2</c:v>
                </c:pt>
              </c:numCache>
            </c:numRef>
          </c:val>
          <c:extLst>
            <c:ext xmlns:c16="http://schemas.microsoft.com/office/drawing/2014/chart" uri="{C3380CC4-5D6E-409C-BE32-E72D297353CC}">
              <c16:uniqueId val="{00000000-7558-4059-B296-8F5FB4207D7D}"/>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4'!$D$26:$D$49</c:f>
              <c:numCache>
                <c:formatCode>#\ ##0.0</c:formatCode>
                <c:ptCount val="24"/>
                <c:pt idx="0">
                  <c:v>1.4029354561354304</c:v>
                </c:pt>
                <c:pt idx="1">
                  <c:v>3.0521121696167999</c:v>
                </c:pt>
                <c:pt idx="2">
                  <c:v>3.0689947409685256</c:v>
                </c:pt>
                <c:pt idx="3">
                  <c:v>2.3434131051105536</c:v>
                </c:pt>
                <c:pt idx="4">
                  <c:v>1.4988954552402802</c:v>
                </c:pt>
                <c:pt idx="5">
                  <c:v>0.14865466019918347</c:v>
                </c:pt>
                <c:pt idx="6">
                  <c:v>8.6548845664065829E-3</c:v>
                </c:pt>
                <c:pt idx="7">
                  <c:v>0.32252729120432605</c:v>
                </c:pt>
                <c:pt idx="8">
                  <c:v>0.78403714445772954</c:v>
                </c:pt>
                <c:pt idx="9">
                  <c:v>1.3396178430313301</c:v>
                </c:pt>
                <c:pt idx="10">
                  <c:v>1.4312708537266536</c:v>
                </c:pt>
                <c:pt idx="11">
                  <c:v>0.95608213895270133</c:v>
                </c:pt>
                <c:pt idx="12">
                  <c:v>-1.2099063790338642</c:v>
                </c:pt>
                <c:pt idx="13">
                  <c:v>-5.9215879942171465</c:v>
                </c:pt>
                <c:pt idx="14">
                  <c:v>-2.483013954961435</c:v>
                </c:pt>
                <c:pt idx="15">
                  <c:v>-1.8545602201995735</c:v>
                </c:pt>
                <c:pt idx="16">
                  <c:v>0.14666034595153488</c:v>
                </c:pt>
                <c:pt idx="17">
                  <c:v>4.8325732565967341</c:v>
                </c:pt>
                <c:pt idx="18">
                  <c:v>0.13926978613968419</c:v>
                </c:pt>
                <c:pt idx="19">
                  <c:v>-0.37554863954723355</c:v>
                </c:pt>
                <c:pt idx="20">
                  <c:v>0.20241520363315191</c:v>
                </c:pt>
                <c:pt idx="21">
                  <c:v>0.23277700750157082</c:v>
                </c:pt>
                <c:pt idx="22">
                  <c:v>0.82455056608942667</c:v>
                </c:pt>
                <c:pt idx="23">
                  <c:v>1.3696951016894645</c:v>
                </c:pt>
              </c:numCache>
            </c:numRef>
          </c:val>
          <c:extLst>
            <c:ext xmlns:c16="http://schemas.microsoft.com/office/drawing/2014/chart" uri="{C3380CC4-5D6E-409C-BE32-E72D297353CC}">
              <c16:uniqueId val="{00000001-7558-4059-B296-8F5FB4207D7D}"/>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4'!$E$26:$E$47</c:f>
              <c:numCache>
                <c:formatCode>#\ ##0.0</c:formatCode>
                <c:ptCount val="22"/>
                <c:pt idx="0">
                  <c:v>0.20896030591717252</c:v>
                </c:pt>
                <c:pt idx="1">
                  <c:v>7.6093021703349972E-2</c:v>
                </c:pt>
                <c:pt idx="2">
                  <c:v>0.11363564757057354</c:v>
                </c:pt>
                <c:pt idx="3">
                  <c:v>-2.1455946351557564E-2</c:v>
                </c:pt>
                <c:pt idx="4">
                  <c:v>-7.5503829252544286E-2</c:v>
                </c:pt>
                <c:pt idx="5">
                  <c:v>-2.1457218474246753E-4</c:v>
                </c:pt>
                <c:pt idx="6" formatCode="General">
                  <c:v>0.11499031724354705</c:v>
                </c:pt>
                <c:pt idx="7" formatCode="General">
                  <c:v>-5.8063785050184669E-2</c:v>
                </c:pt>
                <c:pt idx="8" formatCode="General">
                  <c:v>-0.20753253585572418</c:v>
                </c:pt>
                <c:pt idx="9" formatCode="General">
                  <c:v>-0.39259990964881164</c:v>
                </c:pt>
                <c:pt idx="10" formatCode="General">
                  <c:v>-0.67997190068436764</c:v>
                </c:pt>
                <c:pt idx="11" formatCode="General">
                  <c:v>-0.47224783032630302</c:v>
                </c:pt>
                <c:pt idx="12" formatCode="General">
                  <c:v>-0.35554388462432995</c:v>
                </c:pt>
                <c:pt idx="13" formatCode="General">
                  <c:v>-0.29945450798864215</c:v>
                </c:pt>
                <c:pt idx="14" formatCode="General">
                  <c:v>8.9909890553686811E-2</c:v>
                </c:pt>
                <c:pt idx="15" formatCode="General">
                  <c:v>0.4035077805243672</c:v>
                </c:pt>
                <c:pt idx="16" formatCode="General">
                  <c:v>0.11506880670570313</c:v>
                </c:pt>
                <c:pt idx="17" formatCode="General">
                  <c:v>0.23206715280195489</c:v>
                </c:pt>
                <c:pt idx="18" formatCode="General">
                  <c:v>5.5257849303414486E-3</c:v>
                </c:pt>
                <c:pt idx="19" formatCode="General">
                  <c:v>-0.31062877330342492</c:v>
                </c:pt>
                <c:pt idx="20" formatCode="General">
                  <c:v>-0.32282656267219983</c:v>
                </c:pt>
                <c:pt idx="21" formatCode="General">
                  <c:v>-8.8081022051473862E-2</c:v>
                </c:pt>
              </c:numCache>
            </c:numRef>
          </c:val>
          <c:extLst>
            <c:ext xmlns:c16="http://schemas.microsoft.com/office/drawing/2014/chart" uri="{C3380CC4-5D6E-409C-BE32-E72D297353CC}">
              <c16:uniqueId val="{00000002-7558-4059-B296-8F5FB4207D7D}"/>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4'!$F$26:$F$49</c:f>
              <c:numCache>
                <c:formatCode>#\ ##0.0</c:formatCode>
                <c:ptCount val="24"/>
                <c:pt idx="0">
                  <c:v>-0.11971252971432786</c:v>
                </c:pt>
                <c:pt idx="1">
                  <c:v>0.12513537674207531</c:v>
                </c:pt>
                <c:pt idx="2">
                  <c:v>7.5639144896938418E-2</c:v>
                </c:pt>
                <c:pt idx="3">
                  <c:v>0.16915702258933862</c:v>
                </c:pt>
                <c:pt idx="4">
                  <c:v>0.12251647468928516</c:v>
                </c:pt>
                <c:pt idx="5">
                  <c:v>4.4465884869504127E-3</c:v>
                </c:pt>
                <c:pt idx="6">
                  <c:v>-1.6359859988612897E-2</c:v>
                </c:pt>
                <c:pt idx="7">
                  <c:v>-0.12156128779443694</c:v>
                </c:pt>
                <c:pt idx="8">
                  <c:v>-0.15734451118480142</c:v>
                </c:pt>
                <c:pt idx="9">
                  <c:v>-4.5532361519053807E-2</c:v>
                </c:pt>
                <c:pt idx="10">
                  <c:v>-9.8757103245276548E-2</c:v>
                </c:pt>
                <c:pt idx="11">
                  <c:v>-0.10368709258279594</c:v>
                </c:pt>
                <c:pt idx="12">
                  <c:v>-0.34540850854541605</c:v>
                </c:pt>
                <c:pt idx="13">
                  <c:v>-0.70801073477756982</c:v>
                </c:pt>
                <c:pt idx="14">
                  <c:v>-0.63145687961935903</c:v>
                </c:pt>
                <c:pt idx="15">
                  <c:v>-0.60465596754463591</c:v>
                </c:pt>
                <c:pt idx="16">
                  <c:v>-0.56128430139034546</c:v>
                </c:pt>
                <c:pt idx="17">
                  <c:v>-0.11692747497662</c:v>
                </c:pt>
                <c:pt idx="18">
                  <c:v>-2.385502058460395E-2</c:v>
                </c:pt>
                <c:pt idx="19">
                  <c:v>6.4870256116827466E-2</c:v>
                </c:pt>
                <c:pt idx="20">
                  <c:v>0.44454598462250261</c:v>
                </c:pt>
                <c:pt idx="21">
                  <c:v>0.2756813130768615</c:v>
                </c:pt>
                <c:pt idx="22">
                  <c:v>-0.13143141765821154</c:v>
                </c:pt>
                <c:pt idx="23">
                  <c:v>-0.1538783025517676</c:v>
                </c:pt>
              </c:numCache>
            </c:numRef>
          </c:val>
          <c:extLst>
            <c:ext xmlns:c16="http://schemas.microsoft.com/office/drawing/2014/chart" uri="{C3380CC4-5D6E-409C-BE32-E72D297353CC}">
              <c16:uniqueId val="{00000003-7558-4059-B296-8F5FB4207D7D}"/>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4'!$G$26:$G$49</c:f>
              <c:numCache>
                <c:formatCode>#\ ##0.0</c:formatCode>
                <c:ptCount val="24"/>
                <c:pt idx="0">
                  <c:v>2.2567846902239754</c:v>
                </c:pt>
                <c:pt idx="1">
                  <c:v>2.9186309791713847</c:v>
                </c:pt>
                <c:pt idx="2">
                  <c:v>2.9697548900570783</c:v>
                </c:pt>
                <c:pt idx="3">
                  <c:v>3.2819135077275536</c:v>
                </c:pt>
                <c:pt idx="4">
                  <c:v>3.1084812332896234</c:v>
                </c:pt>
                <c:pt idx="5">
                  <c:v>2.7563352038547313</c:v>
                </c:pt>
                <c:pt idx="6" formatCode="General">
                  <c:v>2.6924043929265338</c:v>
                </c:pt>
                <c:pt idx="7" formatCode="General">
                  <c:v>2.6316200146897142</c:v>
                </c:pt>
                <c:pt idx="8" formatCode="General">
                  <c:v>2.4919003926236449</c:v>
                </c:pt>
                <c:pt idx="9" formatCode="General">
                  <c:v>2.2093063938623403</c:v>
                </c:pt>
                <c:pt idx="10" formatCode="General">
                  <c:v>2.1316318226048492</c:v>
                </c:pt>
                <c:pt idx="11" formatCode="General">
                  <c:v>2.1602853151609636</c:v>
                </c:pt>
                <c:pt idx="12" formatCode="General">
                  <c:v>0.60230691969475514</c:v>
                </c:pt>
                <c:pt idx="13" formatCode="General">
                  <c:v>-4.2582563012779078</c:v>
                </c:pt>
                <c:pt idx="14" formatCode="General">
                  <c:v>-2.0902678469504163</c:v>
                </c:pt>
                <c:pt idx="15" formatCode="General">
                  <c:v>-2.3497385311278536</c:v>
                </c:pt>
                <c:pt idx="16" formatCode="General">
                  <c:v>-1.3407828493940885</c:v>
                </c:pt>
                <c:pt idx="17" formatCode="General">
                  <c:v>4.754116905982988</c:v>
                </c:pt>
                <c:pt idx="18" formatCode="General">
                  <c:v>3.6648747973783928</c:v>
                </c:pt>
                <c:pt idx="19" formatCode="General">
                  <c:v>4.0483204326921944</c:v>
                </c:pt>
                <c:pt idx="20" formatCode="General">
                  <c:v>3.8504446532817931</c:v>
                </c:pt>
                <c:pt idx="21" formatCode="General">
                  <c:v>2.9747494036468001</c:v>
                </c:pt>
                <c:pt idx="22" formatCode="General">
                  <c:v>0.8079263971959757</c:v>
                </c:pt>
                <c:pt idx="23" formatCode="General">
                  <c:v>0.2899907371953282</c:v>
                </c:pt>
              </c:numCache>
            </c:numRef>
          </c:val>
          <c:extLst>
            <c:ext xmlns:c16="http://schemas.microsoft.com/office/drawing/2014/chart" uri="{C3380CC4-5D6E-409C-BE32-E72D297353CC}">
              <c16:uniqueId val="{00000004-7558-4059-B296-8F5FB4207D7D}"/>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'souhrnná výkonnost 4'!$H$26:$H$49</c:f>
              <c:numCache>
                <c:formatCode>#\ ##0.0</c:formatCode>
                <c:ptCount val="24"/>
                <c:pt idx="0">
                  <c:v>3.7354703358596737</c:v>
                </c:pt>
                <c:pt idx="1">
                  <c:v>6.0635693129024588</c:v>
                </c:pt>
                <c:pt idx="2">
                  <c:v>6.0551704530576131</c:v>
                </c:pt>
                <c:pt idx="3">
                  <c:v>5.7157111017319409</c:v>
                </c:pt>
                <c:pt idx="4">
                  <c:v>4.7985438750560263</c:v>
                </c:pt>
                <c:pt idx="5">
                  <c:v>2.9808255360502329</c:v>
                </c:pt>
                <c:pt idx="6">
                  <c:v>2.9311807438003399</c:v>
                </c:pt>
                <c:pt idx="7">
                  <c:v>2.9093096332303503</c:v>
                </c:pt>
                <c:pt idx="8">
                  <c:v>2.9841391815935907</c:v>
                </c:pt>
                <c:pt idx="9">
                  <c:v>3.1966587652537299</c:v>
                </c:pt>
                <c:pt idx="10">
                  <c:v>2.8977411942901767</c:v>
                </c:pt>
                <c:pt idx="11">
                  <c:v>2.6699223236542764</c:v>
                </c:pt>
                <c:pt idx="12">
                  <c:v>-1.0965543495417904</c:v>
                </c:pt>
                <c:pt idx="13">
                  <c:v>-10.953400191597822</c:v>
                </c:pt>
                <c:pt idx="14">
                  <c:v>-4.8704580385287244</c:v>
                </c:pt>
                <c:pt idx="15">
                  <c:v>-4.1854633683910549</c:v>
                </c:pt>
                <c:pt idx="16">
                  <c:v>-1.8224490492609107</c:v>
                </c:pt>
                <c:pt idx="17">
                  <c:v>9.3633800591705949</c:v>
                </c:pt>
                <c:pt idx="18">
                  <c:v>3.4170911446025514</c:v>
                </c:pt>
                <c:pt idx="19">
                  <c:v>3.0307983564293011</c:v>
                </c:pt>
                <c:pt idx="20">
                  <c:v>4.0461035879015839</c:v>
                </c:pt>
                <c:pt idx="21">
                  <c:v>3.408966810641715</c:v>
                </c:pt>
                <c:pt idx="22">
                  <c:v>1.5248518351453981</c:v>
                </c:pt>
                <c:pt idx="23">
                  <c:v>0.96213654414856364</c:v>
                </c:pt>
              </c:numCache>
            </c:numRef>
          </c:val>
          <c:smooth val="0"/>
          <c:extLst>
            <c:ext xmlns:c16="http://schemas.microsoft.com/office/drawing/2014/chart" uri="{C3380CC4-5D6E-409C-BE32-E72D297353CC}">
              <c16:uniqueId val="{00000005-7558-4059-B296-8F5FB4207D7D}"/>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12"/>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4"/>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10992424025054E-2"/>
          <c:y val="1.5804777005479873E-2"/>
          <c:w val="0.8441910279518956"/>
          <c:h val="0.71607799718837195"/>
        </c:manualLayout>
      </c:layout>
      <c:barChart>
        <c:barDir val="col"/>
        <c:grouping val="stacked"/>
        <c:varyColors val="0"/>
        <c:ser>
          <c:idx val="0"/>
          <c:order val="0"/>
          <c:tx>
            <c:strRef>
              <c:f>'GRAF příspěvky IPP'!$A$27</c:f>
              <c:strCache>
                <c:ptCount val="1"/>
                <c:pt idx="0">
                  <c:v>Manufacture of transport equip. (29, 30)</c:v>
                </c:pt>
              </c:strCache>
            </c:strRef>
          </c:tx>
          <c:spPr>
            <a:solidFill>
              <a:srgbClr val="E8AFB2"/>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IPP'!$R$27:$AW$27</c:f>
              <c:numCache>
                <c:formatCode>0.0</c:formatCode>
                <c:ptCount val="32"/>
                <c:pt idx="0">
                  <c:v>1.5414336001551852</c:v>
                </c:pt>
                <c:pt idx="1">
                  <c:v>2.1741500812415593</c:v>
                </c:pt>
                <c:pt idx="2">
                  <c:v>2.3807451285231713</c:v>
                </c:pt>
                <c:pt idx="3">
                  <c:v>2.8689756615217954</c:v>
                </c:pt>
                <c:pt idx="4">
                  <c:v>3.3341210196737845</c:v>
                </c:pt>
                <c:pt idx="5">
                  <c:v>2.686672264317759</c:v>
                </c:pt>
                <c:pt idx="6">
                  <c:v>1.480949197612129</c:v>
                </c:pt>
                <c:pt idx="7">
                  <c:v>1.0295786410238907</c:v>
                </c:pt>
                <c:pt idx="8">
                  <c:v>1.7176851530772042</c:v>
                </c:pt>
                <c:pt idx="9">
                  <c:v>2.162430036953364</c:v>
                </c:pt>
                <c:pt idx="10">
                  <c:v>1.6010808371876544</c:v>
                </c:pt>
                <c:pt idx="11">
                  <c:v>1.6765308689366027</c:v>
                </c:pt>
                <c:pt idx="12">
                  <c:v>0.76463369901420963</c:v>
                </c:pt>
                <c:pt idx="13">
                  <c:v>0.53745054525373026</c:v>
                </c:pt>
                <c:pt idx="14">
                  <c:v>0.24390176608722342</c:v>
                </c:pt>
                <c:pt idx="15">
                  <c:v>0.97145099568383697</c:v>
                </c:pt>
                <c:pt idx="16">
                  <c:v>-0.22653642884122754</c:v>
                </c:pt>
                <c:pt idx="17">
                  <c:v>0.48861091853368621</c:v>
                </c:pt>
                <c:pt idx="18">
                  <c:v>0.80855917746087225</c:v>
                </c:pt>
                <c:pt idx="19">
                  <c:v>-1.0897983527427608</c:v>
                </c:pt>
                <c:pt idx="20">
                  <c:v>-1.54355438519358</c:v>
                </c:pt>
                <c:pt idx="21">
                  <c:v>-9.4039632081130193</c:v>
                </c:pt>
                <c:pt idx="22">
                  <c:v>-0.18743733484121544</c:v>
                </c:pt>
                <c:pt idx="23">
                  <c:v>2.0451875585567265</c:v>
                </c:pt>
                <c:pt idx="24">
                  <c:v>1.8998981300154267</c:v>
                </c:pt>
                <c:pt idx="25">
                  <c:v>10.981696435394747</c:v>
                </c:pt>
                <c:pt idx="26">
                  <c:v>-3.777744730919939</c:v>
                </c:pt>
                <c:pt idx="27">
                  <c:v>-3.2745552925864509</c:v>
                </c:pt>
                <c:pt idx="28">
                  <c:v>-1.9102799380643067</c:v>
                </c:pt>
                <c:pt idx="29">
                  <c:v>7.1908710545503574E-2</c:v>
                </c:pt>
                <c:pt idx="30">
                  <c:v>5.6241519876439376</c:v>
                </c:pt>
                <c:pt idx="31">
                  <c:v>4.0478662222931554</c:v>
                </c:pt>
              </c:numCache>
            </c:numRef>
          </c:val>
          <c:extLst>
            <c:ext xmlns:c16="http://schemas.microsoft.com/office/drawing/2014/chart" uri="{C3380CC4-5D6E-409C-BE32-E72D297353CC}">
              <c16:uniqueId val="{00000000-B0A5-4BCC-A34A-019A51465166}"/>
            </c:ext>
          </c:extLst>
        </c:ser>
        <c:ser>
          <c:idx val="1"/>
          <c:order val="1"/>
          <c:tx>
            <c:strRef>
              <c:f>'GRAF příspěvky IPP'!$A$28</c:f>
              <c:strCache>
                <c:ptCount val="1"/>
                <c:pt idx="0">
                  <c:v>Rubber, electro technical ind. (22, 27)</c:v>
                </c:pt>
              </c:strCache>
            </c:strRef>
          </c:tx>
          <c:spPr>
            <a:solidFill>
              <a:srgbClr val="BD1B21"/>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IPP'!$R$28:$AW$28</c:f>
              <c:numCache>
                <c:formatCode>0.0</c:formatCode>
                <c:ptCount val="32"/>
                <c:pt idx="0">
                  <c:v>1.0327842576995627</c:v>
                </c:pt>
                <c:pt idx="1">
                  <c:v>1.2398193770878816</c:v>
                </c:pt>
                <c:pt idx="2">
                  <c:v>1.4194520754584405</c:v>
                </c:pt>
                <c:pt idx="3">
                  <c:v>0.62945179373892213</c:v>
                </c:pt>
                <c:pt idx="4">
                  <c:v>0.81066950070394839</c:v>
                </c:pt>
                <c:pt idx="5">
                  <c:v>0.15910929112689293</c:v>
                </c:pt>
                <c:pt idx="6">
                  <c:v>0.27430884251769166</c:v>
                </c:pt>
                <c:pt idx="7">
                  <c:v>0.4296681239712602</c:v>
                </c:pt>
                <c:pt idx="8">
                  <c:v>0.81190885185629913</c:v>
                </c:pt>
                <c:pt idx="9">
                  <c:v>1.447816278357023</c:v>
                </c:pt>
                <c:pt idx="10">
                  <c:v>0.86831270392558846</c:v>
                </c:pt>
                <c:pt idx="11">
                  <c:v>1.6467937182997421</c:v>
                </c:pt>
                <c:pt idx="12">
                  <c:v>0.99355825089752003</c:v>
                </c:pt>
                <c:pt idx="13">
                  <c:v>0.32981714268582174</c:v>
                </c:pt>
                <c:pt idx="14">
                  <c:v>0.43066392508053103</c:v>
                </c:pt>
                <c:pt idx="15">
                  <c:v>-5.4042637097958549E-2</c:v>
                </c:pt>
                <c:pt idx="16">
                  <c:v>0.52511448325990218</c:v>
                </c:pt>
                <c:pt idx="17">
                  <c:v>0.41827161057405121</c:v>
                </c:pt>
                <c:pt idx="18">
                  <c:v>0.20321919004157385</c:v>
                </c:pt>
                <c:pt idx="19">
                  <c:v>0.40664545615593151</c:v>
                </c:pt>
                <c:pt idx="20">
                  <c:v>-0.5451880349918935</c:v>
                </c:pt>
                <c:pt idx="21">
                  <c:v>-4.0594843067761079</c:v>
                </c:pt>
                <c:pt idx="22">
                  <c:v>-0.42308415860457249</c:v>
                </c:pt>
                <c:pt idx="23">
                  <c:v>0.57531703991443739</c:v>
                </c:pt>
                <c:pt idx="24">
                  <c:v>0.72127374997619464</c:v>
                </c:pt>
                <c:pt idx="25">
                  <c:v>5.5133080211538443</c:v>
                </c:pt>
                <c:pt idx="26">
                  <c:v>0.63109141066247343</c:v>
                </c:pt>
                <c:pt idx="27">
                  <c:v>-0.40575686667122407</c:v>
                </c:pt>
                <c:pt idx="28">
                  <c:v>9.564994163188717E-2</c:v>
                </c:pt>
                <c:pt idx="29">
                  <c:v>0.14616646719142357</c:v>
                </c:pt>
                <c:pt idx="30">
                  <c:v>0.53290769757744694</c:v>
                </c:pt>
                <c:pt idx="31">
                  <c:v>0.60794822436824048</c:v>
                </c:pt>
              </c:numCache>
            </c:numRef>
          </c:val>
          <c:extLst>
            <c:ext xmlns:c16="http://schemas.microsoft.com/office/drawing/2014/chart" uri="{C3380CC4-5D6E-409C-BE32-E72D297353CC}">
              <c16:uniqueId val="{00000001-B0A5-4BCC-A34A-019A51465166}"/>
            </c:ext>
          </c:extLst>
        </c:ser>
        <c:ser>
          <c:idx val="2"/>
          <c:order val="2"/>
          <c:tx>
            <c:strRef>
              <c:f>'GRAF příspěvky IPP'!$A$29</c:f>
              <c:strCache>
                <c:ptCount val="1"/>
                <c:pt idx="0">
                  <c:v>Machinery (28)</c:v>
                </c:pt>
              </c:strCache>
            </c:strRef>
          </c:tx>
          <c:spPr>
            <a:solidFill>
              <a:srgbClr val="BFE3F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IPP'!$R$29:$AW$29</c:f>
              <c:numCache>
                <c:formatCode>0.0</c:formatCode>
                <c:ptCount val="32"/>
                <c:pt idx="0">
                  <c:v>0.27352741322260471</c:v>
                </c:pt>
                <c:pt idx="1">
                  <c:v>0.29435778863230133</c:v>
                </c:pt>
                <c:pt idx="2">
                  <c:v>0.3838190189382153</c:v>
                </c:pt>
                <c:pt idx="3">
                  <c:v>1.9907538862099908E-2</c:v>
                </c:pt>
                <c:pt idx="4">
                  <c:v>0.36213267281302258</c:v>
                </c:pt>
                <c:pt idx="5">
                  <c:v>-6.5064708510287728E-2</c:v>
                </c:pt>
                <c:pt idx="6">
                  <c:v>0.19502661099256183</c:v>
                </c:pt>
                <c:pt idx="7">
                  <c:v>0.31976595271137093</c:v>
                </c:pt>
                <c:pt idx="8">
                  <c:v>0.36260721751312486</c:v>
                </c:pt>
                <c:pt idx="9">
                  <c:v>1.0676230430151594</c:v>
                </c:pt>
                <c:pt idx="10">
                  <c:v>0.84856622097502943</c:v>
                </c:pt>
                <c:pt idx="11">
                  <c:v>0.8011679796708624</c:v>
                </c:pt>
                <c:pt idx="12">
                  <c:v>0.47154480134890669</c:v>
                </c:pt>
                <c:pt idx="13">
                  <c:v>0.14539794495792585</c:v>
                </c:pt>
                <c:pt idx="14">
                  <c:v>0.18518957990291948</c:v>
                </c:pt>
                <c:pt idx="15">
                  <c:v>-0.19190856298894729</c:v>
                </c:pt>
                <c:pt idx="16">
                  <c:v>0.14248219231403364</c:v>
                </c:pt>
                <c:pt idx="17">
                  <c:v>-2.1421773901395595E-2</c:v>
                </c:pt>
                <c:pt idx="18">
                  <c:v>-0.25698546548398382</c:v>
                </c:pt>
                <c:pt idx="19">
                  <c:v>-0.1385976419695116</c:v>
                </c:pt>
                <c:pt idx="20">
                  <c:v>-0.69677730727295717</c:v>
                </c:pt>
                <c:pt idx="21">
                  <c:v>-2.1434069100206701</c:v>
                </c:pt>
                <c:pt idx="22">
                  <c:v>-0.80071965285565583</c:v>
                </c:pt>
                <c:pt idx="23">
                  <c:v>-0.53337369043417571</c:v>
                </c:pt>
                <c:pt idx="24">
                  <c:v>7.0388429332234645E-2</c:v>
                </c:pt>
                <c:pt idx="25">
                  <c:v>2.1082132332125232</c:v>
                </c:pt>
                <c:pt idx="26">
                  <c:v>0.54002718228061808</c:v>
                </c:pt>
                <c:pt idx="27">
                  <c:v>0.28651169955913558</c:v>
                </c:pt>
                <c:pt idx="28">
                  <c:v>0.3825917665588689</c:v>
                </c:pt>
                <c:pt idx="29">
                  <c:v>0.10571776271065517</c:v>
                </c:pt>
                <c:pt idx="30">
                  <c:v>0.49644675486725759</c:v>
                </c:pt>
                <c:pt idx="31">
                  <c:v>0.6596356526852849</c:v>
                </c:pt>
              </c:numCache>
            </c:numRef>
          </c:val>
          <c:extLst>
            <c:ext xmlns:c16="http://schemas.microsoft.com/office/drawing/2014/chart" uri="{C3380CC4-5D6E-409C-BE32-E72D297353CC}">
              <c16:uniqueId val="{00000002-B0A5-4BCC-A34A-019A51465166}"/>
            </c:ext>
          </c:extLst>
        </c:ser>
        <c:ser>
          <c:idx val="3"/>
          <c:order val="3"/>
          <c:tx>
            <c:strRef>
              <c:f>'GRAF příspěvky IPP'!$A$30</c:f>
              <c:strCache>
                <c:ptCount val="1"/>
                <c:pt idx="0">
                  <c:v>Fabricated metal product industry (25)</c:v>
                </c:pt>
              </c:strCache>
            </c:strRef>
          </c:tx>
          <c:spPr>
            <a:solidFill>
              <a:srgbClr val="48AEE7"/>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IPP'!$R$30:$AW$30</c:f>
              <c:numCache>
                <c:formatCode>0.0</c:formatCode>
                <c:ptCount val="32"/>
                <c:pt idx="0">
                  <c:v>0.69497691812608653</c:v>
                </c:pt>
                <c:pt idx="1">
                  <c:v>0.78508725997594475</c:v>
                </c:pt>
                <c:pt idx="2">
                  <c:v>0.99073344247385242</c:v>
                </c:pt>
                <c:pt idx="3">
                  <c:v>0.60112803930591452</c:v>
                </c:pt>
                <c:pt idx="4">
                  <c:v>0.80565108552423126</c:v>
                </c:pt>
                <c:pt idx="5">
                  <c:v>0.37292975928366573</c:v>
                </c:pt>
                <c:pt idx="6">
                  <c:v>0.22874403118707295</c:v>
                </c:pt>
                <c:pt idx="7">
                  <c:v>0.25105221227274938</c:v>
                </c:pt>
                <c:pt idx="8">
                  <c:v>0.3985956654395556</c:v>
                </c:pt>
                <c:pt idx="9">
                  <c:v>0.93860836876068798</c:v>
                </c:pt>
                <c:pt idx="10">
                  <c:v>0.85733344200421946</c:v>
                </c:pt>
                <c:pt idx="11">
                  <c:v>0.96180148351524508</c:v>
                </c:pt>
                <c:pt idx="12">
                  <c:v>0.6638239940502253</c:v>
                </c:pt>
                <c:pt idx="13">
                  <c:v>0.46639173271760564</c:v>
                </c:pt>
                <c:pt idx="14">
                  <c:v>0.40419840691742392</c:v>
                </c:pt>
                <c:pt idx="15">
                  <c:v>0.14440932883616298</c:v>
                </c:pt>
                <c:pt idx="16">
                  <c:v>0.25807569584954437</c:v>
                </c:pt>
                <c:pt idx="17">
                  <c:v>1.4459010693799904E-2</c:v>
                </c:pt>
                <c:pt idx="18">
                  <c:v>-0.25651049213587412</c:v>
                </c:pt>
                <c:pt idx="19">
                  <c:v>-0.34928328908715428</c:v>
                </c:pt>
                <c:pt idx="20">
                  <c:v>-0.60808014688232792</c:v>
                </c:pt>
                <c:pt idx="21">
                  <c:v>-2.0880437771647515</c:v>
                </c:pt>
                <c:pt idx="22">
                  <c:v>-0.5397213489370003</c:v>
                </c:pt>
                <c:pt idx="23">
                  <c:v>0.14511452076092651</c:v>
                </c:pt>
                <c:pt idx="24">
                  <c:v>0.49633095542560085</c:v>
                </c:pt>
                <c:pt idx="25">
                  <c:v>3.0129249260537714</c:v>
                </c:pt>
                <c:pt idx="26">
                  <c:v>0.73648478182031074</c:v>
                </c:pt>
                <c:pt idx="27">
                  <c:v>-5.6080447887036436E-2</c:v>
                </c:pt>
                <c:pt idx="28">
                  <c:v>0.15052763981480349</c:v>
                </c:pt>
                <c:pt idx="29">
                  <c:v>-0.43513827220515977</c:v>
                </c:pt>
                <c:pt idx="30">
                  <c:v>-0.39420121684574294</c:v>
                </c:pt>
                <c:pt idx="31">
                  <c:v>-0.25494692912799483</c:v>
                </c:pt>
              </c:numCache>
            </c:numRef>
          </c:val>
          <c:extLst>
            <c:ext xmlns:c16="http://schemas.microsoft.com/office/drawing/2014/chart" uri="{C3380CC4-5D6E-409C-BE32-E72D297353CC}">
              <c16:uniqueId val="{00000003-B0A5-4BCC-A34A-019A51465166}"/>
            </c:ext>
          </c:extLst>
        </c:ser>
        <c:ser>
          <c:idx val="4"/>
          <c:order val="4"/>
          <c:tx>
            <c:strRef>
              <c:f>'GRAF příspěvky IPP'!$A$31</c:f>
              <c:strCache>
                <c:ptCount val="1"/>
                <c:pt idx="0">
                  <c:v>PC, electronic and optical products (26)</c:v>
                </c:pt>
              </c:strCache>
            </c:strRef>
          </c:tx>
          <c:spPr>
            <a:solidFill>
              <a:srgbClr val="FDDEB3"/>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IPP'!$R$31:$AW$31</c:f>
              <c:numCache>
                <c:formatCode>0.0</c:formatCode>
                <c:ptCount val="32"/>
                <c:pt idx="0">
                  <c:v>0.10273275765267489</c:v>
                </c:pt>
                <c:pt idx="1">
                  <c:v>1.7022273503113708E-2</c:v>
                </c:pt>
                <c:pt idx="2">
                  <c:v>3.14516785151049E-2</c:v>
                </c:pt>
                <c:pt idx="3">
                  <c:v>-6.7148299810871712E-2</c:v>
                </c:pt>
                <c:pt idx="4">
                  <c:v>-1.2685476667277826E-2</c:v>
                </c:pt>
                <c:pt idx="5">
                  <c:v>7.6588175669583008E-2</c:v>
                </c:pt>
                <c:pt idx="6">
                  <c:v>4.5204856094121497E-2</c:v>
                </c:pt>
                <c:pt idx="7">
                  <c:v>0.16194666355811338</c:v>
                </c:pt>
                <c:pt idx="8">
                  <c:v>0.16169573185966199</c:v>
                </c:pt>
                <c:pt idx="9">
                  <c:v>0.34034954986554045</c:v>
                </c:pt>
                <c:pt idx="10">
                  <c:v>0.22387493834902861</c:v>
                </c:pt>
                <c:pt idx="11">
                  <c:v>0.23474883574173058</c:v>
                </c:pt>
                <c:pt idx="12">
                  <c:v>0.37691682805498228</c:v>
                </c:pt>
                <c:pt idx="13">
                  <c:v>0.16170745152429053</c:v>
                </c:pt>
                <c:pt idx="14">
                  <c:v>0.6354136856022391</c:v>
                </c:pt>
                <c:pt idx="15">
                  <c:v>0.32151776055716902</c:v>
                </c:pt>
                <c:pt idx="16">
                  <c:v>-0.11432204894408431</c:v>
                </c:pt>
                <c:pt idx="17">
                  <c:v>-5.1757146500390386E-2</c:v>
                </c:pt>
                <c:pt idx="18">
                  <c:v>-0.58706510968263703</c:v>
                </c:pt>
                <c:pt idx="19">
                  <c:v>-0.35487188237441031</c:v>
                </c:pt>
                <c:pt idx="20">
                  <c:v>-8.5397778834990529E-2</c:v>
                </c:pt>
                <c:pt idx="21">
                  <c:v>-0.27817734072291866</c:v>
                </c:pt>
                <c:pt idx="22">
                  <c:v>-2.9065624151318084E-3</c:v>
                </c:pt>
                <c:pt idx="23">
                  <c:v>-5.9498285904227661E-3</c:v>
                </c:pt>
                <c:pt idx="24">
                  <c:v>0.12344573775217317</c:v>
                </c:pt>
                <c:pt idx="25">
                  <c:v>0.16503598968244623</c:v>
                </c:pt>
                <c:pt idx="26">
                  <c:v>0.2187690869142794</c:v>
                </c:pt>
                <c:pt idx="27">
                  <c:v>-0.21769009003114986</c:v>
                </c:pt>
                <c:pt idx="28">
                  <c:v>1.9919062957815679E-2</c:v>
                </c:pt>
                <c:pt idx="29">
                  <c:v>-9.7779772813260876E-3</c:v>
                </c:pt>
                <c:pt idx="30">
                  <c:v>6.4933152168677274E-2</c:v>
                </c:pt>
                <c:pt idx="31">
                  <c:v>0.43528438515827672</c:v>
                </c:pt>
              </c:numCache>
            </c:numRef>
          </c:val>
          <c:extLst>
            <c:ext xmlns:c16="http://schemas.microsoft.com/office/drawing/2014/chart" uri="{C3380CC4-5D6E-409C-BE32-E72D297353CC}">
              <c16:uniqueId val="{00000004-B0A5-4BCC-A34A-019A51465166}"/>
            </c:ext>
          </c:extLst>
        </c:ser>
        <c:ser>
          <c:idx val="5"/>
          <c:order val="5"/>
          <c:tx>
            <c:strRef>
              <c:f>'GRAF příspěvky IPP'!$A$32</c:f>
              <c:strCache>
                <c:ptCount val="1"/>
                <c:pt idx="0">
                  <c:v>Chemical, pharmaceutical ind. (20, 21)</c:v>
                </c:pt>
              </c:strCache>
            </c:strRef>
          </c:tx>
          <c:spPr>
            <a:solidFill>
              <a:srgbClr val="F8A124"/>
            </a:solidFill>
            <a:ln>
              <a:noFill/>
            </a:ln>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IPP'!$R$32:$AW$32</c:f>
              <c:numCache>
                <c:formatCode>0.0</c:formatCode>
                <c:ptCount val="32"/>
                <c:pt idx="0">
                  <c:v>7.7208317080078276E-2</c:v>
                </c:pt>
                <c:pt idx="1">
                  <c:v>0.23592866818826697</c:v>
                </c:pt>
                <c:pt idx="2">
                  <c:v>-0.16336143877828857</c:v>
                </c:pt>
                <c:pt idx="3">
                  <c:v>-0.33439989501657991</c:v>
                </c:pt>
                <c:pt idx="4">
                  <c:v>-0.41779515285163249</c:v>
                </c:pt>
                <c:pt idx="5">
                  <c:v>-0.42569819359762023</c:v>
                </c:pt>
                <c:pt idx="6">
                  <c:v>-0.10788089066016893</c:v>
                </c:pt>
                <c:pt idx="7">
                  <c:v>0.23743965472329742</c:v>
                </c:pt>
                <c:pt idx="8">
                  <c:v>0.52311070740015475</c:v>
                </c:pt>
                <c:pt idx="9">
                  <c:v>0.82341422334347203</c:v>
                </c:pt>
                <c:pt idx="10">
                  <c:v>0.65076836480306144</c:v>
                </c:pt>
                <c:pt idx="11">
                  <c:v>0.50493978173151843</c:v>
                </c:pt>
                <c:pt idx="12">
                  <c:v>0.40295639892988067</c:v>
                </c:pt>
                <c:pt idx="13">
                  <c:v>8.0557374992047126E-2</c:v>
                </c:pt>
                <c:pt idx="14">
                  <c:v>-5.3154805616806716E-2</c:v>
                </c:pt>
                <c:pt idx="15">
                  <c:v>-6.7994611415210252E-2</c:v>
                </c:pt>
                <c:pt idx="16">
                  <c:v>0.10386183133359356</c:v>
                </c:pt>
                <c:pt idx="17">
                  <c:v>4.7610492592970455E-2</c:v>
                </c:pt>
                <c:pt idx="18">
                  <c:v>0.23071819932128132</c:v>
                </c:pt>
                <c:pt idx="19">
                  <c:v>3.0462943071166648E-2</c:v>
                </c:pt>
                <c:pt idx="20">
                  <c:v>-3.121877831637726E-2</c:v>
                </c:pt>
                <c:pt idx="21">
                  <c:v>-0.54858975903434926</c:v>
                </c:pt>
                <c:pt idx="22">
                  <c:v>-0.21411469460909963</c:v>
                </c:pt>
                <c:pt idx="23">
                  <c:v>0.43233148897113949</c:v>
                </c:pt>
                <c:pt idx="24">
                  <c:v>0.28829426971776501</c:v>
                </c:pt>
                <c:pt idx="25">
                  <c:v>0.79933281321603356</c:v>
                </c:pt>
                <c:pt idx="26">
                  <c:v>0.31192170113272516</c:v>
                </c:pt>
                <c:pt idx="27">
                  <c:v>7.2471498351694613E-2</c:v>
                </c:pt>
                <c:pt idx="28">
                  <c:v>0.25226208715448495</c:v>
                </c:pt>
                <c:pt idx="29">
                  <c:v>0.17185604089715317</c:v>
                </c:pt>
                <c:pt idx="30">
                  <c:v>-8.9143418130066598E-2</c:v>
                </c:pt>
                <c:pt idx="31">
                  <c:v>-0.26779459078234175</c:v>
                </c:pt>
              </c:numCache>
            </c:numRef>
          </c:val>
          <c:extLst>
            <c:ext xmlns:c16="http://schemas.microsoft.com/office/drawing/2014/chart" uri="{C3380CC4-5D6E-409C-BE32-E72D297353CC}">
              <c16:uniqueId val="{00000005-B0A5-4BCC-A34A-019A51465166}"/>
            </c:ext>
          </c:extLst>
        </c:ser>
        <c:ser>
          <c:idx val="6"/>
          <c:order val="6"/>
          <c:tx>
            <c:strRef>
              <c:f>'GRAF příspěvky IPP'!$A$33</c:f>
              <c:strCache>
                <c:ptCount val="1"/>
                <c:pt idx="0">
                  <c:v>Remaining manufacturing industry</c:v>
                </c:pt>
              </c:strCache>
            </c:strRef>
          </c:tx>
          <c:spPr>
            <a:solidFill>
              <a:schemeClr val="bg1">
                <a:lumMod val="85000"/>
              </a:schemeClr>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IPP'!$R$33:$AW$33</c:f>
              <c:numCache>
                <c:formatCode>0.0</c:formatCode>
                <c:ptCount val="32"/>
                <c:pt idx="0">
                  <c:v>0.98358746940884245</c:v>
                </c:pt>
                <c:pt idx="1">
                  <c:v>0.89923246363091325</c:v>
                </c:pt>
                <c:pt idx="2">
                  <c:v>1.0053837817799574</c:v>
                </c:pt>
                <c:pt idx="3">
                  <c:v>-0.19974639261354676</c:v>
                </c:pt>
                <c:pt idx="4">
                  <c:v>0.24329990001740021</c:v>
                </c:pt>
                <c:pt idx="5">
                  <c:v>-0.35930073634947618</c:v>
                </c:pt>
                <c:pt idx="6">
                  <c:v>5.4611870755817526E-2</c:v>
                </c:pt>
                <c:pt idx="7">
                  <c:v>0.57938738739229823</c:v>
                </c:pt>
                <c:pt idx="8">
                  <c:v>0.10796722998385244</c:v>
                </c:pt>
                <c:pt idx="9">
                  <c:v>1.484966796227404</c:v>
                </c:pt>
                <c:pt idx="10">
                  <c:v>0.76494329225869084</c:v>
                </c:pt>
                <c:pt idx="11">
                  <c:v>0.9298110177603145</c:v>
                </c:pt>
                <c:pt idx="12">
                  <c:v>1.1595945228996394</c:v>
                </c:pt>
                <c:pt idx="13">
                  <c:v>0.67905455733759479</c:v>
                </c:pt>
                <c:pt idx="14">
                  <c:v>1.1071544502276871</c:v>
                </c:pt>
                <c:pt idx="15">
                  <c:v>0.4584448107077318</c:v>
                </c:pt>
                <c:pt idx="16">
                  <c:v>-4.2034374602800018E-2</c:v>
                </c:pt>
                <c:pt idx="17">
                  <c:v>4.7080538912348396E-2</c:v>
                </c:pt>
                <c:pt idx="18">
                  <c:v>-0.67715517865176933</c:v>
                </c:pt>
                <c:pt idx="19">
                  <c:v>-0.19783909206023381</c:v>
                </c:pt>
                <c:pt idx="20">
                  <c:v>7.5330777097780563E-2</c:v>
                </c:pt>
                <c:pt idx="21">
                  <c:v>-2.8438492263065807</c:v>
                </c:pt>
                <c:pt idx="22">
                  <c:v>8.8873578450232471E-2</c:v>
                </c:pt>
                <c:pt idx="23">
                  <c:v>0.13876281570829019</c:v>
                </c:pt>
                <c:pt idx="24">
                  <c:v>0.21014615403229484</c:v>
                </c:pt>
                <c:pt idx="25">
                  <c:v>5.1936386612240169</c:v>
                </c:pt>
                <c:pt idx="26">
                  <c:v>1.0321859362308032</c:v>
                </c:pt>
                <c:pt idx="27">
                  <c:v>0.89717493659966907</c:v>
                </c:pt>
                <c:pt idx="28">
                  <c:v>1.4488761025604127</c:v>
                </c:pt>
                <c:pt idx="29">
                  <c:v>0.43148107157606835</c:v>
                </c:pt>
                <c:pt idx="30">
                  <c:v>-0.55869597945929184</c:v>
                </c:pt>
                <c:pt idx="31">
                  <c:v>-0.67912238159015614</c:v>
                </c:pt>
              </c:numCache>
            </c:numRef>
          </c:val>
          <c:extLst>
            <c:ext xmlns:c16="http://schemas.microsoft.com/office/drawing/2014/chart" uri="{C3380CC4-5D6E-409C-BE32-E72D297353CC}">
              <c16:uniqueId val="{00000006-B0A5-4BCC-A34A-019A51465166}"/>
            </c:ext>
          </c:extLst>
        </c:ser>
        <c:ser>
          <c:idx val="7"/>
          <c:order val="7"/>
          <c:tx>
            <c:strRef>
              <c:f>'GRAF příspěvky IPP'!$A$34</c:f>
              <c:strCache>
                <c:ptCount val="1"/>
                <c:pt idx="0">
                  <c:v>Mining and energetics (B, D)</c:v>
                </c:pt>
              </c:strCache>
            </c:strRef>
          </c:tx>
          <c:spPr>
            <a:solidFill>
              <a:srgbClr val="808080"/>
            </a:solidFill>
          </c:spPr>
          <c:invertIfNegative val="0"/>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IPP'!$R$34:$AW$34</c:f>
              <c:numCache>
                <c:formatCode>0.0</c:formatCode>
                <c:ptCount val="32"/>
                <c:pt idx="0">
                  <c:v>0.14536897805497162</c:v>
                </c:pt>
                <c:pt idx="1">
                  <c:v>-0.33983324755997268</c:v>
                </c:pt>
                <c:pt idx="2">
                  <c:v>-0.39725135811041795</c:v>
                </c:pt>
                <c:pt idx="3">
                  <c:v>-1.114644115487744</c:v>
                </c:pt>
                <c:pt idx="4">
                  <c:v>-0.64587487131351107</c:v>
                </c:pt>
                <c:pt idx="5">
                  <c:v>9.8834575359488031E-2</c:v>
                </c:pt>
                <c:pt idx="6">
                  <c:v>-0.47676721369922492</c:v>
                </c:pt>
                <c:pt idx="7">
                  <c:v>0.50385695934700236</c:v>
                </c:pt>
                <c:pt idx="8">
                  <c:v>0.66227118757014092</c:v>
                </c:pt>
                <c:pt idx="9">
                  <c:v>-0.18254891472265217</c:v>
                </c:pt>
                <c:pt idx="10">
                  <c:v>0.77170124339672286</c:v>
                </c:pt>
                <c:pt idx="11">
                  <c:v>0.73276064564397903</c:v>
                </c:pt>
                <c:pt idx="12">
                  <c:v>-0.53888499639537091</c:v>
                </c:pt>
                <c:pt idx="13">
                  <c:v>4.2147847309763065E-3</c:v>
                </c:pt>
                <c:pt idx="14">
                  <c:v>0.78783573859879075</c:v>
                </c:pt>
                <c:pt idx="15">
                  <c:v>0.33124933161720838</c:v>
                </c:pt>
                <c:pt idx="16">
                  <c:v>0.21326825173098596</c:v>
                </c:pt>
                <c:pt idx="17">
                  <c:v>4.5891627194929563E-2</c:v>
                </c:pt>
                <c:pt idx="18">
                  <c:v>-0.66559651426949951</c:v>
                </c:pt>
                <c:pt idx="19">
                  <c:v>-0.33090808889302359</c:v>
                </c:pt>
                <c:pt idx="20">
                  <c:v>-0.97342506810566587</c:v>
                </c:pt>
                <c:pt idx="21">
                  <c:v>-1.5875613971615949</c:v>
                </c:pt>
                <c:pt idx="22">
                  <c:v>-0.71564578738754847</c:v>
                </c:pt>
                <c:pt idx="23">
                  <c:v>-0.69506985368693841</c:v>
                </c:pt>
                <c:pt idx="24">
                  <c:v>0.48072477574831768</c:v>
                </c:pt>
                <c:pt idx="25">
                  <c:v>0.46331760076263306</c:v>
                </c:pt>
                <c:pt idx="26">
                  <c:v>0.22196846067872936</c:v>
                </c:pt>
                <c:pt idx="27">
                  <c:v>0.81349879426535543</c:v>
                </c:pt>
                <c:pt idx="28">
                  <c:v>-0.17502569401397033</c:v>
                </c:pt>
                <c:pt idx="29">
                  <c:v>0.27464113436568205</c:v>
                </c:pt>
                <c:pt idx="30">
                  <c:v>0.37981651547778367</c:v>
                </c:pt>
                <c:pt idx="31">
                  <c:v>-1.3730226786044646</c:v>
                </c:pt>
              </c:numCache>
            </c:numRef>
          </c:val>
          <c:extLst>
            <c:ext xmlns:c16="http://schemas.microsoft.com/office/drawing/2014/chart" uri="{C3380CC4-5D6E-409C-BE32-E72D297353CC}">
              <c16:uniqueId val="{00000007-B0A5-4BCC-A34A-019A51465166}"/>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Total output in industry (NACE B to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IPP'!$R$35:$AW$35</c:f>
              <c:numCache>
                <c:formatCode>0.0</c:formatCode>
                <c:ptCount val="32"/>
                <c:pt idx="0">
                  <c:v>4.8516197114000059</c:v>
                </c:pt>
                <c:pt idx="1">
                  <c:v>5.3057646647000078</c:v>
                </c:pt>
                <c:pt idx="2">
                  <c:v>5.6509723288000364</c:v>
                </c:pt>
                <c:pt idx="3">
                  <c:v>2.4035243304999891</c:v>
                </c:pt>
                <c:pt idx="4">
                  <c:v>4.4795186778999661</c:v>
                </c:pt>
                <c:pt idx="5">
                  <c:v>2.5440704273000043</c:v>
                </c:pt>
                <c:pt idx="6">
                  <c:v>1.6941973048000005</c:v>
                </c:pt>
                <c:pt idx="7">
                  <c:v>3.512695594999983</c:v>
                </c:pt>
                <c:pt idx="8">
                  <c:v>4.7458417446999945</c:v>
                </c:pt>
                <c:pt idx="9">
                  <c:v>8.0826593817999992</c:v>
                </c:pt>
                <c:pt idx="10">
                  <c:v>6.5865810428999962</c:v>
                </c:pt>
                <c:pt idx="11">
                  <c:v>7.4885543312999943</c:v>
                </c:pt>
                <c:pt idx="12">
                  <c:v>4.2941434987999934</c:v>
                </c:pt>
                <c:pt idx="13">
                  <c:v>2.4045915341999926</c:v>
                </c:pt>
                <c:pt idx="14">
                  <c:v>3.7412027468000084</c:v>
                </c:pt>
                <c:pt idx="15">
                  <c:v>1.913126415899993</c:v>
                </c:pt>
                <c:pt idx="16">
                  <c:v>0.85990960209994793</c:v>
                </c:pt>
                <c:pt idx="17">
                  <c:v>0.98874527809999968</c:v>
                </c:pt>
                <c:pt idx="18">
                  <c:v>-1.2008161934000363</c:v>
                </c:pt>
                <c:pt idx="19">
                  <c:v>-2.0241899478999965</c:v>
                </c:pt>
                <c:pt idx="20">
                  <c:v>-4.408310722500012</c:v>
                </c:pt>
                <c:pt idx="21">
                  <c:v>-22.953075925300002</c:v>
                </c:pt>
                <c:pt idx="22">
                  <c:v>-2.7947559611999915</c:v>
                </c:pt>
                <c:pt idx="23">
                  <c:v>2.1023200511999836</c:v>
                </c:pt>
                <c:pt idx="24">
                  <c:v>4.2905022020000079</c:v>
                </c:pt>
                <c:pt idx="25">
                  <c:v>28.237467680700014</c:v>
                </c:pt>
                <c:pt idx="26">
                  <c:v>-8.5296171199999715E-2</c:v>
                </c:pt>
                <c:pt idx="27">
                  <c:v>-1.8844257684000061</c:v>
                </c:pt>
                <c:pt idx="28">
                  <c:v>0.26452096859999585</c:v>
                </c:pt>
                <c:pt idx="29">
                  <c:v>0.75685493780000002</c:v>
                </c:pt>
                <c:pt idx="30">
                  <c:v>6.0562154933000016</c:v>
                </c:pt>
                <c:pt idx="31">
                  <c:v>3.1758479044000012</c:v>
                </c:pt>
              </c:numCache>
            </c:numRef>
          </c:val>
          <c:smooth val="0"/>
          <c:extLst>
            <c:ext xmlns:c16="http://schemas.microsoft.com/office/drawing/2014/chart" uri="{C3380CC4-5D6E-409C-BE32-E72D297353CC}">
              <c16:uniqueId val="{00000008-B0A5-4BCC-A34A-019A51465166}"/>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strCache>
            </c:strRef>
          </c:tx>
          <c:spPr>
            <a:ln w="15875">
              <a:noFill/>
              <a:prstDash val="sysDot"/>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IPP'!$R$36:$AW$36</c:f>
              <c:numCache>
                <c:formatCode>General</c:formatCode>
                <c:ptCount val="32"/>
              </c:numCache>
            </c:numRef>
          </c:val>
          <c:smooth val="0"/>
          <c:extLst>
            <c:ext xmlns:c16="http://schemas.microsoft.com/office/drawing/2014/chart" uri="{C3380CC4-5D6E-409C-BE32-E72D297353CC}">
              <c16:uniqueId val="{00000009-B0A5-4BCC-A34A-019A51465166}"/>
            </c:ext>
          </c:extLst>
        </c:ser>
        <c:ser>
          <c:idx val="10"/>
          <c:order val="10"/>
          <c:tx>
            <c:strRef>
              <c:f>'GRAF příspěvky IPP'!$A$37</c:f>
              <c:strCache>
                <c:ptCount val="1"/>
                <c:pt idx="0">
                  <c:v>Output, total industry (basis 2015=100)</c:v>
                </c:pt>
              </c:strCache>
            </c:strRef>
          </c:tx>
          <c:spPr>
            <a:ln w="15875">
              <a:solidFill>
                <a:schemeClr val="tx1">
                  <a:lumMod val="95000"/>
                  <a:lumOff val="5000"/>
                </a:schemeClr>
              </a:solidFill>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IPP'!$R$37:$AW$37</c:f>
              <c:numCache>
                <c:formatCode>##0.0</c:formatCode>
                <c:ptCount val="32"/>
                <c:pt idx="0">
                  <c:v>98.645602479999994</c:v>
                </c:pt>
                <c:pt idx="1">
                  <c:v>100.18242374</c:v>
                </c:pt>
                <c:pt idx="2">
                  <c:v>101.2850845633</c:v>
                </c:pt>
                <c:pt idx="3">
                  <c:v>100.52111345</c:v>
                </c:pt>
                <c:pt idx="4">
                  <c:v>103.0563593</c:v>
                </c:pt>
                <c:pt idx="5">
                  <c:v>102.5992794233</c:v>
                </c:pt>
                <c:pt idx="6">
                  <c:v>102.83954233670001</c:v>
                </c:pt>
                <c:pt idx="7">
                  <c:v>104.07328304329999</c:v>
                </c:pt>
                <c:pt idx="8">
                  <c:v>107.56794223670001</c:v>
                </c:pt>
                <c:pt idx="9">
                  <c:v>110.67653848</c:v>
                </c:pt>
                <c:pt idx="10">
                  <c:v>109.9586102967</c:v>
                </c:pt>
                <c:pt idx="11">
                  <c:v>112.16043972999999</c:v>
                </c:pt>
                <c:pt idx="12">
                  <c:v>112.4788675433</c:v>
                </c:pt>
                <c:pt idx="13">
                  <c:v>113.5077588267</c:v>
                </c:pt>
                <c:pt idx="14">
                  <c:v>114.2538401133</c:v>
                </c:pt>
                <c:pt idx="15">
                  <c:v>113.8813012367</c:v>
                </c:pt>
                <c:pt idx="16">
                  <c:v>113.3884428333</c:v>
                </c:pt>
                <c:pt idx="17">
                  <c:v>115.08486213330001</c:v>
                </c:pt>
                <c:pt idx="18">
                  <c:v>112.5355021167</c:v>
                </c:pt>
                <c:pt idx="19">
                  <c:v>111.4403992933</c:v>
                </c:pt>
                <c:pt idx="20">
                  <c:v>108.6749157867</c:v>
                </c:pt>
                <c:pt idx="21">
                  <c:v>88.9758235133</c:v>
                </c:pt>
                <c:pt idx="22">
                  <c:v>109.4050159767</c:v>
                </c:pt>
                <c:pt idx="23">
                  <c:v>113.95534517</c:v>
                </c:pt>
                <c:pt idx="24">
                  <c:v>112.2920782133</c:v>
                </c:pt>
                <c:pt idx="25">
                  <c:v>113.25779428</c:v>
                </c:pt>
                <c:pt idx="26">
                  <c:v>110.3519137733</c:v>
                </c:pt>
                <c:pt idx="27">
                  <c:v>111.2413768733</c:v>
                </c:pt>
                <c:pt idx="28">
                  <c:v>113.30469189999999</c:v>
                </c:pt>
                <c:pt idx="29">
                  <c:v>114.2816303</c:v>
                </c:pt>
                <c:pt idx="30">
                  <c:v>116.4354895833</c:v>
                </c:pt>
                <c:pt idx="31">
                  <c:v>115.1998627</c:v>
                </c:pt>
              </c:numCache>
            </c:numRef>
          </c:val>
          <c:smooth val="0"/>
          <c:extLst>
            <c:ext xmlns:c16="http://schemas.microsoft.com/office/drawing/2014/chart" uri="{C3380CC4-5D6E-409C-BE32-E72D297353CC}">
              <c16:uniqueId val="{0000000A-B0A5-4BCC-A34A-019A51465166}"/>
            </c:ext>
          </c:extLst>
        </c:ser>
        <c:ser>
          <c:idx val="11"/>
          <c:order val="11"/>
          <c:tx>
            <c:strRef>
              <c:f>'GRAF příspěvky IPP'!$A$38</c:f>
              <c:strCache>
                <c:ptCount val="1"/>
                <c:pt idx="0">
                  <c:v>Sales, total industry (basis 2015=100)</c:v>
                </c:pt>
              </c:strCache>
            </c:strRef>
          </c:tx>
          <c:spPr>
            <a:ln w="15875">
              <a:solidFill>
                <a:schemeClr val="tx1">
                  <a:lumMod val="50000"/>
                  <a:lumOff val="50000"/>
                </a:schemeClr>
              </a:solidFill>
              <a:prstDash val="sysDash"/>
            </a:ln>
          </c:spPr>
          <c:marker>
            <c:symbol val="none"/>
          </c:marker>
          <c:cat>
            <c:multiLvlStrRef>
              <c:f>'GRAF příspěvky IPP'!$R$25:$AW$26</c:f>
              <c:multiLvlStrCache>
                <c:ptCount val="3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lvl>
                <c:lvl>
                  <c:pt idx="0">
                    <c:v>2015</c:v>
                  </c:pt>
                  <c:pt idx="4">
                    <c:v>2016</c:v>
                  </c:pt>
                  <c:pt idx="8">
                    <c:v>2017</c:v>
                  </c:pt>
                  <c:pt idx="12">
                    <c:v>2018</c:v>
                  </c:pt>
                  <c:pt idx="16">
                    <c:v>2019</c:v>
                  </c:pt>
                  <c:pt idx="20">
                    <c:v>2020</c:v>
                  </c:pt>
                  <c:pt idx="24">
                    <c:v>2021</c:v>
                  </c:pt>
                  <c:pt idx="28">
                    <c:v>2022</c:v>
                  </c:pt>
                </c:lvl>
              </c:multiLvlStrCache>
            </c:multiLvlStrRef>
          </c:cat>
          <c:val>
            <c:numRef>
              <c:f>'GRAF příspěvky IPP'!$R$38:$AW$38</c:f>
              <c:numCache>
                <c:formatCode>##0.0</c:formatCode>
                <c:ptCount val="32"/>
                <c:pt idx="0">
                  <c:v>98.928647706700005</c:v>
                </c:pt>
                <c:pt idx="1">
                  <c:v>100.52995774670001</c:v>
                </c:pt>
                <c:pt idx="2">
                  <c:v>100.75502845</c:v>
                </c:pt>
                <c:pt idx="3">
                  <c:v>99.786366096699993</c:v>
                </c:pt>
                <c:pt idx="4">
                  <c:v>100.23325782000001</c:v>
                </c:pt>
                <c:pt idx="5">
                  <c:v>99.062532509999997</c:v>
                </c:pt>
                <c:pt idx="6">
                  <c:v>100.58475803669999</c:v>
                </c:pt>
                <c:pt idx="7">
                  <c:v>103.3260101133</c:v>
                </c:pt>
                <c:pt idx="8">
                  <c:v>106.91453119329999</c:v>
                </c:pt>
                <c:pt idx="9">
                  <c:v>109.5325771033</c:v>
                </c:pt>
                <c:pt idx="10">
                  <c:v>107.5092221533</c:v>
                </c:pt>
                <c:pt idx="11">
                  <c:v>109.11652482</c:v>
                </c:pt>
                <c:pt idx="12">
                  <c:v>110.0374085</c:v>
                </c:pt>
                <c:pt idx="13">
                  <c:v>110.9731715833</c:v>
                </c:pt>
                <c:pt idx="14">
                  <c:v>113.0288010533</c:v>
                </c:pt>
                <c:pt idx="15">
                  <c:v>114.48280249</c:v>
                </c:pt>
                <c:pt idx="16">
                  <c:v>113.39006211</c:v>
                </c:pt>
                <c:pt idx="17">
                  <c:v>115.2735759567</c:v>
                </c:pt>
                <c:pt idx="18">
                  <c:v>112.1540635667</c:v>
                </c:pt>
                <c:pt idx="19">
                  <c:v>111.5258905033</c:v>
                </c:pt>
                <c:pt idx="20">
                  <c:v>109.6038404267</c:v>
                </c:pt>
                <c:pt idx="21">
                  <c:v>88.713331716699997</c:v>
                </c:pt>
                <c:pt idx="22">
                  <c:v>110.6502057333</c:v>
                </c:pt>
                <c:pt idx="23">
                  <c:v>116.5514529133</c:v>
                </c:pt>
                <c:pt idx="24">
                  <c:v>116.5100608533</c:v>
                </c:pt>
                <c:pt idx="25">
                  <c:v>118.2855516467</c:v>
                </c:pt>
                <c:pt idx="26">
                  <c:v>115.0804897467</c:v>
                </c:pt>
                <c:pt idx="27">
                  <c:v>120.3196722533</c:v>
                </c:pt>
                <c:pt idx="28">
                  <c:v>128.94960384000001</c:v>
                </c:pt>
                <c:pt idx="29">
                  <c:v>134.39103933000001</c:v>
                </c:pt>
                <c:pt idx="30">
                  <c:v>142.0309729267</c:v>
                </c:pt>
                <c:pt idx="31">
                  <c:v>140.6569815933</c:v>
                </c:pt>
              </c:numCache>
            </c:numRef>
          </c:val>
          <c:smooth val="0"/>
          <c:extLst>
            <c:ext xmlns:c16="http://schemas.microsoft.com/office/drawing/2014/chart" uri="{C3380CC4-5D6E-409C-BE32-E72D297353CC}">
              <c16:uniqueId val="{0000000B-B0A5-4BCC-A34A-019A51465166}"/>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none"/>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31.5"/>
          <c:min val="-25"/>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Industrial output in sub-branches (addition to growth)</a:t>
                </a:r>
              </a:p>
            </c:rich>
          </c:tx>
          <c:layout>
            <c:manualLayout>
              <c:xMode val="edge"/>
              <c:yMode val="edge"/>
              <c:x val="0"/>
              <c:y val="5.1905346109932318E-2"/>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5"/>
      </c:valAx>
      <c:valAx>
        <c:axId val="1513729024"/>
        <c:scaling>
          <c:orientation val="minMax"/>
          <c:max val="143"/>
          <c:min val="3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Output, Sales in the entire industry (basis 2015=100)</a:t>
                </a:r>
              </a:p>
            </c:rich>
          </c:tx>
          <c:layout>
            <c:manualLayout>
              <c:xMode val="edge"/>
              <c:yMode val="edge"/>
              <c:x val="0.97073906692287293"/>
              <c:y val="0.10785719131595946"/>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10"/>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279966237038124E-3"/>
          <c:y val="0.82543385995838137"/>
          <c:w val="0.98919860566585194"/>
          <c:h val="0.1675613345282420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5647041011259352E-2"/>
          <c:w val="0.84974974879787502"/>
          <c:h val="0.750636022143085"/>
        </c:manualLayout>
      </c:layout>
      <c:barChart>
        <c:barDir val="col"/>
        <c:grouping val="clustered"/>
        <c:varyColors val="0"/>
        <c:ser>
          <c:idx val="0"/>
          <c:order val="0"/>
          <c:tx>
            <c:strRef>
              <c:f>'výkonnost odvětví 2'!$A$36</c:f>
              <c:strCache>
                <c:ptCount val="1"/>
                <c:pt idx="0">
                  <c:v>Total orders (all industry)</c:v>
                </c:pt>
              </c:strCache>
            </c:strRef>
          </c:tx>
          <c:spPr>
            <a:solidFill>
              <a:schemeClr val="bg1">
                <a:lumMod val="75000"/>
              </a:schemeClr>
            </a:solidFill>
            <a:ln>
              <a:noFill/>
            </a:ln>
          </c:spPr>
          <c:invertIfNegative val="0"/>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2'!$R$36:$AX$36</c:f>
              <c:numCache>
                <c:formatCode>##0.0</c:formatCode>
                <c:ptCount val="33"/>
                <c:pt idx="0">
                  <c:v>8.5353894547999971</c:v>
                </c:pt>
                <c:pt idx="1">
                  <c:v>6.3740032441999972</c:v>
                </c:pt>
                <c:pt idx="2">
                  <c:v>6.0540271236999956</c:v>
                </c:pt>
                <c:pt idx="3">
                  <c:v>5.2610868973000038</c:v>
                </c:pt>
                <c:pt idx="4">
                  <c:v>2.6398924801000021</c:v>
                </c:pt>
                <c:pt idx="5">
                  <c:v>7.5233833736999998</c:v>
                </c:pt>
                <c:pt idx="6">
                  <c:v>2.3667401951999949</c:v>
                </c:pt>
                <c:pt idx="7">
                  <c:v>6.6372980220999978</c:v>
                </c:pt>
                <c:pt idx="8">
                  <c:v>7.264263741700006</c:v>
                </c:pt>
                <c:pt idx="9">
                  <c:v>8.2151073244999964</c:v>
                </c:pt>
                <c:pt idx="10">
                  <c:v>7.9541665196999958</c:v>
                </c:pt>
                <c:pt idx="11">
                  <c:v>7.3518853409999991</c:v>
                </c:pt>
                <c:pt idx="12">
                  <c:v>3.4479253911000001</c:v>
                </c:pt>
                <c:pt idx="13">
                  <c:v>3.7095478141000058</c:v>
                </c:pt>
                <c:pt idx="14">
                  <c:v>3.8047927777000012</c:v>
                </c:pt>
                <c:pt idx="15">
                  <c:v>3.0958525626000011</c:v>
                </c:pt>
                <c:pt idx="16">
                  <c:v>3.2186335616000008</c:v>
                </c:pt>
                <c:pt idx="17">
                  <c:v>1.4218114762000056</c:v>
                </c:pt>
                <c:pt idx="18">
                  <c:v>-0.25322037120000118</c:v>
                </c:pt>
                <c:pt idx="19">
                  <c:v>-3.8029715272000004</c:v>
                </c:pt>
                <c:pt idx="20">
                  <c:v>-2.0918519482000022</c:v>
                </c:pt>
                <c:pt idx="21">
                  <c:v>-27.667187618300005</c:v>
                </c:pt>
                <c:pt idx="22">
                  <c:v>-1.310591588500003</c:v>
                </c:pt>
                <c:pt idx="23">
                  <c:v>7.1560873369000007</c:v>
                </c:pt>
                <c:pt idx="24">
                  <c:v>8.4043556738999996</c:v>
                </c:pt>
                <c:pt idx="25">
                  <c:v>47.896596400899995</c:v>
                </c:pt>
                <c:pt idx="26">
                  <c:v>7.3132490553000054</c:v>
                </c:pt>
                <c:pt idx="27">
                  <c:v>3.5880299908999973</c:v>
                </c:pt>
                <c:pt idx="28">
                  <c:v>6.0548908874999938</c:v>
                </c:pt>
                <c:pt idx="29">
                  <c:v>9.814620017699994</c:v>
                </c:pt>
                <c:pt idx="30">
                  <c:v>14.889224321499995</c:v>
                </c:pt>
                <c:pt idx="31">
                  <c:v>12.496406793800006</c:v>
                </c:pt>
              </c:numCache>
            </c:numRef>
          </c:val>
          <c:extLst>
            <c:ext xmlns:c16="http://schemas.microsoft.com/office/drawing/2014/chart" uri="{C3380CC4-5D6E-409C-BE32-E72D297353CC}">
              <c16:uniqueId val="{00000000-4F76-4F26-AD04-22FACF94F0B4}"/>
            </c:ext>
          </c:extLst>
        </c:ser>
        <c:dLbls>
          <c:showLegendKey val="0"/>
          <c:showVal val="0"/>
          <c:showCatName val="0"/>
          <c:showSerName val="0"/>
          <c:showPercent val="0"/>
          <c:showBubbleSize val="0"/>
        </c:dLbls>
        <c:gapWidth val="30"/>
        <c:axId val="112768128"/>
        <c:axId val="112769664"/>
      </c:barChart>
      <c:lineChart>
        <c:grouping val="standard"/>
        <c:varyColors val="0"/>
        <c:ser>
          <c:idx val="1"/>
          <c:order val="1"/>
          <c:tx>
            <c:strRef>
              <c:f>'výkonnost odvětví 2'!$A$37</c:f>
              <c:strCache>
                <c:ptCount val="1"/>
                <c:pt idx="0">
                  <c:v>In that: domestic orders</c:v>
                </c:pt>
              </c:strCache>
            </c:strRef>
          </c:tx>
          <c:spPr>
            <a:ln w="15875">
              <a:noFill/>
              <a:prstDash val="sysDot"/>
            </a:ln>
          </c:spPr>
          <c:marker>
            <c:symbol val="diamond"/>
            <c:size val="5"/>
            <c:spPr>
              <a:solidFill>
                <a:srgbClr val="984807"/>
              </a:solidFill>
              <a:ln>
                <a:no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2'!$R$37:$AX$37</c:f>
              <c:numCache>
                <c:formatCode>#\ ##0.0</c:formatCode>
                <c:ptCount val="33"/>
                <c:pt idx="0">
                  <c:v>4.3678555678000066</c:v>
                </c:pt>
                <c:pt idx="1">
                  <c:v>9.9380074582000049</c:v>
                </c:pt>
                <c:pt idx="2">
                  <c:v>-2.8625917786000059</c:v>
                </c:pt>
                <c:pt idx="3">
                  <c:v>-0.24449638430000675</c:v>
                </c:pt>
                <c:pt idx="4">
                  <c:v>1.5608556055999969</c:v>
                </c:pt>
                <c:pt idx="5">
                  <c:v>1.4530189575000065</c:v>
                </c:pt>
                <c:pt idx="6">
                  <c:v>0.19507191760000353</c:v>
                </c:pt>
                <c:pt idx="7">
                  <c:v>2.810568046100002</c:v>
                </c:pt>
                <c:pt idx="8">
                  <c:v>12.6195755233</c:v>
                </c:pt>
                <c:pt idx="9">
                  <c:v>15.740843176200002</c:v>
                </c:pt>
                <c:pt idx="10">
                  <c:v>15.881411785300003</c:v>
                </c:pt>
                <c:pt idx="11">
                  <c:v>15.4396235432</c:v>
                </c:pt>
                <c:pt idx="12">
                  <c:v>1.4059943362999974</c:v>
                </c:pt>
                <c:pt idx="13">
                  <c:v>2.5119296337000065</c:v>
                </c:pt>
                <c:pt idx="14">
                  <c:v>4.7248831052000071</c:v>
                </c:pt>
                <c:pt idx="15">
                  <c:v>3.5273288478999945</c:v>
                </c:pt>
                <c:pt idx="16">
                  <c:v>8.0476176921000047</c:v>
                </c:pt>
                <c:pt idx="17">
                  <c:v>5.293639082599995</c:v>
                </c:pt>
                <c:pt idx="18">
                  <c:v>0.41940306940000482</c:v>
                </c:pt>
                <c:pt idx="19">
                  <c:v>-1.3456257084999947</c:v>
                </c:pt>
                <c:pt idx="20">
                  <c:v>5.5521264895999991</c:v>
                </c:pt>
                <c:pt idx="21">
                  <c:v>-25.896794335699994</c:v>
                </c:pt>
                <c:pt idx="22">
                  <c:v>-3.0500801793999983</c:v>
                </c:pt>
                <c:pt idx="23">
                  <c:v>6.9104797819999959</c:v>
                </c:pt>
                <c:pt idx="24">
                  <c:v>-2.8581604621000025</c:v>
                </c:pt>
                <c:pt idx="25">
                  <c:v>43.475840820900004</c:v>
                </c:pt>
                <c:pt idx="26">
                  <c:v>9.2869426111000024</c:v>
                </c:pt>
                <c:pt idx="27">
                  <c:v>5.3976112146000048</c:v>
                </c:pt>
                <c:pt idx="28">
                  <c:v>7.1489622176000012</c:v>
                </c:pt>
                <c:pt idx="29">
                  <c:v>14.097792744900005</c:v>
                </c:pt>
                <c:pt idx="30">
                  <c:v>25.327159451300005</c:v>
                </c:pt>
                <c:pt idx="31">
                  <c:v>16.556125444499997</c:v>
                </c:pt>
              </c:numCache>
            </c:numRef>
          </c:val>
          <c:smooth val="0"/>
          <c:extLst>
            <c:ext xmlns:c16="http://schemas.microsoft.com/office/drawing/2014/chart" uri="{C3380CC4-5D6E-409C-BE32-E72D297353CC}">
              <c16:uniqueId val="{00000001-4F76-4F26-AD04-22FACF94F0B4}"/>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2"/>
          <c:order val="2"/>
          <c:tx>
            <c:strRef>
              <c:f>'výkonnost odvětví 2'!$A$38</c:f>
              <c:strCache>
                <c:ptCount val="1"/>
                <c:pt idx="0">
                  <c:v>Utilisation of product.capacities (all industry)</c:v>
                </c:pt>
              </c:strCache>
            </c:strRef>
          </c:tx>
          <c:spPr>
            <a:ln w="15875">
              <a:solidFill>
                <a:schemeClr val="accent6">
                  <a:lumMod val="75000"/>
                </a:schemeClr>
              </a:solidFill>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2'!$R$38:$AX$38</c:f>
              <c:numCache>
                <c:formatCode>##0.0</c:formatCode>
                <c:ptCount val="33"/>
                <c:pt idx="0">
                  <c:v>85.4</c:v>
                </c:pt>
                <c:pt idx="1">
                  <c:v>85.1</c:v>
                </c:pt>
                <c:pt idx="2">
                  <c:v>85</c:v>
                </c:pt>
                <c:pt idx="3">
                  <c:v>84.1</c:v>
                </c:pt>
                <c:pt idx="4">
                  <c:v>83.7</c:v>
                </c:pt>
                <c:pt idx="5">
                  <c:v>85.2</c:v>
                </c:pt>
                <c:pt idx="6">
                  <c:v>84.4</c:v>
                </c:pt>
                <c:pt idx="7">
                  <c:v>84.7</c:v>
                </c:pt>
                <c:pt idx="8">
                  <c:v>84.4</c:v>
                </c:pt>
                <c:pt idx="9">
                  <c:v>83.4</c:v>
                </c:pt>
                <c:pt idx="10">
                  <c:v>84.2</c:v>
                </c:pt>
                <c:pt idx="11">
                  <c:v>84.7</c:v>
                </c:pt>
                <c:pt idx="12">
                  <c:v>85.8</c:v>
                </c:pt>
                <c:pt idx="13">
                  <c:v>85.4</c:v>
                </c:pt>
                <c:pt idx="14">
                  <c:v>86.2</c:v>
                </c:pt>
                <c:pt idx="15">
                  <c:v>85.7</c:v>
                </c:pt>
                <c:pt idx="16">
                  <c:v>85.7</c:v>
                </c:pt>
                <c:pt idx="17">
                  <c:v>85.7</c:v>
                </c:pt>
                <c:pt idx="18">
                  <c:v>84.8</c:v>
                </c:pt>
                <c:pt idx="19">
                  <c:v>84</c:v>
                </c:pt>
                <c:pt idx="20">
                  <c:v>84.3</c:v>
                </c:pt>
                <c:pt idx="21">
                  <c:v>69.400000000000006</c:v>
                </c:pt>
                <c:pt idx="22">
                  <c:v>76.2</c:v>
                </c:pt>
                <c:pt idx="23">
                  <c:v>83</c:v>
                </c:pt>
                <c:pt idx="24">
                  <c:v>85.7</c:v>
                </c:pt>
                <c:pt idx="25">
                  <c:v>85</c:v>
                </c:pt>
                <c:pt idx="26">
                  <c:v>88.1</c:v>
                </c:pt>
                <c:pt idx="27">
                  <c:v>76.5</c:v>
                </c:pt>
                <c:pt idx="28">
                  <c:v>83.3</c:v>
                </c:pt>
                <c:pt idx="29">
                  <c:v>81.599999999999994</c:v>
                </c:pt>
                <c:pt idx="30">
                  <c:v>83.2</c:v>
                </c:pt>
                <c:pt idx="31">
                  <c:v>80.5</c:v>
                </c:pt>
                <c:pt idx="32">
                  <c:v>80.900000000000006</c:v>
                </c:pt>
              </c:numCache>
            </c:numRef>
          </c:val>
          <c:smooth val="0"/>
          <c:extLst>
            <c:ext xmlns:c16="http://schemas.microsoft.com/office/drawing/2014/chart" uri="{C3380CC4-5D6E-409C-BE32-E72D297353CC}">
              <c16:uniqueId val="{00000002-4F76-4F26-AD04-22FACF94F0B4}"/>
            </c:ext>
          </c:extLst>
        </c:ser>
        <c:ser>
          <c:idx val="3"/>
          <c:order val="3"/>
          <c:tx>
            <c:strRef>
              <c:f>'výkonnost odvětví 2'!$A$39</c:f>
              <c:strCache>
                <c:ptCount val="1"/>
                <c:pt idx="0">
                  <c:v>Utilisation of capacities (motor vehicles ind.)</c:v>
                </c:pt>
              </c:strCache>
            </c:strRef>
          </c:tx>
          <c:spPr>
            <a:ln w="15875">
              <a:solidFill>
                <a:schemeClr val="accent6">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2'!$R$39:$AX$39</c:f>
              <c:numCache>
                <c:formatCode>##0.0</c:formatCode>
                <c:ptCount val="33"/>
                <c:pt idx="0">
                  <c:v>91.4</c:v>
                </c:pt>
                <c:pt idx="1">
                  <c:v>91.4</c:v>
                </c:pt>
                <c:pt idx="2">
                  <c:v>91.5</c:v>
                </c:pt>
                <c:pt idx="3">
                  <c:v>88.8</c:v>
                </c:pt>
                <c:pt idx="4">
                  <c:v>90.2</c:v>
                </c:pt>
                <c:pt idx="5">
                  <c:v>91.8</c:v>
                </c:pt>
                <c:pt idx="6">
                  <c:v>92.2</c:v>
                </c:pt>
                <c:pt idx="7">
                  <c:v>91.5</c:v>
                </c:pt>
                <c:pt idx="8">
                  <c:v>92.4</c:v>
                </c:pt>
                <c:pt idx="9">
                  <c:v>87.9</c:v>
                </c:pt>
                <c:pt idx="10">
                  <c:v>90.8</c:v>
                </c:pt>
                <c:pt idx="11">
                  <c:v>90.5</c:v>
                </c:pt>
                <c:pt idx="12">
                  <c:v>91.4</c:v>
                </c:pt>
                <c:pt idx="13">
                  <c:v>91.3</c:v>
                </c:pt>
                <c:pt idx="14">
                  <c:v>92.9</c:v>
                </c:pt>
                <c:pt idx="15">
                  <c:v>92.5</c:v>
                </c:pt>
                <c:pt idx="16">
                  <c:v>92.9</c:v>
                </c:pt>
                <c:pt idx="17">
                  <c:v>92.7</c:v>
                </c:pt>
                <c:pt idx="18">
                  <c:v>92.8</c:v>
                </c:pt>
                <c:pt idx="19">
                  <c:v>93</c:v>
                </c:pt>
                <c:pt idx="20">
                  <c:v>90.6</c:v>
                </c:pt>
                <c:pt idx="21">
                  <c:v>45</c:v>
                </c:pt>
                <c:pt idx="22">
                  <c:v>79.099999999999994</c:v>
                </c:pt>
                <c:pt idx="23">
                  <c:v>96.9</c:v>
                </c:pt>
                <c:pt idx="24">
                  <c:v>94.9</c:v>
                </c:pt>
                <c:pt idx="25">
                  <c:v>89.6</c:v>
                </c:pt>
                <c:pt idx="26">
                  <c:v>95.3</c:v>
                </c:pt>
                <c:pt idx="27">
                  <c:v>55.8</c:v>
                </c:pt>
                <c:pt idx="28">
                  <c:v>84.5</c:v>
                </c:pt>
                <c:pt idx="29">
                  <c:v>76.7</c:v>
                </c:pt>
                <c:pt idx="30">
                  <c:v>79</c:v>
                </c:pt>
                <c:pt idx="31">
                  <c:v>74.099999999999994</c:v>
                </c:pt>
                <c:pt idx="32">
                  <c:v>79.400000000000006</c:v>
                </c:pt>
              </c:numCache>
            </c:numRef>
          </c:val>
          <c:smooth val="0"/>
          <c:extLst>
            <c:ext xmlns:c16="http://schemas.microsoft.com/office/drawing/2014/chart" uri="{C3380CC4-5D6E-409C-BE32-E72D297353CC}">
              <c16:uniqueId val="{00000003-4F76-4F26-AD04-22FACF94F0B4}"/>
            </c:ext>
          </c:extLst>
        </c:ser>
        <c:ser>
          <c:idx val="4"/>
          <c:order val="4"/>
          <c:tx>
            <c:strRef>
              <c:f>'výkonnost odvětví 2'!$A$40</c:f>
              <c:strCache>
                <c:ptCount val="1"/>
                <c:pt idx="0">
                  <c:v>Growth barrier: inadequate demand</c:v>
                </c:pt>
              </c:strCache>
            </c:strRef>
          </c:tx>
          <c:spPr>
            <a:ln w="15875">
              <a:solidFill>
                <a:srgbClr val="00B050"/>
              </a:solidFill>
              <a:prstDash val="solid"/>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2'!$R$40:$AX$40</c:f>
              <c:numCache>
                <c:formatCode>#\ ##0.0</c:formatCode>
                <c:ptCount val="33"/>
                <c:pt idx="0">
                  <c:v>45.3</c:v>
                </c:pt>
                <c:pt idx="1">
                  <c:v>49.6</c:v>
                </c:pt>
                <c:pt idx="2">
                  <c:v>49.7</c:v>
                </c:pt>
                <c:pt idx="3">
                  <c:v>46.4</c:v>
                </c:pt>
                <c:pt idx="4">
                  <c:v>45.9</c:v>
                </c:pt>
                <c:pt idx="5">
                  <c:v>44.6</c:v>
                </c:pt>
                <c:pt idx="6">
                  <c:v>43.8</c:v>
                </c:pt>
                <c:pt idx="7">
                  <c:v>42.9</c:v>
                </c:pt>
                <c:pt idx="8">
                  <c:v>42.7</c:v>
                </c:pt>
                <c:pt idx="9">
                  <c:v>41</c:v>
                </c:pt>
                <c:pt idx="10">
                  <c:v>41.2</c:v>
                </c:pt>
                <c:pt idx="11">
                  <c:v>35.799999999999997</c:v>
                </c:pt>
                <c:pt idx="12">
                  <c:v>35.4</c:v>
                </c:pt>
                <c:pt idx="13">
                  <c:v>36.299999999999997</c:v>
                </c:pt>
                <c:pt idx="14">
                  <c:v>32.4</c:v>
                </c:pt>
                <c:pt idx="15">
                  <c:v>32.9</c:v>
                </c:pt>
                <c:pt idx="16">
                  <c:v>33.799999999999997</c:v>
                </c:pt>
                <c:pt idx="17">
                  <c:v>36.200000000000003</c:v>
                </c:pt>
                <c:pt idx="18">
                  <c:v>41</c:v>
                </c:pt>
                <c:pt idx="19">
                  <c:v>47.1</c:v>
                </c:pt>
                <c:pt idx="20">
                  <c:v>49.8</c:v>
                </c:pt>
                <c:pt idx="21">
                  <c:v>58.8</c:v>
                </c:pt>
                <c:pt idx="22">
                  <c:v>63</c:v>
                </c:pt>
                <c:pt idx="23">
                  <c:v>44.4</c:v>
                </c:pt>
                <c:pt idx="24">
                  <c:v>46.9</c:v>
                </c:pt>
                <c:pt idx="25">
                  <c:v>38.700000000000003</c:v>
                </c:pt>
                <c:pt idx="26">
                  <c:v>25.4</c:v>
                </c:pt>
                <c:pt idx="27">
                  <c:v>27.9</c:v>
                </c:pt>
                <c:pt idx="28">
                  <c:v>29.9</c:v>
                </c:pt>
                <c:pt idx="29">
                  <c:v>21.3</c:v>
                </c:pt>
                <c:pt idx="30">
                  <c:v>18.7</c:v>
                </c:pt>
                <c:pt idx="31">
                  <c:v>29.4</c:v>
                </c:pt>
                <c:pt idx="32">
                  <c:v>42.5</c:v>
                </c:pt>
              </c:numCache>
            </c:numRef>
          </c:val>
          <c:smooth val="0"/>
          <c:extLst>
            <c:ext xmlns:c16="http://schemas.microsoft.com/office/drawing/2014/chart" uri="{C3380CC4-5D6E-409C-BE32-E72D297353CC}">
              <c16:uniqueId val="{00000004-4F76-4F26-AD04-22FACF94F0B4}"/>
            </c:ext>
          </c:extLst>
        </c:ser>
        <c:ser>
          <c:idx val="5"/>
          <c:order val="5"/>
          <c:tx>
            <c:strRef>
              <c:f>'výkonnost odvětví 2'!$A$41</c:f>
              <c:strCache>
                <c:ptCount val="1"/>
                <c:pt idx="0">
                  <c:v>Growth barrier: lack of workers</c:v>
                </c:pt>
              </c:strCache>
            </c:strRef>
          </c:tx>
          <c:spPr>
            <a:ln w="15875">
              <a:solidFill>
                <a:schemeClr val="accent3">
                  <a:lumMod val="75000"/>
                </a:schemeClr>
              </a:solidFill>
              <a:prstDash val="sys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2'!$R$41:$AX$41</c:f>
              <c:numCache>
                <c:formatCode>#\ ##0.0</c:formatCode>
                <c:ptCount val="33"/>
                <c:pt idx="0">
                  <c:v>6.1</c:v>
                </c:pt>
                <c:pt idx="1">
                  <c:v>6.9</c:v>
                </c:pt>
                <c:pt idx="2">
                  <c:v>8.6999999999999993</c:v>
                </c:pt>
                <c:pt idx="3">
                  <c:v>14</c:v>
                </c:pt>
                <c:pt idx="4">
                  <c:v>14.8</c:v>
                </c:pt>
                <c:pt idx="5">
                  <c:v>16.5</c:v>
                </c:pt>
                <c:pt idx="6">
                  <c:v>18.899999999999999</c:v>
                </c:pt>
                <c:pt idx="7">
                  <c:v>30.1</c:v>
                </c:pt>
                <c:pt idx="8">
                  <c:v>32.700000000000003</c:v>
                </c:pt>
                <c:pt idx="9">
                  <c:v>33.5</c:v>
                </c:pt>
                <c:pt idx="10">
                  <c:v>40.5</c:v>
                </c:pt>
                <c:pt idx="11">
                  <c:v>38.700000000000003</c:v>
                </c:pt>
                <c:pt idx="12">
                  <c:v>43.5</c:v>
                </c:pt>
                <c:pt idx="13">
                  <c:v>42.3</c:v>
                </c:pt>
                <c:pt idx="14">
                  <c:v>43.2</c:v>
                </c:pt>
                <c:pt idx="15">
                  <c:v>46.3</c:v>
                </c:pt>
                <c:pt idx="16">
                  <c:v>39</c:v>
                </c:pt>
                <c:pt idx="17">
                  <c:v>35.1</c:v>
                </c:pt>
                <c:pt idx="18">
                  <c:v>40.200000000000003</c:v>
                </c:pt>
                <c:pt idx="19">
                  <c:v>39.200000000000003</c:v>
                </c:pt>
                <c:pt idx="20">
                  <c:v>27.7</c:v>
                </c:pt>
                <c:pt idx="21">
                  <c:v>13.5</c:v>
                </c:pt>
                <c:pt idx="22">
                  <c:v>16.7</c:v>
                </c:pt>
                <c:pt idx="23">
                  <c:v>17.600000000000001</c:v>
                </c:pt>
                <c:pt idx="24">
                  <c:v>22</c:v>
                </c:pt>
                <c:pt idx="25">
                  <c:v>18.399999999999999</c:v>
                </c:pt>
                <c:pt idx="26">
                  <c:v>27.6</c:v>
                </c:pt>
                <c:pt idx="27">
                  <c:v>22.6</c:v>
                </c:pt>
                <c:pt idx="28">
                  <c:v>24.9</c:v>
                </c:pt>
                <c:pt idx="29">
                  <c:v>18.600000000000001</c:v>
                </c:pt>
                <c:pt idx="30">
                  <c:v>26.1</c:v>
                </c:pt>
                <c:pt idx="31">
                  <c:v>24.9</c:v>
                </c:pt>
                <c:pt idx="32">
                  <c:v>16.600000000000001</c:v>
                </c:pt>
              </c:numCache>
            </c:numRef>
          </c:val>
          <c:smooth val="0"/>
          <c:extLst>
            <c:ext xmlns:c16="http://schemas.microsoft.com/office/drawing/2014/chart" uri="{C3380CC4-5D6E-409C-BE32-E72D297353CC}">
              <c16:uniqueId val="{00000005-4F76-4F26-AD04-22FACF94F0B4}"/>
            </c:ext>
          </c:extLst>
        </c:ser>
        <c:ser>
          <c:idx val="6"/>
          <c:order val="6"/>
          <c:tx>
            <c:strRef>
              <c:f>'výkonnost odvětví 2'!$A$42</c:f>
              <c:strCache>
                <c:ptCount val="1"/>
                <c:pt idx="0">
                  <c:v>Gr. barrier: shortage of material/equipment</c:v>
                </c:pt>
              </c:strCache>
            </c:strRef>
          </c:tx>
          <c:spPr>
            <a:ln w="15875">
              <a:solidFill>
                <a:srgbClr val="1EB222"/>
              </a:solidFill>
              <a:prstDash val="dash"/>
            </a:ln>
          </c:spPr>
          <c:marker>
            <c:symbol val="none"/>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2'!$R$42:$AX$42</c:f>
              <c:numCache>
                <c:formatCode>#\ ##0.0</c:formatCode>
                <c:ptCount val="33"/>
                <c:pt idx="0">
                  <c:v>5.9</c:v>
                </c:pt>
                <c:pt idx="1">
                  <c:v>11.3</c:v>
                </c:pt>
                <c:pt idx="2">
                  <c:v>10</c:v>
                </c:pt>
                <c:pt idx="3">
                  <c:v>9.9</c:v>
                </c:pt>
                <c:pt idx="4">
                  <c:v>8.9</c:v>
                </c:pt>
                <c:pt idx="5">
                  <c:v>7.7</c:v>
                </c:pt>
                <c:pt idx="6">
                  <c:v>8.9</c:v>
                </c:pt>
                <c:pt idx="7">
                  <c:v>8.5</c:v>
                </c:pt>
                <c:pt idx="8">
                  <c:v>8.8000000000000007</c:v>
                </c:pt>
                <c:pt idx="9">
                  <c:v>8.3000000000000007</c:v>
                </c:pt>
                <c:pt idx="10">
                  <c:v>10.9</c:v>
                </c:pt>
                <c:pt idx="11">
                  <c:v>22.7</c:v>
                </c:pt>
                <c:pt idx="12">
                  <c:v>11.9</c:v>
                </c:pt>
                <c:pt idx="13">
                  <c:v>11.7</c:v>
                </c:pt>
                <c:pt idx="14">
                  <c:v>13.9</c:v>
                </c:pt>
                <c:pt idx="15">
                  <c:v>23.5</c:v>
                </c:pt>
                <c:pt idx="16">
                  <c:v>26.4</c:v>
                </c:pt>
                <c:pt idx="17">
                  <c:v>24.7</c:v>
                </c:pt>
                <c:pt idx="18">
                  <c:v>22</c:v>
                </c:pt>
                <c:pt idx="19">
                  <c:v>10.5</c:v>
                </c:pt>
                <c:pt idx="20">
                  <c:v>17.899999999999999</c:v>
                </c:pt>
                <c:pt idx="21">
                  <c:v>10.199999999999999</c:v>
                </c:pt>
                <c:pt idx="22">
                  <c:v>6.7</c:v>
                </c:pt>
                <c:pt idx="23">
                  <c:v>10.9</c:v>
                </c:pt>
                <c:pt idx="24">
                  <c:v>23.1</c:v>
                </c:pt>
                <c:pt idx="25">
                  <c:v>32.1</c:v>
                </c:pt>
                <c:pt idx="26">
                  <c:v>45.9</c:v>
                </c:pt>
                <c:pt idx="27">
                  <c:v>41.2</c:v>
                </c:pt>
                <c:pt idx="28">
                  <c:v>39.299999999999997</c:v>
                </c:pt>
                <c:pt idx="29">
                  <c:v>47.8</c:v>
                </c:pt>
                <c:pt idx="30">
                  <c:v>53.4</c:v>
                </c:pt>
                <c:pt idx="31">
                  <c:v>46.4</c:v>
                </c:pt>
                <c:pt idx="32">
                  <c:v>37.4</c:v>
                </c:pt>
              </c:numCache>
            </c:numRef>
          </c:val>
          <c:smooth val="0"/>
          <c:extLst>
            <c:ext xmlns:c16="http://schemas.microsoft.com/office/drawing/2014/chart" uri="{C3380CC4-5D6E-409C-BE32-E72D297353CC}">
              <c16:uniqueId val="{00000006-4F76-4F26-AD04-22FACF94F0B4}"/>
            </c:ext>
          </c:extLst>
        </c:ser>
        <c:ser>
          <c:idx val="7"/>
          <c:order val="7"/>
          <c:tx>
            <c:strRef>
              <c:f>'výkonnost odvětví 2'!$A$43</c:f>
              <c:strCache>
                <c:ptCount val="1"/>
                <c:pt idx="0">
                  <c:v>Total confidence indicator in industry</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2'!$R$34:$AX$35</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2'!$R$43:$AX$43</c:f>
              <c:numCache>
                <c:formatCode>#\ ##0.0</c:formatCode>
                <c:ptCount val="33"/>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pt idx="27">
                  <c:v>-5.3</c:v>
                </c:pt>
                <c:pt idx="28">
                  <c:v>-0.3</c:v>
                </c:pt>
                <c:pt idx="29">
                  <c:v>8.3000000000000007</c:v>
                </c:pt>
                <c:pt idx="30">
                  <c:v>-1.7</c:v>
                </c:pt>
                <c:pt idx="31">
                  <c:v>-8.3000000000000007</c:v>
                </c:pt>
                <c:pt idx="32">
                  <c:v>-10.1</c:v>
                </c:pt>
              </c:numCache>
            </c:numRef>
          </c:val>
          <c:smooth val="0"/>
          <c:extLst>
            <c:ext xmlns:c16="http://schemas.microsoft.com/office/drawing/2014/chart" uri="{C3380CC4-5D6E-409C-BE32-E72D297353CC}">
              <c16:uniqueId val="{00000007-4F76-4F26-AD04-22FACF94F0B4}"/>
            </c:ext>
          </c:extLst>
        </c:ser>
        <c:dLbls>
          <c:showLegendKey val="0"/>
          <c:showVal val="0"/>
          <c:showCatName val="0"/>
          <c:showSerName val="0"/>
          <c:showPercent val="0"/>
          <c:showBubbleSize val="0"/>
        </c:dLbls>
        <c:marker val="1"/>
        <c:smooth val="0"/>
        <c:axId val="1239819375"/>
        <c:axId val="1239826863"/>
      </c:lineChart>
      <c:catAx>
        <c:axId val="112768128"/>
        <c:scaling>
          <c:orientation val="minMax"/>
        </c:scaling>
        <c:delete val="0"/>
        <c:axPos val="b"/>
        <c:numFmt formatCode="General" sourceLinked="1"/>
        <c:majorTickMark val="out"/>
        <c:minorTickMark val="none"/>
        <c:tickLblPos val="low"/>
        <c:crossAx val="112769664"/>
        <c:crosses val="autoZero"/>
        <c:auto val="1"/>
        <c:lblAlgn val="ctr"/>
        <c:lblOffset val="0"/>
        <c:noMultiLvlLbl val="0"/>
      </c:catAx>
      <c:valAx>
        <c:axId val="112769664"/>
        <c:scaling>
          <c:orientation val="minMax"/>
          <c:max val="90"/>
          <c:min val="-40"/>
        </c:scaling>
        <c:delete val="0"/>
        <c:axPos val="l"/>
        <c:majorGridlines>
          <c:spPr>
            <a:ln>
              <a:solidFill>
                <a:srgbClr val="BEBEBE"/>
              </a:solidFill>
            </a:ln>
          </c:spPr>
        </c:majorGridlines>
        <c:title>
          <c:tx>
            <c:rich>
              <a:bodyPr/>
              <a:lstStyle/>
              <a:p>
                <a:pPr>
                  <a:defRPr sz="700" b="0" i="1"/>
                </a:pPr>
                <a:r>
                  <a:rPr lang="cs-CZ" sz="700" b="0" i="1"/>
                  <a:t>Orders</a:t>
                </a:r>
              </a:p>
            </c:rich>
          </c:tx>
          <c:overlay val="0"/>
        </c:title>
        <c:numFmt formatCode="0" sourceLinked="0"/>
        <c:majorTickMark val="out"/>
        <c:minorTickMark val="none"/>
        <c:tickLblPos val="nextTo"/>
        <c:crossAx val="112768128"/>
        <c:crosses val="autoZero"/>
        <c:crossBetween val="between"/>
        <c:majorUnit val="10"/>
      </c:valAx>
      <c:valAx>
        <c:axId val="1239826863"/>
        <c:scaling>
          <c:orientation val="minMax"/>
          <c:max val="100"/>
          <c:min val="-3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cs-CZ" sz="700" i="1">
                    <a:effectLst/>
                  </a:rPr>
                  <a:t>Utilisation of production capacities, Growth barriers, Confidence ind.</a:t>
                </a:r>
              </a:p>
            </c:rich>
          </c:tx>
          <c:overlay val="0"/>
        </c:title>
        <c:numFmt formatCode="#,##0" sourceLinked="0"/>
        <c:majorTickMark val="out"/>
        <c:minorTickMark val="none"/>
        <c:tickLblPos val="nextTo"/>
        <c:crossAx val="1239819375"/>
        <c:crosses val="max"/>
        <c:crossBetween val="between"/>
        <c:majorUnit val="10"/>
      </c:valAx>
      <c:catAx>
        <c:axId val="1239819375"/>
        <c:scaling>
          <c:orientation val="minMax"/>
        </c:scaling>
        <c:delete val="1"/>
        <c:axPos val="b"/>
        <c:numFmt formatCode="General" sourceLinked="1"/>
        <c:majorTickMark val="out"/>
        <c:minorTickMark val="none"/>
        <c:tickLblPos val="nextTo"/>
        <c:crossAx val="12398268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1803655316668383E-3"/>
          <c:y val="0.85586448957034"/>
          <c:w val="0.98886688612282692"/>
          <c:h val="0.14063307954958187"/>
        </c:manualLayout>
      </c:layout>
      <c:overlay val="0"/>
      <c:spPr>
        <a:ln w="6350">
          <a:solidFill>
            <a:prstClr val="black">
              <a:lumMod val="95000"/>
              <a:lumOff val="5000"/>
            </a:prstClr>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95346289980312E-2"/>
          <c:y val="1.5663550999370279E-2"/>
          <c:w val="0.85237839893753009"/>
          <c:h val="0.75413191483370345"/>
        </c:manualLayout>
      </c:layout>
      <c:barChart>
        <c:barDir val="col"/>
        <c:grouping val="stacked"/>
        <c:varyColors val="0"/>
        <c:ser>
          <c:idx val="1"/>
          <c:order val="1"/>
          <c:tx>
            <c:strRef>
              <c:f>'výkonnost odvětví 3'!$Y$10</c:f>
              <c:strCache>
                <c:ptCount val="1"/>
                <c:pt idx="0">
                  <c:v>Building construction (contribution)</c:v>
                </c:pt>
              </c:strCache>
            </c:strRef>
          </c:tx>
          <c:spPr>
            <a:solidFill>
              <a:srgbClr val="A6CDE9"/>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3'!$Y$31:$Y$63</c:f>
              <c:numCache>
                <c:formatCode>0.0</c:formatCode>
                <c:ptCount val="33"/>
                <c:pt idx="0">
                  <c:v>6.1561626309009005</c:v>
                </c:pt>
                <c:pt idx="1">
                  <c:v>5.2198061741317501</c:v>
                </c:pt>
                <c:pt idx="2">
                  <c:v>0.81121749109615093</c:v>
                </c:pt>
                <c:pt idx="3">
                  <c:v>-1.7822785638123868</c:v>
                </c:pt>
                <c:pt idx="4">
                  <c:v>-4.9474983218352611</c:v>
                </c:pt>
                <c:pt idx="5">
                  <c:v>-5.3410137900175885</c:v>
                </c:pt>
                <c:pt idx="6">
                  <c:v>0.85472628808719586</c:v>
                </c:pt>
                <c:pt idx="7">
                  <c:v>4.025422239197713</c:v>
                </c:pt>
                <c:pt idx="8">
                  <c:v>2.017572625987365</c:v>
                </c:pt>
                <c:pt idx="9">
                  <c:v>10.474566164887001</c:v>
                </c:pt>
                <c:pt idx="10">
                  <c:v>3.5905235492018619</c:v>
                </c:pt>
                <c:pt idx="11">
                  <c:v>2.5447811488700256</c:v>
                </c:pt>
                <c:pt idx="12">
                  <c:v>13.855995105276007</c:v>
                </c:pt>
                <c:pt idx="13">
                  <c:v>6.2297897206962016</c:v>
                </c:pt>
                <c:pt idx="14">
                  <c:v>7.7185371709558872</c:v>
                </c:pt>
                <c:pt idx="15">
                  <c:v>2.6447791693670228</c:v>
                </c:pt>
                <c:pt idx="16">
                  <c:v>2.9154958090698799</c:v>
                </c:pt>
                <c:pt idx="17">
                  <c:v>2.5181773768726998</c:v>
                </c:pt>
                <c:pt idx="18">
                  <c:v>-0.93944398979144572</c:v>
                </c:pt>
                <c:pt idx="19">
                  <c:v>2.5303698836274928</c:v>
                </c:pt>
                <c:pt idx="20">
                  <c:v>-0.46960829875990695</c:v>
                </c:pt>
                <c:pt idx="21">
                  <c:v>-7.4218468389728374</c:v>
                </c:pt>
                <c:pt idx="22">
                  <c:v>-7.0962700250466746</c:v>
                </c:pt>
                <c:pt idx="23">
                  <c:v>-8.6039821749857008</c:v>
                </c:pt>
                <c:pt idx="24">
                  <c:v>-5.1060484442398479</c:v>
                </c:pt>
                <c:pt idx="25">
                  <c:v>3.0894144911689372</c:v>
                </c:pt>
                <c:pt idx="26">
                  <c:v>3.0581483596865806</c:v>
                </c:pt>
                <c:pt idx="27">
                  <c:v>5.9641153438618009</c:v>
                </c:pt>
                <c:pt idx="28">
                  <c:v>7.6985733618147538</c:v>
                </c:pt>
                <c:pt idx="29">
                  <c:v>3.7816260772697325</c:v>
                </c:pt>
                <c:pt idx="30">
                  <c:v>-0.85167488545055559</c:v>
                </c:pt>
                <c:pt idx="31">
                  <c:v>-1.0642938240116511</c:v>
                </c:pt>
              </c:numCache>
            </c:numRef>
          </c:val>
          <c:extLst>
            <c:ext xmlns:c16="http://schemas.microsoft.com/office/drawing/2014/chart" uri="{C3380CC4-5D6E-409C-BE32-E72D297353CC}">
              <c16:uniqueId val="{00000000-EA41-46F1-B57A-5887548BEA29}"/>
            </c:ext>
          </c:extLst>
        </c:ser>
        <c:ser>
          <c:idx val="2"/>
          <c:order val="2"/>
          <c:tx>
            <c:strRef>
              <c:f>'výkonnost odvětví 3'!$Z$10</c:f>
              <c:strCache>
                <c:ptCount val="1"/>
                <c:pt idx="0">
                  <c:v>Civil engineering works (contribution)</c:v>
                </c:pt>
              </c:strCache>
            </c:strRef>
          </c:tx>
          <c:spPr>
            <a:solidFill>
              <a:srgbClr val="E8AFB2"/>
            </a:solidFill>
            <a:ln>
              <a:noFill/>
            </a:ln>
          </c:spPr>
          <c:invertIfNegative val="0"/>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3'!$Z$31:$Z$63</c:f>
              <c:numCache>
                <c:formatCode>0.0</c:formatCode>
                <c:ptCount val="33"/>
                <c:pt idx="0">
                  <c:v>3.0695976370766132</c:v>
                </c:pt>
                <c:pt idx="1">
                  <c:v>6.8687640563901597</c:v>
                </c:pt>
                <c:pt idx="2">
                  <c:v>7.0024284830594601</c:v>
                </c:pt>
                <c:pt idx="3">
                  <c:v>2.7837014139812029</c:v>
                </c:pt>
                <c:pt idx="4">
                  <c:v>-1.1579843374442897</c:v>
                </c:pt>
                <c:pt idx="5">
                  <c:v>-5.3321915124459967</c:v>
                </c:pt>
                <c:pt idx="6">
                  <c:v>-6.6730867722657532</c:v>
                </c:pt>
                <c:pt idx="7">
                  <c:v>-5.6953151664187249</c:v>
                </c:pt>
                <c:pt idx="8">
                  <c:v>-3.3415683870294464</c:v>
                </c:pt>
                <c:pt idx="9">
                  <c:v>-0.92513468206673821</c:v>
                </c:pt>
                <c:pt idx="10">
                  <c:v>-1.3825682431716371</c:v>
                </c:pt>
                <c:pt idx="11">
                  <c:v>0.15379376908864856</c:v>
                </c:pt>
                <c:pt idx="12">
                  <c:v>1.8552559317982511</c:v>
                </c:pt>
                <c:pt idx="13">
                  <c:v>1.1686216071454023</c:v>
                </c:pt>
                <c:pt idx="14">
                  <c:v>4.7418799981741273</c:v>
                </c:pt>
                <c:pt idx="15">
                  <c:v>1.6348281993667242</c:v>
                </c:pt>
                <c:pt idx="16">
                  <c:v>0.73841178948747288</c:v>
                </c:pt>
                <c:pt idx="17">
                  <c:v>1.944279393058743</c:v>
                </c:pt>
                <c:pt idx="18">
                  <c:v>0.54106169015283734</c:v>
                </c:pt>
                <c:pt idx="19">
                  <c:v>0.95067687240436172</c:v>
                </c:pt>
                <c:pt idx="20">
                  <c:v>3.144723679902079</c:v>
                </c:pt>
                <c:pt idx="21">
                  <c:v>1.2065846288621407</c:v>
                </c:pt>
                <c:pt idx="22">
                  <c:v>-1.8014402167448849</c:v>
                </c:pt>
                <c:pt idx="23">
                  <c:v>0.40724127593117332</c:v>
                </c:pt>
                <c:pt idx="24">
                  <c:v>-3.7728807524338888E-2</c:v>
                </c:pt>
                <c:pt idx="25">
                  <c:v>0.87829300361278118</c:v>
                </c:pt>
                <c:pt idx="26">
                  <c:v>-0.16995879442567757</c:v>
                </c:pt>
                <c:pt idx="27">
                  <c:v>-0.94797535997122129</c:v>
                </c:pt>
                <c:pt idx="28">
                  <c:v>3.6282601585830583</c:v>
                </c:pt>
                <c:pt idx="29">
                  <c:v>0.20418944444674306</c:v>
                </c:pt>
                <c:pt idx="30">
                  <c:v>2.966030156895055E-2</c:v>
                </c:pt>
                <c:pt idx="31">
                  <c:v>0.93183034570182344</c:v>
                </c:pt>
              </c:numCache>
            </c:numRef>
          </c:val>
          <c:extLst>
            <c:ext xmlns:c16="http://schemas.microsoft.com/office/drawing/2014/chart" uri="{C3380CC4-5D6E-409C-BE32-E72D297353CC}">
              <c16:uniqueId val="{00000001-EA41-46F1-B57A-5887548BEA29}"/>
            </c:ext>
          </c:extLst>
        </c:ser>
        <c:dLbls>
          <c:showLegendKey val="0"/>
          <c:showVal val="0"/>
          <c:showCatName val="0"/>
          <c:showSerName val="0"/>
          <c:showPercent val="0"/>
          <c:showBubbleSize val="0"/>
        </c:dLbls>
        <c:gapWidth val="30"/>
        <c:overlap val="100"/>
        <c:axId val="112768128"/>
        <c:axId val="112769664"/>
      </c:barChart>
      <c:lineChart>
        <c:grouping val="standard"/>
        <c:varyColors val="0"/>
        <c:ser>
          <c:idx val="0"/>
          <c:order val="0"/>
          <c:tx>
            <c:strRef>
              <c:f>'výkonnost odvětví 3'!$X$10</c:f>
              <c:strCache>
                <c:ptCount val="1"/>
                <c:pt idx="0">
                  <c:v>Total construction output</c:v>
                </c:pt>
              </c:strCache>
            </c:strRef>
          </c:tx>
          <c:spPr>
            <a:ln>
              <a:noFill/>
            </a:ln>
          </c:spPr>
          <c:marker>
            <c:symbol val="diamond"/>
            <c:size val="5"/>
            <c:spPr>
              <a:solidFill>
                <a:schemeClr val="bg1"/>
              </a:solidFill>
              <a:ln>
                <a:solidFill>
                  <a:schemeClr val="tx1">
                    <a:lumMod val="95000"/>
                    <a:lumOff val="5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3'!$X$31:$X$63</c:f>
              <c:numCache>
                <c:formatCode>0.0</c:formatCode>
                <c:ptCount val="33"/>
                <c:pt idx="0">
                  <c:v>9.2257602679775061</c:v>
                </c:pt>
                <c:pt idx="1">
                  <c:v>12.088570230521924</c:v>
                </c:pt>
                <c:pt idx="2">
                  <c:v>7.813645974155591</c:v>
                </c:pt>
                <c:pt idx="3">
                  <c:v>1.0014228501687938</c:v>
                </c:pt>
                <c:pt idx="4">
                  <c:v>-6.1054826592795308</c:v>
                </c:pt>
                <c:pt idx="5">
                  <c:v>-10.673205302463586</c:v>
                </c:pt>
                <c:pt idx="6">
                  <c:v>-5.818360484178541</c:v>
                </c:pt>
                <c:pt idx="7">
                  <c:v>-1.6698929272209995</c:v>
                </c:pt>
                <c:pt idx="8">
                  <c:v>-1.3239957610420987</c:v>
                </c:pt>
                <c:pt idx="9">
                  <c:v>9.5494314828202391</c:v>
                </c:pt>
                <c:pt idx="10">
                  <c:v>2.2079553060302146</c:v>
                </c:pt>
                <c:pt idx="11">
                  <c:v>2.6985749179586662</c:v>
                </c:pt>
                <c:pt idx="12">
                  <c:v>15.711251037074277</c:v>
                </c:pt>
                <c:pt idx="13">
                  <c:v>7.3984113278416004</c:v>
                </c:pt>
                <c:pt idx="14">
                  <c:v>12.460417169130025</c:v>
                </c:pt>
                <c:pt idx="15">
                  <c:v>4.2796073687337355</c:v>
                </c:pt>
                <c:pt idx="16">
                  <c:v>3.6539075985573675</c:v>
                </c:pt>
                <c:pt idx="17">
                  <c:v>4.4624567699314639</c:v>
                </c:pt>
                <c:pt idx="18">
                  <c:v>-0.39838229963861238</c:v>
                </c:pt>
                <c:pt idx="19">
                  <c:v>3.4810467560318727</c:v>
                </c:pt>
                <c:pt idx="20">
                  <c:v>2.6751153811421773</c:v>
                </c:pt>
                <c:pt idx="21">
                  <c:v>-6.2152622101107085</c:v>
                </c:pt>
                <c:pt idx="22">
                  <c:v>-8.8977102417915575</c:v>
                </c:pt>
                <c:pt idx="23">
                  <c:v>-8.1967408990545607</c:v>
                </c:pt>
                <c:pt idx="24">
                  <c:v>-5.143777251764206</c:v>
                </c:pt>
                <c:pt idx="25">
                  <c:v>3.9677074947817061</c:v>
                </c:pt>
                <c:pt idx="26">
                  <c:v>2.888189565260916</c:v>
                </c:pt>
                <c:pt idx="27">
                  <c:v>5.0161399838906107</c:v>
                </c:pt>
                <c:pt idx="28">
                  <c:v>11.326833520397798</c:v>
                </c:pt>
                <c:pt idx="29">
                  <c:v>3.9858155217164608</c:v>
                </c:pt>
                <c:pt idx="30">
                  <c:v>-0.82201458388159665</c:v>
                </c:pt>
                <c:pt idx="31">
                  <c:v>-0.13246347830984462</c:v>
                </c:pt>
              </c:numCache>
            </c:numRef>
          </c:val>
          <c:smooth val="0"/>
          <c:extLst>
            <c:ext xmlns:c16="http://schemas.microsoft.com/office/drawing/2014/chart" uri="{C3380CC4-5D6E-409C-BE32-E72D297353CC}">
              <c16:uniqueId val="{00000002-EA41-46F1-B57A-5887548BEA29}"/>
            </c:ext>
          </c:extLst>
        </c:ser>
        <c:ser>
          <c:idx val="3"/>
          <c:order val="3"/>
          <c:tx>
            <c:strRef>
              <c:f>'výkonnost odvětví 3'!$AA$10</c:f>
              <c:strCache>
                <c:ptCount val="1"/>
                <c:pt idx="0">
                  <c:v>New domestic construction orders</c:v>
                </c:pt>
              </c:strCache>
            </c:strRef>
          </c:tx>
          <c:spPr>
            <a:ln w="15875">
              <a:solidFill>
                <a:srgbClr val="984807"/>
              </a:solidFill>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3'!$AA$31:$AA$63</c:f>
              <c:numCache>
                <c:formatCode>0.0</c:formatCode>
                <c:ptCount val="33"/>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28.856340981154403</c:v>
                </c:pt>
                <c:pt idx="25">
                  <c:v>22.047871359987184</c:v>
                </c:pt>
                <c:pt idx="26">
                  <c:v>10.015015612184257</c:v>
                </c:pt>
                <c:pt idx="27">
                  <c:v>1.0053213537781147</c:v>
                </c:pt>
                <c:pt idx="28">
                  <c:v>13.067478460417874</c:v>
                </c:pt>
                <c:pt idx="29">
                  <c:v>17.619163607261129</c:v>
                </c:pt>
                <c:pt idx="30">
                  <c:v>12.421954480552543</c:v>
                </c:pt>
                <c:pt idx="31">
                  <c:v>13.031852753748723</c:v>
                </c:pt>
              </c:numCache>
            </c:numRef>
          </c:val>
          <c:smooth val="0"/>
          <c:extLst>
            <c:ext xmlns:c16="http://schemas.microsoft.com/office/drawing/2014/chart" uri="{C3380CC4-5D6E-409C-BE32-E72D297353CC}">
              <c16:uniqueId val="{00000003-EA41-46F1-B57A-5887548BEA29}"/>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4"/>
          <c:order val="4"/>
          <c:tx>
            <c:strRef>
              <c:f>'výkonnost odvětví 3'!$AB$10</c:f>
              <c:strCache>
                <c:ptCount val="1"/>
                <c:pt idx="0">
                  <c:v>Barrier: inadequate demand </c:v>
                </c:pt>
              </c:strCache>
            </c:strRef>
          </c:tx>
          <c:spPr>
            <a:ln w="15875">
              <a:solidFill>
                <a:srgbClr val="92D050"/>
              </a:solidFill>
              <a:prstDash val="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3'!$AB$31:$AB$63</c:f>
              <c:numCache>
                <c:formatCode>#\ ##0.0</c:formatCode>
                <c:ptCount val="33"/>
                <c:pt idx="0">
                  <c:v>67.3</c:v>
                </c:pt>
                <c:pt idx="1">
                  <c:v>60.7</c:v>
                </c:pt>
                <c:pt idx="2">
                  <c:v>58.6</c:v>
                </c:pt>
                <c:pt idx="3">
                  <c:v>58.2</c:v>
                </c:pt>
                <c:pt idx="4">
                  <c:v>58.5</c:v>
                </c:pt>
                <c:pt idx="5">
                  <c:v>62.6</c:v>
                </c:pt>
                <c:pt idx="6">
                  <c:v>60.3</c:v>
                </c:pt>
                <c:pt idx="7">
                  <c:v>55.7</c:v>
                </c:pt>
                <c:pt idx="8">
                  <c:v>55.7</c:v>
                </c:pt>
                <c:pt idx="9">
                  <c:v>54.8</c:v>
                </c:pt>
                <c:pt idx="10">
                  <c:v>49.1</c:v>
                </c:pt>
                <c:pt idx="11">
                  <c:v>47.1</c:v>
                </c:pt>
                <c:pt idx="12">
                  <c:v>40.1</c:v>
                </c:pt>
                <c:pt idx="13">
                  <c:v>39.4</c:v>
                </c:pt>
                <c:pt idx="14">
                  <c:v>33</c:v>
                </c:pt>
                <c:pt idx="15">
                  <c:v>23.3</c:v>
                </c:pt>
                <c:pt idx="16">
                  <c:v>26.5</c:v>
                </c:pt>
                <c:pt idx="17">
                  <c:v>26.7</c:v>
                </c:pt>
                <c:pt idx="18">
                  <c:v>18.899999999999999</c:v>
                </c:pt>
                <c:pt idx="19">
                  <c:v>19.600000000000001</c:v>
                </c:pt>
                <c:pt idx="20">
                  <c:v>31.6</c:v>
                </c:pt>
                <c:pt idx="21">
                  <c:v>31.3</c:v>
                </c:pt>
                <c:pt idx="22">
                  <c:v>38.6</c:v>
                </c:pt>
                <c:pt idx="23" formatCode="General">
                  <c:v>39.200000000000003</c:v>
                </c:pt>
                <c:pt idx="24">
                  <c:v>30.8</c:v>
                </c:pt>
                <c:pt idx="25">
                  <c:v>35.9</c:v>
                </c:pt>
                <c:pt idx="26">
                  <c:v>23.2</c:v>
                </c:pt>
                <c:pt idx="27" formatCode="#\ ##0.##########">
                  <c:v>19.5</c:v>
                </c:pt>
                <c:pt idx="28" formatCode="#\ ##0.##########">
                  <c:v>21.3</c:v>
                </c:pt>
                <c:pt idx="29" formatCode="#\ ##0.##########">
                  <c:v>21.1</c:v>
                </c:pt>
                <c:pt idx="30" formatCode="#\ ##0.##########">
                  <c:v>19.3</c:v>
                </c:pt>
                <c:pt idx="31" formatCode="#\ ##0.##########">
                  <c:v>20.6</c:v>
                </c:pt>
                <c:pt idx="32" formatCode="#\ ##0.##########">
                  <c:v>31.9</c:v>
                </c:pt>
              </c:numCache>
            </c:numRef>
          </c:val>
          <c:smooth val="0"/>
          <c:extLst>
            <c:ext xmlns:c16="http://schemas.microsoft.com/office/drawing/2014/chart" uri="{C3380CC4-5D6E-409C-BE32-E72D297353CC}">
              <c16:uniqueId val="{00000004-EA41-46F1-B57A-5887548BEA29}"/>
            </c:ext>
          </c:extLst>
        </c:ser>
        <c:ser>
          <c:idx val="5"/>
          <c:order val="5"/>
          <c:tx>
            <c:strRef>
              <c:f>'výkonnost odvětví 3'!$AC$10</c:f>
              <c:strCache>
                <c:ptCount val="1"/>
                <c:pt idx="0">
                  <c:v>Growth barrier: lack of workers</c:v>
                </c:pt>
              </c:strCache>
            </c:strRef>
          </c:tx>
          <c:spPr>
            <a:ln w="15875">
              <a:solidFill>
                <a:srgbClr val="00B050"/>
              </a:solidFill>
              <a:prstDash val="solid"/>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3'!$AC$31:$AC$63</c:f>
              <c:numCache>
                <c:formatCode>#\ ##0.0</c:formatCode>
                <c:ptCount val="33"/>
                <c:pt idx="0">
                  <c:v>8.3000000000000007</c:v>
                </c:pt>
                <c:pt idx="1">
                  <c:v>8.1</c:v>
                </c:pt>
                <c:pt idx="2">
                  <c:v>6.1</c:v>
                </c:pt>
                <c:pt idx="3">
                  <c:v>6</c:v>
                </c:pt>
                <c:pt idx="4">
                  <c:v>6.5</c:v>
                </c:pt>
                <c:pt idx="5">
                  <c:v>7.2</c:v>
                </c:pt>
                <c:pt idx="6">
                  <c:v>7</c:v>
                </c:pt>
                <c:pt idx="7">
                  <c:v>10.4</c:v>
                </c:pt>
                <c:pt idx="8">
                  <c:v>14</c:v>
                </c:pt>
                <c:pt idx="9">
                  <c:v>14.8</c:v>
                </c:pt>
                <c:pt idx="10">
                  <c:v>21.4</c:v>
                </c:pt>
                <c:pt idx="11">
                  <c:v>21.1</c:v>
                </c:pt>
                <c:pt idx="12">
                  <c:v>27.3</c:v>
                </c:pt>
                <c:pt idx="13">
                  <c:v>30.1</c:v>
                </c:pt>
                <c:pt idx="14">
                  <c:v>28.1</c:v>
                </c:pt>
                <c:pt idx="15">
                  <c:v>38.200000000000003</c:v>
                </c:pt>
                <c:pt idx="16">
                  <c:v>36.9</c:v>
                </c:pt>
                <c:pt idx="17">
                  <c:v>43.4</c:v>
                </c:pt>
                <c:pt idx="18">
                  <c:v>49.6</c:v>
                </c:pt>
                <c:pt idx="19">
                  <c:v>46.2</c:v>
                </c:pt>
                <c:pt idx="20">
                  <c:v>52.5</c:v>
                </c:pt>
                <c:pt idx="21">
                  <c:v>46</c:v>
                </c:pt>
                <c:pt idx="22">
                  <c:v>35.299999999999997</c:v>
                </c:pt>
                <c:pt idx="23" formatCode="0.0">
                  <c:v>31.9</c:v>
                </c:pt>
                <c:pt idx="24">
                  <c:v>48.6</c:v>
                </c:pt>
                <c:pt idx="25">
                  <c:v>31.6</c:v>
                </c:pt>
                <c:pt idx="26">
                  <c:v>40.700000000000003</c:v>
                </c:pt>
                <c:pt idx="27">
                  <c:v>42</c:v>
                </c:pt>
                <c:pt idx="28">
                  <c:v>58</c:v>
                </c:pt>
                <c:pt idx="29" formatCode="#\ ##0.##########">
                  <c:v>44.4</c:v>
                </c:pt>
                <c:pt idx="30">
                  <c:v>39</c:v>
                </c:pt>
                <c:pt idx="31" formatCode="#\ ##0.##########">
                  <c:v>46.8</c:v>
                </c:pt>
                <c:pt idx="32" formatCode="#\ ##0.##########">
                  <c:v>40.1</c:v>
                </c:pt>
              </c:numCache>
            </c:numRef>
          </c:val>
          <c:smooth val="0"/>
          <c:extLst>
            <c:ext xmlns:c16="http://schemas.microsoft.com/office/drawing/2014/chart" uri="{C3380CC4-5D6E-409C-BE32-E72D297353CC}">
              <c16:uniqueId val="{00000005-EA41-46F1-B57A-5887548BEA29}"/>
            </c:ext>
          </c:extLst>
        </c:ser>
        <c:ser>
          <c:idx val="6"/>
          <c:order val="6"/>
          <c:tx>
            <c:strRef>
              <c:f>'výkonnost odvětví 3'!$AD$10</c:f>
              <c:strCache>
                <c:ptCount val="1"/>
                <c:pt idx="0">
                  <c:v>Barrier: shortage of material/equipment</c:v>
                </c:pt>
              </c:strCache>
            </c:strRef>
          </c:tx>
          <c:spPr>
            <a:ln w="15875">
              <a:solidFill>
                <a:srgbClr val="00B050"/>
              </a:solidFill>
              <a:prstDash val="sysDash"/>
            </a:ln>
          </c:spPr>
          <c:marker>
            <c:symbol val="none"/>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3'!$AD$31:$AD$63</c:f>
              <c:numCache>
                <c:formatCode>#\ ##0.0</c:formatCode>
                <c:ptCount val="33"/>
                <c:pt idx="0">
                  <c:v>0.1</c:v>
                </c:pt>
                <c:pt idx="1">
                  <c:v>0.4</c:v>
                </c:pt>
                <c:pt idx="2">
                  <c:v>4</c:v>
                </c:pt>
                <c:pt idx="3">
                  <c:v>0.5</c:v>
                </c:pt>
                <c:pt idx="4">
                  <c:v>0.4</c:v>
                </c:pt>
                <c:pt idx="5">
                  <c:v>0.5</c:v>
                </c:pt>
                <c:pt idx="6">
                  <c:v>0.5</c:v>
                </c:pt>
                <c:pt idx="7">
                  <c:v>1.5</c:v>
                </c:pt>
                <c:pt idx="8">
                  <c:v>0.3</c:v>
                </c:pt>
                <c:pt idx="9">
                  <c:v>0.3</c:v>
                </c:pt>
                <c:pt idx="10">
                  <c:v>3.3</c:v>
                </c:pt>
                <c:pt idx="11">
                  <c:v>4.2</c:v>
                </c:pt>
                <c:pt idx="12">
                  <c:v>5.5</c:v>
                </c:pt>
                <c:pt idx="13">
                  <c:v>1.2</c:v>
                </c:pt>
                <c:pt idx="14">
                  <c:v>6.8</c:v>
                </c:pt>
                <c:pt idx="15">
                  <c:v>3.5</c:v>
                </c:pt>
                <c:pt idx="16">
                  <c:v>4.3</c:v>
                </c:pt>
                <c:pt idx="17">
                  <c:v>5.7</c:v>
                </c:pt>
                <c:pt idx="18">
                  <c:v>5.3</c:v>
                </c:pt>
                <c:pt idx="19">
                  <c:v>4</c:v>
                </c:pt>
                <c:pt idx="20">
                  <c:v>1.9</c:v>
                </c:pt>
                <c:pt idx="21">
                  <c:v>3.4</c:v>
                </c:pt>
                <c:pt idx="22">
                  <c:v>1.3</c:v>
                </c:pt>
                <c:pt idx="23">
                  <c:v>0.8</c:v>
                </c:pt>
                <c:pt idx="24">
                  <c:v>1.3</c:v>
                </c:pt>
                <c:pt idx="25">
                  <c:v>4.3</c:v>
                </c:pt>
                <c:pt idx="26">
                  <c:v>16.3</c:v>
                </c:pt>
                <c:pt idx="27" formatCode="#\ ##0.##########">
                  <c:v>22.8</c:v>
                </c:pt>
                <c:pt idx="28" formatCode="#\ ##0.##########">
                  <c:v>24.7</c:v>
                </c:pt>
                <c:pt idx="29" formatCode="#\ ##0.##########">
                  <c:v>41.3</c:v>
                </c:pt>
                <c:pt idx="30" formatCode="#\ ##0.##########">
                  <c:v>38.6</c:v>
                </c:pt>
                <c:pt idx="31" formatCode="#\ ##0.##########">
                  <c:v>23.4</c:v>
                </c:pt>
                <c:pt idx="32" formatCode="#\ ##0.##########">
                  <c:v>19.5</c:v>
                </c:pt>
              </c:numCache>
            </c:numRef>
          </c:val>
          <c:smooth val="0"/>
          <c:extLst>
            <c:ext xmlns:c16="http://schemas.microsoft.com/office/drawing/2014/chart" uri="{C3380CC4-5D6E-409C-BE32-E72D297353CC}">
              <c16:uniqueId val="{00000006-EA41-46F1-B57A-5887548BEA29}"/>
            </c:ext>
          </c:extLst>
        </c:ser>
        <c:ser>
          <c:idx val="7"/>
          <c:order val="7"/>
          <c:tx>
            <c:strRef>
              <c:f>'výkonnost odvětví 3'!$AE$10</c:f>
              <c:strCache>
                <c:ptCount val="1"/>
                <c:pt idx="0">
                  <c:v>Confidence indicator in construction </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'výkonnost odvětví 3'!$V$31:$W$63</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3'!$AE$31:$AE$63</c:f>
              <c:numCache>
                <c:formatCode>0.0</c:formatCode>
                <c:ptCount val="33"/>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pt idx="27">
                  <c:v>-6.5</c:v>
                </c:pt>
                <c:pt idx="28">
                  <c:v>6.5</c:v>
                </c:pt>
                <c:pt idx="29">
                  <c:v>-2</c:v>
                </c:pt>
                <c:pt idx="30">
                  <c:v>-9</c:v>
                </c:pt>
                <c:pt idx="31">
                  <c:v>-4.5</c:v>
                </c:pt>
                <c:pt idx="32">
                  <c:v>-11.5</c:v>
                </c:pt>
              </c:numCache>
            </c:numRef>
          </c:val>
          <c:smooth val="0"/>
          <c:extLst>
            <c:ext xmlns:c16="http://schemas.microsoft.com/office/drawing/2014/chart" uri="{C3380CC4-5D6E-409C-BE32-E72D297353CC}">
              <c16:uniqueId val="{00000007-EA41-46F1-B57A-5887548BEA29}"/>
            </c:ext>
          </c:extLst>
        </c:ser>
        <c:dLbls>
          <c:showLegendKey val="0"/>
          <c:showVal val="0"/>
          <c:showCatName val="0"/>
          <c:showSerName val="0"/>
          <c:showPercent val="0"/>
          <c:showBubbleSize val="0"/>
        </c:dLbls>
        <c:marker val="1"/>
        <c:smooth val="0"/>
        <c:axId val="1118074639"/>
        <c:axId val="1118080463"/>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80"/>
          <c:min val="-20"/>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Orders, Contribution to change of construction output</a:t>
                </a:r>
              </a:p>
            </c:rich>
          </c:tx>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10"/>
      </c:valAx>
      <c:valAx>
        <c:axId val="1118080463"/>
        <c:scaling>
          <c:orientation val="minMax"/>
          <c:max val="100"/>
          <c:min val="-10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Confidence indicator, Growth barriers</a:t>
                </a:r>
              </a:p>
            </c:rich>
          </c:tx>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118074639"/>
        <c:crosses val="max"/>
        <c:crossBetween val="between"/>
        <c:majorUnit val="20"/>
      </c:valAx>
      <c:catAx>
        <c:axId val="1118074639"/>
        <c:scaling>
          <c:orientation val="minMax"/>
        </c:scaling>
        <c:delete val="1"/>
        <c:axPos val="b"/>
        <c:numFmt formatCode="General" sourceLinked="1"/>
        <c:majorTickMark val="out"/>
        <c:minorTickMark val="none"/>
        <c:tickLblPos val="nextTo"/>
        <c:crossAx val="1118080463"/>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1.8499319708759499E-2"/>
          <c:y val="0.85936703322638608"/>
          <c:w val="0.96925714241885397"/>
          <c:h val="0.13362821778942557"/>
        </c:manualLayout>
      </c:layout>
      <c:overlay val="0"/>
      <c:spPr>
        <a:ln w="6350">
          <a:solidFill>
            <a:prstClr val="black">
              <a:lumMod val="95000"/>
              <a:lumOff val="5000"/>
            </a:prstClr>
          </a:solidFill>
        </a:ln>
      </c:spPr>
      <c:txPr>
        <a:bodyPr/>
        <a:lstStyle/>
        <a:p>
          <a:pPr>
            <a:defRPr sz="75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602532940696551E-2"/>
          <c:y val="1.5803328678987455E-2"/>
          <c:w val="0.83685581284761734"/>
          <c:h val="0.69902590308489432"/>
        </c:manualLayout>
      </c:layout>
      <c:barChart>
        <c:barDir val="col"/>
        <c:grouping val="stacked"/>
        <c:varyColors val="0"/>
        <c:ser>
          <c:idx val="0"/>
          <c:order val="1"/>
          <c:tx>
            <c:strRef>
              <c:f>'Služby-příspěvkyk růstu-4'!$D$33</c:f>
              <c:strCache>
                <c:ptCount val="1"/>
                <c:pt idx="0">
                  <c:v>Transporting and storage</c:v>
                </c:pt>
              </c:strCache>
            </c:strRef>
          </c:tx>
          <c:spPr>
            <a:solidFill>
              <a:srgbClr val="92D05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růstu-4'!$D$46:$D$78</c:f>
              <c:numCache>
                <c:formatCode>0.0</c:formatCode>
                <c:ptCount val="33"/>
                <c:pt idx="0">
                  <c:v>0.17627373165999941</c:v>
                </c:pt>
                <c:pt idx="1">
                  <c:v>-4.1398260783598456E-2</c:v>
                </c:pt>
                <c:pt idx="2">
                  <c:v>0.20127676583260182</c:v>
                </c:pt>
                <c:pt idx="3">
                  <c:v>4.2331882175001848E-2</c:v>
                </c:pt>
                <c:pt idx="4">
                  <c:v>0.2604828945619988</c:v>
                </c:pt>
                <c:pt idx="5">
                  <c:v>0.2004471947790982</c:v>
                </c:pt>
                <c:pt idx="6">
                  <c:v>0.14004615678000035</c:v>
                </c:pt>
                <c:pt idx="7">
                  <c:v>0.860592831148001</c:v>
                </c:pt>
                <c:pt idx="8">
                  <c:v>1.6559965627289983</c:v>
                </c:pt>
                <c:pt idx="9">
                  <c:v>1.093454887462999</c:v>
                </c:pt>
                <c:pt idx="10">
                  <c:v>1.1374484601479997</c:v>
                </c:pt>
                <c:pt idx="11">
                  <c:v>0.60470809717899932</c:v>
                </c:pt>
                <c:pt idx="12">
                  <c:v>1.7518533558900011</c:v>
                </c:pt>
                <c:pt idx="13">
                  <c:v>1.9191714775479998</c:v>
                </c:pt>
                <c:pt idx="14">
                  <c:v>1.4689069805629986</c:v>
                </c:pt>
                <c:pt idx="15">
                  <c:v>0.49822211685500045</c:v>
                </c:pt>
                <c:pt idx="16">
                  <c:v>0.75210969494300106</c:v>
                </c:pt>
                <c:pt idx="17">
                  <c:v>-7.8943058121998602E-2</c:v>
                </c:pt>
                <c:pt idx="18">
                  <c:v>-0.67615596099700137</c:v>
                </c:pt>
                <c:pt idx="19">
                  <c:v>-0.53883087511919869</c:v>
                </c:pt>
                <c:pt idx="20">
                  <c:v>-1.7873099078691994</c:v>
                </c:pt>
                <c:pt idx="21">
                  <c:v>-6.8790162520431002</c:v>
                </c:pt>
                <c:pt idx="22">
                  <c:v>-4.2156758486250006</c:v>
                </c:pt>
                <c:pt idx="23">
                  <c:v>-1.7596921701599992</c:v>
                </c:pt>
                <c:pt idx="24">
                  <c:v>-0.15017138784059969</c:v>
                </c:pt>
                <c:pt idx="25">
                  <c:v>6.9506599035744001</c:v>
                </c:pt>
                <c:pt idx="26">
                  <c:v>4.0996709945155994</c:v>
                </c:pt>
                <c:pt idx="27">
                  <c:v>4.5444705336066278</c:v>
                </c:pt>
                <c:pt idx="28">
                  <c:v>4.6409021990874137</c:v>
                </c:pt>
                <c:pt idx="29">
                  <c:v>4.7982665196474699</c:v>
                </c:pt>
                <c:pt idx="30">
                  <c:v>3.7712235020789047</c:v>
                </c:pt>
                <c:pt idx="31">
                  <c:v>-0.10353535826759958</c:v>
                </c:pt>
              </c:numCache>
            </c:numRef>
          </c:val>
          <c:extLst>
            <c:ext xmlns:c16="http://schemas.microsoft.com/office/drawing/2014/chart" uri="{C3380CC4-5D6E-409C-BE32-E72D297353CC}">
              <c16:uniqueId val="{00000000-DAB9-4966-890C-B78D79A04B75}"/>
            </c:ext>
          </c:extLst>
        </c:ser>
        <c:ser>
          <c:idx val="1"/>
          <c:order val="2"/>
          <c:tx>
            <c:strRef>
              <c:f>'Služby-příspěvkyk růstu-4'!$E$33</c:f>
              <c:strCache>
                <c:ptCount val="1"/>
                <c:pt idx="0">
                  <c:v>Accommodation, food service activities</c:v>
                </c:pt>
              </c:strCache>
            </c:strRef>
          </c:tx>
          <c:spPr>
            <a:solidFill>
              <a:srgbClr val="00B0F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růstu-4'!$E$46:$E$78</c:f>
              <c:numCache>
                <c:formatCode>0.0</c:formatCode>
                <c:ptCount val="33"/>
                <c:pt idx="0">
                  <c:v>0.23064326026020021</c:v>
                </c:pt>
                <c:pt idx="1">
                  <c:v>0.65490030172000013</c:v>
                </c:pt>
                <c:pt idx="2">
                  <c:v>0.65615704203699965</c:v>
                </c:pt>
                <c:pt idx="3">
                  <c:v>0.40198126828160025</c:v>
                </c:pt>
                <c:pt idx="4">
                  <c:v>0.47264498177679992</c:v>
                </c:pt>
                <c:pt idx="5">
                  <c:v>0.16809598308499973</c:v>
                </c:pt>
                <c:pt idx="6">
                  <c:v>0.56785028038259988</c:v>
                </c:pt>
                <c:pt idx="7">
                  <c:v>0.60026021753880032</c:v>
                </c:pt>
                <c:pt idx="8">
                  <c:v>0.9071617575674995</c:v>
                </c:pt>
                <c:pt idx="9">
                  <c:v>1.2351843183736004</c:v>
                </c:pt>
                <c:pt idx="10">
                  <c:v>0.55372633890920031</c:v>
                </c:pt>
                <c:pt idx="11">
                  <c:v>0.45414701226059961</c:v>
                </c:pt>
                <c:pt idx="12">
                  <c:v>0.20562277238639989</c:v>
                </c:pt>
                <c:pt idx="13">
                  <c:v>4.6481198053399883E-2</c:v>
                </c:pt>
                <c:pt idx="14">
                  <c:v>5.8790755202600166E-2</c:v>
                </c:pt>
                <c:pt idx="15">
                  <c:v>-3.8611122396599744E-2</c:v>
                </c:pt>
                <c:pt idx="16">
                  <c:v>0.19877668230760023</c:v>
                </c:pt>
                <c:pt idx="17">
                  <c:v>0.19106550885020049</c:v>
                </c:pt>
                <c:pt idx="18">
                  <c:v>-2.1031638824599897E-2</c:v>
                </c:pt>
                <c:pt idx="19">
                  <c:v>-1.8881872245599823E-2</c:v>
                </c:pt>
                <c:pt idx="20">
                  <c:v>-1.157864857912162</c:v>
                </c:pt>
                <c:pt idx="21">
                  <c:v>-4.9674966649835008</c:v>
                </c:pt>
                <c:pt idx="22">
                  <c:v>-1.9520417393251031</c:v>
                </c:pt>
                <c:pt idx="23">
                  <c:v>-4.5017067627894241</c:v>
                </c:pt>
                <c:pt idx="24">
                  <c:v>-3.6933845036437498</c:v>
                </c:pt>
                <c:pt idx="25">
                  <c:v>1.372408212714985</c:v>
                </c:pt>
                <c:pt idx="26">
                  <c:v>0.63617916285749976</c:v>
                </c:pt>
                <c:pt idx="27">
                  <c:v>2.8391165022808131</c:v>
                </c:pt>
                <c:pt idx="28">
                  <c:v>2.9560910977845003</c:v>
                </c:pt>
                <c:pt idx="29">
                  <c:v>2.6813527792266059</c:v>
                </c:pt>
                <c:pt idx="30">
                  <c:v>-0.42127815127457585</c:v>
                </c:pt>
                <c:pt idx="31">
                  <c:v>0.60069715770429977</c:v>
                </c:pt>
              </c:numCache>
            </c:numRef>
          </c:val>
          <c:extLst>
            <c:ext xmlns:c16="http://schemas.microsoft.com/office/drawing/2014/chart" uri="{C3380CC4-5D6E-409C-BE32-E72D297353CC}">
              <c16:uniqueId val="{00000001-DAB9-4966-890C-B78D79A04B75}"/>
            </c:ext>
          </c:extLst>
        </c:ser>
        <c:ser>
          <c:idx val="2"/>
          <c:order val="3"/>
          <c:tx>
            <c:strRef>
              <c:f>'Služby-příspěvkyk růstu-4'!$F$33</c:f>
              <c:strCache>
                <c:ptCount val="1"/>
                <c:pt idx="0">
                  <c:v>Information and communication</c:v>
                </c:pt>
              </c:strCache>
            </c:strRef>
          </c:tx>
          <c:spPr>
            <a:solidFill>
              <a:srgbClr val="E6E100"/>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růstu-4'!$F$46:$F$78</c:f>
              <c:numCache>
                <c:formatCode>0.0</c:formatCode>
                <c:ptCount val="33"/>
                <c:pt idx="0">
                  <c:v>1.4083798915137009</c:v>
                </c:pt>
                <c:pt idx="1">
                  <c:v>0.82540650715499964</c:v>
                </c:pt>
                <c:pt idx="2">
                  <c:v>0.80424272675400077</c:v>
                </c:pt>
                <c:pt idx="3">
                  <c:v>1.3174140502479994</c:v>
                </c:pt>
                <c:pt idx="4">
                  <c:v>0.35985664064800121</c:v>
                </c:pt>
                <c:pt idx="5">
                  <c:v>0.1575138368199987</c:v>
                </c:pt>
                <c:pt idx="6">
                  <c:v>0.32598498922399954</c:v>
                </c:pt>
                <c:pt idx="7">
                  <c:v>0.17761340848900062</c:v>
                </c:pt>
                <c:pt idx="8">
                  <c:v>0.76438636704000096</c:v>
                </c:pt>
                <c:pt idx="9">
                  <c:v>0.98207704425299935</c:v>
                </c:pt>
                <c:pt idx="10">
                  <c:v>0.7709388166100013</c:v>
                </c:pt>
                <c:pt idx="11">
                  <c:v>0.58294315828299903</c:v>
                </c:pt>
                <c:pt idx="12">
                  <c:v>1.4398200028309998</c:v>
                </c:pt>
                <c:pt idx="13">
                  <c:v>0.76531943813199921</c:v>
                </c:pt>
                <c:pt idx="14">
                  <c:v>1.415831001736001</c:v>
                </c:pt>
                <c:pt idx="15">
                  <c:v>0.98684323348800107</c:v>
                </c:pt>
                <c:pt idx="16">
                  <c:v>1.2348474246799988</c:v>
                </c:pt>
                <c:pt idx="17">
                  <c:v>1.1603884990619995</c:v>
                </c:pt>
                <c:pt idx="18">
                  <c:v>0.91591834325400012</c:v>
                </c:pt>
                <c:pt idx="19">
                  <c:v>1.1621880049516005</c:v>
                </c:pt>
                <c:pt idx="20">
                  <c:v>0.8191341781949999</c:v>
                </c:pt>
                <c:pt idx="21">
                  <c:v>1.3223529237600361E-2</c:v>
                </c:pt>
                <c:pt idx="22">
                  <c:v>-0.20840783961799986</c:v>
                </c:pt>
                <c:pt idx="23">
                  <c:v>-0.54142483054800161</c:v>
                </c:pt>
                <c:pt idx="24">
                  <c:v>0.71316924858200104</c:v>
                </c:pt>
                <c:pt idx="25">
                  <c:v>1.548640695590165</c:v>
                </c:pt>
                <c:pt idx="26">
                  <c:v>1.4405780988855996</c:v>
                </c:pt>
                <c:pt idx="27">
                  <c:v>1.9065499671602735</c:v>
                </c:pt>
                <c:pt idx="28">
                  <c:v>1.4244171805708006</c:v>
                </c:pt>
                <c:pt idx="29">
                  <c:v>0.86601556785599998</c:v>
                </c:pt>
                <c:pt idx="30">
                  <c:v>0.69557852668386944</c:v>
                </c:pt>
                <c:pt idx="31">
                  <c:v>0.23404973529411632</c:v>
                </c:pt>
              </c:numCache>
            </c:numRef>
          </c:val>
          <c:extLst>
            <c:ext xmlns:c16="http://schemas.microsoft.com/office/drawing/2014/chart" uri="{C3380CC4-5D6E-409C-BE32-E72D297353CC}">
              <c16:uniqueId val="{00000002-DAB9-4966-890C-B78D79A04B75}"/>
            </c:ext>
          </c:extLst>
        </c:ser>
        <c:ser>
          <c:idx val="4"/>
          <c:order val="4"/>
          <c:tx>
            <c:strRef>
              <c:f>'Služby-příspěvkyk růstu-4'!$G$33</c:f>
              <c:strCache>
                <c:ptCount val="1"/>
                <c:pt idx="0">
                  <c:v>Real estate activities</c:v>
                </c:pt>
              </c:strCache>
            </c:strRef>
          </c:tx>
          <c:spPr>
            <a:solidFill>
              <a:schemeClr val="accent5">
                <a:lumMod val="60000"/>
                <a:lumOff val="40000"/>
              </a:schemeClr>
            </a:solidFill>
            <a:ln>
              <a:noFill/>
              <a:prstDash val="sysDash"/>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růstu-4'!$G$46:$G$78</c:f>
              <c:numCache>
                <c:formatCode>0.0</c:formatCode>
                <c:ptCount val="33"/>
                <c:pt idx="0">
                  <c:v>4.7588818498199993E-2</c:v>
                </c:pt>
                <c:pt idx="1">
                  <c:v>-7.3007550905993803E-3</c:v>
                </c:pt>
                <c:pt idx="2">
                  <c:v>0.12810762983039936</c:v>
                </c:pt>
                <c:pt idx="3">
                  <c:v>2.4617916117599462E-2</c:v>
                </c:pt>
                <c:pt idx="4">
                  <c:v>0.25752090895739993</c:v>
                </c:pt>
                <c:pt idx="5">
                  <c:v>-4.2228184845005496E-3</c:v>
                </c:pt>
                <c:pt idx="6">
                  <c:v>0.1499318310138007</c:v>
                </c:pt>
                <c:pt idx="7">
                  <c:v>-6.6530028186599532E-2</c:v>
                </c:pt>
                <c:pt idx="8">
                  <c:v>0.20977398058900024</c:v>
                </c:pt>
                <c:pt idx="9">
                  <c:v>0.44953617213779962</c:v>
                </c:pt>
                <c:pt idx="10">
                  <c:v>-2.2338348474500478E-2</c:v>
                </c:pt>
                <c:pt idx="11">
                  <c:v>0.13984723093739981</c:v>
                </c:pt>
                <c:pt idx="12">
                  <c:v>2.6966101253399585E-2</c:v>
                </c:pt>
                <c:pt idx="13">
                  <c:v>-0.24884766500039976</c:v>
                </c:pt>
                <c:pt idx="14">
                  <c:v>-0.12645184379759991</c:v>
                </c:pt>
                <c:pt idx="15">
                  <c:v>-0.22378801642200052</c:v>
                </c:pt>
                <c:pt idx="16">
                  <c:v>0.14753986907940025</c:v>
                </c:pt>
                <c:pt idx="17">
                  <c:v>-7.379708629200365E-3</c:v>
                </c:pt>
                <c:pt idx="18">
                  <c:v>-0.23287434101939938</c:v>
                </c:pt>
                <c:pt idx="19">
                  <c:v>-0.10147037326200034</c:v>
                </c:pt>
                <c:pt idx="20">
                  <c:v>0.42431890762080055</c:v>
                </c:pt>
                <c:pt idx="21">
                  <c:v>-0.29919163957060046</c:v>
                </c:pt>
                <c:pt idx="22">
                  <c:v>-0.26426338474666694</c:v>
                </c:pt>
                <c:pt idx="23">
                  <c:v>-0.23118426949069976</c:v>
                </c:pt>
                <c:pt idx="24">
                  <c:v>-0.2008543847649007</c:v>
                </c:pt>
                <c:pt idx="25">
                  <c:v>0.43434705815385044</c:v>
                </c:pt>
                <c:pt idx="26">
                  <c:v>2.9423998310004152E-3</c:v>
                </c:pt>
                <c:pt idx="27">
                  <c:v>0.23837123738399993</c:v>
                </c:pt>
                <c:pt idx="28">
                  <c:v>0.9322155451648001</c:v>
                </c:pt>
                <c:pt idx="29">
                  <c:v>0.47129681106399973</c:v>
                </c:pt>
                <c:pt idx="30">
                  <c:v>0.24123096528157922</c:v>
                </c:pt>
                <c:pt idx="31">
                  <c:v>0.36200260791666611</c:v>
                </c:pt>
              </c:numCache>
            </c:numRef>
          </c:val>
          <c:extLst>
            <c:ext xmlns:c16="http://schemas.microsoft.com/office/drawing/2014/chart" uri="{C3380CC4-5D6E-409C-BE32-E72D297353CC}">
              <c16:uniqueId val="{00000003-DAB9-4966-890C-B78D79A04B75}"/>
            </c:ext>
          </c:extLst>
        </c:ser>
        <c:ser>
          <c:idx val="5"/>
          <c:order val="5"/>
          <c:tx>
            <c:strRef>
              <c:f>'Služby-příspěvkyk růstu-4'!$H$33</c:f>
              <c:strCache>
                <c:ptCount val="1"/>
                <c:pt idx="0">
                  <c:v>Professional, scientific &amp; technic. Activities</c:v>
                </c:pt>
              </c:strCache>
            </c:strRef>
          </c:tx>
          <c:spPr>
            <a:solidFill>
              <a:schemeClr val="accent6">
                <a:lumMod val="60000"/>
                <a:lumOff val="4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růstu-4'!$H$46:$H$78</c:f>
              <c:numCache>
                <c:formatCode>0.0</c:formatCode>
                <c:ptCount val="33"/>
                <c:pt idx="0">
                  <c:v>1.0468505532869989</c:v>
                </c:pt>
                <c:pt idx="1">
                  <c:v>0.72007462619999962</c:v>
                </c:pt>
                <c:pt idx="2">
                  <c:v>1.0906393004400001</c:v>
                </c:pt>
                <c:pt idx="3">
                  <c:v>-4.2990021238901367E-2</c:v>
                </c:pt>
                <c:pt idx="4">
                  <c:v>-0.43098075353700094</c:v>
                </c:pt>
                <c:pt idx="5">
                  <c:v>-1.3389465804999987</c:v>
                </c:pt>
                <c:pt idx="6">
                  <c:v>3.0728374200130306E-4</c:v>
                </c:pt>
                <c:pt idx="7">
                  <c:v>-0.3121071665494991</c:v>
                </c:pt>
                <c:pt idx="8">
                  <c:v>0.95807798756000018</c:v>
                </c:pt>
                <c:pt idx="9">
                  <c:v>0.59447839488779997</c:v>
                </c:pt>
                <c:pt idx="10">
                  <c:v>0.30863690562089996</c:v>
                </c:pt>
                <c:pt idx="11">
                  <c:v>0.42814590144940085</c:v>
                </c:pt>
                <c:pt idx="12">
                  <c:v>1.0521629274264988</c:v>
                </c:pt>
                <c:pt idx="13">
                  <c:v>0.5501113250554992</c:v>
                </c:pt>
                <c:pt idx="14">
                  <c:v>0.3596254694963989</c:v>
                </c:pt>
                <c:pt idx="15">
                  <c:v>-0.26680052765060136</c:v>
                </c:pt>
                <c:pt idx="16">
                  <c:v>0.70988848618690059</c:v>
                </c:pt>
                <c:pt idx="17">
                  <c:v>0.59156625867140045</c:v>
                </c:pt>
                <c:pt idx="18">
                  <c:v>-0.77754044718210014</c:v>
                </c:pt>
                <c:pt idx="19">
                  <c:v>-0.56889162351999967</c:v>
                </c:pt>
                <c:pt idx="20">
                  <c:v>-0.8629875625277994</c:v>
                </c:pt>
                <c:pt idx="21">
                  <c:v>-3.1826786933129991</c:v>
                </c:pt>
                <c:pt idx="22">
                  <c:v>-1.495126859429508</c:v>
                </c:pt>
                <c:pt idx="23">
                  <c:v>-1.5495215129057995</c:v>
                </c:pt>
                <c:pt idx="24">
                  <c:v>-1.5897570854689647</c:v>
                </c:pt>
                <c:pt idx="25">
                  <c:v>2.7177633580318017</c:v>
                </c:pt>
                <c:pt idx="26">
                  <c:v>1.7630975025485993</c:v>
                </c:pt>
                <c:pt idx="27">
                  <c:v>2.0930310136979364</c:v>
                </c:pt>
                <c:pt idx="28">
                  <c:v>2.2712332019111994</c:v>
                </c:pt>
                <c:pt idx="29">
                  <c:v>1.2345356208000011</c:v>
                </c:pt>
                <c:pt idx="30">
                  <c:v>1.0042919833478261</c:v>
                </c:pt>
                <c:pt idx="31">
                  <c:v>3.0320654721429769E-2</c:v>
                </c:pt>
              </c:numCache>
            </c:numRef>
          </c:val>
          <c:extLst>
            <c:ext xmlns:c16="http://schemas.microsoft.com/office/drawing/2014/chart" uri="{C3380CC4-5D6E-409C-BE32-E72D297353CC}">
              <c16:uniqueId val="{00000004-DAB9-4966-890C-B78D79A04B75}"/>
            </c:ext>
          </c:extLst>
        </c:ser>
        <c:ser>
          <c:idx val="6"/>
          <c:order val="6"/>
          <c:tx>
            <c:strRef>
              <c:f>'Služby-příspěvkyk růstu-4'!$I$33</c:f>
              <c:strCache>
                <c:ptCount val="1"/>
                <c:pt idx="0">
                  <c:v>Administrative &amp; support service activities</c:v>
                </c:pt>
              </c:strCache>
            </c:strRef>
          </c:tx>
          <c:spPr>
            <a:solidFill>
              <a:schemeClr val="accent1">
                <a:lumMod val="20000"/>
                <a:lumOff val="80000"/>
              </a:schemeClr>
            </a:solidFill>
            <a:ln>
              <a:noFill/>
            </a:ln>
          </c:spPr>
          <c:invertIfNegative val="0"/>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růstu-4'!$I$46:$I$78</c:f>
              <c:numCache>
                <c:formatCode>0.0</c:formatCode>
                <c:ptCount val="33"/>
                <c:pt idx="0">
                  <c:v>0.51550370389650024</c:v>
                </c:pt>
                <c:pt idx="1">
                  <c:v>0.62101310773750029</c:v>
                </c:pt>
                <c:pt idx="2">
                  <c:v>0.43506961802500044</c:v>
                </c:pt>
                <c:pt idx="3">
                  <c:v>0.50168865387909933</c:v>
                </c:pt>
                <c:pt idx="4">
                  <c:v>0.4550707532813994</c:v>
                </c:pt>
                <c:pt idx="5">
                  <c:v>0.16398578688570073</c:v>
                </c:pt>
                <c:pt idx="6">
                  <c:v>0.26977885261849965</c:v>
                </c:pt>
                <c:pt idx="7">
                  <c:v>0.51378188366290034</c:v>
                </c:pt>
                <c:pt idx="8">
                  <c:v>1.3201331730339996</c:v>
                </c:pt>
                <c:pt idx="9">
                  <c:v>1.0879288678141008</c:v>
                </c:pt>
                <c:pt idx="10">
                  <c:v>0.6413410787324999</c:v>
                </c:pt>
                <c:pt idx="11">
                  <c:v>0.30531118010650066</c:v>
                </c:pt>
                <c:pt idx="12">
                  <c:v>0.53332072309840028</c:v>
                </c:pt>
                <c:pt idx="13">
                  <c:v>0.3784029238782004</c:v>
                </c:pt>
                <c:pt idx="14">
                  <c:v>0.43569101400389965</c:v>
                </c:pt>
                <c:pt idx="15">
                  <c:v>-1.3079338160200678E-2</c:v>
                </c:pt>
                <c:pt idx="16">
                  <c:v>0.47288540072630031</c:v>
                </c:pt>
                <c:pt idx="17">
                  <c:v>0.12968213694649977</c:v>
                </c:pt>
                <c:pt idx="18">
                  <c:v>-0.12322397481159968</c:v>
                </c:pt>
                <c:pt idx="19">
                  <c:v>-0.21537552647130032</c:v>
                </c:pt>
                <c:pt idx="20">
                  <c:v>-1.1051686942920007</c:v>
                </c:pt>
                <c:pt idx="21">
                  <c:v>-4.3129281059486004</c:v>
                </c:pt>
                <c:pt idx="22">
                  <c:v>-4.446067523157895</c:v>
                </c:pt>
                <c:pt idx="23">
                  <c:v>-2.3716048373778</c:v>
                </c:pt>
                <c:pt idx="24">
                  <c:v>-1.4732703403764005</c:v>
                </c:pt>
                <c:pt idx="25">
                  <c:v>1.7697809683939403</c:v>
                </c:pt>
                <c:pt idx="26">
                  <c:v>1.8505450464600004</c:v>
                </c:pt>
                <c:pt idx="27">
                  <c:v>1.0498709638992363</c:v>
                </c:pt>
                <c:pt idx="28">
                  <c:v>1.8426107071999995</c:v>
                </c:pt>
                <c:pt idx="29">
                  <c:v>2.1450414216000002</c:v>
                </c:pt>
                <c:pt idx="30">
                  <c:v>1.8856484780316995</c:v>
                </c:pt>
                <c:pt idx="31">
                  <c:v>0.46921732515000014</c:v>
                </c:pt>
              </c:numCache>
            </c:numRef>
          </c:val>
          <c:extLst>
            <c:ext xmlns:c16="http://schemas.microsoft.com/office/drawing/2014/chart" uri="{C3380CC4-5D6E-409C-BE32-E72D297353CC}">
              <c16:uniqueId val="{00000005-DAB9-4966-890C-B78D79A04B75}"/>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růstu-4'!$C$33</c:f>
              <c:strCache>
                <c:ptCount val="1"/>
                <c:pt idx="0">
                  <c:v>Total services sales</c:v>
                </c:pt>
              </c:strCache>
            </c:strRef>
          </c:tx>
          <c:spPr>
            <a:ln>
              <a:noFill/>
            </a:ln>
          </c:spPr>
          <c:marker>
            <c:symbol val="dot"/>
            <c:size val="7"/>
            <c:spPr>
              <a:solidFill>
                <a:schemeClr val="tx1">
                  <a:lumMod val="95000"/>
                  <a:lumOff val="5000"/>
                </a:schemeClr>
              </a:solidFill>
              <a:ln>
                <a:no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růstu-4'!$C$46:$C$78</c:f>
              <c:numCache>
                <c:formatCode>0.0</c:formatCode>
                <c:ptCount val="33"/>
                <c:pt idx="0">
                  <c:v>3.3387856580999937</c:v>
                </c:pt>
                <c:pt idx="1">
                  <c:v>2.7067375338999966</c:v>
                </c:pt>
                <c:pt idx="2">
                  <c:v>3.2734904207</c:v>
                </c:pt>
                <c:pt idx="3">
                  <c:v>2.2083913160000037</c:v>
                </c:pt>
                <c:pt idx="4">
                  <c:v>1.3295921479000015</c:v>
                </c:pt>
                <c:pt idx="5">
                  <c:v>-0.87633228709999855</c:v>
                </c:pt>
                <c:pt idx="6">
                  <c:v>1.4335470749000052</c:v>
                </c:pt>
                <c:pt idx="7">
                  <c:v>1.6242102724999938</c:v>
                </c:pt>
                <c:pt idx="8">
                  <c:v>5.6462151451000011</c:v>
                </c:pt>
                <c:pt idx="9">
                  <c:v>5.4476828922000067</c:v>
                </c:pt>
                <c:pt idx="10">
                  <c:v>3.4016118395999939</c:v>
                </c:pt>
                <c:pt idx="11">
                  <c:v>2.5063195031000021</c:v>
                </c:pt>
                <c:pt idx="12">
                  <c:v>5.071288603499994</c:v>
                </c:pt>
                <c:pt idx="13">
                  <c:v>3.4823349595999957</c:v>
                </c:pt>
                <c:pt idx="14">
                  <c:v>3.6926675579999966</c:v>
                </c:pt>
                <c:pt idx="15">
                  <c:v>1.0671514554999959</c:v>
                </c:pt>
                <c:pt idx="16">
                  <c:v>3.5777212416000026</c:v>
                </c:pt>
                <c:pt idx="17">
                  <c:v>1.9765133558999963</c:v>
                </c:pt>
                <c:pt idx="18">
                  <c:v>-0.81695782319999921</c:v>
                </c:pt>
                <c:pt idx="19">
                  <c:v>-0.15568719549999344</c:v>
                </c:pt>
                <c:pt idx="20">
                  <c:v>-3.6980250129000041</c:v>
                </c:pt>
                <c:pt idx="21">
                  <c:v>-19.645345248799998</c:v>
                </c:pt>
                <c:pt idx="22">
                  <c:v>-12.600965308100001</c:v>
                </c:pt>
                <c:pt idx="23">
                  <c:v>-10.912584080000002</c:v>
                </c:pt>
                <c:pt idx="24">
                  <c:v>-6.3942684535126144</c:v>
                </c:pt>
                <c:pt idx="25">
                  <c:v>14.793600196459142</c:v>
                </c:pt>
                <c:pt idx="26">
                  <c:v>9.7930132050982976</c:v>
                </c:pt>
                <c:pt idx="27">
                  <c:v>12.671410218028887</c:v>
                </c:pt>
                <c:pt idx="28">
                  <c:v>14.067469931718712</c:v>
                </c:pt>
                <c:pt idx="29">
                  <c:v>12.196508720194077</c:v>
                </c:pt>
                <c:pt idx="30">
                  <c:v>7.1766953041493018</c:v>
                </c:pt>
                <c:pt idx="31">
                  <c:v>1.5927521225189127</c:v>
                </c:pt>
              </c:numCache>
            </c:numRef>
          </c:val>
          <c:smooth val="0"/>
          <c:extLst>
            <c:ext xmlns:c16="http://schemas.microsoft.com/office/drawing/2014/chart" uri="{C3380CC4-5D6E-409C-BE32-E72D297353CC}">
              <c16:uniqueId val="{00000006-DAB9-4966-890C-B78D79A04B75}"/>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růstu-4'!$J$33</c:f>
              <c:strCache>
                <c:ptCount val="1"/>
                <c:pt idx="0">
                  <c:v>Confidence indicator in services</c:v>
                </c:pt>
              </c:strCache>
            </c:strRef>
          </c:tx>
          <c:spPr>
            <a:ln w="3175">
              <a:solidFill>
                <a:schemeClr val="bg1">
                  <a:lumMod val="50000"/>
                </a:schemeClr>
              </a:solidFill>
              <a:prstDash val="sysDash"/>
            </a:ln>
          </c:spPr>
          <c:marker>
            <c:symbol val="diamond"/>
            <c:size val="5"/>
            <c:spPr>
              <a:solidFill>
                <a:srgbClr val="FFFF00"/>
              </a:solidFill>
              <a:ln w="6350">
                <a:solidFill>
                  <a:schemeClr val="tx1">
                    <a:lumMod val="85000"/>
                    <a:lumOff val="15000"/>
                  </a:schemeClr>
                </a:solidFill>
              </a:ln>
            </c:spPr>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růstu-4'!$J$46:$J$78</c:f>
              <c:numCache>
                <c:formatCode>0.0</c:formatCode>
                <c:ptCount val="33"/>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pt idx="27">
                  <c:v>27</c:v>
                </c:pt>
                <c:pt idx="28">
                  <c:v>31</c:v>
                </c:pt>
                <c:pt idx="29">
                  <c:v>40</c:v>
                </c:pt>
                <c:pt idx="30">
                  <c:v>27.7</c:v>
                </c:pt>
                <c:pt idx="31">
                  <c:v>21.3</c:v>
                </c:pt>
                <c:pt idx="32">
                  <c:v>24</c:v>
                </c:pt>
              </c:numCache>
            </c:numRef>
          </c:val>
          <c:smooth val="0"/>
          <c:extLst>
            <c:ext xmlns:c16="http://schemas.microsoft.com/office/drawing/2014/chart" uri="{C3380CC4-5D6E-409C-BE32-E72D297353CC}">
              <c16:uniqueId val="{00000007-DAB9-4966-890C-B78D79A04B75}"/>
            </c:ext>
          </c:extLst>
        </c:ser>
        <c:ser>
          <c:idx val="8"/>
          <c:order val="8"/>
          <c:tx>
            <c:strRef>
              <c:f>'Služby-příspěvkyk růstu-4'!$K$33</c:f>
              <c:strCache>
                <c:ptCount val="1"/>
                <c:pt idx="0">
                  <c:v>Growth barrier: inadequate demand</c:v>
                </c:pt>
              </c:strCache>
            </c:strRef>
          </c:tx>
          <c:spPr>
            <a:ln w="15875">
              <a:solidFill>
                <a:srgbClr val="C35D09"/>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růstu-4'!$K$46:$K$78</c:f>
              <c:numCache>
                <c:formatCode>#\ ##0.0</c:formatCode>
                <c:ptCount val="33"/>
                <c:pt idx="0">
                  <c:v>26</c:v>
                </c:pt>
                <c:pt idx="1">
                  <c:v>29.3</c:v>
                </c:pt>
                <c:pt idx="2">
                  <c:v>26.1</c:v>
                </c:pt>
                <c:pt idx="3">
                  <c:v>24.7</c:v>
                </c:pt>
                <c:pt idx="4">
                  <c:v>23.3</c:v>
                </c:pt>
                <c:pt idx="5">
                  <c:v>25.1</c:v>
                </c:pt>
                <c:pt idx="6">
                  <c:v>20.2</c:v>
                </c:pt>
                <c:pt idx="7">
                  <c:v>24.4</c:v>
                </c:pt>
                <c:pt idx="8">
                  <c:v>25.8</c:v>
                </c:pt>
                <c:pt idx="9">
                  <c:v>20.5</c:v>
                </c:pt>
                <c:pt idx="10">
                  <c:v>18.399999999999999</c:v>
                </c:pt>
                <c:pt idx="11">
                  <c:v>21.6</c:v>
                </c:pt>
                <c:pt idx="12">
                  <c:v>16.899999999999999</c:v>
                </c:pt>
                <c:pt idx="13">
                  <c:v>19.399999999999999</c:v>
                </c:pt>
                <c:pt idx="14">
                  <c:v>17.899999999999999</c:v>
                </c:pt>
                <c:pt idx="15">
                  <c:v>20.7</c:v>
                </c:pt>
                <c:pt idx="16">
                  <c:v>20.6</c:v>
                </c:pt>
                <c:pt idx="17">
                  <c:v>16.899999999999999</c:v>
                </c:pt>
                <c:pt idx="18">
                  <c:v>20.5</c:v>
                </c:pt>
                <c:pt idx="19">
                  <c:v>14.4</c:v>
                </c:pt>
                <c:pt idx="20">
                  <c:v>21.3</c:v>
                </c:pt>
                <c:pt idx="21">
                  <c:v>30.2</c:v>
                </c:pt>
                <c:pt idx="22">
                  <c:v>30.4</c:v>
                </c:pt>
                <c:pt idx="23">
                  <c:v>39.200000000000003</c:v>
                </c:pt>
                <c:pt idx="24">
                  <c:v>34.799999999999997</c:v>
                </c:pt>
                <c:pt idx="25">
                  <c:v>36.799999999999997</c:v>
                </c:pt>
                <c:pt idx="26">
                  <c:v>28.9</c:v>
                </c:pt>
                <c:pt idx="27">
                  <c:v>26.3</c:v>
                </c:pt>
                <c:pt idx="28">
                  <c:v>31.6</c:v>
                </c:pt>
                <c:pt idx="29">
                  <c:v>15</c:v>
                </c:pt>
                <c:pt idx="30">
                  <c:v>30.2</c:v>
                </c:pt>
                <c:pt idx="31">
                  <c:v>17.600000000000001</c:v>
                </c:pt>
                <c:pt idx="32">
                  <c:v>25.4</c:v>
                </c:pt>
              </c:numCache>
            </c:numRef>
          </c:val>
          <c:smooth val="0"/>
          <c:extLst>
            <c:ext xmlns:c16="http://schemas.microsoft.com/office/drawing/2014/chart" uri="{C3380CC4-5D6E-409C-BE32-E72D297353CC}">
              <c16:uniqueId val="{00000008-DAB9-4966-890C-B78D79A04B75}"/>
            </c:ext>
          </c:extLst>
        </c:ser>
        <c:ser>
          <c:idx val="9"/>
          <c:order val="9"/>
          <c:tx>
            <c:strRef>
              <c:f>'Služby-příspěvkyk růstu-4'!$L$33</c:f>
              <c:strCache>
                <c:ptCount val="1"/>
                <c:pt idx="0">
                  <c:v>Growth barrier: lack of workers</c:v>
                </c:pt>
              </c:strCache>
            </c:strRef>
          </c:tx>
          <c:spPr>
            <a:ln w="15875">
              <a:solidFill>
                <a:srgbClr val="CA945E"/>
              </a:solidFill>
              <a:prstDash val="lg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růstu-4'!$L$46:$L$78</c:f>
              <c:numCache>
                <c:formatCode>#\ ##0.0</c:formatCode>
                <c:ptCount val="33"/>
                <c:pt idx="0">
                  <c:v>1.3</c:v>
                </c:pt>
                <c:pt idx="1">
                  <c:v>6</c:v>
                </c:pt>
                <c:pt idx="2">
                  <c:v>7.2</c:v>
                </c:pt>
                <c:pt idx="3">
                  <c:v>5.6</c:v>
                </c:pt>
                <c:pt idx="4">
                  <c:v>7.5</c:v>
                </c:pt>
                <c:pt idx="5">
                  <c:v>4.5</c:v>
                </c:pt>
                <c:pt idx="6">
                  <c:v>7.9</c:v>
                </c:pt>
                <c:pt idx="7">
                  <c:v>9.5</c:v>
                </c:pt>
                <c:pt idx="8">
                  <c:v>9.4</c:v>
                </c:pt>
                <c:pt idx="9">
                  <c:v>9.6999999999999993</c:v>
                </c:pt>
                <c:pt idx="10">
                  <c:v>9.8000000000000007</c:v>
                </c:pt>
                <c:pt idx="11">
                  <c:v>12.8</c:v>
                </c:pt>
                <c:pt idx="12">
                  <c:v>13.9</c:v>
                </c:pt>
                <c:pt idx="13">
                  <c:v>16.3</c:v>
                </c:pt>
                <c:pt idx="14">
                  <c:v>17.5</c:v>
                </c:pt>
                <c:pt idx="15">
                  <c:v>18.899999999999999</c:v>
                </c:pt>
                <c:pt idx="16">
                  <c:v>19.3</c:v>
                </c:pt>
                <c:pt idx="17">
                  <c:v>15</c:v>
                </c:pt>
                <c:pt idx="18">
                  <c:v>21.5</c:v>
                </c:pt>
                <c:pt idx="19">
                  <c:v>19.8</c:v>
                </c:pt>
                <c:pt idx="20">
                  <c:v>19.5</c:v>
                </c:pt>
                <c:pt idx="21">
                  <c:v>10</c:v>
                </c:pt>
                <c:pt idx="22">
                  <c:v>10</c:v>
                </c:pt>
                <c:pt idx="23">
                  <c:v>12.6</c:v>
                </c:pt>
                <c:pt idx="24">
                  <c:v>12.7</c:v>
                </c:pt>
                <c:pt idx="25">
                  <c:v>8.5</c:v>
                </c:pt>
                <c:pt idx="26">
                  <c:v>17.399999999999999</c:v>
                </c:pt>
                <c:pt idx="27">
                  <c:v>20.6</c:v>
                </c:pt>
                <c:pt idx="28">
                  <c:v>20.2</c:v>
                </c:pt>
                <c:pt idx="29">
                  <c:v>10.9</c:v>
                </c:pt>
                <c:pt idx="30">
                  <c:v>17.899999999999999</c:v>
                </c:pt>
                <c:pt idx="31">
                  <c:v>6.6</c:v>
                </c:pt>
                <c:pt idx="32">
                  <c:v>9.3000000000000007</c:v>
                </c:pt>
              </c:numCache>
            </c:numRef>
          </c:val>
          <c:smooth val="0"/>
          <c:extLst>
            <c:ext xmlns:c16="http://schemas.microsoft.com/office/drawing/2014/chart" uri="{C3380CC4-5D6E-409C-BE32-E72D297353CC}">
              <c16:uniqueId val="{00000009-DAB9-4966-890C-B78D79A04B75}"/>
            </c:ext>
          </c:extLst>
        </c:ser>
        <c:ser>
          <c:idx val="10"/>
          <c:order val="10"/>
          <c:tx>
            <c:strRef>
              <c:f>'Služby-příspěvkyk růstu-4'!$M$33</c:f>
              <c:strCache>
                <c:ptCount val="1"/>
                <c:pt idx="0">
                  <c:v>Total sales (basis 2015=100, constant prices)</c:v>
                </c:pt>
              </c:strCache>
            </c:strRef>
          </c:tx>
          <c:spPr>
            <a:ln w="15875">
              <a:solidFill>
                <a:schemeClr val="tx1"/>
              </a:solidFill>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růstu-4'!$M$46:$M$78</c:f>
              <c:numCache>
                <c:formatCode>0.0</c:formatCode>
                <c:ptCount val="33"/>
                <c:pt idx="0">
                  <c:v>98.9058694</c:v>
                </c:pt>
                <c:pt idx="1">
                  <c:v>99.939744966700005</c:v>
                </c:pt>
                <c:pt idx="2">
                  <c:v>100.46069412999999</c:v>
                </c:pt>
                <c:pt idx="3">
                  <c:v>100.69369150670001</c:v>
                </c:pt>
                <c:pt idx="4">
                  <c:v>99.506269489999994</c:v>
                </c:pt>
                <c:pt idx="5">
                  <c:v>99.882932769999996</c:v>
                </c:pt>
                <c:pt idx="6">
                  <c:v>101.6454132667</c:v>
                </c:pt>
                <c:pt idx="7">
                  <c:v>103.1425757933</c:v>
                </c:pt>
                <c:pt idx="8">
                  <c:v>103.7536856167</c:v>
                </c:pt>
                <c:pt idx="9">
                  <c:v>105.1986778867</c:v>
                </c:pt>
                <c:pt idx="10">
                  <c:v>105.3356622867</c:v>
                </c:pt>
                <c:pt idx="11">
                  <c:v>106.72097377670001</c:v>
                </c:pt>
                <c:pt idx="12">
                  <c:v>107.9153511367</c:v>
                </c:pt>
                <c:pt idx="13">
                  <c:v>108.70616911330001</c:v>
                </c:pt>
                <c:pt idx="14">
                  <c:v>109.3727816967</c:v>
                </c:pt>
                <c:pt idx="15">
                  <c:v>108.8880568167</c:v>
                </c:pt>
                <c:pt idx="16">
                  <c:v>110.44627128330001</c:v>
                </c:pt>
                <c:pt idx="17">
                  <c:v>110.87756216</c:v>
                </c:pt>
                <c:pt idx="18">
                  <c:v>109.1647310367</c:v>
                </c:pt>
                <c:pt idx="19">
                  <c:v>108.93584104999999</c:v>
                </c:pt>
                <c:pt idx="20">
                  <c:v>105.3679302367</c:v>
                </c:pt>
                <c:pt idx="21">
                  <c:v>90.203880830000003</c:v>
                </c:pt>
                <c:pt idx="22">
                  <c:v>97.528267896700001</c:v>
                </c:pt>
                <c:pt idx="23">
                  <c:v>95.952761640000006</c:v>
                </c:pt>
                <c:pt idx="24">
                  <c:v>97.5220549533</c:v>
                </c:pt>
                <c:pt idx="25">
                  <c:v>102.23534626670001</c:v>
                </c:pt>
                <c:pt idx="26">
                  <c:v>106.43087342</c:v>
                </c:pt>
                <c:pt idx="27">
                  <c:v>109.4018164733</c:v>
                </c:pt>
                <c:pt idx="28">
                  <c:v>111.6927019733</c:v>
                </c:pt>
                <c:pt idx="29">
                  <c:v>113.62394018329999</c:v>
                </c:pt>
                <c:pt idx="30">
                  <c:v>113.26823950000001</c:v>
                </c:pt>
                <c:pt idx="31">
                  <c:v>112.2029968233</c:v>
                </c:pt>
              </c:numCache>
            </c:numRef>
          </c:val>
          <c:smooth val="0"/>
          <c:extLst>
            <c:ext xmlns:c16="http://schemas.microsoft.com/office/drawing/2014/chart" uri="{C3380CC4-5D6E-409C-BE32-E72D297353CC}">
              <c16:uniqueId val="{0000000A-DAB9-4966-890C-B78D79A04B75}"/>
            </c:ext>
          </c:extLst>
        </c:ser>
        <c:ser>
          <c:idx val="11"/>
          <c:order val="11"/>
          <c:tx>
            <c:strRef>
              <c:f>'Služby-příspěvkyk růstu-4'!$N$33</c:f>
              <c:strCache>
                <c:ptCount val="1"/>
                <c:pt idx="0">
                  <c:v>Total sales (basis 2015=100, current prices)</c:v>
                </c:pt>
              </c:strCache>
            </c:strRef>
          </c:tx>
          <c:spPr>
            <a:ln w="15875">
              <a:solidFill>
                <a:schemeClr val="bg2">
                  <a:lumMod val="25000"/>
                </a:schemeClr>
              </a:solidFill>
              <a:prstDash val="sysDash"/>
            </a:ln>
          </c:spPr>
          <c:marker>
            <c:symbol val="none"/>
          </c:marker>
          <c:cat>
            <c:multiLvlStrRef>
              <c:f>'Služby-příspěvkyk růstu-4'!$A$46:$B$78</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'Služby-příspěvkyk růstu-4'!$N$46:$N$78</c:f>
              <c:numCache>
                <c:formatCode>0.0</c:formatCode>
                <c:ptCount val="33"/>
                <c:pt idx="0">
                  <c:v>98.878809526699996</c:v>
                </c:pt>
                <c:pt idx="1">
                  <c:v>99.932801119999993</c:v>
                </c:pt>
                <c:pt idx="2">
                  <c:v>100.47612456</c:v>
                </c:pt>
                <c:pt idx="3">
                  <c:v>100.71226479000001</c:v>
                </c:pt>
                <c:pt idx="4">
                  <c:v>99.601623459999999</c:v>
                </c:pt>
                <c:pt idx="5">
                  <c:v>100.2234790433</c:v>
                </c:pt>
                <c:pt idx="6">
                  <c:v>102.13593758</c:v>
                </c:pt>
                <c:pt idx="7">
                  <c:v>103.9538192433</c:v>
                </c:pt>
                <c:pt idx="8">
                  <c:v>105.2833983</c:v>
                </c:pt>
                <c:pt idx="9">
                  <c:v>107.13280340670001</c:v>
                </c:pt>
                <c:pt idx="10">
                  <c:v>107.78245525</c:v>
                </c:pt>
                <c:pt idx="11">
                  <c:v>109.74135017</c:v>
                </c:pt>
                <c:pt idx="12">
                  <c:v>111.4458726133</c:v>
                </c:pt>
                <c:pt idx="13">
                  <c:v>112.9675431333</c:v>
                </c:pt>
                <c:pt idx="14">
                  <c:v>114.3275498367</c:v>
                </c:pt>
                <c:pt idx="15">
                  <c:v>114.6762978367</c:v>
                </c:pt>
                <c:pt idx="16">
                  <c:v>116.72200621330001</c:v>
                </c:pt>
                <c:pt idx="17">
                  <c:v>118.4237964933</c:v>
                </c:pt>
                <c:pt idx="18">
                  <c:v>117.19000776670001</c:v>
                </c:pt>
                <c:pt idx="19">
                  <c:v>117.1905607767</c:v>
                </c:pt>
                <c:pt idx="20">
                  <c:v>113.2309142367</c:v>
                </c:pt>
                <c:pt idx="21">
                  <c:v>96.647774276700005</c:v>
                </c:pt>
                <c:pt idx="22">
                  <c:v>105.48850793</c:v>
                </c:pt>
                <c:pt idx="23">
                  <c:v>103.67207354999999</c:v>
                </c:pt>
                <c:pt idx="24">
                  <c:v>105.5127988667</c:v>
                </c:pt>
                <c:pt idx="25">
                  <c:v>111.35872838</c:v>
                </c:pt>
                <c:pt idx="26">
                  <c:v>117.05419338670001</c:v>
                </c:pt>
                <c:pt idx="27">
                  <c:v>121.5067141167</c:v>
                </c:pt>
                <c:pt idx="28">
                  <c:v>126.89412667000001</c:v>
                </c:pt>
                <c:pt idx="29">
                  <c:v>131.74343791000001</c:v>
                </c:pt>
                <c:pt idx="30">
                  <c:v>134.23996964</c:v>
                </c:pt>
                <c:pt idx="31">
                  <c:v>135.51628179670001</c:v>
                </c:pt>
              </c:numCache>
            </c:numRef>
          </c:val>
          <c:smooth val="0"/>
          <c:extLst>
            <c:ext xmlns:c16="http://schemas.microsoft.com/office/drawing/2014/chart" uri="{C3380CC4-5D6E-409C-BE32-E72D297353CC}">
              <c16:uniqueId val="{0000000B-DAB9-4966-890C-B78D79A04B75}"/>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25"/>
          <c:min val="-30"/>
        </c:scaling>
        <c:delete val="0"/>
        <c:axPos val="l"/>
        <c:majorGridlines>
          <c:spPr>
            <a:ln w="6350">
              <a:solidFill>
                <a:schemeClr val="bg1">
                  <a:lumMod val="75000"/>
                </a:schemeClr>
              </a:solidFill>
            </a:ln>
          </c:spPr>
        </c:majorGridlines>
        <c:title>
          <c:tx>
            <c:rich>
              <a:bodyPr/>
              <a:lstStyle/>
              <a:p>
                <a:pPr>
                  <a:defRPr sz="700" b="0" i="1"/>
                </a:pPr>
                <a:r>
                  <a:rPr lang="cs-CZ" sz="700" b="0" i="1"/>
                  <a:t>Contribution to the change of sales in services</a:t>
                </a:r>
              </a:p>
            </c:rich>
          </c:tx>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5"/>
      </c:valAx>
      <c:valAx>
        <c:axId val="156575232"/>
        <c:scaling>
          <c:orientation val="minMax"/>
          <c:max val="140"/>
          <c:min val="-20"/>
        </c:scaling>
        <c:delete val="0"/>
        <c:axPos val="r"/>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700" b="0" i="1" u="none" strike="noStrike" kern="1200" baseline="0">
                    <a:solidFill>
                      <a:sysClr val="windowText" lastClr="000000"/>
                    </a:solidFill>
                    <a:latin typeface="Arial" pitchFamily="34" charset="0"/>
                    <a:ea typeface="+mn-ea"/>
                    <a:cs typeface="+mn-cs"/>
                  </a:defRPr>
                </a:pPr>
                <a:r>
                  <a:rPr lang="cs-CZ" sz="700" b="0" i="1"/>
                  <a:t>Total sales (basis 2015=100), Confidence balance, Growth barriers</a:t>
                </a:r>
              </a:p>
            </c:rich>
          </c:tx>
          <c:layout>
            <c:manualLayout>
              <c:xMode val="edge"/>
              <c:yMode val="edge"/>
              <c:x val="0.9705997154062983"/>
              <c:y val="1.8415267943787516E-2"/>
            </c:manualLayout>
          </c:layout>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2.7894149438737266E-3"/>
          <c:y val="0.80683901693256121"/>
          <c:w val="0.99229354112783008"/>
          <c:h val="0.18952404020147029"/>
        </c:manualLayout>
      </c:layout>
      <c:overlay val="0"/>
      <c:spPr>
        <a:ln w="6350">
          <a:solidFill>
            <a:schemeClr val="tx1"/>
          </a:solidFill>
        </a:ln>
      </c:spPr>
      <c:txPr>
        <a:bodyPr/>
        <a:lstStyle/>
        <a:p>
          <a:pPr>
            <a:defRPr sz="72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5082101335719373"/>
          <c:h val="0.74167997750452275"/>
        </c:manualLayout>
      </c:layout>
      <c:barChart>
        <c:barDir val="col"/>
        <c:grouping val="stacked"/>
        <c:varyColors val="0"/>
        <c:ser>
          <c:idx val="0"/>
          <c:order val="1"/>
          <c:tx>
            <c:strRef>
              <c:f>'výkonnost odvětví 5a'!$E$66</c:f>
              <c:strCache>
                <c:ptCount val="1"/>
                <c:pt idx="0">
                  <c:v>Retail sale: food+beverages+tobacco (contr.)</c:v>
                </c:pt>
              </c:strCache>
            </c:strRef>
          </c:tx>
          <c:spPr>
            <a:solidFill>
              <a:srgbClr val="92D050"/>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5a'!$E$67:$E$99</c:f>
              <c:numCache>
                <c:formatCode>#\ ##0.0</c:formatCode>
                <c:ptCount val="33"/>
                <c:pt idx="0">
                  <c:v>1.7954327905527792</c:v>
                </c:pt>
                <c:pt idx="1">
                  <c:v>1.1808546019719848</c:v>
                </c:pt>
                <c:pt idx="2">
                  <c:v>1.8980626361950699</c:v>
                </c:pt>
                <c:pt idx="3">
                  <c:v>1.4512639246986698</c:v>
                </c:pt>
                <c:pt idx="4">
                  <c:v>1.7579883859404466</c:v>
                </c:pt>
                <c:pt idx="5">
                  <c:v>1.4597731408051364</c:v>
                </c:pt>
                <c:pt idx="6">
                  <c:v>0.98265625342777962</c:v>
                </c:pt>
                <c:pt idx="7">
                  <c:v>-8.3656474326988126E-2</c:v>
                </c:pt>
                <c:pt idx="8">
                  <c:v>0.72062441913635855</c:v>
                </c:pt>
                <c:pt idx="9">
                  <c:v>1.3316246689651579</c:v>
                </c:pt>
                <c:pt idx="10">
                  <c:v>1.1433353439469673</c:v>
                </c:pt>
                <c:pt idx="11">
                  <c:v>0.89977373461403121</c:v>
                </c:pt>
                <c:pt idx="12">
                  <c:v>1.5115509798562692</c:v>
                </c:pt>
                <c:pt idx="13">
                  <c:v>0.54228532610479807</c:v>
                </c:pt>
                <c:pt idx="14">
                  <c:v>0.9848486498674448</c:v>
                </c:pt>
                <c:pt idx="15">
                  <c:v>0.4620082520491276</c:v>
                </c:pt>
                <c:pt idx="16">
                  <c:v>0.67301078642127354</c:v>
                </c:pt>
                <c:pt idx="17">
                  <c:v>1.197574945306275</c:v>
                </c:pt>
                <c:pt idx="18">
                  <c:v>0.63652202044636175</c:v>
                </c:pt>
                <c:pt idx="19">
                  <c:v>0.62331153305833609</c:v>
                </c:pt>
                <c:pt idx="20">
                  <c:v>0.96372431228354527</c:v>
                </c:pt>
                <c:pt idx="21">
                  <c:v>-1.1892501751301237</c:v>
                </c:pt>
                <c:pt idx="22">
                  <c:v>-0.41434297088657085</c:v>
                </c:pt>
                <c:pt idx="23">
                  <c:v>0.2523159215096436</c:v>
                </c:pt>
                <c:pt idx="24">
                  <c:v>-0.45560759819109747</c:v>
                </c:pt>
                <c:pt idx="25">
                  <c:v>0.43675419622644712</c:v>
                </c:pt>
                <c:pt idx="26">
                  <c:v>-0.30064320672318345</c:v>
                </c:pt>
                <c:pt idx="27">
                  <c:v>-0.18775849051188609</c:v>
                </c:pt>
                <c:pt idx="28">
                  <c:v>-0.51549456327988796</c:v>
                </c:pt>
                <c:pt idx="29">
                  <c:v>-1.4600466044669602</c:v>
                </c:pt>
                <c:pt idx="30">
                  <c:v>-2.0321719074398343</c:v>
                </c:pt>
                <c:pt idx="31">
                  <c:v>-3.0175568399977601</c:v>
                </c:pt>
              </c:numCache>
            </c:numRef>
          </c:val>
          <c:extLst>
            <c:ext xmlns:c16="http://schemas.microsoft.com/office/drawing/2014/chart" uri="{C3380CC4-5D6E-409C-BE32-E72D297353CC}">
              <c16:uniqueId val="{00000000-56D8-46A5-AEEA-517C766C22D0}"/>
            </c:ext>
          </c:extLst>
        </c:ser>
        <c:ser>
          <c:idx val="1"/>
          <c:order val="2"/>
          <c:tx>
            <c:strRef>
              <c:f>'výkonnost odvětví 5a'!$F$66</c:f>
              <c:strCache>
                <c:ptCount val="1"/>
                <c:pt idx="0">
                  <c:v>Retail sale of non-food goods (contribution)</c:v>
                </c:pt>
              </c:strCache>
            </c:strRef>
          </c:tx>
          <c:spPr>
            <a:solidFill>
              <a:schemeClr val="accent1">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5a'!$F$67:$F$99</c:f>
              <c:numCache>
                <c:formatCode>#\ ##0.0</c:formatCode>
                <c:ptCount val="33"/>
                <c:pt idx="0">
                  <c:v>3.5348176440085202</c:v>
                </c:pt>
                <c:pt idx="1">
                  <c:v>4.0403927957890904</c:v>
                </c:pt>
                <c:pt idx="2">
                  <c:v>2.8491583908636735</c:v>
                </c:pt>
                <c:pt idx="3">
                  <c:v>3.7649034189564579</c:v>
                </c:pt>
                <c:pt idx="4">
                  <c:v>2.9159862756005075</c:v>
                </c:pt>
                <c:pt idx="5">
                  <c:v>2.6692840179601967</c:v>
                </c:pt>
                <c:pt idx="6">
                  <c:v>3.351758458558816</c:v>
                </c:pt>
                <c:pt idx="7">
                  <c:v>3.6403131961317063</c:v>
                </c:pt>
                <c:pt idx="8">
                  <c:v>4.2755993300345949</c:v>
                </c:pt>
                <c:pt idx="9">
                  <c:v>4.6181656067499972</c:v>
                </c:pt>
                <c:pt idx="10">
                  <c:v>4.1974804776960797</c:v>
                </c:pt>
                <c:pt idx="11">
                  <c:v>4.8260964478037458</c:v>
                </c:pt>
                <c:pt idx="12">
                  <c:v>4.1871547212750038</c:v>
                </c:pt>
                <c:pt idx="13">
                  <c:v>3.5059801620938762</c:v>
                </c:pt>
                <c:pt idx="14">
                  <c:v>2.8195561267975422</c:v>
                </c:pt>
                <c:pt idx="15">
                  <c:v>3.9521324238297022</c:v>
                </c:pt>
                <c:pt idx="16">
                  <c:v>4.4423302425101463</c:v>
                </c:pt>
                <c:pt idx="17">
                  <c:v>3.3722130230140674</c:v>
                </c:pt>
                <c:pt idx="18">
                  <c:v>3.7144530757170515</c:v>
                </c:pt>
                <c:pt idx="19">
                  <c:v>3.4471029244431421</c:v>
                </c:pt>
                <c:pt idx="20">
                  <c:v>4.0056202134999976E-2</c:v>
                </c:pt>
                <c:pt idx="21">
                  <c:v>0.37119655070725915</c:v>
                </c:pt>
                <c:pt idx="22">
                  <c:v>1.7563841743771158</c:v>
                </c:pt>
                <c:pt idx="23">
                  <c:v>-1.0635995175948736</c:v>
                </c:pt>
                <c:pt idx="24">
                  <c:v>1.0565069627889698</c:v>
                </c:pt>
                <c:pt idx="25">
                  <c:v>5.7180806581158485</c:v>
                </c:pt>
                <c:pt idx="26">
                  <c:v>3.8086850458419526</c:v>
                </c:pt>
                <c:pt idx="27">
                  <c:v>5.2451695472478281</c:v>
                </c:pt>
                <c:pt idx="28">
                  <c:v>5.4605957230962723</c:v>
                </c:pt>
                <c:pt idx="29">
                  <c:v>-1.0836129740522915</c:v>
                </c:pt>
                <c:pt idx="30">
                  <c:v>-3.8357602115722784</c:v>
                </c:pt>
                <c:pt idx="31">
                  <c:v>-5.431950974709336</c:v>
                </c:pt>
              </c:numCache>
            </c:numRef>
          </c:val>
          <c:extLst>
            <c:ext xmlns:c16="http://schemas.microsoft.com/office/drawing/2014/chart" uri="{C3380CC4-5D6E-409C-BE32-E72D297353CC}">
              <c16:uniqueId val="{00000001-56D8-46A5-AEEA-517C766C22D0}"/>
            </c:ext>
          </c:extLst>
        </c:ser>
        <c:ser>
          <c:idx val="4"/>
          <c:order val="3"/>
          <c:tx>
            <c:strRef>
              <c:f>'výkonnost odvětví 5a'!$G$66</c:f>
              <c:strCache>
                <c:ptCount val="1"/>
                <c:pt idx="0">
                  <c:v>Retail sale of fuels (contribution)</c:v>
                </c:pt>
              </c:strCache>
            </c:strRef>
          </c:tx>
          <c:spPr>
            <a:solidFill>
              <a:schemeClr val="accent6">
                <a:lumMod val="40000"/>
                <a:lumOff val="60000"/>
              </a:schemeClr>
            </a:solidFill>
            <a:ln w="15875">
              <a:noFill/>
            </a:ln>
          </c:spPr>
          <c:invertIfNegative val="0"/>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5a'!$G$67:$G$99</c:f>
              <c:numCache>
                <c:formatCode>#\ ##0.0</c:formatCode>
                <c:ptCount val="33"/>
                <c:pt idx="0">
                  <c:v>0.75373799686577747</c:v>
                </c:pt>
                <c:pt idx="1">
                  <c:v>0.58821059894444772</c:v>
                </c:pt>
                <c:pt idx="2">
                  <c:v>0.79387895299348521</c:v>
                </c:pt>
                <c:pt idx="3">
                  <c:v>0.93965372963044991</c:v>
                </c:pt>
                <c:pt idx="4">
                  <c:v>0.67343888771248017</c:v>
                </c:pt>
                <c:pt idx="5">
                  <c:v>0.7046260190280581</c:v>
                </c:pt>
                <c:pt idx="6">
                  <c:v>0.62808372581017557</c:v>
                </c:pt>
                <c:pt idx="7">
                  <c:v>0.62560948668929184</c:v>
                </c:pt>
                <c:pt idx="8">
                  <c:v>0.53739987511050791</c:v>
                </c:pt>
                <c:pt idx="9">
                  <c:v>0.77313131276884206</c:v>
                </c:pt>
                <c:pt idx="10">
                  <c:v>0.84835732550660725</c:v>
                </c:pt>
                <c:pt idx="11">
                  <c:v>0.68455496519870973</c:v>
                </c:pt>
                <c:pt idx="12">
                  <c:v>0.67556451520783956</c:v>
                </c:pt>
                <c:pt idx="13">
                  <c:v>0.59080209268699757</c:v>
                </c:pt>
                <c:pt idx="14">
                  <c:v>0.37399638976140798</c:v>
                </c:pt>
                <c:pt idx="15">
                  <c:v>0.42680859486818856</c:v>
                </c:pt>
                <c:pt idx="16">
                  <c:v>0.55628133832534898</c:v>
                </c:pt>
                <c:pt idx="17">
                  <c:v>0.2629025576100007</c:v>
                </c:pt>
                <c:pt idx="18">
                  <c:v>0.19439517076933396</c:v>
                </c:pt>
                <c:pt idx="19">
                  <c:v>5.585559339908714E-2</c:v>
                </c:pt>
                <c:pt idx="20">
                  <c:v>-0.76759105911378023</c:v>
                </c:pt>
                <c:pt idx="21">
                  <c:v>-2.0525636652551786</c:v>
                </c:pt>
                <c:pt idx="22">
                  <c:v>-4.8190565938666122E-2</c:v>
                </c:pt>
                <c:pt idx="23">
                  <c:v>-1.2030433782358603</c:v>
                </c:pt>
                <c:pt idx="24">
                  <c:v>-0.80249013033675154</c:v>
                </c:pt>
                <c:pt idx="25">
                  <c:v>1.0345884225732003</c:v>
                </c:pt>
                <c:pt idx="26">
                  <c:v>0.39020781556166589</c:v>
                </c:pt>
                <c:pt idx="27">
                  <c:v>0.99376502890666796</c:v>
                </c:pt>
                <c:pt idx="28">
                  <c:v>1.4238597783800477</c:v>
                </c:pt>
                <c:pt idx="29">
                  <c:v>-0.42444319481434362</c:v>
                </c:pt>
                <c:pt idx="30">
                  <c:v>-1.2177131082280754</c:v>
                </c:pt>
                <c:pt idx="31">
                  <c:v>-0.20736183716370787</c:v>
                </c:pt>
              </c:numCache>
            </c:numRef>
          </c:val>
          <c:extLst>
            <c:ext xmlns:c16="http://schemas.microsoft.com/office/drawing/2014/chart" uri="{C3380CC4-5D6E-409C-BE32-E72D297353CC}">
              <c16:uniqueId val="{00000002-56D8-46A5-AEEA-517C766C22D0}"/>
            </c:ext>
          </c:extLst>
        </c:ser>
        <c:dLbls>
          <c:showLegendKey val="0"/>
          <c:showVal val="0"/>
          <c:showCatName val="0"/>
          <c:showSerName val="0"/>
          <c:showPercent val="0"/>
          <c:showBubbleSize val="0"/>
        </c:dLbls>
        <c:gapWidth val="31"/>
        <c:overlap val="100"/>
        <c:axId val="156100864"/>
        <c:axId val="156573696"/>
      </c:barChart>
      <c:lineChart>
        <c:grouping val="standard"/>
        <c:varyColors val="0"/>
        <c:ser>
          <c:idx val="3"/>
          <c:order val="0"/>
          <c:tx>
            <c:strRef>
              <c:f>'výkonnost odvětví 5a'!$D$66</c:f>
              <c:strCache>
                <c:ptCount val="1"/>
                <c:pt idx="0">
                  <c:v>Total retail sales (y-o-y growth)</c:v>
                </c:pt>
              </c:strCache>
            </c:strRef>
          </c:tx>
          <c:spPr>
            <a:ln>
              <a:noFill/>
            </a:ln>
          </c:spPr>
          <c:marker>
            <c:symbol val="dash"/>
            <c:size val="7"/>
            <c:spPr>
              <a:solidFill>
                <a:schemeClr val="tx1">
                  <a:lumMod val="85000"/>
                  <a:lumOff val="15000"/>
                </a:schemeClr>
              </a:solidFill>
              <a:ln w="6350">
                <a:no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5a'!$D$67:$D$99</c:f>
              <c:numCache>
                <c:formatCode>#\ ##0.0</c:formatCode>
                <c:ptCount val="33"/>
                <c:pt idx="0">
                  <c:v>5.9629437730999939</c:v>
                </c:pt>
                <c:pt idx="1">
                  <c:v>5.5942049784000005</c:v>
                </c:pt>
                <c:pt idx="2">
                  <c:v>5.5012484798999992</c:v>
                </c:pt>
                <c:pt idx="3">
                  <c:v>6.0276233044999969</c:v>
                </c:pt>
                <c:pt idx="4">
                  <c:v>5.2867215003000041</c:v>
                </c:pt>
                <c:pt idx="5">
                  <c:v>4.7635779651999997</c:v>
                </c:pt>
                <c:pt idx="6">
                  <c:v>4.7795776032999981</c:v>
                </c:pt>
                <c:pt idx="7">
                  <c:v>3.8964899322999997</c:v>
                </c:pt>
                <c:pt idx="8">
                  <c:v>5.2310555753000045</c:v>
                </c:pt>
                <c:pt idx="9">
                  <c:v>6.4725508764000068</c:v>
                </c:pt>
                <c:pt idx="10">
                  <c:v>5.9734111239999947</c:v>
                </c:pt>
                <c:pt idx="11">
                  <c:v>6.1682850682000065</c:v>
                </c:pt>
                <c:pt idx="12">
                  <c:v>6.3413097881000056</c:v>
                </c:pt>
                <c:pt idx="13">
                  <c:v>4.6706928929999947</c:v>
                </c:pt>
                <c:pt idx="14">
                  <c:v>4.2011641704000056</c:v>
                </c:pt>
                <c:pt idx="15">
                  <c:v>4.8161828603000032</c:v>
                </c:pt>
                <c:pt idx="16">
                  <c:v>5.6537188418</c:v>
                </c:pt>
                <c:pt idx="17">
                  <c:v>4.8265636037999968</c:v>
                </c:pt>
                <c:pt idx="18">
                  <c:v>4.5452014836999979</c:v>
                </c:pt>
                <c:pt idx="19">
                  <c:v>4.1996486233999946</c:v>
                </c:pt>
                <c:pt idx="20">
                  <c:v>6.049173830000143E-2</c:v>
                </c:pt>
                <c:pt idx="21">
                  <c:v>-2.8962995720000038</c:v>
                </c:pt>
                <c:pt idx="22">
                  <c:v>1.3291675252000061</c:v>
                </c:pt>
                <c:pt idx="23">
                  <c:v>-2.0263752827000019</c:v>
                </c:pt>
                <c:pt idx="24">
                  <c:v>-0.18412703469999769</c:v>
                </c:pt>
                <c:pt idx="25">
                  <c:v>7.2801836782000038</c:v>
                </c:pt>
                <c:pt idx="26">
                  <c:v>3.9051822130000033</c:v>
                </c:pt>
                <c:pt idx="27">
                  <c:v>6.1725521780000037</c:v>
                </c:pt>
                <c:pt idx="28">
                  <c:v>6.5221106165000009</c:v>
                </c:pt>
                <c:pt idx="29">
                  <c:v>-2.9649241885999942</c:v>
                </c:pt>
                <c:pt idx="30">
                  <c:v>-7.4721003682000031</c:v>
                </c:pt>
                <c:pt idx="31">
                  <c:v>-9.1632942708999963</c:v>
                </c:pt>
              </c:numCache>
            </c:numRef>
          </c:val>
          <c:smooth val="0"/>
          <c:extLst>
            <c:ext xmlns:c16="http://schemas.microsoft.com/office/drawing/2014/chart" uri="{C3380CC4-5D6E-409C-BE32-E72D297353CC}">
              <c16:uniqueId val="{00000003-56D8-46A5-AEEA-517C766C22D0}"/>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5"/>
          <c:order val="4"/>
          <c:tx>
            <c:strRef>
              <c:f>'výkonnost odvětví 5a'!$H$66</c:f>
              <c:strCache>
                <c:ptCount val="1"/>
                <c:pt idx="0">
                  <c:v>Total retail, without motor vehicl. (2015=100)</c:v>
                </c:pt>
              </c:strCache>
            </c:strRef>
          </c:tx>
          <c:spPr>
            <a:ln w="15875">
              <a:solidFill>
                <a:schemeClr val="tx1">
                  <a:lumMod val="95000"/>
                  <a:lumOff val="5000"/>
                </a:schemeClr>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5a'!$H$67:$H$99</c:f>
              <c:numCache>
                <c:formatCode>#\ ##0.0</c:formatCode>
                <c:ptCount val="33"/>
                <c:pt idx="0">
                  <c:v>98.182102983299998</c:v>
                </c:pt>
                <c:pt idx="1">
                  <c:v>99.137603143299998</c:v>
                </c:pt>
                <c:pt idx="2">
                  <c:v>100.17900292</c:v>
                </c:pt>
                <c:pt idx="3">
                  <c:v>102.5012909667</c:v>
                </c:pt>
                <c:pt idx="4">
                  <c:v>103.1357140333</c:v>
                </c:pt>
                <c:pt idx="5">
                  <c:v>103.9351803667</c:v>
                </c:pt>
                <c:pt idx="6">
                  <c:v>105.1890714</c:v>
                </c:pt>
                <c:pt idx="7">
                  <c:v>106.6400906667</c:v>
                </c:pt>
                <c:pt idx="8">
                  <c:v>108.2930209</c:v>
                </c:pt>
                <c:pt idx="9">
                  <c:v>110.5603038667</c:v>
                </c:pt>
                <c:pt idx="10">
                  <c:v>111.7185620333</c:v>
                </c:pt>
                <c:pt idx="11">
                  <c:v>113.10479650000001</c:v>
                </c:pt>
                <c:pt idx="12">
                  <c:v>114.79604070000001</c:v>
                </c:pt>
                <c:pt idx="13">
                  <c:v>115.93791803329999</c:v>
                </c:pt>
                <c:pt idx="14">
                  <c:v>116.7740435</c:v>
                </c:pt>
                <c:pt idx="15">
                  <c:v>118.4401407667</c:v>
                </c:pt>
                <c:pt idx="16">
                  <c:v>120.8630658333</c:v>
                </c:pt>
                <c:pt idx="17">
                  <c:v>121.79026133000001</c:v>
                </c:pt>
                <c:pt idx="18">
                  <c:v>122.36688694670001</c:v>
                </c:pt>
                <c:pt idx="19">
                  <c:v>123.29103059329999</c:v>
                </c:pt>
                <c:pt idx="20">
                  <c:v>120.69862361</c:v>
                </c:pt>
                <c:pt idx="21">
                  <c:v>118.79257757000001</c:v>
                </c:pt>
                <c:pt idx="22">
                  <c:v>124.45742695</c:v>
                </c:pt>
                <c:pt idx="23">
                  <c:v>120.35418919999999</c:v>
                </c:pt>
                <c:pt idx="24">
                  <c:v>118.8138527567</c:v>
                </c:pt>
                <c:pt idx="25">
                  <c:v>127.69453672669999</c:v>
                </c:pt>
                <c:pt idx="26">
                  <c:v>130.12631178000001</c:v>
                </c:pt>
                <c:pt idx="27">
                  <c:v>128.46986089329999</c:v>
                </c:pt>
                <c:pt idx="28">
                  <c:v>126.8560939633</c:v>
                </c:pt>
                <c:pt idx="29">
                  <c:v>123.27142680670001</c:v>
                </c:pt>
                <c:pt idx="30">
                  <c:v>120.5904676733</c:v>
                </c:pt>
                <c:pt idx="31">
                  <c:v>118.1122249333</c:v>
                </c:pt>
              </c:numCache>
            </c:numRef>
          </c:val>
          <c:smooth val="0"/>
          <c:extLst>
            <c:ext xmlns:c16="http://schemas.microsoft.com/office/drawing/2014/chart" uri="{C3380CC4-5D6E-409C-BE32-E72D297353CC}">
              <c16:uniqueId val="{00000004-56D8-46A5-AEEA-517C766C22D0}"/>
            </c:ext>
          </c:extLst>
        </c:ser>
        <c:ser>
          <c:idx val="2"/>
          <c:order val="5"/>
          <c:tx>
            <c:strRef>
              <c:f>'výkonnost odvětví 5a'!$I$66</c:f>
              <c:strCache>
                <c:ptCount val="1"/>
                <c:pt idx="0">
                  <c:v>Retail sale of fuels (2015=100)</c:v>
                </c:pt>
              </c:strCache>
            </c:strRef>
          </c:tx>
          <c:spPr>
            <a:ln w="15875">
              <a:solidFill>
                <a:schemeClr val="bg2">
                  <a:lumMod val="50000"/>
                </a:schemeClr>
              </a:solid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5a'!$I$67:$I$99</c:f>
              <c:numCache>
                <c:formatCode>#\ ##0.0</c:formatCode>
                <c:ptCount val="33"/>
                <c:pt idx="0">
                  <c:v>99.513139306699998</c:v>
                </c:pt>
                <c:pt idx="1">
                  <c:v>98.324028400000003</c:v>
                </c:pt>
                <c:pt idx="2">
                  <c:v>99.345746030000001</c:v>
                </c:pt>
                <c:pt idx="3">
                  <c:v>102.8170862667</c:v>
                </c:pt>
                <c:pt idx="4">
                  <c:v>104.4080196</c:v>
                </c:pt>
                <c:pt idx="5">
                  <c:v>103.7612565667</c:v>
                </c:pt>
                <c:pt idx="6">
                  <c:v>103.8894186</c:v>
                </c:pt>
                <c:pt idx="7">
                  <c:v>108.06889986669999</c:v>
                </c:pt>
                <c:pt idx="8">
                  <c:v>108.9125654667</c:v>
                </c:pt>
                <c:pt idx="9">
                  <c:v>110.0281492667</c:v>
                </c:pt>
                <c:pt idx="10">
                  <c:v>110.2481697333</c:v>
                </c:pt>
                <c:pt idx="11">
                  <c:v>114.9077460667</c:v>
                </c:pt>
                <c:pt idx="12">
                  <c:v>115.15612109999999</c:v>
                </c:pt>
                <c:pt idx="13">
                  <c:v>115.32029416669999</c:v>
                </c:pt>
                <c:pt idx="14">
                  <c:v>113.3013183333</c:v>
                </c:pt>
                <c:pt idx="15">
                  <c:v>118.5502795</c:v>
                </c:pt>
                <c:pt idx="16">
                  <c:v>120.6878189267</c:v>
                </c:pt>
                <c:pt idx="17">
                  <c:v>117.99417203</c:v>
                </c:pt>
                <c:pt idx="18">
                  <c:v>114.4818178733</c:v>
                </c:pt>
                <c:pt idx="19">
                  <c:v>119.4088204933</c:v>
                </c:pt>
                <c:pt idx="20">
                  <c:v>113.0155670067</c:v>
                </c:pt>
                <c:pt idx="21">
                  <c:v>97.645228860000003</c:v>
                </c:pt>
                <c:pt idx="22">
                  <c:v>113.35676879330001</c:v>
                </c:pt>
                <c:pt idx="23">
                  <c:v>105.9359390533</c:v>
                </c:pt>
                <c:pt idx="24">
                  <c:v>104.1611650867</c:v>
                </c:pt>
                <c:pt idx="25">
                  <c:v>110.80961229</c:v>
                </c:pt>
                <c:pt idx="26">
                  <c:v>117.50596787000001</c:v>
                </c:pt>
                <c:pt idx="27">
                  <c:v>114.3253423733</c:v>
                </c:pt>
                <c:pt idx="28">
                  <c:v>115.9798556667</c:v>
                </c:pt>
                <c:pt idx="29">
                  <c:v>106.7775414633</c:v>
                </c:pt>
                <c:pt idx="30">
                  <c:v>106.4759888833</c:v>
                </c:pt>
                <c:pt idx="31">
                  <c:v>112.12877881999999</c:v>
                </c:pt>
              </c:numCache>
            </c:numRef>
          </c:val>
          <c:smooth val="0"/>
          <c:extLst>
            <c:ext xmlns:c16="http://schemas.microsoft.com/office/drawing/2014/chart" uri="{C3380CC4-5D6E-409C-BE32-E72D297353CC}">
              <c16:uniqueId val="{00000005-56D8-46A5-AEEA-517C766C22D0}"/>
            </c:ext>
          </c:extLst>
        </c:ser>
        <c:ser>
          <c:idx val="6"/>
          <c:order val="6"/>
          <c:tx>
            <c:strRef>
              <c:f>'výkonnost odvětví 5a'!$J$66</c:f>
              <c:strCache>
                <c:ptCount val="1"/>
                <c:pt idx="0">
                  <c:v>Sale and repair of motor vehicles (2015=100)</c:v>
                </c:pt>
              </c:strCache>
            </c:strRef>
          </c:tx>
          <c:spPr>
            <a:ln w="15875">
              <a:solidFill>
                <a:srgbClr val="984807"/>
              </a:solidFill>
              <a:prstDash val="solid"/>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5a'!$J$67:$J$99</c:f>
              <c:numCache>
                <c:formatCode>#\ ##0.0</c:formatCode>
                <c:ptCount val="33"/>
                <c:pt idx="0">
                  <c:v>95.697367796699993</c:v>
                </c:pt>
                <c:pt idx="1">
                  <c:v>98.531720309999997</c:v>
                </c:pt>
                <c:pt idx="2">
                  <c:v>101.3260702667</c:v>
                </c:pt>
                <c:pt idx="3">
                  <c:v>104.4448416333</c:v>
                </c:pt>
                <c:pt idx="4">
                  <c:v>105.1626406667</c:v>
                </c:pt>
                <c:pt idx="5">
                  <c:v>106.8068112</c:v>
                </c:pt>
                <c:pt idx="6">
                  <c:v>108.91789203330001</c:v>
                </c:pt>
                <c:pt idx="7">
                  <c:v>109.8263580333</c:v>
                </c:pt>
                <c:pt idx="8">
                  <c:v>111.08373136669999</c:v>
                </c:pt>
                <c:pt idx="9">
                  <c:v>111.3580627667</c:v>
                </c:pt>
                <c:pt idx="10">
                  <c:v>109.57350293330001</c:v>
                </c:pt>
                <c:pt idx="11">
                  <c:v>112.0391699333</c:v>
                </c:pt>
                <c:pt idx="12">
                  <c:v>110.5959055333</c:v>
                </c:pt>
                <c:pt idx="13">
                  <c:v>109.9283487667</c:v>
                </c:pt>
                <c:pt idx="14">
                  <c:v>108.9107659</c:v>
                </c:pt>
                <c:pt idx="15">
                  <c:v>106.41696349999999</c:v>
                </c:pt>
                <c:pt idx="16">
                  <c:v>109.54775435329999</c:v>
                </c:pt>
                <c:pt idx="17">
                  <c:v>110.8073262667</c:v>
                </c:pt>
                <c:pt idx="18">
                  <c:v>109.5778583733</c:v>
                </c:pt>
                <c:pt idx="19">
                  <c:v>110.06150255670001</c:v>
                </c:pt>
                <c:pt idx="20">
                  <c:v>96.457729993300006</c:v>
                </c:pt>
                <c:pt idx="21">
                  <c:v>77.460500006700002</c:v>
                </c:pt>
                <c:pt idx="22">
                  <c:v>100.4926849</c:v>
                </c:pt>
                <c:pt idx="23">
                  <c:v>102.1841167867</c:v>
                </c:pt>
                <c:pt idx="24">
                  <c:v>102.6393273067</c:v>
                </c:pt>
                <c:pt idx="25">
                  <c:v>105.1354329</c:v>
                </c:pt>
                <c:pt idx="26">
                  <c:v>99.462158689999995</c:v>
                </c:pt>
                <c:pt idx="27">
                  <c:v>97.778743680000005</c:v>
                </c:pt>
                <c:pt idx="28">
                  <c:v>98.273929570000007</c:v>
                </c:pt>
                <c:pt idx="29">
                  <c:v>96.855290976700005</c:v>
                </c:pt>
                <c:pt idx="30">
                  <c:v>96.170951396700005</c:v>
                </c:pt>
                <c:pt idx="31">
                  <c:v>96.947600030000004</c:v>
                </c:pt>
              </c:numCache>
            </c:numRef>
          </c:val>
          <c:smooth val="0"/>
          <c:extLst>
            <c:ext xmlns:c16="http://schemas.microsoft.com/office/drawing/2014/chart" uri="{C3380CC4-5D6E-409C-BE32-E72D297353CC}">
              <c16:uniqueId val="{00000006-56D8-46A5-AEEA-517C766C22D0}"/>
            </c:ext>
          </c:extLst>
        </c:ser>
        <c:ser>
          <c:idx val="7"/>
          <c:order val="7"/>
          <c:tx>
            <c:strRef>
              <c:f>'výkonnost odvětví 5a'!$K$66</c:f>
              <c:strCache>
                <c:ptCount val="1"/>
              </c:strCache>
            </c:strRef>
          </c:tx>
          <c:spPr>
            <a:ln w="3175">
              <a:noFill/>
              <a:prstDash val="sysDash"/>
            </a:ln>
          </c:spPr>
          <c:marker>
            <c:symbol val="none"/>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5a'!$K$67:$K$99</c:f>
              <c:numCache>
                <c:formatCode>General</c:formatCode>
                <c:ptCount val="33"/>
              </c:numCache>
            </c:numRef>
          </c:val>
          <c:smooth val="0"/>
          <c:extLst>
            <c:ext xmlns:c16="http://schemas.microsoft.com/office/drawing/2014/chart" uri="{C3380CC4-5D6E-409C-BE32-E72D297353CC}">
              <c16:uniqueId val="{00000007-56D8-46A5-AEEA-517C766C22D0}"/>
            </c:ext>
          </c:extLst>
        </c:ser>
        <c:ser>
          <c:idx val="8"/>
          <c:order val="8"/>
          <c:tx>
            <c:strRef>
              <c:f>'výkonnost odvětví 5a'!$L$66</c:f>
              <c:strCache>
                <c:ptCount val="1"/>
                <c:pt idx="0">
                  <c:v>Consumer confidence indicator</c:v>
                </c:pt>
              </c:strCache>
            </c:strRef>
          </c:tx>
          <c:spPr>
            <a:ln w="12700">
              <a:solidFill>
                <a:schemeClr val="bg1">
                  <a:lumMod val="50000"/>
                </a:schemeClr>
              </a:solidFill>
              <a:prstDash val="sysDot"/>
            </a:ln>
          </c:spPr>
          <c:marker>
            <c:symbol val="circle"/>
            <c:size val="5"/>
            <c:spPr>
              <a:solidFill>
                <a:srgbClr val="FFFF00"/>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5a'!$L$67:$L$99</c:f>
              <c:numCache>
                <c:formatCode>0.0</c:formatCode>
                <c:ptCount val="33"/>
                <c:pt idx="0">
                  <c:v>-1.75</c:v>
                </c:pt>
                <c:pt idx="1">
                  <c:v>0.25</c:v>
                </c:pt>
                <c:pt idx="2">
                  <c:v>-3.75</c:v>
                </c:pt>
                <c:pt idx="3">
                  <c:v>-0.25</c:v>
                </c:pt>
                <c:pt idx="4">
                  <c:v>-1.5</c:v>
                </c:pt>
                <c:pt idx="5">
                  <c:v>0</c:v>
                </c:pt>
                <c:pt idx="6">
                  <c:v>-2.25</c:v>
                </c:pt>
                <c:pt idx="7">
                  <c:v>0.75</c:v>
                </c:pt>
                <c:pt idx="8">
                  <c:v>1.25</c:v>
                </c:pt>
                <c:pt idx="9">
                  <c:v>-0.5</c:v>
                </c:pt>
                <c:pt idx="10">
                  <c:v>0.5</c:v>
                </c:pt>
                <c:pt idx="11">
                  <c:v>5</c:v>
                </c:pt>
                <c:pt idx="12">
                  <c:v>3.75</c:v>
                </c:pt>
                <c:pt idx="13">
                  <c:v>6</c:v>
                </c:pt>
                <c:pt idx="14">
                  <c:v>4</c:v>
                </c:pt>
                <c:pt idx="15">
                  <c:v>1</c:v>
                </c:pt>
                <c:pt idx="16">
                  <c:v>3.25</c:v>
                </c:pt>
                <c:pt idx="17">
                  <c:v>0</c:v>
                </c:pt>
                <c:pt idx="18">
                  <c:v>2.25</c:v>
                </c:pt>
                <c:pt idx="19">
                  <c:v>-0.5</c:v>
                </c:pt>
                <c:pt idx="20">
                  <c:v>-1.75</c:v>
                </c:pt>
                <c:pt idx="21">
                  <c:v>-9.25</c:v>
                </c:pt>
                <c:pt idx="22">
                  <c:v>-8.75</c:v>
                </c:pt>
                <c:pt idx="23">
                  <c:v>-18.5</c:v>
                </c:pt>
                <c:pt idx="24">
                  <c:v>-16.25</c:v>
                </c:pt>
                <c:pt idx="25">
                  <c:v>-6.75</c:v>
                </c:pt>
                <c:pt idx="26">
                  <c:v>-4.5</c:v>
                </c:pt>
                <c:pt idx="27">
                  <c:v>-17</c:v>
                </c:pt>
                <c:pt idx="28">
                  <c:v>-16.5</c:v>
                </c:pt>
                <c:pt idx="29">
                  <c:v>-31</c:v>
                </c:pt>
                <c:pt idx="30">
                  <c:v>-29.8</c:v>
                </c:pt>
                <c:pt idx="31">
                  <c:v>-30.8</c:v>
                </c:pt>
                <c:pt idx="32">
                  <c:v>-21</c:v>
                </c:pt>
              </c:numCache>
            </c:numRef>
          </c:val>
          <c:smooth val="0"/>
          <c:extLst>
            <c:ext xmlns:c16="http://schemas.microsoft.com/office/drawing/2014/chart" uri="{C3380CC4-5D6E-409C-BE32-E72D297353CC}">
              <c16:uniqueId val="{00000008-56D8-46A5-AEEA-517C766C22D0}"/>
            </c:ext>
          </c:extLst>
        </c:ser>
        <c:ser>
          <c:idx val="9"/>
          <c:order val="9"/>
          <c:tx>
            <c:strRef>
              <c:f>'výkonnost odvětví 5a'!$M$66</c:f>
              <c:strCache>
                <c:ptCount val="1"/>
                <c:pt idx="0">
                  <c:v>Consumer indicator in trade</c:v>
                </c:pt>
              </c:strCache>
            </c:strRef>
          </c:tx>
          <c:spPr>
            <a:ln w="6350">
              <a:solidFill>
                <a:schemeClr val="bg1">
                  <a:lumMod val="50000"/>
                </a:schemeClr>
              </a:solidFill>
              <a:prstDash val="sysDash"/>
            </a:ln>
          </c:spPr>
          <c:marker>
            <c:symbol val="triangle"/>
            <c:size val="5"/>
            <c:spPr>
              <a:solidFill>
                <a:schemeClr val="accent6">
                  <a:lumMod val="40000"/>
                  <a:lumOff val="60000"/>
                </a:schemeClr>
              </a:solidFill>
              <a:ln>
                <a:solidFill>
                  <a:schemeClr val="bg1">
                    <a:lumMod val="50000"/>
                  </a:schemeClr>
                </a:solidFill>
              </a:ln>
            </c:spPr>
          </c:marker>
          <c:cat>
            <c:multiLvlStrRef>
              <c:f>'výkonnost odvětví 5a'!$B$67:$C$99</c:f>
              <c:multiLvlStrCache>
                <c:ptCount val="33"/>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lvl>
                <c:lvl>
                  <c:pt idx="0">
                    <c:v>2015</c:v>
                  </c:pt>
                  <c:pt idx="4">
                    <c:v>2016</c:v>
                  </c:pt>
                  <c:pt idx="8">
                    <c:v>2017</c:v>
                  </c:pt>
                  <c:pt idx="12">
                    <c:v>2018</c:v>
                  </c:pt>
                  <c:pt idx="16">
                    <c:v>2019</c:v>
                  </c:pt>
                  <c:pt idx="20">
                    <c:v>2020</c:v>
                  </c:pt>
                  <c:pt idx="24">
                    <c:v>2021</c:v>
                  </c:pt>
                  <c:pt idx="28">
                    <c:v>2022</c:v>
                  </c:pt>
                  <c:pt idx="32">
                    <c:v>2023</c:v>
                  </c:pt>
                </c:lvl>
              </c:multiLvlStrCache>
            </c:multiLvlStrRef>
          </c:cat>
          <c:val>
            <c:numRef>
              <c:f>'výkonnost odvětví 5a'!$M$67:$M$99</c:f>
              <c:numCache>
                <c:formatCode>0.0</c:formatCode>
                <c:ptCount val="33"/>
                <c:pt idx="0">
                  <c:v>20</c:v>
                </c:pt>
                <c:pt idx="1">
                  <c:v>20.7</c:v>
                </c:pt>
                <c:pt idx="2">
                  <c:v>17.600000000000001</c:v>
                </c:pt>
                <c:pt idx="3">
                  <c:v>19.7</c:v>
                </c:pt>
                <c:pt idx="4">
                  <c:v>22.7</c:v>
                </c:pt>
                <c:pt idx="5">
                  <c:v>17.7</c:v>
                </c:pt>
                <c:pt idx="6">
                  <c:v>17.7</c:v>
                </c:pt>
                <c:pt idx="7">
                  <c:v>21</c:v>
                </c:pt>
                <c:pt idx="8">
                  <c:v>24.3</c:v>
                </c:pt>
                <c:pt idx="9">
                  <c:v>17.3</c:v>
                </c:pt>
                <c:pt idx="10">
                  <c:v>22.7</c:v>
                </c:pt>
                <c:pt idx="11">
                  <c:v>21.7</c:v>
                </c:pt>
                <c:pt idx="12">
                  <c:v>23.3</c:v>
                </c:pt>
                <c:pt idx="13">
                  <c:v>17.3</c:v>
                </c:pt>
                <c:pt idx="14">
                  <c:v>15.6</c:v>
                </c:pt>
                <c:pt idx="15">
                  <c:v>15</c:v>
                </c:pt>
                <c:pt idx="16">
                  <c:v>12.7</c:v>
                </c:pt>
                <c:pt idx="17">
                  <c:v>12.3</c:v>
                </c:pt>
                <c:pt idx="18">
                  <c:v>14.7</c:v>
                </c:pt>
                <c:pt idx="19">
                  <c:v>14.7</c:v>
                </c:pt>
                <c:pt idx="20">
                  <c:v>18.7</c:v>
                </c:pt>
                <c:pt idx="21">
                  <c:v>-1</c:v>
                </c:pt>
                <c:pt idx="22">
                  <c:v>12</c:v>
                </c:pt>
                <c:pt idx="23">
                  <c:v>7</c:v>
                </c:pt>
                <c:pt idx="24">
                  <c:v>1.3</c:v>
                </c:pt>
                <c:pt idx="25">
                  <c:v>15</c:v>
                </c:pt>
                <c:pt idx="26">
                  <c:v>18.3</c:v>
                </c:pt>
                <c:pt idx="27">
                  <c:v>21.3</c:v>
                </c:pt>
                <c:pt idx="28">
                  <c:v>19.7</c:v>
                </c:pt>
                <c:pt idx="29">
                  <c:v>19.600000000000001</c:v>
                </c:pt>
                <c:pt idx="30">
                  <c:v>10.3</c:v>
                </c:pt>
                <c:pt idx="31">
                  <c:v>14.7</c:v>
                </c:pt>
                <c:pt idx="32">
                  <c:v>9.3000000000000007</c:v>
                </c:pt>
              </c:numCache>
            </c:numRef>
          </c:val>
          <c:smooth val="0"/>
          <c:extLst>
            <c:ext xmlns:c16="http://schemas.microsoft.com/office/drawing/2014/chart" uri="{C3380CC4-5D6E-409C-BE32-E72D297353CC}">
              <c16:uniqueId val="{00000009-56D8-46A5-AEEA-517C766C22D0}"/>
            </c:ext>
          </c:extLst>
        </c:ser>
        <c:dLbls>
          <c:showLegendKey val="0"/>
          <c:showVal val="0"/>
          <c:showCatName val="0"/>
          <c:showSerName val="0"/>
          <c:showPercent val="0"/>
          <c:showBubbleSize val="0"/>
        </c:dLbls>
        <c:marker val="1"/>
        <c:smooth val="0"/>
        <c:axId val="1875570767"/>
        <c:axId val="1875563695"/>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2"/>
          <c:min val="-10"/>
        </c:scaling>
        <c:delete val="0"/>
        <c:axPos val="l"/>
        <c:majorGridlines>
          <c:spPr>
            <a:ln w="6350">
              <a:solidFill>
                <a:schemeClr val="bg1">
                  <a:lumMod val="75000"/>
                </a:schemeClr>
              </a:solidFill>
            </a:ln>
          </c:spPr>
        </c:majorGridlines>
        <c:title>
          <c:tx>
            <c:rich>
              <a:bodyPr/>
              <a:lstStyle/>
              <a:p>
                <a:pPr>
                  <a:defRPr sz="750" b="0" i="1"/>
                </a:pPr>
                <a:r>
                  <a:rPr lang="cs-CZ" sz="750" b="0" i="1"/>
                  <a:t>Sales (contribution to the change)</a:t>
                </a:r>
              </a:p>
            </c:rich>
          </c:tx>
          <c:layout>
            <c:manualLayout>
              <c:xMode val="edge"/>
              <c:yMode val="edge"/>
              <c:x val="2.6087065478328942E-3"/>
              <c:y val="0.18186950815930616"/>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2"/>
      </c:valAx>
      <c:valAx>
        <c:axId val="1875563695"/>
        <c:scaling>
          <c:orientation val="minMax"/>
          <c:max val="140"/>
          <c:min val="-40"/>
        </c:scaling>
        <c:delete val="0"/>
        <c:axPos val="r"/>
        <c:title>
          <c:tx>
            <c:rich>
              <a:bodyPr/>
              <a:lstStyle/>
              <a:p>
                <a:pPr>
                  <a:defRPr sz="750" b="0" i="1"/>
                </a:pPr>
                <a:r>
                  <a:rPr lang="cs-CZ" sz="750" b="0" i="1">
                    <a:latin typeface="Arial" panose="020B0604020202020204" pitchFamily="34" charset="0"/>
                    <a:cs typeface="Arial" panose="020B0604020202020204" pitchFamily="34" charset="0"/>
                  </a:rPr>
                  <a:t>Sales (year 2015=100), Consumer and trade confidence</a:t>
                </a:r>
              </a:p>
            </c:rich>
          </c:tx>
          <c:overlay val="0"/>
        </c:title>
        <c:numFmt formatCode="#,##0" sourceLinked="0"/>
        <c:majorTickMark val="out"/>
        <c:minorTickMark val="none"/>
        <c:tickLblPos val="nextTo"/>
        <c:txPr>
          <a:bodyPr/>
          <a:lstStyle/>
          <a:p>
            <a:pPr>
              <a:defRPr sz="800"/>
            </a:pPr>
            <a:endParaRPr lang="cs-CZ"/>
          </a:p>
        </c:txPr>
        <c:crossAx val="1875570767"/>
        <c:crosses val="max"/>
        <c:crossBetween val="between"/>
        <c:majorUnit val="10"/>
      </c:valAx>
      <c:catAx>
        <c:axId val="1875570767"/>
        <c:scaling>
          <c:orientation val="minMax"/>
        </c:scaling>
        <c:delete val="1"/>
        <c:axPos val="b"/>
        <c:numFmt formatCode="General" sourceLinked="1"/>
        <c:majorTickMark val="out"/>
        <c:minorTickMark val="none"/>
        <c:tickLblPos val="nextTo"/>
        <c:crossAx val="1875563695"/>
        <c:crosses val="autoZero"/>
        <c:auto val="1"/>
        <c:lblAlgn val="ctr"/>
        <c:lblOffset val="100"/>
        <c:noMultiLvlLbl val="0"/>
      </c:catAx>
      <c:spPr>
        <a:ln>
          <a:solidFill>
            <a:schemeClr val="tx1"/>
          </a:solidFill>
        </a:ln>
      </c:spPr>
    </c:plotArea>
    <c:legend>
      <c:legendPos val="r"/>
      <c:layout>
        <c:manualLayout>
          <c:xMode val="edge"/>
          <c:yMode val="edge"/>
          <c:x val="5.2942471613248209E-3"/>
          <c:y val="0.84063369354794437"/>
          <c:w val="0.98954490392648287"/>
          <c:h val="0.1556565362354709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3069916774474014E-2"/>
          <c:y val="4.15424531457926E-2"/>
          <c:w val="0.88202003907252513"/>
          <c:h val="0.80321247760439507"/>
        </c:manualLayout>
      </c:layout>
      <c:barChart>
        <c:barDir val="col"/>
        <c:grouping val="clustered"/>
        <c:varyColors val="0"/>
        <c:ser>
          <c:idx val="2"/>
          <c:order val="2"/>
          <c:tx>
            <c:strRef>
              <c:f>'Vnější vztahy_a'!$D$4</c:f>
              <c:strCache>
                <c:ptCount val="1"/>
                <c:pt idx="0">
                  <c:v>Balance</c:v>
                </c:pt>
              </c:strCache>
            </c:strRef>
          </c:tx>
          <c:spPr>
            <a:solidFill>
              <a:schemeClr val="bg1">
                <a:lumMod val="50000"/>
              </a:schemeClr>
            </a:solidFill>
            <a:ln>
              <a:noFill/>
            </a:ln>
            <a:effectLst/>
          </c:spPr>
          <c:invertIfNegative val="0"/>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vztahy_a'!$D$7:$D$21</c:f>
              <c:numCache>
                <c:formatCode>General</c:formatCode>
                <c:ptCount val="15"/>
                <c:pt idx="0">
                  <c:v>-44.332000000000001</c:v>
                </c:pt>
                <c:pt idx="1">
                  <c:v>31.067</c:v>
                </c:pt>
                <c:pt idx="2">
                  <c:v>-20.579000000000001</c:v>
                </c:pt>
                <c:pt idx="3">
                  <c:v>11.977</c:v>
                </c:pt>
                <c:pt idx="4">
                  <c:v>64.41</c:v>
                </c:pt>
                <c:pt idx="5">
                  <c:v>106.518</c:v>
                </c:pt>
                <c:pt idx="6">
                  <c:v>146.00899999999999</c:v>
                </c:pt>
                <c:pt idx="7">
                  <c:v>130.97677807700001</c:v>
                </c:pt>
                <c:pt idx="8">
                  <c:v>163.65449183600001</c:v>
                </c:pt>
                <c:pt idx="9">
                  <c:v>163.466347926</c:v>
                </c:pt>
                <c:pt idx="10">
                  <c:v>98.465823833000002</c:v>
                </c:pt>
                <c:pt idx="11">
                  <c:v>145.69471741100003</c:v>
                </c:pt>
                <c:pt idx="12">
                  <c:v>179.640176981</c:v>
                </c:pt>
                <c:pt idx="13">
                  <c:v>-9.2046428370000104</c:v>
                </c:pt>
                <c:pt idx="14">
                  <c:v>-199.722403542</c:v>
                </c:pt>
              </c:numCache>
            </c:numRef>
          </c:val>
          <c:extLst>
            <c:ext xmlns:c16="http://schemas.microsoft.com/office/drawing/2014/chart" uri="{C3380CC4-5D6E-409C-BE32-E72D297353CC}">
              <c16:uniqueId val="{00000000-9B6A-4F7D-941C-689E6789B541}"/>
            </c:ext>
          </c:extLst>
        </c:ser>
        <c:dLbls>
          <c:showLegendKey val="0"/>
          <c:showVal val="0"/>
          <c:showCatName val="0"/>
          <c:showSerName val="0"/>
          <c:showPercent val="0"/>
          <c:showBubbleSize val="0"/>
        </c:dLbls>
        <c:gapWidth val="100"/>
        <c:axId val="1171842912"/>
        <c:axId val="1599917024"/>
      </c:barChart>
      <c:lineChart>
        <c:grouping val="standard"/>
        <c:varyColors val="0"/>
        <c:ser>
          <c:idx val="0"/>
          <c:order val="0"/>
          <c:tx>
            <c:strRef>
              <c:f>'Vnější vztahy_a'!$B$4</c:f>
              <c:strCache>
                <c:ptCount val="1"/>
                <c:pt idx="0">
                  <c:v>Export</c:v>
                </c:pt>
              </c:strCache>
            </c:strRef>
          </c:tx>
          <c:spPr>
            <a:ln w="28575" cap="rnd">
              <a:noFill/>
              <a:round/>
            </a:ln>
            <a:effectLst/>
          </c:spPr>
          <c:marker>
            <c:symbol val="dash"/>
            <c:size val="10"/>
            <c:spPr>
              <a:solidFill>
                <a:srgbClr val="0070C0"/>
              </a:solidFill>
              <a:ln w="9525">
                <a:solidFill>
                  <a:srgbClr val="0070C0"/>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vztahy_a'!$B$7:$B$21</c:f>
              <c:numCache>
                <c:formatCode>General</c:formatCode>
                <c:ptCount val="15"/>
                <c:pt idx="0">
                  <c:v>-1.4825262579305303</c:v>
                </c:pt>
                <c:pt idx="1">
                  <c:v>-10.81189551944207</c:v>
                </c:pt>
                <c:pt idx="2">
                  <c:v>14.827022335007905</c:v>
                </c:pt>
                <c:pt idx="3">
                  <c:v>10.112037607700053</c:v>
                </c:pt>
                <c:pt idx="4">
                  <c:v>6.0251090942966021</c:v>
                </c:pt>
                <c:pt idx="5">
                  <c:v>2.2153513610284965</c:v>
                </c:pt>
                <c:pt idx="6">
                  <c:v>13.027208809035864</c:v>
                </c:pt>
                <c:pt idx="7">
                  <c:v>3.612768163576892</c:v>
                </c:pt>
                <c:pt idx="8">
                  <c:v>1.1074296541764621</c:v>
                </c:pt>
                <c:pt idx="9">
                  <c:v>6.4802705295808352</c:v>
                </c:pt>
                <c:pt idx="10">
                  <c:v>2.9418083571864679</c:v>
                </c:pt>
                <c:pt idx="11">
                  <c:v>2.0884439685547518</c:v>
                </c:pt>
                <c:pt idx="12">
                  <c:v>-7.0747075448299643</c:v>
                </c:pt>
                <c:pt idx="13">
                  <c:v>13.140723420675538</c:v>
                </c:pt>
                <c:pt idx="14">
                  <c:v>13.717728059838299</c:v>
                </c:pt>
              </c:numCache>
            </c:numRef>
          </c:val>
          <c:smooth val="0"/>
          <c:extLst>
            <c:ext xmlns:c16="http://schemas.microsoft.com/office/drawing/2014/chart" uri="{C3380CC4-5D6E-409C-BE32-E72D297353CC}">
              <c16:uniqueId val="{00000001-9B6A-4F7D-941C-689E6789B541}"/>
            </c:ext>
          </c:extLst>
        </c:ser>
        <c:ser>
          <c:idx val="1"/>
          <c:order val="1"/>
          <c:tx>
            <c:strRef>
              <c:f>'Vnější vztahy_a'!$C$4</c:f>
              <c:strCache>
                <c:ptCount val="1"/>
                <c:pt idx="0">
                  <c:v>Import</c:v>
                </c:pt>
              </c:strCache>
            </c:strRef>
          </c:tx>
          <c:spPr>
            <a:ln w="28575" cap="rnd">
              <a:noFill/>
              <a:round/>
            </a:ln>
            <a:effectLst/>
          </c:spPr>
          <c:marker>
            <c:symbol val="dash"/>
            <c:size val="10"/>
            <c:spPr>
              <a:solidFill>
                <a:srgbClr val="BD1B21"/>
              </a:solidFill>
              <a:ln w="9525">
                <a:solidFill>
                  <a:srgbClr val="BD1B21"/>
                </a:solidFill>
              </a:ln>
              <a:effectLst/>
            </c:spPr>
          </c:marker>
          <c:cat>
            <c:strRef>
              <c:f>'Vnější vztahy_a'!$A$7:$A$21</c:f>
              <c:strCache>
                <c:ptCount val="15"/>
                <c:pt idx="0">
                  <c:v>2008</c:v>
                </c:pt>
                <c:pt idx="1">
                  <c:v>2009</c:v>
                </c:pt>
                <c:pt idx="2">
                  <c:v>2010</c:v>
                </c:pt>
                <c:pt idx="3">
                  <c:v>2011</c:v>
                </c:pt>
                <c:pt idx="4">
                  <c:v>2012</c:v>
                </c:pt>
                <c:pt idx="5">
                  <c:v>2013</c:v>
                </c:pt>
                <c:pt idx="6">
                  <c:v>2014</c:v>
                </c:pt>
                <c:pt idx="7">
                  <c:v> 2015</c:v>
                </c:pt>
                <c:pt idx="8">
                  <c:v>2016</c:v>
                </c:pt>
                <c:pt idx="9">
                  <c:v>2017</c:v>
                </c:pt>
                <c:pt idx="10">
                  <c:v>2018</c:v>
                </c:pt>
                <c:pt idx="11">
                  <c:v>2019</c:v>
                </c:pt>
                <c:pt idx="12">
                  <c:v>2020</c:v>
                </c:pt>
                <c:pt idx="13">
                  <c:v>2021</c:v>
                </c:pt>
                <c:pt idx="14">
                  <c:v>2022</c:v>
                </c:pt>
              </c:strCache>
            </c:strRef>
          </c:cat>
          <c:val>
            <c:numRef>
              <c:f>'Vnější vztahy_a'!$C$7:$C$21</c:f>
              <c:numCache>
                <c:formatCode>General</c:formatCode>
                <c:ptCount val="15"/>
                <c:pt idx="0">
                  <c:v>-0.48030336572037585</c:v>
                </c:pt>
                <c:pt idx="1">
                  <c:v>-13.849775964188691</c:v>
                </c:pt>
                <c:pt idx="2">
                  <c:v>17.636423931022911</c:v>
                </c:pt>
                <c:pt idx="3">
                  <c:v>8.6415161627225725</c:v>
                </c:pt>
                <c:pt idx="4">
                  <c:v>4.0042767307394715</c:v>
                </c:pt>
                <c:pt idx="5">
                  <c:v>0.68681070942259659</c:v>
                </c:pt>
                <c:pt idx="6">
                  <c:v>12.071376353644107</c:v>
                </c:pt>
                <c:pt idx="7">
                  <c:v>4.2889556626306211</c:v>
                </c:pt>
                <c:pt idx="8">
                  <c:v>0.11038963287046219</c:v>
                </c:pt>
                <c:pt idx="9">
                  <c:v>6.8245079237178157</c:v>
                </c:pt>
                <c:pt idx="10">
                  <c:v>5.0260247733996914</c:v>
                </c:pt>
                <c:pt idx="11">
                  <c:v>0.80432261722676923</c:v>
                </c:pt>
                <c:pt idx="12">
                  <c:v>-8.3226511448622933</c:v>
                </c:pt>
                <c:pt idx="13">
                  <c:v>19.675778990593603</c:v>
                </c:pt>
                <c:pt idx="14">
                  <c:v>18.582160176921988</c:v>
                </c:pt>
              </c:numCache>
            </c:numRef>
          </c:val>
          <c:smooth val="0"/>
          <c:extLst>
            <c:ext xmlns:c16="http://schemas.microsoft.com/office/drawing/2014/chart" uri="{C3380CC4-5D6E-409C-BE32-E72D297353CC}">
              <c16:uniqueId val="{00000002-9B6A-4F7D-941C-689E6789B541}"/>
            </c:ext>
          </c:extLst>
        </c:ser>
        <c:dLbls>
          <c:showLegendKey val="0"/>
          <c:showVal val="0"/>
          <c:showCatName val="0"/>
          <c:showSerName val="0"/>
          <c:showPercent val="0"/>
          <c:showBubbleSize val="0"/>
        </c:dLbls>
        <c:marker val="1"/>
        <c:smooth val="0"/>
        <c:axId val="1603910352"/>
        <c:axId val="1603910768"/>
      </c:lineChart>
      <c:catAx>
        <c:axId val="1603910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768"/>
        <c:crosses val="autoZero"/>
        <c:auto val="1"/>
        <c:lblAlgn val="ctr"/>
        <c:lblOffset val="100"/>
        <c:noMultiLvlLbl val="0"/>
      </c:catAx>
      <c:valAx>
        <c:axId val="1603910768"/>
        <c:scaling>
          <c:orientation val="minMax"/>
          <c:max val="20"/>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603910352"/>
        <c:crosses val="autoZero"/>
        <c:crossBetween val="between"/>
      </c:valAx>
      <c:valAx>
        <c:axId val="1599917024"/>
        <c:scaling>
          <c:orientation val="minMax"/>
          <c:min val="-2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crossAx val="1171842912"/>
        <c:crosses val="max"/>
        <c:crossBetween val="between"/>
      </c:valAx>
      <c:catAx>
        <c:axId val="1171842912"/>
        <c:scaling>
          <c:orientation val="minMax"/>
        </c:scaling>
        <c:delete val="1"/>
        <c:axPos val="b"/>
        <c:numFmt formatCode="General" sourceLinked="1"/>
        <c:majorTickMark val="out"/>
        <c:minorTickMark val="none"/>
        <c:tickLblPos val="nextTo"/>
        <c:crossAx val="1599917024"/>
        <c:crosses val="autoZero"/>
        <c:auto val="1"/>
        <c:lblAlgn val="ctr"/>
        <c:lblOffset val="100"/>
        <c:noMultiLvlLbl val="0"/>
      </c:catAx>
      <c:spPr>
        <a:noFill/>
        <a:ln>
          <a:noFill/>
        </a:ln>
        <a:effectLst/>
      </c:spPr>
    </c:plotArea>
    <c:legend>
      <c:legendPos val="b"/>
      <c:layout>
        <c:manualLayout>
          <c:xMode val="edge"/>
          <c:yMode val="edge"/>
          <c:x val="6.7324160543034778E-2"/>
          <c:y val="0.92127482102101654"/>
          <c:w val="0.85470865828300857"/>
          <c:h val="5.6065659081278391E-2"/>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panose="020B0604020202020204" pitchFamily="34" charset="0"/>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800" baseline="0">
          <a:solidFill>
            <a:sysClr val="windowText" lastClr="000000"/>
          </a:solidFill>
          <a:latin typeface="Arial" panose="020B060402020202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2.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3.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Q_analyza_Q12018</Template>
  <TotalTime>10</TotalTime>
  <Pages>52</Pages>
  <Words>22066</Words>
  <Characters>130192</Characters>
  <Application>Microsoft Office Word</Application>
  <DocSecurity>0</DocSecurity>
  <Lines>1084</Lines>
  <Paragraphs>303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3</cp:revision>
  <cp:lastPrinted>2019-04-08T10:52:00Z</cp:lastPrinted>
  <dcterms:created xsi:type="dcterms:W3CDTF">2023-04-20T07:09:00Z</dcterms:created>
  <dcterms:modified xsi:type="dcterms:W3CDTF">2023-04-20T07:10:00Z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