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12.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3.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drawings/drawing2.xml" ContentType="application/vnd.openxmlformats-officedocument.drawingml.chartshapes+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4.xml" ContentType="application/vnd.openxmlformats-officedocument.themeOverride+xml"/>
  <Override PartName="/word/charts/chart25.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5.xml" ContentType="application/vnd.openxmlformats-officedocument.themeOverride+xml"/>
  <Override PartName="/word/charts/chart26.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6.xml" ContentType="application/vnd.openxmlformats-officedocument.themeOverride+xml"/>
  <Override PartName="/word/drawings/drawing3.xml" ContentType="application/vnd.openxmlformats-officedocument.drawingml.chartshapes+xml"/>
  <Override PartName="/word/charts/chart27.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4.xml" ContentType="application/vnd.openxmlformats-officedocument.drawingml.chartshapes+xml"/>
  <Override PartName="/word/charts/chart28.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5.xml" ContentType="application/vnd.openxmlformats-officedocument.drawingml.chartshapes+xml"/>
  <Override PartName="/word/charts/chart29.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6.xml" ContentType="application/vnd.openxmlformats-officedocument.drawingml.chartshapes+xml"/>
  <Override PartName="/word/charts/chart30.xml" ContentType="application/vnd.openxmlformats-officedocument.drawingml.chart+xml"/>
  <Override PartName="/word/charts/chart31.xml" ContentType="application/vnd.openxmlformats-officedocument.drawingml.chart+xml"/>
  <Override PartName="/word/theme/themeOverride7.xml" ContentType="application/vnd.openxmlformats-officedocument.themeOverride+xml"/>
  <Override PartName="/word/charts/chart32.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33.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34.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35.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8.xml" ContentType="application/vnd.openxmlformats-officedocument.themeOverride+xml"/>
  <Override PartName="/word/charts/chart45.xml" ContentType="application/vnd.openxmlformats-officedocument.drawingml.chart+xml"/>
  <Override PartName="/word/charts/chart46.xml" ContentType="application/vnd.openxmlformats-officedocument.drawingml.chart+xml"/>
  <Override PartName="/word/theme/themeOverride9.xml" ContentType="application/vnd.openxmlformats-officedocument.themeOverride+xml"/>
  <Override PartName="/word/charts/chart47.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0.xml" ContentType="application/vnd.openxmlformats-officedocument.themeOverride+xml"/>
  <Override PartName="/word/charts/chart48.xml" ContentType="application/vnd.openxmlformats-officedocument.drawingml.chart+xml"/>
  <Override PartName="/word/theme/themeOverride11.xml" ContentType="application/vnd.openxmlformats-officedocument.themeOverride+xml"/>
  <Override PartName="/word/charts/chart49.xml" ContentType="application/vnd.openxmlformats-officedocument.drawingml.chart+xml"/>
  <Override PartName="/word/charts/chart50.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51.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2.xml" ContentType="application/vnd.openxmlformats-officedocument.themeOverride+xml"/>
  <Override PartName="/word/charts/chart52.xml" ContentType="application/vnd.openxmlformats-officedocument.drawingml.chart+xml"/>
  <Override PartName="/word/theme/themeOverride13.xml" ContentType="application/vnd.openxmlformats-officedocument.themeOverride+xml"/>
  <Override PartName="/word/charts/chart53.xml" ContentType="application/vnd.openxmlformats-officedocument.drawingml.chart+xml"/>
  <Override PartName="/word/theme/themeOverride14.xml" ContentType="application/vnd.openxmlformats-officedocument.themeOverride+xml"/>
  <Override PartName="/word/charts/chart54.xml" ContentType="application/vnd.openxmlformats-officedocument.drawingml.chart+xml"/>
  <Override PartName="/word/theme/themeOverride15.xml" ContentType="application/vnd.openxmlformats-officedocument.themeOverride+xml"/>
  <Override PartName="/word/charts/chart55.xml" ContentType="application/vnd.openxmlformats-officedocument.drawingml.chart+xml"/>
  <Override PartName="/word/charts/chart56.xml" ContentType="application/vnd.openxmlformats-officedocument.drawingml.chart+xml"/>
  <Override PartName="/word/theme/themeOverride16.xml" ContentType="application/vnd.openxmlformats-officedocument.themeOverride+xml"/>
  <Override PartName="/word/charts/chart57.xml" ContentType="application/vnd.openxmlformats-officedocument.drawingml.chart+xml"/>
  <Override PartName="/word/drawings/drawing7.xml" ContentType="application/vnd.openxmlformats-officedocument.drawingml.chartshapes+xml"/>
  <Override PartName="/word/charts/chart58.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59.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60.xml" ContentType="application/vnd.openxmlformats-officedocument.drawingml.chart+xml"/>
  <Override PartName="/word/charts/chart61.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62.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63.xml" ContentType="application/vnd.openxmlformats-officedocument.drawingml.chart+xml"/>
  <Override PartName="/word/charts/style27.xml" ContentType="application/vnd.ms-office.chartstyle+xml"/>
  <Override PartName="/word/charts/colors27.xml" ContentType="application/vnd.ms-office.chartcolorstyle+xml"/>
  <Override PartName="/word/drawings/drawing8.xml" ContentType="application/vnd.openxmlformats-officedocument.drawingml.chartshapes+xml"/>
  <Override PartName="/word/charts/chart64.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17.xml" ContentType="application/vnd.openxmlformats-officedocument.themeOverride+xml"/>
  <Override PartName="/word/charts/chart65.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69.xml" ContentType="application/vnd.openxmlformats-officedocument.drawingml.chart+xml"/>
  <Override PartName="/word/charts/chart70.xml" ContentType="application/vnd.openxmlformats-officedocument.drawingml.chart+xml"/>
  <Override PartName="/word/charts/style31.xml" ContentType="application/vnd.ms-office.chartstyle+xml"/>
  <Override PartName="/word/charts/colors31.xml" ContentType="application/vnd.ms-office.chartcolorstyle+xml"/>
  <Override PartName="/word/drawings/drawing9.xml" ContentType="application/vnd.openxmlformats-officedocument.drawingml.chartshapes+xml"/>
  <Override PartName="/word/charts/chart71.xml" ContentType="application/vnd.openxmlformats-officedocument.drawingml.chart+xml"/>
  <Override PartName="/word/charts/style32.xml" ContentType="application/vnd.ms-office.chartstyle+xml"/>
  <Override PartName="/word/charts/colors32.xml" ContentType="application/vnd.ms-office.chartcolorstyle+xml"/>
  <Override PartName="/word/drawings/drawing10.xml" ContentType="application/vnd.openxmlformats-officedocument.drawingml.chartshapes+xml"/>
  <Override PartName="/word/charts/chart72.xml" ContentType="application/vnd.openxmlformats-officedocument.drawingml.chart+xml"/>
  <Override PartName="/word/charts/chart73.xml" ContentType="application/vnd.openxmlformats-officedocument.drawingml.chart+xml"/>
  <Override PartName="/word/theme/themeOverride18.xml" ContentType="application/vnd.openxmlformats-officedocument.themeOverride+xml"/>
  <Override PartName="/word/charts/chart74.xml" ContentType="application/vnd.openxmlformats-officedocument.drawingml.chart+xml"/>
  <Override PartName="/word/charts/chart75.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76.xml" ContentType="application/vnd.openxmlformats-officedocument.drawingml.chart+xml"/>
  <Override PartName="/word/theme/themeOverride19.xml" ContentType="application/vnd.openxmlformats-officedocument.themeOverride+xml"/>
  <Override PartName="/word/charts/chart77.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20.xml" ContentType="application/vnd.openxmlformats-officedocument.themeOverride+xml"/>
  <Override PartName="/word/charts/chart78.xml" ContentType="application/vnd.openxmlformats-officedocument.drawingml.chart+xml"/>
  <Override PartName="/word/drawings/drawing11.xml" ContentType="application/vnd.openxmlformats-officedocument.drawingml.chartshapes+xml"/>
  <Override PartName="/word/charts/chart79.xml" ContentType="application/vnd.openxmlformats-officedocument.drawingml.chart+xml"/>
  <Override PartName="/word/charts/chart80.xml" ContentType="application/vnd.openxmlformats-officedocument.drawingml.chart+xml"/>
  <Override PartName="/word/drawings/drawing12.xml" ContentType="application/vnd.openxmlformats-officedocument.drawingml.chartshapes+xml"/>
  <Override PartName="/word/charts/chart81.xml" ContentType="application/vnd.openxmlformats-officedocument.drawingml.chart+xml"/>
  <Override PartName="/word/drawings/drawing13.xml" ContentType="application/vnd.openxmlformats-officedocument.drawingml.chartshapes+xml"/>
  <Override PartName="/word/charts/chart82.xml" ContentType="application/vnd.openxmlformats-officedocument.drawingml.chart+xml"/>
  <Override PartName="/word/drawings/drawing14.xml" ContentType="application/vnd.openxmlformats-officedocument.drawingml.chartshapes+xml"/>
  <Override PartName="/word/charts/chart83.xml" ContentType="application/vnd.openxmlformats-officedocument.drawingml.chart+xml"/>
  <Override PartName="/word/theme/themeOverride21.xml" ContentType="application/vnd.openxmlformats-officedocument.themeOverride+xml"/>
  <Override PartName="/word/charts/chart84.xml" ContentType="application/vnd.openxmlformats-officedocument.drawingml.chart+xml"/>
  <Override PartName="/word/theme/themeOverride22.xml" ContentType="application/vnd.openxmlformats-officedocument.themeOverride+xml"/>
  <Override PartName="/word/charts/chart8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23.xml" ContentType="application/vnd.openxmlformats-officedocument.themeOverride+xml"/>
  <Override PartName="/word/charts/chart86.xml" ContentType="application/vnd.openxmlformats-officedocument.drawingml.chart+xml"/>
  <Override PartName="/word/theme/themeOverride24.xml" ContentType="application/vnd.openxmlformats-officedocument.themeOverride+xml"/>
  <Override PartName="/word/drawings/drawing15.xml" ContentType="application/vnd.openxmlformats-officedocument.drawingml.chartshapes+xml"/>
  <Override PartName="/word/charts/chart87.xml" ContentType="application/vnd.openxmlformats-officedocument.drawingml.chart+xml"/>
  <Override PartName="/word/theme/themeOverride25.xml" ContentType="application/vnd.openxmlformats-officedocument.themeOverride+xml"/>
  <Override PartName="/word/drawings/drawing16.xml" ContentType="application/vnd.openxmlformats-officedocument.drawingml.chartshapes+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theme/themeOverride26.xml" ContentType="application/vnd.openxmlformats-officedocument.themeOverride+xml"/>
  <Override PartName="/word/charts/chart92.xml" ContentType="application/vnd.openxmlformats-officedocument.drawingml.chart+xml"/>
  <Override PartName="/word/theme/themeOverride27.xml" ContentType="application/vnd.openxmlformats-officedocument.themeOverride+xml"/>
  <Override PartName="/word/drawings/drawing17.xml" ContentType="application/vnd.openxmlformats-officedocument.drawingml.chartshapes+xml"/>
  <Override PartName="/word/charts/chart93.xml" ContentType="application/vnd.openxmlformats-officedocument.drawingml.chart+xml"/>
  <Override PartName="/word/charts/chart94.xml" ContentType="application/vnd.openxmlformats-officedocument.drawingml.chart+xml"/>
  <Override PartName="/word/charts/chart95.xml" ContentType="application/vnd.openxmlformats-officedocument.drawingml.chart+xml"/>
  <Override PartName="/word/charts/style36.xml" ContentType="application/vnd.ms-office.chartstyle+xml"/>
  <Override PartName="/word/charts/colors36.xml" ContentType="application/vnd.ms-office.chartcolorstyle+xml"/>
  <Override PartName="/word/drawings/drawing18.xml" ContentType="application/vnd.openxmlformats-officedocument.drawingml.chartshapes+xml"/>
  <Override PartName="/word/charts/chart96.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97.xml" ContentType="application/vnd.openxmlformats-officedocument.drawingml.chart+xml"/>
  <Override PartName="/word/charts/chart98.xml" ContentType="application/vnd.openxmlformats-officedocument.drawingml.chart+xml"/>
  <Override PartName="/word/theme/themeOverride28.xml" ContentType="application/vnd.openxmlformats-officedocument.themeOverride+xml"/>
  <Override PartName="/word/charts/chart99.xml" ContentType="application/vnd.openxmlformats-officedocument.drawingml.chart+xml"/>
  <Override PartName="/word/charts/chart100.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10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8F7313F" w14:textId="77777777" w:rsidR="002D23AB" w:rsidRDefault="002D23AB" w:rsidP="002D23AB">
      <w:pPr>
        <w:spacing w:after="0" w:line="240" w:lineRule="auto"/>
      </w:pPr>
      <w:bookmarkStart w:id="0" w:name="_Toc444112494"/>
    </w:p>
    <w:p w14:paraId="17DB96F7" w14:textId="77777777" w:rsidR="00DA42AC" w:rsidRDefault="00DA42AC" w:rsidP="002D23AB">
      <w:pPr>
        <w:spacing w:after="0" w:line="240" w:lineRule="auto"/>
      </w:pPr>
    </w:p>
    <w:p w14:paraId="735CA2CC" w14:textId="77777777" w:rsidR="002D23AB" w:rsidRDefault="002D23AB" w:rsidP="002D23AB">
      <w:pPr>
        <w:spacing w:after="0" w:line="240" w:lineRule="auto"/>
      </w:pPr>
    </w:p>
    <w:p w14:paraId="596BFBAE" w14:textId="77777777" w:rsidR="002D23AB" w:rsidRDefault="002D23AB" w:rsidP="002D23AB">
      <w:pPr>
        <w:spacing w:after="0" w:line="240" w:lineRule="auto"/>
      </w:pPr>
    </w:p>
    <w:p w14:paraId="2B095868" w14:textId="50A57E15" w:rsidR="00E75E92" w:rsidRPr="002D23AB" w:rsidRDefault="000512A3" w:rsidP="00E75E92">
      <w:pPr>
        <w:spacing w:after="0"/>
        <w:jc w:val="center"/>
        <w:rPr>
          <w:b/>
          <w:color w:val="C00000"/>
          <w:sz w:val="40"/>
          <w:szCs w:val="40"/>
        </w:rPr>
      </w:pPr>
      <w:r>
        <w:rPr>
          <w:b/>
          <w:color w:val="C00000"/>
          <w:sz w:val="40"/>
          <w:szCs w:val="40"/>
        </w:rPr>
        <w:t>Školy a školská zařízení 2021/22</w:t>
      </w:r>
    </w:p>
    <w:p w14:paraId="7352F77D" w14:textId="77777777" w:rsidR="002D23AB" w:rsidRDefault="002D23AB" w:rsidP="002D23AB">
      <w:pPr>
        <w:spacing w:after="0"/>
        <w:jc w:val="center"/>
        <w:rPr>
          <w:b/>
          <w:color w:val="C00000"/>
          <w:sz w:val="40"/>
          <w:szCs w:val="40"/>
        </w:rPr>
      </w:pPr>
      <w:r w:rsidRPr="002D23AB">
        <w:rPr>
          <w:b/>
          <w:color w:val="C00000"/>
          <w:sz w:val="40"/>
          <w:szCs w:val="40"/>
        </w:rPr>
        <w:t>Analytická část</w:t>
      </w:r>
    </w:p>
    <w:p w14:paraId="07A98052" w14:textId="6F3E13AE" w:rsidR="002D23AB" w:rsidRDefault="002D23AB" w:rsidP="002D23AB">
      <w:pPr>
        <w:spacing w:after="0"/>
        <w:rPr>
          <w:b/>
          <w:color w:val="C00000"/>
          <w:sz w:val="40"/>
          <w:szCs w:val="40"/>
        </w:rPr>
      </w:pPr>
    </w:p>
    <w:p w14:paraId="3B85F804" w14:textId="77777777" w:rsidR="005D3C3F" w:rsidRDefault="005D3C3F" w:rsidP="002D23AB">
      <w:pPr>
        <w:spacing w:after="0"/>
        <w:rPr>
          <w:szCs w:val="20"/>
        </w:rPr>
      </w:pPr>
    </w:p>
    <w:sdt>
      <w:sdtPr>
        <w:rPr>
          <w:rFonts w:ascii="Arial" w:eastAsia="Times New Roman" w:hAnsi="Arial" w:cs="Times New Roman"/>
          <w:color w:val="auto"/>
          <w:sz w:val="20"/>
          <w:szCs w:val="24"/>
        </w:rPr>
        <w:id w:val="-34121293"/>
        <w:docPartObj>
          <w:docPartGallery w:val="Table of Contents"/>
          <w:docPartUnique/>
        </w:docPartObj>
      </w:sdtPr>
      <w:sdtEndPr>
        <w:rPr>
          <w:b/>
          <w:bCs/>
        </w:rPr>
      </w:sdtEndPr>
      <w:sdtContent>
        <w:p w14:paraId="1D38F708" w14:textId="5D5A4411" w:rsidR="00510068" w:rsidRDefault="00510068">
          <w:pPr>
            <w:pStyle w:val="Nadpisobsahu"/>
            <w:rPr>
              <w:rFonts w:ascii="Arial" w:hAnsi="Arial" w:cs="Arial"/>
              <w:b/>
              <w:color w:val="C00000"/>
            </w:rPr>
          </w:pPr>
          <w:r w:rsidRPr="00510068">
            <w:rPr>
              <w:rFonts w:ascii="Arial" w:hAnsi="Arial" w:cs="Arial"/>
              <w:b/>
              <w:color w:val="C00000"/>
            </w:rPr>
            <w:t>Obsah</w:t>
          </w:r>
          <w:r>
            <w:rPr>
              <w:rFonts w:ascii="Arial" w:hAnsi="Arial" w:cs="Arial"/>
              <w:b/>
              <w:color w:val="C00000"/>
            </w:rPr>
            <w:t>:</w:t>
          </w:r>
        </w:p>
        <w:p w14:paraId="43BF5EF8" w14:textId="77777777" w:rsidR="00510068" w:rsidRPr="00510068" w:rsidRDefault="00510068" w:rsidP="00510068"/>
        <w:p w14:paraId="2E4ED1D1" w14:textId="1401C7F7" w:rsidR="00106FEC" w:rsidRPr="00106FEC" w:rsidRDefault="00510068">
          <w:pPr>
            <w:pStyle w:val="Obsah1"/>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12069065" w:history="1">
            <w:r w:rsidR="00106FEC" w:rsidRPr="00106FEC">
              <w:rPr>
                <w:rStyle w:val="Hypertextovodkaz"/>
                <w:noProof/>
              </w:rPr>
              <w:t>1. Předškolní vzdělávání</w:t>
            </w:r>
            <w:r w:rsidR="00106FEC" w:rsidRPr="00106FEC">
              <w:rPr>
                <w:noProof/>
                <w:webHidden/>
              </w:rPr>
              <w:tab/>
            </w:r>
            <w:r w:rsidR="00106FEC" w:rsidRPr="00106FEC">
              <w:rPr>
                <w:noProof/>
                <w:webHidden/>
              </w:rPr>
              <w:fldChar w:fldCharType="begin"/>
            </w:r>
            <w:r w:rsidR="00106FEC" w:rsidRPr="00106FEC">
              <w:rPr>
                <w:noProof/>
                <w:webHidden/>
              </w:rPr>
              <w:instrText xml:space="preserve"> PAGEREF _Toc112069065 \h </w:instrText>
            </w:r>
            <w:r w:rsidR="00106FEC" w:rsidRPr="00106FEC">
              <w:rPr>
                <w:noProof/>
                <w:webHidden/>
              </w:rPr>
            </w:r>
            <w:r w:rsidR="00106FEC" w:rsidRPr="00106FEC">
              <w:rPr>
                <w:noProof/>
                <w:webHidden/>
              </w:rPr>
              <w:fldChar w:fldCharType="separate"/>
            </w:r>
            <w:r w:rsidR="00C719C3">
              <w:rPr>
                <w:noProof/>
                <w:webHidden/>
              </w:rPr>
              <w:t>2</w:t>
            </w:r>
            <w:r w:rsidR="00106FEC" w:rsidRPr="00106FEC">
              <w:rPr>
                <w:noProof/>
                <w:webHidden/>
              </w:rPr>
              <w:fldChar w:fldCharType="end"/>
            </w:r>
          </w:hyperlink>
        </w:p>
        <w:p w14:paraId="20D40D87" w14:textId="457F543D" w:rsidR="00106FEC" w:rsidRPr="00106FEC" w:rsidRDefault="00C719C3">
          <w:pPr>
            <w:pStyle w:val="Obsah2"/>
            <w:rPr>
              <w:rFonts w:asciiTheme="minorHAnsi" w:eastAsiaTheme="minorEastAsia" w:hAnsiTheme="minorHAnsi" w:cstheme="minorBidi"/>
              <w:noProof/>
              <w:sz w:val="22"/>
              <w:szCs w:val="22"/>
            </w:rPr>
          </w:pPr>
          <w:hyperlink w:anchor="_Toc112069066" w:history="1">
            <w:r w:rsidR="00106FEC" w:rsidRPr="00106FEC">
              <w:rPr>
                <w:rStyle w:val="Hypertextovodkaz"/>
                <w:noProof/>
              </w:rPr>
              <w:t>1.1 Mateřské školy - školy, třídy, učitelé a děti</w:t>
            </w:r>
            <w:r w:rsidR="00106FEC" w:rsidRPr="00106FEC">
              <w:rPr>
                <w:noProof/>
                <w:webHidden/>
              </w:rPr>
              <w:tab/>
            </w:r>
            <w:r w:rsidR="00106FEC" w:rsidRPr="00106FEC">
              <w:rPr>
                <w:noProof/>
                <w:webHidden/>
              </w:rPr>
              <w:fldChar w:fldCharType="begin"/>
            </w:r>
            <w:r w:rsidR="00106FEC" w:rsidRPr="00106FEC">
              <w:rPr>
                <w:noProof/>
                <w:webHidden/>
              </w:rPr>
              <w:instrText xml:space="preserve"> PAGEREF _Toc112069066 \h </w:instrText>
            </w:r>
            <w:r w:rsidR="00106FEC" w:rsidRPr="00106FEC">
              <w:rPr>
                <w:noProof/>
                <w:webHidden/>
              </w:rPr>
            </w:r>
            <w:r w:rsidR="00106FEC" w:rsidRPr="00106FEC">
              <w:rPr>
                <w:noProof/>
                <w:webHidden/>
              </w:rPr>
              <w:fldChar w:fldCharType="separate"/>
            </w:r>
            <w:r>
              <w:rPr>
                <w:noProof/>
                <w:webHidden/>
              </w:rPr>
              <w:t>2</w:t>
            </w:r>
            <w:r w:rsidR="00106FEC" w:rsidRPr="00106FEC">
              <w:rPr>
                <w:noProof/>
                <w:webHidden/>
              </w:rPr>
              <w:fldChar w:fldCharType="end"/>
            </w:r>
          </w:hyperlink>
        </w:p>
        <w:p w14:paraId="0217BC47" w14:textId="710EEA73" w:rsidR="00106FEC" w:rsidRPr="00106FEC" w:rsidRDefault="00C719C3">
          <w:pPr>
            <w:pStyle w:val="Obsah2"/>
            <w:rPr>
              <w:rFonts w:asciiTheme="minorHAnsi" w:eastAsiaTheme="minorEastAsia" w:hAnsiTheme="minorHAnsi" w:cstheme="minorBidi"/>
              <w:noProof/>
              <w:sz w:val="22"/>
              <w:szCs w:val="22"/>
            </w:rPr>
          </w:pPr>
          <w:hyperlink w:anchor="_Toc112069067" w:history="1">
            <w:r w:rsidR="00106FEC" w:rsidRPr="00106FEC">
              <w:rPr>
                <w:rStyle w:val="Hypertextovodkaz"/>
                <w:noProof/>
              </w:rPr>
              <w:t>1.2 Věkové složení dětí v mateřských školách</w:t>
            </w:r>
            <w:r w:rsidR="00106FEC" w:rsidRPr="00106FEC">
              <w:rPr>
                <w:noProof/>
                <w:webHidden/>
              </w:rPr>
              <w:tab/>
            </w:r>
            <w:r w:rsidR="00106FEC" w:rsidRPr="00106FEC">
              <w:rPr>
                <w:noProof/>
                <w:webHidden/>
              </w:rPr>
              <w:fldChar w:fldCharType="begin"/>
            </w:r>
            <w:r w:rsidR="00106FEC" w:rsidRPr="00106FEC">
              <w:rPr>
                <w:noProof/>
                <w:webHidden/>
              </w:rPr>
              <w:instrText xml:space="preserve"> PAGEREF _Toc112069067 \h </w:instrText>
            </w:r>
            <w:r w:rsidR="00106FEC" w:rsidRPr="00106FEC">
              <w:rPr>
                <w:noProof/>
                <w:webHidden/>
              </w:rPr>
            </w:r>
            <w:r w:rsidR="00106FEC" w:rsidRPr="00106FEC">
              <w:rPr>
                <w:noProof/>
                <w:webHidden/>
              </w:rPr>
              <w:fldChar w:fldCharType="separate"/>
            </w:r>
            <w:r>
              <w:rPr>
                <w:noProof/>
                <w:webHidden/>
              </w:rPr>
              <w:t>10</w:t>
            </w:r>
            <w:r w:rsidR="00106FEC" w:rsidRPr="00106FEC">
              <w:rPr>
                <w:noProof/>
                <w:webHidden/>
              </w:rPr>
              <w:fldChar w:fldCharType="end"/>
            </w:r>
          </w:hyperlink>
        </w:p>
        <w:p w14:paraId="639EA72A" w14:textId="4CD8356B" w:rsidR="00106FEC" w:rsidRPr="00106FEC" w:rsidRDefault="00C719C3">
          <w:pPr>
            <w:pStyle w:val="Obsah2"/>
            <w:rPr>
              <w:rFonts w:asciiTheme="minorHAnsi" w:eastAsiaTheme="minorEastAsia" w:hAnsiTheme="minorHAnsi" w:cstheme="minorBidi"/>
              <w:noProof/>
              <w:sz w:val="22"/>
              <w:szCs w:val="22"/>
            </w:rPr>
          </w:pPr>
          <w:hyperlink w:anchor="_Toc112069068" w:history="1">
            <w:r w:rsidR="00106FEC" w:rsidRPr="00106FEC">
              <w:rPr>
                <w:rStyle w:val="Hypertextovodkaz"/>
                <w:noProof/>
              </w:rPr>
              <w:t>1.3 Děti s cizím státním občanstvím v mateřských školách</w:t>
            </w:r>
            <w:r w:rsidR="00106FEC" w:rsidRPr="00106FEC">
              <w:rPr>
                <w:noProof/>
                <w:webHidden/>
              </w:rPr>
              <w:tab/>
            </w:r>
            <w:r w:rsidR="00106FEC" w:rsidRPr="00106FEC">
              <w:rPr>
                <w:noProof/>
                <w:webHidden/>
              </w:rPr>
              <w:fldChar w:fldCharType="begin"/>
            </w:r>
            <w:r w:rsidR="00106FEC" w:rsidRPr="00106FEC">
              <w:rPr>
                <w:noProof/>
                <w:webHidden/>
              </w:rPr>
              <w:instrText xml:space="preserve"> PAGEREF _Toc112069068 \h </w:instrText>
            </w:r>
            <w:r w:rsidR="00106FEC" w:rsidRPr="00106FEC">
              <w:rPr>
                <w:noProof/>
                <w:webHidden/>
              </w:rPr>
            </w:r>
            <w:r w:rsidR="00106FEC" w:rsidRPr="00106FEC">
              <w:rPr>
                <w:noProof/>
                <w:webHidden/>
              </w:rPr>
              <w:fldChar w:fldCharType="separate"/>
            </w:r>
            <w:r>
              <w:rPr>
                <w:noProof/>
                <w:webHidden/>
              </w:rPr>
              <w:t>14</w:t>
            </w:r>
            <w:r w:rsidR="00106FEC" w:rsidRPr="00106FEC">
              <w:rPr>
                <w:noProof/>
                <w:webHidden/>
              </w:rPr>
              <w:fldChar w:fldCharType="end"/>
            </w:r>
          </w:hyperlink>
        </w:p>
        <w:p w14:paraId="587FD904" w14:textId="3C23852A" w:rsidR="00106FEC" w:rsidRPr="00106FEC" w:rsidRDefault="00C719C3">
          <w:pPr>
            <w:pStyle w:val="Obsah2"/>
            <w:rPr>
              <w:rFonts w:asciiTheme="minorHAnsi" w:eastAsiaTheme="minorEastAsia" w:hAnsiTheme="minorHAnsi" w:cstheme="minorBidi"/>
              <w:noProof/>
              <w:sz w:val="22"/>
              <w:szCs w:val="22"/>
            </w:rPr>
          </w:pPr>
          <w:hyperlink w:anchor="_Toc112069069" w:history="1">
            <w:r w:rsidR="00106FEC" w:rsidRPr="00106FEC">
              <w:rPr>
                <w:rStyle w:val="Hypertextovodkaz"/>
                <w:noProof/>
              </w:rPr>
              <w:t>1.4 Děti se zdravotním postižením v mateřských školách</w:t>
            </w:r>
            <w:r w:rsidR="00106FEC" w:rsidRPr="00106FEC">
              <w:rPr>
                <w:noProof/>
                <w:webHidden/>
              </w:rPr>
              <w:tab/>
            </w:r>
            <w:r w:rsidR="00106FEC" w:rsidRPr="00106FEC">
              <w:rPr>
                <w:noProof/>
                <w:webHidden/>
              </w:rPr>
              <w:fldChar w:fldCharType="begin"/>
            </w:r>
            <w:r w:rsidR="00106FEC" w:rsidRPr="00106FEC">
              <w:rPr>
                <w:noProof/>
                <w:webHidden/>
              </w:rPr>
              <w:instrText xml:space="preserve"> PAGEREF _Toc112069069 \h </w:instrText>
            </w:r>
            <w:r w:rsidR="00106FEC" w:rsidRPr="00106FEC">
              <w:rPr>
                <w:noProof/>
                <w:webHidden/>
              </w:rPr>
            </w:r>
            <w:r w:rsidR="00106FEC" w:rsidRPr="00106FEC">
              <w:rPr>
                <w:noProof/>
                <w:webHidden/>
              </w:rPr>
              <w:fldChar w:fldCharType="separate"/>
            </w:r>
            <w:r>
              <w:rPr>
                <w:noProof/>
                <w:webHidden/>
              </w:rPr>
              <w:t>17</w:t>
            </w:r>
            <w:r w:rsidR="00106FEC" w:rsidRPr="00106FEC">
              <w:rPr>
                <w:noProof/>
                <w:webHidden/>
              </w:rPr>
              <w:fldChar w:fldCharType="end"/>
            </w:r>
          </w:hyperlink>
        </w:p>
        <w:p w14:paraId="3BB5485E" w14:textId="7221EB13" w:rsidR="00106FEC" w:rsidRPr="00106FEC" w:rsidRDefault="00C719C3">
          <w:pPr>
            <w:pStyle w:val="Obsah2"/>
            <w:rPr>
              <w:rFonts w:asciiTheme="minorHAnsi" w:eastAsiaTheme="minorEastAsia" w:hAnsiTheme="minorHAnsi" w:cstheme="minorBidi"/>
              <w:noProof/>
              <w:sz w:val="22"/>
              <w:szCs w:val="22"/>
            </w:rPr>
          </w:pPr>
          <w:hyperlink w:anchor="_Toc112069070" w:history="1">
            <w:r w:rsidR="00106FEC" w:rsidRPr="00106FEC">
              <w:rPr>
                <w:rStyle w:val="Hypertextovodkaz"/>
                <w:noProof/>
              </w:rPr>
              <w:t>1.5 Předškolní vzdělávání na základních školách</w:t>
            </w:r>
            <w:r w:rsidR="00106FEC" w:rsidRPr="00106FEC">
              <w:rPr>
                <w:noProof/>
                <w:webHidden/>
              </w:rPr>
              <w:tab/>
            </w:r>
            <w:r w:rsidR="00106FEC" w:rsidRPr="00106FEC">
              <w:rPr>
                <w:noProof/>
                <w:webHidden/>
              </w:rPr>
              <w:fldChar w:fldCharType="begin"/>
            </w:r>
            <w:r w:rsidR="00106FEC" w:rsidRPr="00106FEC">
              <w:rPr>
                <w:noProof/>
                <w:webHidden/>
              </w:rPr>
              <w:instrText xml:space="preserve"> PAGEREF _Toc112069070 \h </w:instrText>
            </w:r>
            <w:r w:rsidR="00106FEC" w:rsidRPr="00106FEC">
              <w:rPr>
                <w:noProof/>
                <w:webHidden/>
              </w:rPr>
            </w:r>
            <w:r w:rsidR="00106FEC" w:rsidRPr="00106FEC">
              <w:rPr>
                <w:noProof/>
                <w:webHidden/>
              </w:rPr>
              <w:fldChar w:fldCharType="separate"/>
            </w:r>
            <w:r>
              <w:rPr>
                <w:noProof/>
                <w:webHidden/>
              </w:rPr>
              <w:t>20</w:t>
            </w:r>
            <w:r w:rsidR="00106FEC" w:rsidRPr="00106FEC">
              <w:rPr>
                <w:noProof/>
                <w:webHidden/>
              </w:rPr>
              <w:fldChar w:fldCharType="end"/>
            </w:r>
          </w:hyperlink>
        </w:p>
        <w:p w14:paraId="34A616CA" w14:textId="435D75D5" w:rsidR="00106FEC" w:rsidRPr="00106FEC" w:rsidRDefault="00C719C3">
          <w:pPr>
            <w:pStyle w:val="Obsah1"/>
            <w:rPr>
              <w:rFonts w:asciiTheme="minorHAnsi" w:eastAsiaTheme="minorEastAsia" w:hAnsiTheme="minorHAnsi" w:cstheme="minorBidi"/>
              <w:noProof/>
              <w:sz w:val="22"/>
              <w:szCs w:val="22"/>
            </w:rPr>
          </w:pPr>
          <w:hyperlink w:anchor="_Toc112069071" w:history="1">
            <w:r w:rsidR="00106FEC" w:rsidRPr="00106FEC">
              <w:rPr>
                <w:rStyle w:val="Hypertextovodkaz"/>
                <w:noProof/>
              </w:rPr>
              <w:t>2. Základní vzdělávání</w:t>
            </w:r>
            <w:r w:rsidR="00106FEC" w:rsidRPr="00106FEC">
              <w:rPr>
                <w:noProof/>
                <w:webHidden/>
              </w:rPr>
              <w:tab/>
            </w:r>
            <w:r w:rsidR="00106FEC" w:rsidRPr="00106FEC">
              <w:rPr>
                <w:noProof/>
                <w:webHidden/>
              </w:rPr>
              <w:fldChar w:fldCharType="begin"/>
            </w:r>
            <w:r w:rsidR="00106FEC" w:rsidRPr="00106FEC">
              <w:rPr>
                <w:noProof/>
                <w:webHidden/>
              </w:rPr>
              <w:instrText xml:space="preserve"> PAGEREF _Toc112069071 \h </w:instrText>
            </w:r>
            <w:r w:rsidR="00106FEC" w:rsidRPr="00106FEC">
              <w:rPr>
                <w:noProof/>
                <w:webHidden/>
              </w:rPr>
            </w:r>
            <w:r w:rsidR="00106FEC" w:rsidRPr="00106FEC">
              <w:rPr>
                <w:noProof/>
                <w:webHidden/>
              </w:rPr>
              <w:fldChar w:fldCharType="separate"/>
            </w:r>
            <w:r>
              <w:rPr>
                <w:noProof/>
                <w:webHidden/>
              </w:rPr>
              <w:t>24</w:t>
            </w:r>
            <w:r w:rsidR="00106FEC" w:rsidRPr="00106FEC">
              <w:rPr>
                <w:noProof/>
                <w:webHidden/>
              </w:rPr>
              <w:fldChar w:fldCharType="end"/>
            </w:r>
          </w:hyperlink>
        </w:p>
        <w:p w14:paraId="62C518A6" w14:textId="4EEB3D6B" w:rsidR="00106FEC" w:rsidRPr="00106FEC" w:rsidRDefault="00C719C3">
          <w:pPr>
            <w:pStyle w:val="Obsah2"/>
            <w:rPr>
              <w:rFonts w:asciiTheme="minorHAnsi" w:eastAsiaTheme="minorEastAsia" w:hAnsiTheme="minorHAnsi" w:cstheme="minorBidi"/>
              <w:noProof/>
              <w:sz w:val="22"/>
              <w:szCs w:val="22"/>
            </w:rPr>
          </w:pPr>
          <w:hyperlink w:anchor="_Toc112069072" w:history="1">
            <w:r w:rsidR="00106FEC" w:rsidRPr="00106FEC">
              <w:rPr>
                <w:rStyle w:val="Hypertextovodkaz"/>
                <w:noProof/>
              </w:rPr>
              <w:t>2.1 Základní školy – základní údaje za školní rok 2021/2022</w:t>
            </w:r>
            <w:r w:rsidR="00106FEC" w:rsidRPr="00106FEC">
              <w:rPr>
                <w:noProof/>
                <w:webHidden/>
              </w:rPr>
              <w:tab/>
            </w:r>
            <w:r w:rsidR="00106FEC" w:rsidRPr="00106FEC">
              <w:rPr>
                <w:noProof/>
                <w:webHidden/>
              </w:rPr>
              <w:fldChar w:fldCharType="begin"/>
            </w:r>
            <w:r w:rsidR="00106FEC" w:rsidRPr="00106FEC">
              <w:rPr>
                <w:noProof/>
                <w:webHidden/>
              </w:rPr>
              <w:instrText xml:space="preserve"> PAGEREF _Toc112069072 \h </w:instrText>
            </w:r>
            <w:r w:rsidR="00106FEC" w:rsidRPr="00106FEC">
              <w:rPr>
                <w:noProof/>
                <w:webHidden/>
              </w:rPr>
            </w:r>
            <w:r w:rsidR="00106FEC" w:rsidRPr="00106FEC">
              <w:rPr>
                <w:noProof/>
                <w:webHidden/>
              </w:rPr>
              <w:fldChar w:fldCharType="separate"/>
            </w:r>
            <w:r>
              <w:rPr>
                <w:noProof/>
                <w:webHidden/>
              </w:rPr>
              <w:t>26</w:t>
            </w:r>
            <w:r w:rsidR="00106FEC" w:rsidRPr="00106FEC">
              <w:rPr>
                <w:noProof/>
                <w:webHidden/>
              </w:rPr>
              <w:fldChar w:fldCharType="end"/>
            </w:r>
          </w:hyperlink>
        </w:p>
        <w:p w14:paraId="3E4F8D45" w14:textId="66DF34E7" w:rsidR="00106FEC" w:rsidRPr="00106FEC" w:rsidRDefault="00C719C3">
          <w:pPr>
            <w:pStyle w:val="Obsah2"/>
            <w:rPr>
              <w:rFonts w:asciiTheme="minorHAnsi" w:eastAsiaTheme="minorEastAsia" w:hAnsiTheme="minorHAnsi" w:cstheme="minorBidi"/>
              <w:noProof/>
              <w:sz w:val="22"/>
              <w:szCs w:val="22"/>
            </w:rPr>
          </w:pPr>
          <w:hyperlink w:anchor="_Toc112069073" w:history="1">
            <w:r w:rsidR="00106FEC" w:rsidRPr="00106FEC">
              <w:rPr>
                <w:rStyle w:val="Hypertextovodkaz"/>
                <w:noProof/>
              </w:rPr>
              <w:t>2.2 Základní školy podle typu a zřizovatele – školy a třídy</w:t>
            </w:r>
            <w:r w:rsidR="00106FEC" w:rsidRPr="00106FEC">
              <w:rPr>
                <w:noProof/>
                <w:webHidden/>
              </w:rPr>
              <w:tab/>
            </w:r>
            <w:r w:rsidR="00106FEC" w:rsidRPr="00106FEC">
              <w:rPr>
                <w:noProof/>
                <w:webHidden/>
              </w:rPr>
              <w:fldChar w:fldCharType="begin"/>
            </w:r>
            <w:r w:rsidR="00106FEC" w:rsidRPr="00106FEC">
              <w:rPr>
                <w:noProof/>
                <w:webHidden/>
              </w:rPr>
              <w:instrText xml:space="preserve"> PAGEREF _Toc112069073 \h </w:instrText>
            </w:r>
            <w:r w:rsidR="00106FEC" w:rsidRPr="00106FEC">
              <w:rPr>
                <w:noProof/>
                <w:webHidden/>
              </w:rPr>
            </w:r>
            <w:r w:rsidR="00106FEC" w:rsidRPr="00106FEC">
              <w:rPr>
                <w:noProof/>
                <w:webHidden/>
              </w:rPr>
              <w:fldChar w:fldCharType="separate"/>
            </w:r>
            <w:r>
              <w:rPr>
                <w:noProof/>
                <w:webHidden/>
              </w:rPr>
              <w:t>27</w:t>
            </w:r>
            <w:r w:rsidR="00106FEC" w:rsidRPr="00106FEC">
              <w:rPr>
                <w:noProof/>
                <w:webHidden/>
              </w:rPr>
              <w:fldChar w:fldCharType="end"/>
            </w:r>
          </w:hyperlink>
        </w:p>
        <w:p w14:paraId="0CEB584D" w14:textId="668FBB47" w:rsidR="00106FEC" w:rsidRPr="00106FEC" w:rsidRDefault="00C719C3">
          <w:pPr>
            <w:pStyle w:val="Obsah2"/>
            <w:rPr>
              <w:rFonts w:asciiTheme="minorHAnsi" w:eastAsiaTheme="minorEastAsia" w:hAnsiTheme="minorHAnsi" w:cstheme="minorBidi"/>
              <w:noProof/>
              <w:sz w:val="22"/>
              <w:szCs w:val="22"/>
            </w:rPr>
          </w:pPr>
          <w:hyperlink w:anchor="_Toc112069074" w:history="1">
            <w:r w:rsidR="00106FEC" w:rsidRPr="00106FEC">
              <w:rPr>
                <w:rStyle w:val="Hypertextovodkaz"/>
                <w:rFonts w:eastAsia="MS Gothic"/>
                <w:bCs/>
                <w:noProof/>
              </w:rPr>
              <w:t>2.3 Učitelé a asistenti pedagogů na základních školách</w:t>
            </w:r>
            <w:r w:rsidR="00106FEC" w:rsidRPr="00106FEC">
              <w:rPr>
                <w:noProof/>
                <w:webHidden/>
              </w:rPr>
              <w:tab/>
            </w:r>
            <w:r w:rsidR="00106FEC" w:rsidRPr="00106FEC">
              <w:rPr>
                <w:noProof/>
                <w:webHidden/>
              </w:rPr>
              <w:fldChar w:fldCharType="begin"/>
            </w:r>
            <w:r w:rsidR="00106FEC" w:rsidRPr="00106FEC">
              <w:rPr>
                <w:noProof/>
                <w:webHidden/>
              </w:rPr>
              <w:instrText xml:space="preserve"> PAGEREF _Toc112069074 \h </w:instrText>
            </w:r>
            <w:r w:rsidR="00106FEC" w:rsidRPr="00106FEC">
              <w:rPr>
                <w:noProof/>
                <w:webHidden/>
              </w:rPr>
            </w:r>
            <w:r w:rsidR="00106FEC" w:rsidRPr="00106FEC">
              <w:rPr>
                <w:noProof/>
                <w:webHidden/>
              </w:rPr>
              <w:fldChar w:fldCharType="separate"/>
            </w:r>
            <w:r>
              <w:rPr>
                <w:noProof/>
                <w:webHidden/>
              </w:rPr>
              <w:t>30</w:t>
            </w:r>
            <w:r w:rsidR="00106FEC" w:rsidRPr="00106FEC">
              <w:rPr>
                <w:noProof/>
                <w:webHidden/>
              </w:rPr>
              <w:fldChar w:fldCharType="end"/>
            </w:r>
          </w:hyperlink>
        </w:p>
        <w:p w14:paraId="3BA73958" w14:textId="1B7CEDFD" w:rsidR="00106FEC" w:rsidRPr="00106FEC" w:rsidRDefault="00C719C3">
          <w:pPr>
            <w:pStyle w:val="Obsah2"/>
            <w:rPr>
              <w:rFonts w:asciiTheme="minorHAnsi" w:eastAsiaTheme="minorEastAsia" w:hAnsiTheme="minorHAnsi" w:cstheme="minorBidi"/>
              <w:noProof/>
              <w:sz w:val="22"/>
              <w:szCs w:val="22"/>
            </w:rPr>
          </w:pPr>
          <w:hyperlink w:anchor="_Toc112069075" w:history="1">
            <w:r w:rsidR="00106FEC" w:rsidRPr="00106FEC">
              <w:rPr>
                <w:rStyle w:val="Hypertextovodkaz"/>
                <w:rFonts w:eastAsia="MS Gothic"/>
                <w:bCs/>
                <w:noProof/>
              </w:rPr>
              <w:t>2.4 Žáci v základních školách – základní ukazatele</w:t>
            </w:r>
            <w:r w:rsidR="00106FEC" w:rsidRPr="00106FEC">
              <w:rPr>
                <w:noProof/>
                <w:webHidden/>
              </w:rPr>
              <w:tab/>
            </w:r>
            <w:r w:rsidR="00106FEC" w:rsidRPr="00106FEC">
              <w:rPr>
                <w:noProof/>
                <w:webHidden/>
              </w:rPr>
              <w:fldChar w:fldCharType="begin"/>
            </w:r>
            <w:r w:rsidR="00106FEC" w:rsidRPr="00106FEC">
              <w:rPr>
                <w:noProof/>
                <w:webHidden/>
              </w:rPr>
              <w:instrText xml:space="preserve"> PAGEREF _Toc112069075 \h </w:instrText>
            </w:r>
            <w:r w:rsidR="00106FEC" w:rsidRPr="00106FEC">
              <w:rPr>
                <w:noProof/>
                <w:webHidden/>
              </w:rPr>
            </w:r>
            <w:r w:rsidR="00106FEC" w:rsidRPr="00106FEC">
              <w:rPr>
                <w:noProof/>
                <w:webHidden/>
              </w:rPr>
              <w:fldChar w:fldCharType="separate"/>
            </w:r>
            <w:r>
              <w:rPr>
                <w:noProof/>
                <w:webHidden/>
              </w:rPr>
              <w:t>35</w:t>
            </w:r>
            <w:r w:rsidR="00106FEC" w:rsidRPr="00106FEC">
              <w:rPr>
                <w:noProof/>
                <w:webHidden/>
              </w:rPr>
              <w:fldChar w:fldCharType="end"/>
            </w:r>
          </w:hyperlink>
        </w:p>
        <w:p w14:paraId="194FC7BA" w14:textId="22B94731" w:rsidR="00106FEC" w:rsidRDefault="00C719C3">
          <w:pPr>
            <w:pStyle w:val="Obsah2"/>
            <w:rPr>
              <w:rFonts w:asciiTheme="minorHAnsi" w:eastAsiaTheme="minorEastAsia" w:hAnsiTheme="minorHAnsi" w:cstheme="minorBidi"/>
              <w:noProof/>
              <w:sz w:val="22"/>
              <w:szCs w:val="22"/>
            </w:rPr>
          </w:pPr>
          <w:hyperlink w:anchor="_Toc112069076" w:history="1">
            <w:r w:rsidR="00106FEC" w:rsidRPr="00106FEC">
              <w:rPr>
                <w:rStyle w:val="Hypertextovodkaz"/>
                <w:rFonts w:eastAsia="MS Gothic"/>
                <w:bCs/>
                <w:noProof/>
              </w:rPr>
              <w:t>2.5 Základní školy v regionálním srovnání – základní ukazatele</w:t>
            </w:r>
            <w:r w:rsidR="00106FEC" w:rsidRPr="00106FEC">
              <w:rPr>
                <w:noProof/>
                <w:webHidden/>
              </w:rPr>
              <w:tab/>
            </w:r>
            <w:r w:rsidR="00106FEC" w:rsidRPr="00106FEC">
              <w:rPr>
                <w:noProof/>
                <w:webHidden/>
              </w:rPr>
              <w:fldChar w:fldCharType="begin"/>
            </w:r>
            <w:r w:rsidR="00106FEC" w:rsidRPr="00106FEC">
              <w:rPr>
                <w:noProof/>
                <w:webHidden/>
              </w:rPr>
              <w:instrText xml:space="preserve"> PAGEREF _Toc112069076 \h </w:instrText>
            </w:r>
            <w:r w:rsidR="00106FEC" w:rsidRPr="00106FEC">
              <w:rPr>
                <w:noProof/>
                <w:webHidden/>
              </w:rPr>
            </w:r>
            <w:r w:rsidR="00106FEC" w:rsidRPr="00106FEC">
              <w:rPr>
                <w:noProof/>
                <w:webHidden/>
              </w:rPr>
              <w:fldChar w:fldCharType="separate"/>
            </w:r>
            <w:r>
              <w:rPr>
                <w:noProof/>
                <w:webHidden/>
              </w:rPr>
              <w:t>40</w:t>
            </w:r>
            <w:r w:rsidR="00106FEC" w:rsidRPr="00106FEC">
              <w:rPr>
                <w:noProof/>
                <w:webHidden/>
              </w:rPr>
              <w:fldChar w:fldCharType="end"/>
            </w:r>
          </w:hyperlink>
        </w:p>
        <w:p w14:paraId="24ADED7C" w14:textId="727D6119" w:rsidR="00106FEC" w:rsidRDefault="00C719C3">
          <w:pPr>
            <w:pStyle w:val="Obsah2"/>
            <w:rPr>
              <w:rFonts w:asciiTheme="minorHAnsi" w:eastAsiaTheme="minorEastAsia" w:hAnsiTheme="minorHAnsi" w:cstheme="minorBidi"/>
              <w:noProof/>
              <w:sz w:val="22"/>
              <w:szCs w:val="22"/>
            </w:rPr>
          </w:pPr>
          <w:hyperlink w:anchor="_Toc112069077" w:history="1">
            <w:r w:rsidR="00106FEC" w:rsidRPr="007A4664">
              <w:rPr>
                <w:rStyle w:val="Hypertextovodkaz"/>
                <w:noProof/>
              </w:rPr>
              <w:t>2.6 Žáci nově přijatí do 1. ročníků základních škol</w:t>
            </w:r>
            <w:r w:rsidR="00106FEC">
              <w:rPr>
                <w:noProof/>
                <w:webHidden/>
              </w:rPr>
              <w:tab/>
            </w:r>
            <w:r w:rsidR="00106FEC">
              <w:rPr>
                <w:noProof/>
                <w:webHidden/>
              </w:rPr>
              <w:fldChar w:fldCharType="begin"/>
            </w:r>
            <w:r w:rsidR="00106FEC">
              <w:rPr>
                <w:noProof/>
                <w:webHidden/>
              </w:rPr>
              <w:instrText xml:space="preserve"> PAGEREF _Toc112069077 \h </w:instrText>
            </w:r>
            <w:r w:rsidR="00106FEC">
              <w:rPr>
                <w:noProof/>
                <w:webHidden/>
              </w:rPr>
            </w:r>
            <w:r w:rsidR="00106FEC">
              <w:rPr>
                <w:noProof/>
                <w:webHidden/>
              </w:rPr>
              <w:fldChar w:fldCharType="separate"/>
            </w:r>
            <w:r>
              <w:rPr>
                <w:noProof/>
                <w:webHidden/>
              </w:rPr>
              <w:t>41</w:t>
            </w:r>
            <w:r w:rsidR="00106FEC">
              <w:rPr>
                <w:noProof/>
                <w:webHidden/>
              </w:rPr>
              <w:fldChar w:fldCharType="end"/>
            </w:r>
          </w:hyperlink>
        </w:p>
        <w:p w14:paraId="3F7C6964" w14:textId="3F0E5FDB" w:rsidR="00106FEC" w:rsidRDefault="00C719C3">
          <w:pPr>
            <w:pStyle w:val="Obsah2"/>
            <w:rPr>
              <w:rFonts w:asciiTheme="minorHAnsi" w:eastAsiaTheme="minorEastAsia" w:hAnsiTheme="minorHAnsi" w:cstheme="minorBidi"/>
              <w:noProof/>
              <w:sz w:val="22"/>
              <w:szCs w:val="22"/>
            </w:rPr>
          </w:pPr>
          <w:hyperlink w:anchor="_Toc112069078" w:history="1">
            <w:r w:rsidR="00106FEC" w:rsidRPr="007A4664">
              <w:rPr>
                <w:rStyle w:val="Hypertextovodkaz"/>
                <w:noProof/>
              </w:rPr>
              <w:t>2.7 Žáci s individuálním vzděláváním a vzdělávající se v zahraničí</w:t>
            </w:r>
            <w:r w:rsidR="00106FEC">
              <w:rPr>
                <w:noProof/>
                <w:webHidden/>
              </w:rPr>
              <w:tab/>
            </w:r>
            <w:r w:rsidR="00106FEC">
              <w:rPr>
                <w:noProof/>
                <w:webHidden/>
              </w:rPr>
              <w:fldChar w:fldCharType="begin"/>
            </w:r>
            <w:r w:rsidR="00106FEC">
              <w:rPr>
                <w:noProof/>
                <w:webHidden/>
              </w:rPr>
              <w:instrText xml:space="preserve"> PAGEREF _Toc112069078 \h </w:instrText>
            </w:r>
            <w:r w:rsidR="00106FEC">
              <w:rPr>
                <w:noProof/>
                <w:webHidden/>
              </w:rPr>
            </w:r>
            <w:r w:rsidR="00106FEC">
              <w:rPr>
                <w:noProof/>
                <w:webHidden/>
              </w:rPr>
              <w:fldChar w:fldCharType="separate"/>
            </w:r>
            <w:r>
              <w:rPr>
                <w:noProof/>
                <w:webHidden/>
              </w:rPr>
              <w:t>43</w:t>
            </w:r>
            <w:r w:rsidR="00106FEC">
              <w:rPr>
                <w:noProof/>
                <w:webHidden/>
              </w:rPr>
              <w:fldChar w:fldCharType="end"/>
            </w:r>
          </w:hyperlink>
        </w:p>
        <w:p w14:paraId="22E3F5C6" w14:textId="403BFF57" w:rsidR="00106FEC" w:rsidRDefault="00C719C3">
          <w:pPr>
            <w:pStyle w:val="Obsah2"/>
            <w:rPr>
              <w:rFonts w:asciiTheme="minorHAnsi" w:eastAsiaTheme="minorEastAsia" w:hAnsiTheme="minorHAnsi" w:cstheme="minorBidi"/>
              <w:noProof/>
              <w:sz w:val="22"/>
              <w:szCs w:val="22"/>
            </w:rPr>
          </w:pPr>
          <w:hyperlink w:anchor="_Toc112069079" w:history="1">
            <w:r w:rsidR="00106FEC" w:rsidRPr="007A4664">
              <w:rPr>
                <w:rStyle w:val="Hypertextovodkaz"/>
                <w:noProof/>
              </w:rPr>
              <w:t>2.8 Žáci opakující ročník</w:t>
            </w:r>
            <w:r w:rsidR="00106FEC">
              <w:rPr>
                <w:noProof/>
                <w:webHidden/>
              </w:rPr>
              <w:tab/>
            </w:r>
            <w:r w:rsidR="00106FEC">
              <w:rPr>
                <w:noProof/>
                <w:webHidden/>
              </w:rPr>
              <w:fldChar w:fldCharType="begin"/>
            </w:r>
            <w:r w:rsidR="00106FEC">
              <w:rPr>
                <w:noProof/>
                <w:webHidden/>
              </w:rPr>
              <w:instrText xml:space="preserve"> PAGEREF _Toc112069079 \h </w:instrText>
            </w:r>
            <w:r w:rsidR="00106FEC">
              <w:rPr>
                <w:noProof/>
                <w:webHidden/>
              </w:rPr>
            </w:r>
            <w:r w:rsidR="00106FEC">
              <w:rPr>
                <w:noProof/>
                <w:webHidden/>
              </w:rPr>
              <w:fldChar w:fldCharType="separate"/>
            </w:r>
            <w:r>
              <w:rPr>
                <w:noProof/>
                <w:webHidden/>
              </w:rPr>
              <w:t>46</w:t>
            </w:r>
            <w:r w:rsidR="00106FEC">
              <w:rPr>
                <w:noProof/>
                <w:webHidden/>
              </w:rPr>
              <w:fldChar w:fldCharType="end"/>
            </w:r>
          </w:hyperlink>
        </w:p>
        <w:p w14:paraId="1E587B9B" w14:textId="47506CAE" w:rsidR="00106FEC" w:rsidRDefault="00C719C3">
          <w:pPr>
            <w:pStyle w:val="Obsah2"/>
            <w:rPr>
              <w:rFonts w:asciiTheme="minorHAnsi" w:eastAsiaTheme="minorEastAsia" w:hAnsiTheme="minorHAnsi" w:cstheme="minorBidi"/>
              <w:noProof/>
              <w:sz w:val="22"/>
              <w:szCs w:val="22"/>
            </w:rPr>
          </w:pPr>
          <w:hyperlink w:anchor="_Toc112069080" w:history="1">
            <w:r w:rsidR="00106FEC" w:rsidRPr="007A4664">
              <w:rPr>
                <w:rStyle w:val="Hypertextovodkaz"/>
                <w:noProof/>
              </w:rPr>
              <w:t>2.9 Přestupy na víceletá gymnázia nebo osmileté konzervatoře</w:t>
            </w:r>
            <w:r w:rsidR="00106FEC">
              <w:rPr>
                <w:noProof/>
                <w:webHidden/>
              </w:rPr>
              <w:tab/>
            </w:r>
            <w:r w:rsidR="00106FEC">
              <w:rPr>
                <w:noProof/>
                <w:webHidden/>
              </w:rPr>
              <w:fldChar w:fldCharType="begin"/>
            </w:r>
            <w:r w:rsidR="00106FEC">
              <w:rPr>
                <w:noProof/>
                <w:webHidden/>
              </w:rPr>
              <w:instrText xml:space="preserve"> PAGEREF _Toc112069080 \h </w:instrText>
            </w:r>
            <w:r w:rsidR="00106FEC">
              <w:rPr>
                <w:noProof/>
                <w:webHidden/>
              </w:rPr>
            </w:r>
            <w:r w:rsidR="00106FEC">
              <w:rPr>
                <w:noProof/>
                <w:webHidden/>
              </w:rPr>
              <w:fldChar w:fldCharType="separate"/>
            </w:r>
            <w:r>
              <w:rPr>
                <w:noProof/>
                <w:webHidden/>
              </w:rPr>
              <w:t>48</w:t>
            </w:r>
            <w:r w:rsidR="00106FEC">
              <w:rPr>
                <w:noProof/>
                <w:webHidden/>
              </w:rPr>
              <w:fldChar w:fldCharType="end"/>
            </w:r>
          </w:hyperlink>
        </w:p>
        <w:p w14:paraId="438AB882" w14:textId="314A4902" w:rsidR="00106FEC" w:rsidRDefault="00C719C3">
          <w:pPr>
            <w:pStyle w:val="Obsah2"/>
            <w:rPr>
              <w:rFonts w:asciiTheme="minorHAnsi" w:eastAsiaTheme="minorEastAsia" w:hAnsiTheme="minorHAnsi" w:cstheme="minorBidi"/>
              <w:noProof/>
              <w:sz w:val="22"/>
              <w:szCs w:val="22"/>
            </w:rPr>
          </w:pPr>
          <w:hyperlink w:anchor="_Toc112069081" w:history="1">
            <w:r w:rsidR="00106FEC" w:rsidRPr="007A4664">
              <w:rPr>
                <w:rStyle w:val="Hypertextovodkaz"/>
                <w:noProof/>
              </w:rPr>
              <w:t>2.10 Žáci, kteří ukončili povinnou školní docházku</w:t>
            </w:r>
            <w:r w:rsidR="00106FEC">
              <w:rPr>
                <w:noProof/>
                <w:webHidden/>
              </w:rPr>
              <w:tab/>
            </w:r>
            <w:r w:rsidR="00106FEC">
              <w:rPr>
                <w:noProof/>
                <w:webHidden/>
              </w:rPr>
              <w:fldChar w:fldCharType="begin"/>
            </w:r>
            <w:r w:rsidR="00106FEC">
              <w:rPr>
                <w:noProof/>
                <w:webHidden/>
              </w:rPr>
              <w:instrText xml:space="preserve"> PAGEREF _Toc112069081 \h </w:instrText>
            </w:r>
            <w:r w:rsidR="00106FEC">
              <w:rPr>
                <w:noProof/>
                <w:webHidden/>
              </w:rPr>
            </w:r>
            <w:r w:rsidR="00106FEC">
              <w:rPr>
                <w:noProof/>
                <w:webHidden/>
              </w:rPr>
              <w:fldChar w:fldCharType="separate"/>
            </w:r>
            <w:r>
              <w:rPr>
                <w:noProof/>
                <w:webHidden/>
              </w:rPr>
              <w:t>50</w:t>
            </w:r>
            <w:r w:rsidR="00106FEC">
              <w:rPr>
                <w:noProof/>
                <w:webHidden/>
              </w:rPr>
              <w:fldChar w:fldCharType="end"/>
            </w:r>
          </w:hyperlink>
        </w:p>
        <w:p w14:paraId="3BD52CD7" w14:textId="62DD0155" w:rsidR="00106FEC" w:rsidRDefault="00C719C3">
          <w:pPr>
            <w:pStyle w:val="Obsah2"/>
            <w:rPr>
              <w:rFonts w:asciiTheme="minorHAnsi" w:eastAsiaTheme="minorEastAsia" w:hAnsiTheme="minorHAnsi" w:cstheme="minorBidi"/>
              <w:noProof/>
              <w:sz w:val="22"/>
              <w:szCs w:val="22"/>
            </w:rPr>
          </w:pPr>
          <w:hyperlink w:anchor="_Toc112069082" w:history="1">
            <w:r w:rsidR="00106FEC" w:rsidRPr="007A4664">
              <w:rPr>
                <w:rStyle w:val="Hypertextovodkaz"/>
                <w:noProof/>
              </w:rPr>
              <w:t>2.11 Žáci s cizím státním občanstvím na základních školách</w:t>
            </w:r>
            <w:r w:rsidR="00106FEC">
              <w:rPr>
                <w:noProof/>
                <w:webHidden/>
              </w:rPr>
              <w:tab/>
            </w:r>
            <w:r w:rsidR="00106FEC">
              <w:rPr>
                <w:noProof/>
                <w:webHidden/>
              </w:rPr>
              <w:fldChar w:fldCharType="begin"/>
            </w:r>
            <w:r w:rsidR="00106FEC">
              <w:rPr>
                <w:noProof/>
                <w:webHidden/>
              </w:rPr>
              <w:instrText xml:space="preserve"> PAGEREF _Toc112069082 \h </w:instrText>
            </w:r>
            <w:r w:rsidR="00106FEC">
              <w:rPr>
                <w:noProof/>
                <w:webHidden/>
              </w:rPr>
            </w:r>
            <w:r w:rsidR="00106FEC">
              <w:rPr>
                <w:noProof/>
                <w:webHidden/>
              </w:rPr>
              <w:fldChar w:fldCharType="separate"/>
            </w:r>
            <w:r>
              <w:rPr>
                <w:noProof/>
                <w:webHidden/>
              </w:rPr>
              <w:t>52</w:t>
            </w:r>
            <w:r w:rsidR="00106FEC">
              <w:rPr>
                <w:noProof/>
                <w:webHidden/>
              </w:rPr>
              <w:fldChar w:fldCharType="end"/>
            </w:r>
          </w:hyperlink>
        </w:p>
        <w:p w14:paraId="7C26173B" w14:textId="496A9AF6" w:rsidR="00106FEC" w:rsidRDefault="00C719C3">
          <w:pPr>
            <w:pStyle w:val="Obsah2"/>
            <w:rPr>
              <w:rFonts w:asciiTheme="minorHAnsi" w:eastAsiaTheme="minorEastAsia" w:hAnsiTheme="minorHAnsi" w:cstheme="minorBidi"/>
              <w:noProof/>
              <w:sz w:val="22"/>
              <w:szCs w:val="22"/>
            </w:rPr>
          </w:pPr>
          <w:hyperlink w:anchor="_Toc112069083" w:history="1">
            <w:r w:rsidR="00106FEC" w:rsidRPr="007A4664">
              <w:rPr>
                <w:rStyle w:val="Hypertextovodkaz"/>
                <w:noProof/>
              </w:rPr>
              <w:t>2.12 Žáci na základních školách se zdravotním postižením</w:t>
            </w:r>
            <w:r w:rsidR="00106FEC">
              <w:rPr>
                <w:noProof/>
                <w:webHidden/>
              </w:rPr>
              <w:tab/>
            </w:r>
            <w:r w:rsidR="00106FEC">
              <w:rPr>
                <w:noProof/>
                <w:webHidden/>
              </w:rPr>
              <w:fldChar w:fldCharType="begin"/>
            </w:r>
            <w:r w:rsidR="00106FEC">
              <w:rPr>
                <w:noProof/>
                <w:webHidden/>
              </w:rPr>
              <w:instrText xml:space="preserve"> PAGEREF _Toc112069083 \h </w:instrText>
            </w:r>
            <w:r w:rsidR="00106FEC">
              <w:rPr>
                <w:noProof/>
                <w:webHidden/>
              </w:rPr>
            </w:r>
            <w:r w:rsidR="00106FEC">
              <w:rPr>
                <w:noProof/>
                <w:webHidden/>
              </w:rPr>
              <w:fldChar w:fldCharType="separate"/>
            </w:r>
            <w:r>
              <w:rPr>
                <w:noProof/>
                <w:webHidden/>
              </w:rPr>
              <w:t>56</w:t>
            </w:r>
            <w:r w:rsidR="00106FEC">
              <w:rPr>
                <w:noProof/>
                <w:webHidden/>
              </w:rPr>
              <w:fldChar w:fldCharType="end"/>
            </w:r>
          </w:hyperlink>
        </w:p>
        <w:p w14:paraId="5C563E8C" w14:textId="1D11D827" w:rsidR="00106FEC" w:rsidRDefault="00C719C3">
          <w:pPr>
            <w:pStyle w:val="Obsah1"/>
            <w:rPr>
              <w:rFonts w:asciiTheme="minorHAnsi" w:eastAsiaTheme="minorEastAsia" w:hAnsiTheme="minorHAnsi" w:cstheme="minorBidi"/>
              <w:noProof/>
              <w:sz w:val="22"/>
              <w:szCs w:val="22"/>
            </w:rPr>
          </w:pPr>
          <w:hyperlink w:anchor="_Toc112069084" w:history="1">
            <w:r w:rsidR="00106FEC" w:rsidRPr="007A4664">
              <w:rPr>
                <w:rStyle w:val="Hypertextovodkaz"/>
                <w:noProof/>
              </w:rPr>
              <w:t>3. Střední školy</w:t>
            </w:r>
            <w:r w:rsidR="00106FEC">
              <w:rPr>
                <w:noProof/>
                <w:webHidden/>
              </w:rPr>
              <w:tab/>
            </w:r>
            <w:r w:rsidR="00106FEC">
              <w:rPr>
                <w:noProof/>
                <w:webHidden/>
              </w:rPr>
              <w:fldChar w:fldCharType="begin"/>
            </w:r>
            <w:r w:rsidR="00106FEC">
              <w:rPr>
                <w:noProof/>
                <w:webHidden/>
              </w:rPr>
              <w:instrText xml:space="preserve"> PAGEREF _Toc112069084 \h </w:instrText>
            </w:r>
            <w:r w:rsidR="00106FEC">
              <w:rPr>
                <w:noProof/>
                <w:webHidden/>
              </w:rPr>
            </w:r>
            <w:r w:rsidR="00106FEC">
              <w:rPr>
                <w:noProof/>
                <w:webHidden/>
              </w:rPr>
              <w:fldChar w:fldCharType="separate"/>
            </w:r>
            <w:r>
              <w:rPr>
                <w:noProof/>
                <w:webHidden/>
              </w:rPr>
              <w:t>59</w:t>
            </w:r>
            <w:r w:rsidR="00106FEC">
              <w:rPr>
                <w:noProof/>
                <w:webHidden/>
              </w:rPr>
              <w:fldChar w:fldCharType="end"/>
            </w:r>
          </w:hyperlink>
        </w:p>
        <w:p w14:paraId="73AA7479" w14:textId="58522A5F" w:rsidR="00106FEC" w:rsidRDefault="00C719C3">
          <w:pPr>
            <w:pStyle w:val="Obsah2"/>
            <w:rPr>
              <w:rFonts w:asciiTheme="minorHAnsi" w:eastAsiaTheme="minorEastAsia" w:hAnsiTheme="minorHAnsi" w:cstheme="minorBidi"/>
              <w:noProof/>
              <w:sz w:val="22"/>
              <w:szCs w:val="22"/>
            </w:rPr>
          </w:pPr>
          <w:hyperlink w:anchor="_Toc112069085" w:history="1">
            <w:r w:rsidR="00106FEC" w:rsidRPr="007A4664">
              <w:rPr>
                <w:rStyle w:val="Hypertextovodkaz"/>
                <w:noProof/>
              </w:rPr>
              <w:t>3.1 Školy, žáci a učitelé celkem</w:t>
            </w:r>
            <w:r w:rsidR="00106FEC">
              <w:rPr>
                <w:noProof/>
                <w:webHidden/>
              </w:rPr>
              <w:tab/>
            </w:r>
            <w:r w:rsidR="00106FEC">
              <w:rPr>
                <w:noProof/>
                <w:webHidden/>
              </w:rPr>
              <w:fldChar w:fldCharType="begin"/>
            </w:r>
            <w:r w:rsidR="00106FEC">
              <w:rPr>
                <w:noProof/>
                <w:webHidden/>
              </w:rPr>
              <w:instrText xml:space="preserve"> PAGEREF _Toc112069085 \h </w:instrText>
            </w:r>
            <w:r w:rsidR="00106FEC">
              <w:rPr>
                <w:noProof/>
                <w:webHidden/>
              </w:rPr>
            </w:r>
            <w:r w:rsidR="00106FEC">
              <w:rPr>
                <w:noProof/>
                <w:webHidden/>
              </w:rPr>
              <w:fldChar w:fldCharType="separate"/>
            </w:r>
            <w:r>
              <w:rPr>
                <w:noProof/>
                <w:webHidden/>
              </w:rPr>
              <w:t>60</w:t>
            </w:r>
            <w:r w:rsidR="00106FEC">
              <w:rPr>
                <w:noProof/>
                <w:webHidden/>
              </w:rPr>
              <w:fldChar w:fldCharType="end"/>
            </w:r>
          </w:hyperlink>
        </w:p>
        <w:p w14:paraId="6D432A35" w14:textId="533869A8" w:rsidR="00106FEC" w:rsidRDefault="00C719C3">
          <w:pPr>
            <w:pStyle w:val="Obsah2"/>
            <w:rPr>
              <w:rFonts w:asciiTheme="minorHAnsi" w:eastAsiaTheme="minorEastAsia" w:hAnsiTheme="minorHAnsi" w:cstheme="minorBidi"/>
              <w:noProof/>
              <w:sz w:val="22"/>
              <w:szCs w:val="22"/>
            </w:rPr>
          </w:pPr>
          <w:hyperlink w:anchor="_Toc112069086" w:history="1">
            <w:r w:rsidR="00106FEC" w:rsidRPr="007A4664">
              <w:rPr>
                <w:rStyle w:val="Hypertextovodkaz"/>
                <w:noProof/>
              </w:rPr>
              <w:t>3.2 Žáci středních škol dle druhů a oborů vzdělávání</w:t>
            </w:r>
            <w:r w:rsidR="00106FEC">
              <w:rPr>
                <w:noProof/>
                <w:webHidden/>
              </w:rPr>
              <w:tab/>
            </w:r>
            <w:r w:rsidR="00106FEC">
              <w:rPr>
                <w:noProof/>
                <w:webHidden/>
              </w:rPr>
              <w:fldChar w:fldCharType="begin"/>
            </w:r>
            <w:r w:rsidR="00106FEC">
              <w:rPr>
                <w:noProof/>
                <w:webHidden/>
              </w:rPr>
              <w:instrText xml:space="preserve"> PAGEREF _Toc112069086 \h </w:instrText>
            </w:r>
            <w:r w:rsidR="00106FEC">
              <w:rPr>
                <w:noProof/>
                <w:webHidden/>
              </w:rPr>
            </w:r>
            <w:r w:rsidR="00106FEC">
              <w:rPr>
                <w:noProof/>
                <w:webHidden/>
              </w:rPr>
              <w:fldChar w:fldCharType="separate"/>
            </w:r>
            <w:r>
              <w:rPr>
                <w:noProof/>
                <w:webHidden/>
              </w:rPr>
              <w:t>63</w:t>
            </w:r>
            <w:r w:rsidR="00106FEC">
              <w:rPr>
                <w:noProof/>
                <w:webHidden/>
              </w:rPr>
              <w:fldChar w:fldCharType="end"/>
            </w:r>
          </w:hyperlink>
        </w:p>
        <w:p w14:paraId="44B734F4" w14:textId="7180D25F" w:rsidR="00106FEC" w:rsidRDefault="00C719C3">
          <w:pPr>
            <w:pStyle w:val="Obsah2"/>
            <w:rPr>
              <w:rFonts w:asciiTheme="minorHAnsi" w:eastAsiaTheme="minorEastAsia" w:hAnsiTheme="minorHAnsi" w:cstheme="minorBidi"/>
              <w:noProof/>
              <w:sz w:val="22"/>
              <w:szCs w:val="22"/>
            </w:rPr>
          </w:pPr>
          <w:hyperlink w:anchor="_Toc112069087" w:history="1">
            <w:r w:rsidR="00106FEC" w:rsidRPr="007A4664">
              <w:rPr>
                <w:rStyle w:val="Hypertextovodkaz"/>
                <w:noProof/>
              </w:rPr>
              <w:t>3.3 Žáci středních škol dle zdravotního postižení a integrace</w:t>
            </w:r>
            <w:r w:rsidR="00106FEC">
              <w:rPr>
                <w:noProof/>
                <w:webHidden/>
              </w:rPr>
              <w:tab/>
            </w:r>
            <w:r w:rsidR="00106FEC">
              <w:rPr>
                <w:noProof/>
                <w:webHidden/>
              </w:rPr>
              <w:fldChar w:fldCharType="begin"/>
            </w:r>
            <w:r w:rsidR="00106FEC">
              <w:rPr>
                <w:noProof/>
                <w:webHidden/>
              </w:rPr>
              <w:instrText xml:space="preserve"> PAGEREF _Toc112069087 \h </w:instrText>
            </w:r>
            <w:r w:rsidR="00106FEC">
              <w:rPr>
                <w:noProof/>
                <w:webHidden/>
              </w:rPr>
            </w:r>
            <w:r w:rsidR="00106FEC">
              <w:rPr>
                <w:noProof/>
                <w:webHidden/>
              </w:rPr>
              <w:fldChar w:fldCharType="separate"/>
            </w:r>
            <w:r>
              <w:rPr>
                <w:noProof/>
                <w:webHidden/>
              </w:rPr>
              <w:t>72</w:t>
            </w:r>
            <w:r w:rsidR="00106FEC">
              <w:rPr>
                <w:noProof/>
                <w:webHidden/>
              </w:rPr>
              <w:fldChar w:fldCharType="end"/>
            </w:r>
          </w:hyperlink>
        </w:p>
        <w:p w14:paraId="43775EAA" w14:textId="61D9DDA1" w:rsidR="00106FEC" w:rsidRDefault="00C719C3">
          <w:pPr>
            <w:pStyle w:val="Obsah2"/>
            <w:rPr>
              <w:rFonts w:asciiTheme="minorHAnsi" w:eastAsiaTheme="minorEastAsia" w:hAnsiTheme="minorHAnsi" w:cstheme="minorBidi"/>
              <w:noProof/>
              <w:sz w:val="22"/>
              <w:szCs w:val="22"/>
            </w:rPr>
          </w:pPr>
          <w:hyperlink w:anchor="_Toc112069088" w:history="1">
            <w:r w:rsidR="00106FEC" w:rsidRPr="007A4664">
              <w:rPr>
                <w:rStyle w:val="Hypertextovodkaz"/>
                <w:noProof/>
              </w:rPr>
              <w:t>3.4 Žáci středních škol dle státní příslušnosti</w:t>
            </w:r>
            <w:r w:rsidR="00106FEC">
              <w:rPr>
                <w:noProof/>
                <w:webHidden/>
              </w:rPr>
              <w:tab/>
            </w:r>
            <w:r w:rsidR="00106FEC">
              <w:rPr>
                <w:noProof/>
                <w:webHidden/>
              </w:rPr>
              <w:fldChar w:fldCharType="begin"/>
            </w:r>
            <w:r w:rsidR="00106FEC">
              <w:rPr>
                <w:noProof/>
                <w:webHidden/>
              </w:rPr>
              <w:instrText xml:space="preserve"> PAGEREF _Toc112069088 \h </w:instrText>
            </w:r>
            <w:r w:rsidR="00106FEC">
              <w:rPr>
                <w:noProof/>
                <w:webHidden/>
              </w:rPr>
            </w:r>
            <w:r w:rsidR="00106FEC">
              <w:rPr>
                <w:noProof/>
                <w:webHidden/>
              </w:rPr>
              <w:fldChar w:fldCharType="separate"/>
            </w:r>
            <w:r>
              <w:rPr>
                <w:noProof/>
                <w:webHidden/>
              </w:rPr>
              <w:t>75</w:t>
            </w:r>
            <w:r w:rsidR="00106FEC">
              <w:rPr>
                <w:noProof/>
                <w:webHidden/>
              </w:rPr>
              <w:fldChar w:fldCharType="end"/>
            </w:r>
          </w:hyperlink>
        </w:p>
        <w:p w14:paraId="55777A6C" w14:textId="050C717C" w:rsidR="00106FEC" w:rsidRDefault="00C719C3">
          <w:pPr>
            <w:pStyle w:val="Obsah1"/>
            <w:rPr>
              <w:rFonts w:asciiTheme="minorHAnsi" w:eastAsiaTheme="minorEastAsia" w:hAnsiTheme="minorHAnsi" w:cstheme="minorBidi"/>
              <w:noProof/>
              <w:sz w:val="22"/>
              <w:szCs w:val="22"/>
            </w:rPr>
          </w:pPr>
          <w:hyperlink w:anchor="_Toc112069089" w:history="1">
            <w:r w:rsidR="00106FEC" w:rsidRPr="007A4664">
              <w:rPr>
                <w:rStyle w:val="Hypertextovodkaz"/>
                <w:noProof/>
              </w:rPr>
              <w:t>4. Konzervatoře</w:t>
            </w:r>
            <w:r w:rsidR="00106FEC">
              <w:rPr>
                <w:noProof/>
                <w:webHidden/>
              </w:rPr>
              <w:tab/>
            </w:r>
            <w:r w:rsidR="00106FEC">
              <w:rPr>
                <w:noProof/>
                <w:webHidden/>
              </w:rPr>
              <w:fldChar w:fldCharType="begin"/>
            </w:r>
            <w:r w:rsidR="00106FEC">
              <w:rPr>
                <w:noProof/>
                <w:webHidden/>
              </w:rPr>
              <w:instrText xml:space="preserve"> PAGEREF _Toc112069089 \h </w:instrText>
            </w:r>
            <w:r w:rsidR="00106FEC">
              <w:rPr>
                <w:noProof/>
                <w:webHidden/>
              </w:rPr>
            </w:r>
            <w:r w:rsidR="00106FEC">
              <w:rPr>
                <w:noProof/>
                <w:webHidden/>
              </w:rPr>
              <w:fldChar w:fldCharType="separate"/>
            </w:r>
            <w:r>
              <w:rPr>
                <w:noProof/>
                <w:webHidden/>
              </w:rPr>
              <w:t>78</w:t>
            </w:r>
            <w:r w:rsidR="00106FEC">
              <w:rPr>
                <w:noProof/>
                <w:webHidden/>
              </w:rPr>
              <w:fldChar w:fldCharType="end"/>
            </w:r>
          </w:hyperlink>
        </w:p>
        <w:p w14:paraId="63A052D4" w14:textId="0D1561BD" w:rsidR="00106FEC" w:rsidRDefault="00C719C3">
          <w:pPr>
            <w:pStyle w:val="Obsah1"/>
            <w:rPr>
              <w:rFonts w:asciiTheme="minorHAnsi" w:eastAsiaTheme="minorEastAsia" w:hAnsiTheme="minorHAnsi" w:cstheme="minorBidi"/>
              <w:noProof/>
              <w:sz w:val="22"/>
              <w:szCs w:val="22"/>
            </w:rPr>
          </w:pPr>
          <w:hyperlink w:anchor="_Toc112069090" w:history="1">
            <w:r w:rsidR="00106FEC" w:rsidRPr="007A4664">
              <w:rPr>
                <w:rStyle w:val="Hypertextovodkaz"/>
                <w:noProof/>
              </w:rPr>
              <w:t>5. Vyšší odborné školy</w:t>
            </w:r>
            <w:r w:rsidR="00106FEC">
              <w:rPr>
                <w:noProof/>
                <w:webHidden/>
              </w:rPr>
              <w:tab/>
            </w:r>
            <w:r w:rsidR="00106FEC">
              <w:rPr>
                <w:noProof/>
                <w:webHidden/>
              </w:rPr>
              <w:fldChar w:fldCharType="begin"/>
            </w:r>
            <w:r w:rsidR="00106FEC">
              <w:rPr>
                <w:noProof/>
                <w:webHidden/>
              </w:rPr>
              <w:instrText xml:space="preserve"> PAGEREF _Toc112069090 \h </w:instrText>
            </w:r>
            <w:r w:rsidR="00106FEC">
              <w:rPr>
                <w:noProof/>
                <w:webHidden/>
              </w:rPr>
            </w:r>
            <w:r w:rsidR="00106FEC">
              <w:rPr>
                <w:noProof/>
                <w:webHidden/>
              </w:rPr>
              <w:fldChar w:fldCharType="separate"/>
            </w:r>
            <w:r>
              <w:rPr>
                <w:noProof/>
                <w:webHidden/>
              </w:rPr>
              <w:t>82</w:t>
            </w:r>
            <w:r w:rsidR="00106FEC">
              <w:rPr>
                <w:noProof/>
                <w:webHidden/>
              </w:rPr>
              <w:fldChar w:fldCharType="end"/>
            </w:r>
          </w:hyperlink>
        </w:p>
        <w:p w14:paraId="2D69BFCE" w14:textId="71C1AE76" w:rsidR="00510068" w:rsidRDefault="00510068">
          <w:r>
            <w:rPr>
              <w:b/>
              <w:bCs/>
            </w:rPr>
            <w:fldChar w:fldCharType="end"/>
          </w:r>
        </w:p>
      </w:sdtContent>
    </w:sdt>
    <w:p w14:paraId="4E84030A" w14:textId="21A66626" w:rsidR="002D23AB" w:rsidRPr="002D23AB" w:rsidRDefault="002D23AB" w:rsidP="002D23AB">
      <w:pPr>
        <w:spacing w:after="0"/>
        <w:rPr>
          <w:b/>
          <w:bCs/>
          <w:color w:val="C00000"/>
          <w:sz w:val="32"/>
          <w:szCs w:val="28"/>
        </w:rPr>
      </w:pPr>
      <w:r>
        <w:br w:type="page"/>
      </w:r>
    </w:p>
    <w:p w14:paraId="11DA17B7" w14:textId="43F75736" w:rsidR="00A67C12" w:rsidRPr="002D23AB" w:rsidRDefault="00A67C12" w:rsidP="002D23AB">
      <w:pPr>
        <w:pStyle w:val="Nadpis1"/>
      </w:pPr>
      <w:bookmarkStart w:id="1" w:name="_Toc112069065"/>
      <w:r w:rsidRPr="002D23AB">
        <w:lastRenderedPageBreak/>
        <w:t>1. Předškolní vzdělávání</w:t>
      </w:r>
      <w:bookmarkEnd w:id="1"/>
    </w:p>
    <w:p w14:paraId="1CD0C71E" w14:textId="1A32B81B" w:rsidR="00A20649" w:rsidRDefault="00205D2D" w:rsidP="00A67C12">
      <w:pPr>
        <w:spacing w:after="120"/>
        <w:jc w:val="both"/>
      </w:pPr>
      <w:r>
        <w:rPr>
          <w:rFonts w:cs="Arial"/>
          <w:szCs w:val="20"/>
        </w:rPr>
        <w:t>Úlohou</w:t>
      </w:r>
      <w:r w:rsidR="00A67C12">
        <w:rPr>
          <w:rFonts w:cs="Arial"/>
          <w:szCs w:val="20"/>
        </w:rPr>
        <w:t xml:space="preserve"> p</w:t>
      </w:r>
      <w:r w:rsidR="00A67C12" w:rsidRPr="00BE0FF9">
        <w:rPr>
          <w:rFonts w:cs="Arial"/>
          <w:szCs w:val="20"/>
        </w:rPr>
        <w:t>ředškolní</w:t>
      </w:r>
      <w:r w:rsidR="00A67C12">
        <w:rPr>
          <w:rFonts w:cs="Arial"/>
          <w:szCs w:val="20"/>
        </w:rPr>
        <w:t>ho</w:t>
      </w:r>
      <w:r w:rsidR="00A67C12" w:rsidRPr="00BE0FF9">
        <w:rPr>
          <w:rFonts w:cs="Arial"/>
          <w:szCs w:val="20"/>
        </w:rPr>
        <w:t xml:space="preserve"> vzdělávání </w:t>
      </w:r>
      <w:r>
        <w:rPr>
          <w:rFonts w:cs="Arial"/>
          <w:szCs w:val="20"/>
        </w:rPr>
        <w:t>je d</w:t>
      </w:r>
      <w:r w:rsidRPr="00205D2D">
        <w:rPr>
          <w:rFonts w:cs="Arial"/>
          <w:szCs w:val="20"/>
        </w:rPr>
        <w:t>oplňovat a podporovat rodinnou výchovu a v úzké vazbě na ni pomáhat zajistit dítěti prostředí s dostatkem mnohostranných a přiměřených podnětů k jeho aktivnímu rozvoji a učení.</w:t>
      </w:r>
      <w:r w:rsidR="00A67C12" w:rsidRPr="00BE0FF9">
        <w:rPr>
          <w:rFonts w:cs="Arial"/>
          <w:szCs w:val="20"/>
        </w:rPr>
        <w:t xml:space="preserve"> </w:t>
      </w:r>
      <w:r w:rsidR="000459D5">
        <w:rPr>
          <w:rFonts w:cs="Arial"/>
          <w:szCs w:val="20"/>
        </w:rPr>
        <w:t xml:space="preserve">Spolu s rodinou má </w:t>
      </w:r>
      <w:r w:rsidR="000459D5">
        <w:t>klíčový vliv na další začlenění dítěte do společnosti a budoucí školní úspěch. Velice důležitý je tento stupeň vzdělávání v práci s rodinami ze sociálně znevýhodněného prostředí, neboť zásadním způsobem napomáhá v</w:t>
      </w:r>
      <w:r w:rsidR="00FA3640">
        <w:t> </w:t>
      </w:r>
      <w:r w:rsidR="000459D5">
        <w:t>socializaci</w:t>
      </w:r>
      <w:r w:rsidR="00FA3640">
        <w:t xml:space="preserve"> dětí z těchto rodin</w:t>
      </w:r>
      <w:r w:rsidR="000459D5">
        <w:t xml:space="preserve">. </w:t>
      </w:r>
    </w:p>
    <w:p w14:paraId="76CC7136" w14:textId="74114D41" w:rsidR="00A67C12" w:rsidRPr="00A20649" w:rsidRDefault="00A20649" w:rsidP="00A67C12">
      <w:pPr>
        <w:spacing w:after="120"/>
        <w:jc w:val="both"/>
      </w:pPr>
      <w:r>
        <w:t xml:space="preserve">Dále v analýze se budeme zabývat pouze takovými institucemi předškolního vzdělávání, </w:t>
      </w:r>
      <w:r w:rsidRPr="00A20649">
        <w:t>kterým byl udělen tzv. resortní identifikátor právnické osoby (RED_IZO</w:t>
      </w:r>
      <w:r>
        <w:t>) a které jsou tudíž vedené</w:t>
      </w:r>
      <w:r w:rsidRPr="00A20649">
        <w:t xml:space="preserve"> v rejstříku š</w:t>
      </w:r>
      <w:r>
        <w:t>kol a školských zařízení</w:t>
      </w:r>
      <w:r w:rsidRPr="00A20649">
        <w:t xml:space="preserve"> podle § 144/1a školského zákona</w:t>
      </w:r>
      <w:r w:rsidR="00D80BF8">
        <w:rPr>
          <w:rStyle w:val="Znakapoznpodarou"/>
        </w:rPr>
        <w:footnoteReference w:id="1"/>
      </w:r>
      <w:r w:rsidRPr="00A20649">
        <w:t>.  Nespadají sem např. dětské skupiny či kluby, popř. i mateřské školy, které se nezaregistrovaly do rejstříku škol a školských zařízení a nemají tudíž oprávnění poskytovat vzdělávání v rámci povinné předškolní přípravy</w:t>
      </w:r>
      <w:r w:rsidR="00B130C2">
        <w:rPr>
          <w:rStyle w:val="Znakapoznpodarou"/>
        </w:rPr>
        <w:footnoteReference w:id="2"/>
      </w:r>
      <w:r>
        <w:t xml:space="preserve">. </w:t>
      </w:r>
      <w:r w:rsidR="00960A67">
        <w:t>Š</w:t>
      </w:r>
      <w:r>
        <w:t xml:space="preserve">koly </w:t>
      </w:r>
      <w:r w:rsidR="00960A67">
        <w:t xml:space="preserve">s právem poskytování povinné předškolní přípravy pak </w:t>
      </w:r>
      <w:r>
        <w:t>je možné dělit na</w:t>
      </w:r>
      <w:r w:rsidR="00A67C12" w:rsidRPr="00BE0FF9">
        <w:rPr>
          <w:rFonts w:cs="Arial"/>
          <w:szCs w:val="20"/>
        </w:rPr>
        <w:t xml:space="preserve"> mateřské školy, dále pak přípravné třídy </w:t>
      </w:r>
      <w:r>
        <w:rPr>
          <w:rFonts w:cs="Arial"/>
          <w:szCs w:val="20"/>
        </w:rPr>
        <w:t xml:space="preserve">základních škol </w:t>
      </w:r>
      <w:r w:rsidR="00A67C12" w:rsidRPr="00BE0FF9">
        <w:rPr>
          <w:rFonts w:cs="Arial"/>
          <w:szCs w:val="20"/>
        </w:rPr>
        <w:t>a přípravný stupeň základních škol speciálních.</w:t>
      </w:r>
      <w:r w:rsidR="00A67C12">
        <w:rPr>
          <w:rFonts w:cs="Arial"/>
          <w:szCs w:val="20"/>
        </w:rPr>
        <w:t xml:space="preserve"> </w:t>
      </w:r>
      <w:r>
        <w:rPr>
          <w:rFonts w:cs="Arial"/>
          <w:szCs w:val="20"/>
        </w:rPr>
        <w:t>Celkově takové instituce navštěvovalo</w:t>
      </w:r>
      <w:r w:rsidR="00924243">
        <w:rPr>
          <w:rFonts w:cs="Arial"/>
          <w:szCs w:val="20"/>
        </w:rPr>
        <w:t xml:space="preserve"> ve školním roce 2021/22</w:t>
      </w:r>
      <w:r w:rsidR="00A67C12" w:rsidRPr="00BE0FF9">
        <w:rPr>
          <w:rFonts w:cs="Arial"/>
          <w:szCs w:val="20"/>
        </w:rPr>
        <w:t xml:space="preserve"> celkem </w:t>
      </w:r>
      <w:r w:rsidR="00F85073">
        <w:rPr>
          <w:rFonts w:cs="Arial"/>
          <w:szCs w:val="20"/>
        </w:rPr>
        <w:t>365 982</w:t>
      </w:r>
      <w:r w:rsidR="00D765E4">
        <w:rPr>
          <w:rFonts w:cs="Arial"/>
          <w:szCs w:val="20"/>
        </w:rPr>
        <w:t xml:space="preserve"> </w:t>
      </w:r>
      <w:r w:rsidR="00A67C12" w:rsidRPr="00BE0FF9">
        <w:rPr>
          <w:rFonts w:cs="Arial"/>
          <w:szCs w:val="20"/>
        </w:rPr>
        <w:t>dětí, z</w:t>
      </w:r>
      <w:r w:rsidR="00B375FB">
        <w:rPr>
          <w:rFonts w:cs="Arial"/>
          <w:szCs w:val="20"/>
        </w:rPr>
        <w:t> </w:t>
      </w:r>
      <w:r w:rsidR="00A67C12" w:rsidRPr="00BE0FF9">
        <w:rPr>
          <w:rFonts w:cs="Arial"/>
          <w:szCs w:val="20"/>
        </w:rPr>
        <w:t xml:space="preserve">toho </w:t>
      </w:r>
      <w:r>
        <w:rPr>
          <w:rFonts w:cs="Arial"/>
          <w:szCs w:val="20"/>
        </w:rPr>
        <w:t xml:space="preserve">byla </w:t>
      </w:r>
      <w:r w:rsidR="00A67C12" w:rsidRPr="00BE0FF9">
        <w:rPr>
          <w:rFonts w:cs="Arial"/>
          <w:szCs w:val="20"/>
        </w:rPr>
        <w:t>vě</w:t>
      </w:r>
      <w:r w:rsidR="00F85073">
        <w:rPr>
          <w:rFonts w:cs="Arial"/>
          <w:szCs w:val="20"/>
        </w:rPr>
        <w:t xml:space="preserve">tšina </w:t>
      </w:r>
      <w:r>
        <w:rPr>
          <w:rFonts w:cs="Arial"/>
          <w:szCs w:val="20"/>
        </w:rPr>
        <w:t xml:space="preserve">zapsána </w:t>
      </w:r>
      <w:r w:rsidR="00F85073">
        <w:rPr>
          <w:rFonts w:cs="Arial"/>
          <w:szCs w:val="20"/>
        </w:rPr>
        <w:t>v mateřských školách (98,5</w:t>
      </w:r>
      <w:r w:rsidR="00A67C12" w:rsidRPr="00BE0FF9">
        <w:rPr>
          <w:rFonts w:cs="Arial"/>
          <w:szCs w:val="20"/>
        </w:rPr>
        <w:t xml:space="preserve"> %, </w:t>
      </w:r>
      <w:r w:rsidR="00F85073" w:rsidRPr="00F85073">
        <w:rPr>
          <w:rFonts w:cs="Arial"/>
          <w:szCs w:val="20"/>
        </w:rPr>
        <w:t>360</w:t>
      </w:r>
      <w:r w:rsidR="00D9514C">
        <w:rPr>
          <w:rFonts w:cs="Arial"/>
          <w:szCs w:val="20"/>
        </w:rPr>
        <w:t> </w:t>
      </w:r>
      <w:r w:rsidR="00F85073" w:rsidRPr="00F85073">
        <w:rPr>
          <w:rFonts w:cs="Arial"/>
          <w:szCs w:val="20"/>
        </w:rPr>
        <w:t>490</w:t>
      </w:r>
      <w:r w:rsidR="00223CFB" w:rsidRPr="00223CFB">
        <w:rPr>
          <w:rFonts w:cs="Arial"/>
          <w:szCs w:val="20"/>
        </w:rPr>
        <w:t xml:space="preserve"> </w:t>
      </w:r>
      <w:r w:rsidR="00A67C12" w:rsidRPr="00BE0FF9">
        <w:rPr>
          <w:rFonts w:cs="Arial"/>
          <w:szCs w:val="20"/>
        </w:rPr>
        <w:t>dětí), zbytek docházel do přípravných tříd základních škol (</w:t>
      </w:r>
      <w:r w:rsidR="00F85073" w:rsidRPr="00F85073">
        <w:rPr>
          <w:rFonts w:cs="Arial"/>
          <w:szCs w:val="20"/>
        </w:rPr>
        <w:t>5</w:t>
      </w:r>
      <w:r w:rsidR="00F85073">
        <w:rPr>
          <w:rFonts w:cs="Arial"/>
          <w:szCs w:val="20"/>
        </w:rPr>
        <w:t> </w:t>
      </w:r>
      <w:r w:rsidR="00F85073" w:rsidRPr="00F85073">
        <w:rPr>
          <w:rFonts w:cs="Arial"/>
          <w:szCs w:val="20"/>
        </w:rPr>
        <w:t>282</w:t>
      </w:r>
      <w:r w:rsidR="00A67C12" w:rsidRPr="00BE0FF9">
        <w:rPr>
          <w:rFonts w:cs="Arial"/>
          <w:szCs w:val="20"/>
        </w:rPr>
        <w:t xml:space="preserve"> dětí) nebo do přípravného stupně základních škol speciálních </w:t>
      </w:r>
      <w:r w:rsidR="00F85073">
        <w:rPr>
          <w:rFonts w:cs="Arial"/>
          <w:szCs w:val="20"/>
        </w:rPr>
        <w:t>(210</w:t>
      </w:r>
      <w:r w:rsidR="00A67C12" w:rsidRPr="00BE0FF9">
        <w:rPr>
          <w:rFonts w:cs="Arial"/>
          <w:szCs w:val="20"/>
        </w:rPr>
        <w:t xml:space="preserve"> dětí).</w:t>
      </w:r>
    </w:p>
    <w:p w14:paraId="1C202B7E" w14:textId="77777777" w:rsidR="00A67C12" w:rsidRPr="007D3898" w:rsidRDefault="00A67C12" w:rsidP="00F66871">
      <w:pPr>
        <w:pStyle w:val="Nadpis2"/>
        <w:spacing w:after="120"/>
        <w:rPr>
          <w:color w:val="FF0000"/>
          <w:sz w:val="24"/>
        </w:rPr>
      </w:pPr>
      <w:bookmarkStart w:id="2" w:name="_Toc112069066"/>
      <w:r>
        <w:t>1.1 Mateřské školy - š</w:t>
      </w:r>
      <w:r w:rsidRPr="00852DBD">
        <w:t>koly, třídy, učitelé a děti</w:t>
      </w:r>
      <w:bookmarkEnd w:id="2"/>
      <w:r>
        <w:t xml:space="preserve"> </w:t>
      </w:r>
    </w:p>
    <w:p w14:paraId="19313274" w14:textId="68A3747C" w:rsidR="00A67C12" w:rsidRPr="00095BD5" w:rsidRDefault="00D9514C" w:rsidP="00A67C12">
      <w:pPr>
        <w:spacing w:after="120"/>
        <w:jc w:val="both"/>
        <w:rPr>
          <w:rFonts w:cs="Arial"/>
          <w:szCs w:val="20"/>
        </w:rPr>
      </w:pPr>
      <w:r>
        <w:rPr>
          <w:rFonts w:cs="Arial"/>
          <w:szCs w:val="20"/>
        </w:rPr>
        <w:t>Ve školním roce 2021/22</w:t>
      </w:r>
      <w:r w:rsidR="00A67C12" w:rsidRPr="00095BD5">
        <w:rPr>
          <w:rFonts w:cs="Arial"/>
          <w:szCs w:val="20"/>
        </w:rPr>
        <w:t xml:space="preserve"> zajišťova</w:t>
      </w:r>
      <w:r w:rsidR="00607517">
        <w:rPr>
          <w:rFonts w:cs="Arial"/>
          <w:szCs w:val="20"/>
        </w:rPr>
        <w:t>lo předškolní vzdělávání v České republice</w:t>
      </w:r>
      <w:r w:rsidR="00A67C12" w:rsidRPr="00095BD5">
        <w:rPr>
          <w:rFonts w:cs="Arial"/>
          <w:szCs w:val="20"/>
        </w:rPr>
        <w:t xml:space="preserve"> celkem </w:t>
      </w:r>
      <w:r w:rsidR="00F85073">
        <w:rPr>
          <w:rFonts w:cs="Arial"/>
          <w:b/>
          <w:szCs w:val="20"/>
        </w:rPr>
        <w:t>5 349</w:t>
      </w:r>
      <w:r w:rsidR="00A67C12" w:rsidRPr="00095BD5">
        <w:rPr>
          <w:rFonts w:cs="Arial"/>
          <w:b/>
          <w:szCs w:val="20"/>
        </w:rPr>
        <w:t xml:space="preserve"> mateřských škol</w:t>
      </w:r>
      <w:r w:rsidR="00A20649">
        <w:rPr>
          <w:rFonts w:cs="Arial"/>
          <w:b/>
          <w:szCs w:val="20"/>
        </w:rPr>
        <w:t xml:space="preserve"> </w:t>
      </w:r>
      <w:r w:rsidR="00564B8A">
        <w:rPr>
          <w:rFonts w:cs="Arial"/>
          <w:szCs w:val="20"/>
        </w:rPr>
        <w:t>(pro vymezení viz úvod)</w:t>
      </w:r>
      <w:r w:rsidR="00A67C12" w:rsidRPr="00095BD5">
        <w:rPr>
          <w:rFonts w:cs="Arial"/>
          <w:szCs w:val="20"/>
        </w:rPr>
        <w:t xml:space="preserve">.  Většina </w:t>
      </w:r>
      <w:r w:rsidR="007417E5">
        <w:rPr>
          <w:rFonts w:cs="Arial"/>
          <w:szCs w:val="20"/>
        </w:rPr>
        <w:t>z nich byla</w:t>
      </w:r>
      <w:r w:rsidR="00A67C12">
        <w:rPr>
          <w:rFonts w:cs="Arial"/>
          <w:szCs w:val="20"/>
        </w:rPr>
        <w:t xml:space="preserve"> </w:t>
      </w:r>
      <w:r w:rsidR="007417E5">
        <w:rPr>
          <w:rFonts w:cs="Arial"/>
          <w:b/>
          <w:szCs w:val="20"/>
        </w:rPr>
        <w:t>veřejného zřizovatele</w:t>
      </w:r>
      <w:r w:rsidR="00A67C12" w:rsidRPr="002E5300">
        <w:rPr>
          <w:rFonts w:cs="Arial"/>
          <w:b/>
          <w:szCs w:val="20"/>
        </w:rPr>
        <w:t xml:space="preserve"> </w:t>
      </w:r>
      <w:r w:rsidR="00F85073">
        <w:rPr>
          <w:rFonts w:cs="Arial"/>
          <w:szCs w:val="20"/>
        </w:rPr>
        <w:t xml:space="preserve">(4 874, </w:t>
      </w:r>
      <w:r w:rsidR="009C161E">
        <w:rPr>
          <w:rFonts w:cs="Arial"/>
          <w:szCs w:val="20"/>
        </w:rPr>
        <w:t xml:space="preserve">tj. </w:t>
      </w:r>
      <w:r w:rsidR="00F85073">
        <w:rPr>
          <w:rFonts w:cs="Arial"/>
          <w:szCs w:val="20"/>
        </w:rPr>
        <w:t>91,1</w:t>
      </w:r>
      <w:r w:rsidR="00A67C12" w:rsidRPr="00095BD5">
        <w:rPr>
          <w:rFonts w:cs="Arial"/>
          <w:szCs w:val="20"/>
        </w:rPr>
        <w:t xml:space="preserve"> %). </w:t>
      </w:r>
      <w:r w:rsidR="00564B8A">
        <w:rPr>
          <w:rFonts w:cs="Arial"/>
          <w:szCs w:val="20"/>
        </w:rPr>
        <w:t>Jedná se téměř výhradně o </w:t>
      </w:r>
      <w:r w:rsidR="00A67C12" w:rsidRPr="00852DBD">
        <w:rPr>
          <w:rFonts w:cs="Arial"/>
          <w:szCs w:val="20"/>
        </w:rPr>
        <w:t>školy, jejich</w:t>
      </w:r>
      <w:r w:rsidR="00B30D77">
        <w:rPr>
          <w:rFonts w:cs="Arial"/>
          <w:szCs w:val="20"/>
        </w:rPr>
        <w:t>ž</w:t>
      </w:r>
      <w:r w:rsidR="00A67C12" w:rsidRPr="00852DBD">
        <w:rPr>
          <w:rFonts w:cs="Arial"/>
          <w:szCs w:val="20"/>
        </w:rPr>
        <w:t xml:space="preserve"> zřizovatelem </w:t>
      </w:r>
      <w:r w:rsidR="00644E4F">
        <w:rPr>
          <w:rFonts w:cs="Arial"/>
          <w:szCs w:val="20"/>
        </w:rPr>
        <w:t xml:space="preserve">je </w:t>
      </w:r>
      <w:r w:rsidR="00A67C12" w:rsidRPr="00852DBD">
        <w:rPr>
          <w:rFonts w:cs="Arial"/>
          <w:szCs w:val="20"/>
        </w:rPr>
        <w:t xml:space="preserve">obec či její místní část (např. </w:t>
      </w:r>
      <w:r w:rsidR="00F85073">
        <w:rPr>
          <w:rFonts w:cs="Arial"/>
          <w:szCs w:val="20"/>
        </w:rPr>
        <w:t>Praha 10), c</w:t>
      </w:r>
      <w:r w:rsidR="00443FCB">
        <w:rPr>
          <w:rFonts w:cs="Arial"/>
          <w:szCs w:val="20"/>
        </w:rPr>
        <w:t>elkem 4 782. V Česku existuje také </w:t>
      </w:r>
      <w:r w:rsidR="00F85073">
        <w:rPr>
          <w:rFonts w:cs="Arial"/>
          <w:szCs w:val="20"/>
        </w:rPr>
        <w:t>84</w:t>
      </w:r>
      <w:r w:rsidR="00564B8A">
        <w:rPr>
          <w:rFonts w:cs="Arial"/>
          <w:szCs w:val="20"/>
        </w:rPr>
        <w:t> </w:t>
      </w:r>
      <w:r w:rsidR="00A67C12" w:rsidRPr="00852DBD">
        <w:rPr>
          <w:rFonts w:cs="Arial"/>
          <w:szCs w:val="20"/>
        </w:rPr>
        <w:t xml:space="preserve">mateřských škol, kde jsou </w:t>
      </w:r>
      <w:r w:rsidR="006D02AC">
        <w:rPr>
          <w:rFonts w:cs="Arial"/>
          <w:szCs w:val="20"/>
        </w:rPr>
        <w:t>zřizovatelem jednotlivé kraje, sedm</w:t>
      </w:r>
      <w:r w:rsidR="00B375FB">
        <w:rPr>
          <w:rFonts w:cs="Arial"/>
          <w:szCs w:val="20"/>
        </w:rPr>
        <w:t> </w:t>
      </w:r>
      <w:r w:rsidR="006D02AC">
        <w:rPr>
          <w:rFonts w:cs="Arial"/>
          <w:szCs w:val="20"/>
        </w:rPr>
        <w:t>spadajících přímo pod MŠMT a jedna</w:t>
      </w:r>
      <w:r w:rsidR="00A67C12" w:rsidRPr="00852DBD">
        <w:rPr>
          <w:rFonts w:cs="Arial"/>
          <w:szCs w:val="20"/>
        </w:rPr>
        <w:t xml:space="preserve"> mateřská </w:t>
      </w:r>
      <w:r w:rsidR="00B30D77">
        <w:rPr>
          <w:rFonts w:cs="Arial"/>
          <w:szCs w:val="20"/>
        </w:rPr>
        <w:t>škola</w:t>
      </w:r>
      <w:r w:rsidR="00A67C12" w:rsidRPr="00866B8E">
        <w:rPr>
          <w:rFonts w:cs="Arial"/>
          <w:szCs w:val="20"/>
        </w:rPr>
        <w:t xml:space="preserve"> byla zřízená</w:t>
      </w:r>
      <w:r w:rsidR="001313EE" w:rsidRPr="00866B8E">
        <w:rPr>
          <w:rFonts w:cs="Arial"/>
          <w:szCs w:val="20"/>
        </w:rPr>
        <w:t xml:space="preserve"> </w:t>
      </w:r>
      <w:r w:rsidR="00866B8E">
        <w:rPr>
          <w:rFonts w:cs="Arial"/>
          <w:szCs w:val="20"/>
        </w:rPr>
        <w:t>Ministerstvem zemědělství</w:t>
      </w:r>
      <w:r w:rsidR="001313EE">
        <w:rPr>
          <w:rFonts w:cs="Arial"/>
          <w:szCs w:val="20"/>
        </w:rPr>
        <w:t>.</w:t>
      </w:r>
      <w:r w:rsidR="00A67C12" w:rsidRPr="00095BD5">
        <w:rPr>
          <w:rFonts w:cs="Arial"/>
          <w:szCs w:val="20"/>
        </w:rPr>
        <w:t xml:space="preserve"> </w:t>
      </w:r>
    </w:p>
    <w:p w14:paraId="0F695007" w14:textId="0D144EF6" w:rsidR="00A67C12" w:rsidRDefault="00A67C12" w:rsidP="00A67C12">
      <w:pPr>
        <w:spacing w:after="120"/>
        <w:jc w:val="both"/>
        <w:rPr>
          <w:rFonts w:cs="Arial"/>
          <w:szCs w:val="20"/>
        </w:rPr>
      </w:pPr>
      <w:r w:rsidRPr="002E5300">
        <w:rPr>
          <w:rFonts w:cs="Arial"/>
          <w:szCs w:val="20"/>
        </w:rPr>
        <w:t xml:space="preserve">Kromě veřejných mateřských škol se mohou děti vzdělávat i v </w:t>
      </w:r>
      <w:r w:rsidRPr="002E5300">
        <w:rPr>
          <w:rFonts w:cs="Arial"/>
          <w:b/>
          <w:szCs w:val="20"/>
        </w:rPr>
        <w:t>soukromých a církevních</w:t>
      </w:r>
      <w:r w:rsidRPr="002E5300">
        <w:rPr>
          <w:rFonts w:cs="Arial"/>
          <w:szCs w:val="20"/>
        </w:rPr>
        <w:t xml:space="preserve"> mateřských školách. Tyto alternativy však tvoří </w:t>
      </w:r>
      <w:r>
        <w:rPr>
          <w:rFonts w:cs="Arial"/>
          <w:szCs w:val="20"/>
        </w:rPr>
        <w:t xml:space="preserve">stále </w:t>
      </w:r>
      <w:r w:rsidRPr="002E5300">
        <w:rPr>
          <w:rFonts w:cs="Arial"/>
          <w:szCs w:val="20"/>
        </w:rPr>
        <w:t>poměrně malý podíl z celkového počtu mateřských škol, i když jich v posledních letech výrazně přibývá – především těch soukromých</w:t>
      </w:r>
      <w:r w:rsidR="00F85073">
        <w:rPr>
          <w:rFonts w:cs="Arial"/>
          <w:szCs w:val="20"/>
        </w:rPr>
        <w:t>. Ve školním roce 2021/22</w:t>
      </w:r>
      <w:r>
        <w:rPr>
          <w:rFonts w:cs="Arial"/>
          <w:szCs w:val="20"/>
        </w:rPr>
        <w:t xml:space="preserve"> se souk</w:t>
      </w:r>
      <w:r w:rsidR="00375A1E">
        <w:rPr>
          <w:rFonts w:cs="Arial"/>
          <w:szCs w:val="20"/>
        </w:rPr>
        <w:t>romé mateřské školy podílely</w:t>
      </w:r>
      <w:r w:rsidR="00F85073">
        <w:rPr>
          <w:rFonts w:cs="Arial"/>
          <w:szCs w:val="20"/>
        </w:rPr>
        <w:t xml:space="preserve"> 7,9</w:t>
      </w:r>
      <w:r>
        <w:rPr>
          <w:rFonts w:cs="Arial"/>
          <w:szCs w:val="20"/>
        </w:rPr>
        <w:t> % na</w:t>
      </w:r>
      <w:r w:rsidR="00375A1E">
        <w:rPr>
          <w:rFonts w:cs="Arial"/>
          <w:szCs w:val="20"/>
        </w:rPr>
        <w:t xml:space="preserve"> celkovém počtu mateřských škol</w:t>
      </w:r>
      <w:r>
        <w:rPr>
          <w:rFonts w:cs="Arial"/>
          <w:szCs w:val="20"/>
        </w:rPr>
        <w:t xml:space="preserve"> v porovnání s</w:t>
      </w:r>
      <w:r w:rsidR="00F85073">
        <w:rPr>
          <w:rFonts w:cs="Arial"/>
          <w:szCs w:val="20"/>
        </w:rPr>
        <w:t> 3</w:t>
      </w:r>
      <w:r w:rsidR="00375A1E">
        <w:rPr>
          <w:rFonts w:cs="Arial"/>
          <w:szCs w:val="20"/>
        </w:rPr>
        <w:t> %</w:t>
      </w:r>
      <w:r>
        <w:rPr>
          <w:rFonts w:cs="Arial"/>
          <w:szCs w:val="20"/>
        </w:rPr>
        <w:t xml:space="preserve"> </w:t>
      </w:r>
      <w:r w:rsidR="00375A1E">
        <w:rPr>
          <w:rFonts w:cs="Arial"/>
          <w:szCs w:val="20"/>
        </w:rPr>
        <w:t>před deseti lety. Jejich podíl mezi všemi mateřskými školami rostl zejména do roku 2017/18</w:t>
      </w:r>
      <w:r w:rsidR="009C161E">
        <w:rPr>
          <w:rFonts w:cs="Arial"/>
          <w:szCs w:val="20"/>
        </w:rPr>
        <w:t xml:space="preserve"> </w:t>
      </w:r>
      <w:r w:rsidR="00AD6B02">
        <w:rPr>
          <w:rFonts w:cs="Arial"/>
          <w:szCs w:val="20"/>
        </w:rPr>
        <w:t>(</w:t>
      </w:r>
      <w:r w:rsidR="009C161E">
        <w:rPr>
          <w:rFonts w:cs="Arial"/>
          <w:szCs w:val="20"/>
        </w:rPr>
        <w:t>z 3 % na 7,3 %)</w:t>
      </w:r>
      <w:r w:rsidR="00375A1E">
        <w:rPr>
          <w:rFonts w:cs="Arial"/>
          <w:szCs w:val="20"/>
        </w:rPr>
        <w:t xml:space="preserve">, </w:t>
      </w:r>
      <w:r w:rsidR="009C161E">
        <w:rPr>
          <w:rFonts w:cs="Arial"/>
          <w:szCs w:val="20"/>
        </w:rPr>
        <w:t>poté se růst zpomalil</w:t>
      </w:r>
      <w:r w:rsidR="00375A1E">
        <w:rPr>
          <w:rFonts w:cs="Arial"/>
          <w:szCs w:val="20"/>
        </w:rPr>
        <w:t xml:space="preserve"> - </w:t>
      </w:r>
      <w:r w:rsidR="00E87117">
        <w:rPr>
          <w:rFonts w:cs="Arial"/>
          <w:szCs w:val="20"/>
        </w:rPr>
        <w:t xml:space="preserve">viz </w:t>
      </w:r>
      <w:r>
        <w:rPr>
          <w:rFonts w:cs="Arial"/>
          <w:szCs w:val="20"/>
        </w:rPr>
        <w:t xml:space="preserve">graf 1.1. </w:t>
      </w:r>
    </w:p>
    <w:p w14:paraId="562FE5BF" w14:textId="6681D3F1" w:rsidR="00A67C12" w:rsidRDefault="007530E2" w:rsidP="00A67C12">
      <w:pPr>
        <w:spacing w:after="120"/>
        <w:jc w:val="both"/>
        <w:rPr>
          <w:rFonts w:cs="Arial"/>
          <w:b/>
          <w:szCs w:val="20"/>
        </w:rPr>
      </w:pPr>
      <w:r>
        <w:rPr>
          <w:rFonts w:cs="Arial"/>
          <w:b/>
          <w:szCs w:val="20"/>
        </w:rPr>
        <w:t xml:space="preserve">Graf 1.1 </w:t>
      </w:r>
      <w:r w:rsidR="00A67C12" w:rsidRPr="002E5300">
        <w:rPr>
          <w:rFonts w:cs="Arial"/>
          <w:b/>
          <w:szCs w:val="20"/>
        </w:rPr>
        <w:t>Mateřské školy podle zřizovatele - počet škol</w:t>
      </w:r>
    </w:p>
    <w:p w14:paraId="2018F7C0" w14:textId="536D588C" w:rsidR="00F85073" w:rsidRDefault="006068B6" w:rsidP="00A67C12">
      <w:pPr>
        <w:spacing w:after="120"/>
        <w:jc w:val="both"/>
        <w:rPr>
          <w:rFonts w:cs="Arial"/>
          <w:b/>
          <w:szCs w:val="20"/>
        </w:rPr>
      </w:pPr>
      <w:r>
        <w:rPr>
          <w:noProof/>
        </w:rPr>
        <w:drawing>
          <wp:inline distT="0" distB="0" distL="0" distR="0" wp14:anchorId="1CA5637B" wp14:editId="32F2D04B">
            <wp:extent cx="6083935" cy="2409825"/>
            <wp:effectExtent l="0" t="0" r="12065" b="9525"/>
            <wp:docPr id="26" name="Graf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5209D6E5" w14:textId="6EDC6A96" w:rsidR="00927074" w:rsidRPr="003D2C5E" w:rsidRDefault="00A67C12" w:rsidP="00D80BF8">
      <w:pPr>
        <w:spacing w:after="0" w:line="240" w:lineRule="auto"/>
        <w:jc w:val="right"/>
        <w:rPr>
          <w:rFonts w:cs="Arial"/>
          <w:iCs/>
        </w:rPr>
      </w:pPr>
      <w:r w:rsidRPr="00F94849">
        <w:rPr>
          <w:rFonts w:cs="Arial"/>
          <w:sz w:val="18"/>
        </w:rPr>
        <w:t>Zdroj: ČSÚ</w:t>
      </w:r>
      <w:r w:rsidRPr="00F94849">
        <w:rPr>
          <w:rFonts w:cs="Arial"/>
          <w:noProof/>
        </w:rPr>
        <w:t xml:space="preserve"> </w:t>
      </w:r>
      <w:r w:rsidRPr="00307699">
        <w:rPr>
          <w:rFonts w:cs="Arial"/>
          <w:sz w:val="18"/>
        </w:rPr>
        <w:t>podle údajů MŠMT</w:t>
      </w:r>
    </w:p>
    <w:p w14:paraId="70A10080" w14:textId="6AACBC8E" w:rsidR="00A67C12" w:rsidRDefault="00A67C12" w:rsidP="00A67C12">
      <w:pPr>
        <w:spacing w:after="120"/>
        <w:jc w:val="both"/>
        <w:rPr>
          <w:rFonts w:cs="Arial"/>
          <w:szCs w:val="20"/>
        </w:rPr>
      </w:pPr>
      <w:r w:rsidRPr="00091E88">
        <w:rPr>
          <w:rFonts w:cs="Arial"/>
          <w:szCs w:val="20"/>
        </w:rPr>
        <w:lastRenderedPageBreak/>
        <w:t>Nejvíce soukromých mateřských škol se dlouhodobě nachá</w:t>
      </w:r>
      <w:r w:rsidR="003630D1">
        <w:rPr>
          <w:rFonts w:cs="Arial"/>
          <w:szCs w:val="20"/>
        </w:rPr>
        <w:t>zí v Praze. Ve školním roce 2021/22 jich zde bylo 109</w:t>
      </w:r>
      <w:r w:rsidRPr="00091E88">
        <w:rPr>
          <w:rFonts w:cs="Arial"/>
          <w:szCs w:val="20"/>
        </w:rPr>
        <w:t xml:space="preserve">, což představovalo cca čtvrtinu všech soukromých mateřských škol v Česku. Druhým krajem s nejvyšším podílem soukromých mateřských škol je Středočeský </w:t>
      </w:r>
      <w:r w:rsidR="003630D1">
        <w:rPr>
          <w:rFonts w:cs="Arial"/>
          <w:szCs w:val="20"/>
        </w:rPr>
        <w:t>kraj, ve kterém se k 30. 9. 2021</w:t>
      </w:r>
      <w:r w:rsidR="00B7631E">
        <w:rPr>
          <w:rFonts w:cs="Arial"/>
          <w:szCs w:val="20"/>
        </w:rPr>
        <w:t xml:space="preserve"> nacházela pětina</w:t>
      </w:r>
      <w:r w:rsidRPr="00091E88">
        <w:rPr>
          <w:rFonts w:cs="Arial"/>
          <w:szCs w:val="20"/>
        </w:rPr>
        <w:t xml:space="preserve"> všech soukromých školek</w:t>
      </w:r>
      <w:r w:rsidR="003630D1">
        <w:rPr>
          <w:rFonts w:cs="Arial"/>
          <w:szCs w:val="20"/>
        </w:rPr>
        <w:t xml:space="preserve"> (tj. 84</w:t>
      </w:r>
      <w:r w:rsidR="00B7631E">
        <w:rPr>
          <w:rFonts w:cs="Arial"/>
          <w:szCs w:val="20"/>
        </w:rPr>
        <w:t>)</w:t>
      </w:r>
      <w:r w:rsidRPr="00091E88">
        <w:rPr>
          <w:rFonts w:cs="Arial"/>
          <w:szCs w:val="20"/>
        </w:rPr>
        <w:t>. Naopak, nejméně soukromých škol</w:t>
      </w:r>
      <w:r w:rsidR="00B30D77">
        <w:rPr>
          <w:rFonts w:cs="Arial"/>
          <w:szCs w:val="20"/>
        </w:rPr>
        <w:t>ek bychom našli v</w:t>
      </w:r>
      <w:r w:rsidR="003630D1">
        <w:rPr>
          <w:rFonts w:cs="Arial"/>
          <w:szCs w:val="20"/>
        </w:rPr>
        <w:t> Karlovars</w:t>
      </w:r>
      <w:r w:rsidR="00B30D77">
        <w:rPr>
          <w:rFonts w:cs="Arial"/>
          <w:szCs w:val="20"/>
        </w:rPr>
        <w:t>kém</w:t>
      </w:r>
      <w:r w:rsidR="003630D1">
        <w:rPr>
          <w:rFonts w:cs="Arial"/>
          <w:szCs w:val="20"/>
        </w:rPr>
        <w:t xml:space="preserve"> kraji (8), v kraji Pardubickém (10) a na Vysočině (10)</w:t>
      </w:r>
      <w:r w:rsidRPr="00091E88">
        <w:rPr>
          <w:rFonts w:cs="Arial"/>
          <w:szCs w:val="20"/>
        </w:rPr>
        <w:t xml:space="preserve">. </w:t>
      </w:r>
      <w:r w:rsidR="003630D1">
        <w:rPr>
          <w:rFonts w:cs="Arial"/>
          <w:szCs w:val="20"/>
        </w:rPr>
        <w:t xml:space="preserve">Z těchto tří krajů navštěvoval soukromé školky nejmenší podíl </w:t>
      </w:r>
      <w:r w:rsidR="009A1F93">
        <w:rPr>
          <w:rFonts w:cs="Arial"/>
          <w:szCs w:val="20"/>
        </w:rPr>
        <w:t>dětí v kraji Pardubickém (1,1 %), méně než 2 % bylo takových dětí i na Vysočině (1,7</w:t>
      </w:r>
      <w:r w:rsidR="009A1F93">
        <w:t>%). V Praze to pak byla téměř desetina (9,1 %).</w:t>
      </w:r>
      <w:r w:rsidR="003630D1">
        <w:rPr>
          <w:rFonts w:cs="Arial"/>
          <w:szCs w:val="20"/>
        </w:rPr>
        <w:t xml:space="preserve"> </w:t>
      </w:r>
    </w:p>
    <w:p w14:paraId="0B67E95C" w14:textId="21F19D58" w:rsidR="00B7631E" w:rsidRPr="00091E88" w:rsidRDefault="00B7631E" w:rsidP="00A67C12">
      <w:pPr>
        <w:spacing w:after="120"/>
        <w:jc w:val="both"/>
        <w:rPr>
          <w:rFonts w:cs="Arial"/>
          <w:szCs w:val="20"/>
        </w:rPr>
      </w:pPr>
      <w:r w:rsidRPr="001B6EF5">
        <w:rPr>
          <w:rFonts w:cs="Arial"/>
          <w:szCs w:val="20"/>
        </w:rPr>
        <w:t>Kro</w:t>
      </w:r>
      <w:r w:rsidR="000C2A76">
        <w:rPr>
          <w:rFonts w:cs="Arial"/>
          <w:szCs w:val="20"/>
        </w:rPr>
        <w:t>mě „klasických“ mateřských škol</w:t>
      </w:r>
      <w:r w:rsidRPr="001B6EF5">
        <w:rPr>
          <w:rFonts w:cs="Arial"/>
          <w:szCs w:val="20"/>
        </w:rPr>
        <w:t xml:space="preserve"> existují i školy pro děti, které jsou dlouhodobě hospitalizované v nemocnici či psychiatrické nemocnici, v dětské léčebně či ozdravovně. Jedná se o mateřské školy při zdravotnických zařízeních, které zřizuje obec či kraj. </w:t>
      </w:r>
      <w:r w:rsidR="009A1F93">
        <w:rPr>
          <w:rFonts w:cs="Arial"/>
          <w:szCs w:val="20"/>
        </w:rPr>
        <w:t>K 30. 9. 2021</w:t>
      </w:r>
      <w:r>
        <w:rPr>
          <w:rFonts w:cs="Arial"/>
          <w:szCs w:val="20"/>
        </w:rPr>
        <w:t xml:space="preserve"> existovalo 52</w:t>
      </w:r>
      <w:r w:rsidRPr="0089618C">
        <w:rPr>
          <w:rFonts w:cs="Arial"/>
          <w:szCs w:val="20"/>
        </w:rPr>
        <w:t xml:space="preserve"> těchto škol, které </w:t>
      </w:r>
      <w:r w:rsidR="009A1F93">
        <w:rPr>
          <w:rFonts w:cs="Arial"/>
          <w:szCs w:val="20"/>
        </w:rPr>
        <w:t>navštěvovalo celkem 924</w:t>
      </w:r>
      <w:r w:rsidRPr="0089618C">
        <w:rPr>
          <w:rFonts w:cs="Arial"/>
          <w:szCs w:val="20"/>
        </w:rPr>
        <w:t xml:space="preserve"> dětí</w:t>
      </w:r>
      <w:r w:rsidR="009A1F93">
        <w:rPr>
          <w:rFonts w:cs="Arial"/>
          <w:szCs w:val="20"/>
        </w:rPr>
        <w:t>, z toho 446 dívek</w:t>
      </w:r>
      <w:r w:rsidRPr="0089618C">
        <w:rPr>
          <w:rFonts w:cs="Arial"/>
          <w:szCs w:val="20"/>
        </w:rPr>
        <w:t>.</w:t>
      </w:r>
      <w:r w:rsidRPr="001B6EF5">
        <w:rPr>
          <w:rFonts w:cs="Arial"/>
          <w:szCs w:val="20"/>
        </w:rPr>
        <w:t xml:space="preserve"> </w:t>
      </w:r>
    </w:p>
    <w:p w14:paraId="6B9D1586" w14:textId="7B0BF069" w:rsidR="00A67C12" w:rsidRDefault="00A67C12" w:rsidP="00A67C12">
      <w:pPr>
        <w:jc w:val="both"/>
        <w:rPr>
          <w:rFonts w:cs="Arial"/>
          <w:szCs w:val="20"/>
        </w:rPr>
      </w:pPr>
      <w:r w:rsidRPr="00307699">
        <w:rPr>
          <w:rFonts w:cs="Arial"/>
          <w:szCs w:val="20"/>
        </w:rPr>
        <w:t>V minulém školním roce bylo v</w:t>
      </w:r>
      <w:r w:rsidR="00AD6B02">
        <w:rPr>
          <w:rFonts w:cs="Arial"/>
          <w:szCs w:val="20"/>
        </w:rPr>
        <w:t> </w:t>
      </w:r>
      <w:r w:rsidRPr="00307699">
        <w:rPr>
          <w:rFonts w:cs="Arial"/>
          <w:szCs w:val="20"/>
        </w:rPr>
        <w:t>Česk</w:t>
      </w:r>
      <w:r w:rsidR="00AD6B02">
        <w:rPr>
          <w:rFonts w:cs="Arial"/>
          <w:szCs w:val="20"/>
        </w:rPr>
        <w:t>é republice</w:t>
      </w:r>
      <w:r w:rsidRPr="00307699">
        <w:rPr>
          <w:rFonts w:cs="Arial"/>
          <w:szCs w:val="20"/>
        </w:rPr>
        <w:t xml:space="preserve"> v provozu celkem </w:t>
      </w:r>
      <w:r w:rsidRPr="00D53605">
        <w:rPr>
          <w:rFonts w:cs="Arial"/>
          <w:b/>
          <w:szCs w:val="20"/>
        </w:rPr>
        <w:t xml:space="preserve">16 </w:t>
      </w:r>
      <w:r w:rsidR="00A23EC6">
        <w:rPr>
          <w:rFonts w:cs="Arial"/>
          <w:b/>
          <w:szCs w:val="20"/>
        </w:rPr>
        <w:t>800</w:t>
      </w:r>
      <w:r w:rsidRPr="00D53605">
        <w:rPr>
          <w:rFonts w:cs="Arial"/>
          <w:b/>
          <w:szCs w:val="20"/>
        </w:rPr>
        <w:t xml:space="preserve"> tříd</w:t>
      </w:r>
      <w:r w:rsidR="00A23EC6">
        <w:rPr>
          <w:rFonts w:cs="Arial"/>
          <w:szCs w:val="20"/>
        </w:rPr>
        <w:t>, z toho 853</w:t>
      </w:r>
      <w:r w:rsidRPr="00307699">
        <w:rPr>
          <w:rFonts w:cs="Arial"/>
          <w:szCs w:val="20"/>
        </w:rPr>
        <w:t xml:space="preserve"> tříd bylo zřízených v</w:t>
      </w:r>
      <w:r w:rsidR="00B375FB">
        <w:rPr>
          <w:rFonts w:cs="Arial"/>
          <w:szCs w:val="20"/>
        </w:rPr>
        <w:t> </w:t>
      </w:r>
      <w:r w:rsidRPr="00307699">
        <w:rPr>
          <w:rFonts w:cs="Arial"/>
          <w:szCs w:val="20"/>
        </w:rPr>
        <w:t>soukromých mateřských školách a 10</w:t>
      </w:r>
      <w:r w:rsidR="00A23EC6">
        <w:rPr>
          <w:rFonts w:cs="Arial"/>
          <w:szCs w:val="20"/>
        </w:rPr>
        <w:t>6</w:t>
      </w:r>
      <w:r w:rsidRPr="00307699">
        <w:rPr>
          <w:rFonts w:cs="Arial"/>
          <w:szCs w:val="20"/>
        </w:rPr>
        <w:t xml:space="preserve"> v církevních. Počet tříd, podobně jako počet mateřských škol</w:t>
      </w:r>
      <w:r>
        <w:rPr>
          <w:rFonts w:cs="Arial"/>
          <w:szCs w:val="20"/>
        </w:rPr>
        <w:t>,</w:t>
      </w:r>
      <w:r w:rsidR="00302221">
        <w:rPr>
          <w:rFonts w:cs="Arial"/>
          <w:szCs w:val="20"/>
        </w:rPr>
        <w:t xml:space="preserve"> každým rokem narůstá. Nejrychleji rostl m</w:t>
      </w:r>
      <w:r w:rsidRPr="00307699">
        <w:rPr>
          <w:rFonts w:cs="Arial"/>
          <w:szCs w:val="20"/>
        </w:rPr>
        <w:t xml:space="preserve">ezi </w:t>
      </w:r>
      <w:r w:rsidR="000B1029">
        <w:rPr>
          <w:rFonts w:cs="Arial"/>
          <w:szCs w:val="20"/>
        </w:rPr>
        <w:t xml:space="preserve">školními </w:t>
      </w:r>
      <w:r w:rsidR="00A23EC6">
        <w:rPr>
          <w:rFonts w:cs="Arial"/>
          <w:szCs w:val="20"/>
        </w:rPr>
        <w:t>roky 2011</w:t>
      </w:r>
      <w:r w:rsidRPr="00307699">
        <w:rPr>
          <w:rFonts w:cs="Arial"/>
          <w:szCs w:val="20"/>
        </w:rPr>
        <w:t>/</w:t>
      </w:r>
      <w:r w:rsidR="00A85952">
        <w:rPr>
          <w:rFonts w:cs="Arial"/>
          <w:szCs w:val="20"/>
        </w:rPr>
        <w:t>12</w:t>
      </w:r>
      <w:r w:rsidRPr="00307699">
        <w:rPr>
          <w:rFonts w:cs="Arial"/>
          <w:szCs w:val="20"/>
        </w:rPr>
        <w:t xml:space="preserve"> a 201</w:t>
      </w:r>
      <w:r w:rsidR="00A85952">
        <w:rPr>
          <w:rFonts w:cs="Arial"/>
          <w:szCs w:val="20"/>
        </w:rPr>
        <w:t>4</w:t>
      </w:r>
      <w:r w:rsidRPr="00307699">
        <w:rPr>
          <w:rFonts w:cs="Arial"/>
          <w:szCs w:val="20"/>
        </w:rPr>
        <w:t>/1</w:t>
      </w:r>
      <w:r w:rsidR="00A85952">
        <w:rPr>
          <w:rFonts w:cs="Arial"/>
          <w:szCs w:val="20"/>
        </w:rPr>
        <w:t>5</w:t>
      </w:r>
      <w:r w:rsidR="00302221">
        <w:rPr>
          <w:rFonts w:cs="Arial"/>
          <w:szCs w:val="20"/>
        </w:rPr>
        <w:t>, kdy se celkově</w:t>
      </w:r>
      <w:r w:rsidR="00A85952">
        <w:rPr>
          <w:rFonts w:cs="Arial"/>
          <w:szCs w:val="20"/>
        </w:rPr>
        <w:t xml:space="preserve"> zvýšil o 8,6</w:t>
      </w:r>
      <w:r w:rsidR="004414E2">
        <w:rPr>
          <w:rFonts w:cs="Arial"/>
          <w:szCs w:val="20"/>
        </w:rPr>
        <w:t> %</w:t>
      </w:r>
      <w:r w:rsidR="00302221">
        <w:rPr>
          <w:rFonts w:cs="Arial"/>
          <w:szCs w:val="20"/>
        </w:rPr>
        <w:t xml:space="preserve">. Poté se růst zpomalil, a zrychlil se významněji opět </w:t>
      </w:r>
      <w:r w:rsidR="00F66871">
        <w:rPr>
          <w:rFonts w:cs="Arial"/>
          <w:szCs w:val="20"/>
        </w:rPr>
        <w:t>v posledních třech školních</w:t>
      </w:r>
      <w:r w:rsidR="00302221">
        <w:rPr>
          <w:rFonts w:cs="Arial"/>
          <w:szCs w:val="20"/>
        </w:rPr>
        <w:t xml:space="preserve"> rocích, kdy</w:t>
      </w:r>
      <w:r w:rsidR="00F66871">
        <w:rPr>
          <w:rFonts w:cs="Arial"/>
          <w:szCs w:val="20"/>
        </w:rPr>
        <w:t xml:space="preserve"> </w:t>
      </w:r>
      <w:r w:rsidR="00302221">
        <w:rPr>
          <w:rFonts w:cs="Arial"/>
          <w:szCs w:val="20"/>
        </w:rPr>
        <w:t xml:space="preserve">přibýval </w:t>
      </w:r>
      <w:r w:rsidR="00F66871">
        <w:rPr>
          <w:rFonts w:cs="Arial"/>
          <w:szCs w:val="20"/>
        </w:rPr>
        <w:t xml:space="preserve">cca </w:t>
      </w:r>
      <w:r w:rsidR="00302221">
        <w:rPr>
          <w:rFonts w:cs="Arial"/>
          <w:szCs w:val="20"/>
        </w:rPr>
        <w:t>o </w:t>
      </w:r>
      <w:r w:rsidR="00F66871">
        <w:rPr>
          <w:rFonts w:cs="Arial"/>
          <w:szCs w:val="20"/>
        </w:rPr>
        <w:t xml:space="preserve">1,5 % za rok. </w:t>
      </w:r>
      <w:r w:rsidR="005B7266">
        <w:rPr>
          <w:rFonts w:cs="Arial"/>
          <w:szCs w:val="20"/>
        </w:rPr>
        <w:t>To odpovídá vývoji počtu dětí s tím rozdílem, že mezi školními roky 2019/20 a 2020/21 počet tříd stoupal, přestože počet dětí se naopak snížil</w:t>
      </w:r>
      <w:r w:rsidR="005B7266">
        <w:rPr>
          <w:rStyle w:val="Znakapoznpodarou"/>
          <w:rFonts w:cs="Arial"/>
          <w:szCs w:val="20"/>
        </w:rPr>
        <w:footnoteReference w:id="3"/>
      </w:r>
      <w:r w:rsidR="00302221">
        <w:rPr>
          <w:rFonts w:cs="Arial"/>
          <w:szCs w:val="20"/>
        </w:rPr>
        <w:t xml:space="preserve"> a ani ve školním roce 2021/22 nedosáhl hodnoty z roku 2019/20</w:t>
      </w:r>
      <w:r w:rsidR="005B7266">
        <w:rPr>
          <w:rFonts w:cs="Arial"/>
          <w:szCs w:val="20"/>
        </w:rPr>
        <w:t xml:space="preserve">. </w:t>
      </w:r>
      <w:r w:rsidR="00A85952">
        <w:rPr>
          <w:rFonts w:cs="Arial"/>
          <w:szCs w:val="20"/>
        </w:rPr>
        <w:t>Celkově za posledních 1</w:t>
      </w:r>
      <w:r w:rsidR="00CE427F">
        <w:rPr>
          <w:rFonts w:cs="Arial"/>
          <w:szCs w:val="20"/>
        </w:rPr>
        <w:t xml:space="preserve">0 let vzrostl počet tříd o 16 %. Přitom tříd soukromého zřizovatele </w:t>
      </w:r>
      <w:r w:rsidR="00EB1AEB">
        <w:rPr>
          <w:rFonts w:cs="Arial"/>
          <w:szCs w:val="20"/>
        </w:rPr>
        <w:t>přibylo výrazně více (vzrostl o 162,5 %</w:t>
      </w:r>
      <w:r w:rsidR="000532DE">
        <w:rPr>
          <w:rFonts w:cs="Arial"/>
          <w:szCs w:val="20"/>
        </w:rPr>
        <w:t xml:space="preserve"> na 853</w:t>
      </w:r>
      <w:r w:rsidR="00EB1AEB">
        <w:rPr>
          <w:rFonts w:cs="Arial"/>
          <w:szCs w:val="20"/>
        </w:rPr>
        <w:t>) než tříd zřizovatele církevního (zvýšil se o 47,2 %</w:t>
      </w:r>
      <w:r w:rsidR="000532DE">
        <w:rPr>
          <w:rFonts w:cs="Arial"/>
          <w:szCs w:val="20"/>
        </w:rPr>
        <w:t xml:space="preserve"> na 106</w:t>
      </w:r>
      <w:r w:rsidR="00EB1AEB">
        <w:rPr>
          <w:rFonts w:cs="Arial"/>
          <w:szCs w:val="20"/>
        </w:rPr>
        <w:t>) a veřejného (o 12,5 %</w:t>
      </w:r>
      <w:r w:rsidR="000532DE">
        <w:rPr>
          <w:rFonts w:cs="Arial"/>
          <w:szCs w:val="20"/>
        </w:rPr>
        <w:t xml:space="preserve"> na 15 841</w:t>
      </w:r>
      <w:r w:rsidR="00EB1AEB">
        <w:rPr>
          <w:rFonts w:cs="Arial"/>
          <w:szCs w:val="20"/>
        </w:rPr>
        <w:t>).</w:t>
      </w:r>
    </w:p>
    <w:p w14:paraId="044FAC98" w14:textId="5ACF9BCC" w:rsidR="00A67C12" w:rsidRDefault="00A67C12" w:rsidP="00A67C12">
      <w:pPr>
        <w:spacing w:after="120"/>
        <w:jc w:val="both"/>
        <w:rPr>
          <w:rFonts w:cs="Arial"/>
          <w:b/>
          <w:szCs w:val="20"/>
        </w:rPr>
      </w:pPr>
      <w:r w:rsidRPr="002E5300">
        <w:rPr>
          <w:rFonts w:cs="Arial"/>
          <w:b/>
          <w:szCs w:val="20"/>
        </w:rPr>
        <w:t>Graf 1.</w:t>
      </w:r>
      <w:r>
        <w:rPr>
          <w:rFonts w:cs="Arial"/>
          <w:b/>
          <w:szCs w:val="20"/>
        </w:rPr>
        <w:t>2</w:t>
      </w:r>
      <w:r w:rsidR="001210D7">
        <w:rPr>
          <w:rFonts w:cs="Arial"/>
          <w:b/>
          <w:szCs w:val="20"/>
        </w:rPr>
        <w:t xml:space="preserve"> </w:t>
      </w:r>
      <w:r w:rsidRPr="002E5300">
        <w:rPr>
          <w:rFonts w:cs="Arial"/>
          <w:b/>
          <w:szCs w:val="20"/>
        </w:rPr>
        <w:t xml:space="preserve">Mateřské školy podle zřizovatele - počet </w:t>
      </w:r>
      <w:r>
        <w:rPr>
          <w:rFonts w:cs="Arial"/>
          <w:b/>
          <w:szCs w:val="20"/>
        </w:rPr>
        <w:t>tříd</w:t>
      </w:r>
    </w:p>
    <w:p w14:paraId="3D368857" w14:textId="37B3F4A3" w:rsidR="0038765F" w:rsidRDefault="0038765F" w:rsidP="00A67C12">
      <w:pPr>
        <w:spacing w:after="120"/>
        <w:jc w:val="both"/>
        <w:rPr>
          <w:rFonts w:cs="Arial"/>
          <w:b/>
          <w:szCs w:val="20"/>
        </w:rPr>
      </w:pPr>
      <w:r>
        <w:rPr>
          <w:noProof/>
        </w:rPr>
        <w:drawing>
          <wp:inline distT="0" distB="0" distL="0" distR="0" wp14:anchorId="5309B13B" wp14:editId="5BA1FDE6">
            <wp:extent cx="6134100" cy="3095625"/>
            <wp:effectExtent l="0" t="0" r="0" b="9525"/>
            <wp:docPr id="102" name="Graf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4537CABF" w14:textId="77777777" w:rsidR="00A67C12" w:rsidRPr="00F94849" w:rsidRDefault="00A67C12" w:rsidP="004414E2">
      <w:pPr>
        <w:spacing w:after="120"/>
        <w:jc w:val="right"/>
        <w:rPr>
          <w:rFonts w:cs="Arial"/>
          <w:iCs/>
        </w:rPr>
      </w:pPr>
      <w:r w:rsidRPr="00F94849">
        <w:rPr>
          <w:rFonts w:cs="Arial"/>
          <w:sz w:val="18"/>
        </w:rPr>
        <w:t>Zdroj: ČSÚ</w:t>
      </w:r>
      <w:r w:rsidRPr="00F94849">
        <w:rPr>
          <w:rFonts w:cs="Arial"/>
          <w:noProof/>
        </w:rPr>
        <w:t xml:space="preserve"> </w:t>
      </w:r>
      <w:r w:rsidRPr="00307699">
        <w:rPr>
          <w:rFonts w:cs="Arial"/>
          <w:sz w:val="18"/>
        </w:rPr>
        <w:t>podle údajů MŠMT</w:t>
      </w:r>
    </w:p>
    <w:p w14:paraId="1C7520FE" w14:textId="7C869176" w:rsidR="00F40ECF" w:rsidRPr="0000782B" w:rsidRDefault="00F40ECF" w:rsidP="00F40ECF">
      <w:pPr>
        <w:spacing w:after="120"/>
        <w:jc w:val="both"/>
        <w:rPr>
          <w:rFonts w:cs="Arial"/>
          <w:szCs w:val="20"/>
        </w:rPr>
      </w:pPr>
      <w:r>
        <w:rPr>
          <w:rFonts w:cs="Arial"/>
          <w:szCs w:val="20"/>
        </w:rPr>
        <w:t xml:space="preserve">Podívejme se, jak se změnil </w:t>
      </w:r>
      <w:r w:rsidRPr="009452CB">
        <w:rPr>
          <w:rFonts w:cs="Arial"/>
          <w:b/>
          <w:szCs w:val="20"/>
        </w:rPr>
        <w:t>počet tříd</w:t>
      </w:r>
      <w:r>
        <w:rPr>
          <w:rFonts w:cs="Arial"/>
          <w:szCs w:val="20"/>
        </w:rPr>
        <w:t xml:space="preserve"> za poslední</w:t>
      </w:r>
      <w:r w:rsidR="009E4708">
        <w:rPr>
          <w:rFonts w:cs="Arial"/>
          <w:szCs w:val="20"/>
        </w:rPr>
        <w:t>ch</w:t>
      </w:r>
      <w:r>
        <w:rPr>
          <w:rFonts w:cs="Arial"/>
          <w:szCs w:val="20"/>
        </w:rPr>
        <w:t xml:space="preserve"> deset let </w:t>
      </w:r>
      <w:r w:rsidRPr="00F40ECF">
        <w:rPr>
          <w:rFonts w:cs="Arial"/>
          <w:b/>
          <w:szCs w:val="20"/>
        </w:rPr>
        <w:t>v jednotlivých krajích</w:t>
      </w:r>
      <w:r>
        <w:rPr>
          <w:rFonts w:cs="Arial"/>
          <w:szCs w:val="20"/>
        </w:rPr>
        <w:t>. Absolutně i procentuálně byl tento nárůst nejvyšší ve Středočeském kraji. V porovnání se škol</w:t>
      </w:r>
      <w:r w:rsidR="001710FD">
        <w:rPr>
          <w:rFonts w:cs="Arial"/>
          <w:szCs w:val="20"/>
        </w:rPr>
        <w:t>ním rokem 20</w:t>
      </w:r>
      <w:r>
        <w:rPr>
          <w:rFonts w:cs="Arial"/>
          <w:szCs w:val="20"/>
        </w:rPr>
        <w:t>11/12 se v tomto kraji v minulém školním roce nacházelo téměř o třetinu více tříd v mateřských školách (tj. o 586), viz graf</w:t>
      </w:r>
      <w:r w:rsidR="00BC1EB9">
        <w:rPr>
          <w:rFonts w:cs="Arial"/>
          <w:szCs w:val="20"/>
        </w:rPr>
        <w:t xml:space="preserve"> 1.7. Následuje Praha, ve které</w:t>
      </w:r>
      <w:r>
        <w:rPr>
          <w:rFonts w:cs="Arial"/>
          <w:szCs w:val="20"/>
        </w:rPr>
        <w:t xml:space="preserve"> vzrostl za posledních deset let počet tříd o 29 % (tj. o 429 tříd). V Jihomoravském kraji se počet tříd za deset let zvýšil o 17 % (tj. o 278 tříd). Nejnižší byl tento nárůst v kraji </w:t>
      </w:r>
      <w:r>
        <w:rPr>
          <w:rFonts w:cs="Arial"/>
          <w:szCs w:val="20"/>
        </w:rPr>
        <w:lastRenderedPageBreak/>
        <w:t>Karlovarském, kde za 10 let přibylo jen osm tříd.</w:t>
      </w:r>
      <w:r w:rsidRPr="00CC57F6">
        <w:t xml:space="preserve"> </w:t>
      </w:r>
      <w:r>
        <w:t>V celé České republice se za deset let zvýšil počet tříd v</w:t>
      </w:r>
      <w:r w:rsidR="00316BB8">
        <w:t> mateřských školách o 2 319</w:t>
      </w:r>
      <w:r>
        <w:t>, což je o 16 %. Výraznější byl přitom nárůst mezi školními roky 2011/12 a 2016/17, tj. o 9,5 %, než mezi školními roky 2016/17 a 2021/22, tj. o 6 %.</w:t>
      </w:r>
    </w:p>
    <w:p w14:paraId="547F74E8" w14:textId="6A5C90F5" w:rsidR="00F40ECF" w:rsidRDefault="00F40ECF" w:rsidP="00F40ECF">
      <w:pPr>
        <w:keepNext/>
        <w:spacing w:after="0"/>
        <w:jc w:val="both"/>
        <w:rPr>
          <w:rFonts w:cs="Arial"/>
          <w:b/>
          <w:szCs w:val="20"/>
        </w:rPr>
      </w:pPr>
      <w:r w:rsidRPr="002E5300">
        <w:rPr>
          <w:rFonts w:cs="Arial"/>
          <w:b/>
          <w:szCs w:val="20"/>
        </w:rPr>
        <w:t>Graf 1.</w:t>
      </w:r>
      <w:r>
        <w:rPr>
          <w:rFonts w:cs="Arial"/>
          <w:b/>
          <w:szCs w:val="20"/>
        </w:rPr>
        <w:t xml:space="preserve">3 Počet tříd v mateřských školách v jednotlivých krajích </w:t>
      </w:r>
    </w:p>
    <w:p w14:paraId="38B4D0CF" w14:textId="77777777" w:rsidR="00F40ECF" w:rsidRDefault="00F40ECF" w:rsidP="00F40ECF">
      <w:pPr>
        <w:keepNext/>
        <w:spacing w:after="120"/>
        <w:jc w:val="both"/>
        <w:rPr>
          <w:rFonts w:cs="Arial"/>
          <w:szCs w:val="20"/>
        </w:rPr>
      </w:pPr>
      <w:r w:rsidRPr="009452CB">
        <w:rPr>
          <w:rFonts w:cs="Arial"/>
          <w:szCs w:val="20"/>
        </w:rPr>
        <w:t>(kraje jsou seřazeny dle procentuálního nárůstu za posledních 10 let)</w:t>
      </w:r>
    </w:p>
    <w:p w14:paraId="0BBB5797" w14:textId="77777777" w:rsidR="00F40ECF" w:rsidRPr="009452CB" w:rsidRDefault="00F40ECF" w:rsidP="00F40ECF">
      <w:pPr>
        <w:keepNext/>
        <w:spacing w:after="120"/>
        <w:jc w:val="both"/>
        <w:rPr>
          <w:rFonts w:cs="Arial"/>
          <w:szCs w:val="20"/>
        </w:rPr>
      </w:pPr>
      <w:r>
        <w:rPr>
          <w:noProof/>
        </w:rPr>
        <w:drawing>
          <wp:inline distT="0" distB="0" distL="0" distR="0" wp14:anchorId="2357A5F3" wp14:editId="22B7B54F">
            <wp:extent cx="6083935" cy="3267075"/>
            <wp:effectExtent l="0" t="0" r="12065" b="9525"/>
            <wp:docPr id="111" name="Graf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D1BECC9" w14:textId="77777777" w:rsidR="00F40ECF" w:rsidRPr="00F94849" w:rsidRDefault="00F40ECF" w:rsidP="00F40ECF">
      <w:pPr>
        <w:spacing w:after="120"/>
        <w:jc w:val="right"/>
        <w:rPr>
          <w:rFonts w:cs="Arial"/>
          <w:iCs/>
        </w:rPr>
      </w:pPr>
      <w:r w:rsidRPr="00F94849">
        <w:rPr>
          <w:rFonts w:cs="Arial"/>
          <w:sz w:val="18"/>
        </w:rPr>
        <w:t>Zdroj: ČSÚ</w:t>
      </w:r>
      <w:r w:rsidRPr="00F94849">
        <w:rPr>
          <w:rFonts w:cs="Arial"/>
          <w:noProof/>
        </w:rPr>
        <w:t xml:space="preserve"> </w:t>
      </w:r>
      <w:r w:rsidRPr="00307699">
        <w:rPr>
          <w:rFonts w:cs="Arial"/>
          <w:sz w:val="18"/>
        </w:rPr>
        <w:t>podle údajů MŠMT</w:t>
      </w:r>
    </w:p>
    <w:p w14:paraId="1D598360" w14:textId="07455F5A" w:rsidR="00091E88" w:rsidRPr="00E63E64" w:rsidRDefault="00A67C12" w:rsidP="00A67C12">
      <w:pPr>
        <w:spacing w:after="120"/>
        <w:jc w:val="both"/>
        <w:rPr>
          <w:rFonts w:cs="Arial"/>
          <w:szCs w:val="20"/>
        </w:rPr>
      </w:pPr>
      <w:r w:rsidRPr="005333E0">
        <w:rPr>
          <w:rFonts w:cs="Arial"/>
          <w:szCs w:val="20"/>
        </w:rPr>
        <w:t xml:space="preserve">S nárůstem počtu mateřských škol </w:t>
      </w:r>
      <w:r>
        <w:rPr>
          <w:rFonts w:cs="Arial"/>
          <w:szCs w:val="20"/>
        </w:rPr>
        <w:t xml:space="preserve">a především jejich tříd, </w:t>
      </w:r>
      <w:r w:rsidRPr="005333E0">
        <w:rPr>
          <w:rFonts w:cs="Arial"/>
          <w:szCs w:val="20"/>
        </w:rPr>
        <w:t xml:space="preserve">se tvoří i nová pracovní místa. To znamená, že každoročně narůstá i </w:t>
      </w:r>
      <w:r w:rsidRPr="001B0B2B">
        <w:rPr>
          <w:rFonts w:cs="Arial"/>
          <w:b/>
          <w:szCs w:val="20"/>
        </w:rPr>
        <w:t>počet učitelů</w:t>
      </w:r>
      <w:r w:rsidRPr="005333E0">
        <w:rPr>
          <w:rFonts w:cs="Arial"/>
          <w:szCs w:val="20"/>
        </w:rPr>
        <w:t xml:space="preserve"> v mateřských školách. Za posledních 10 let </w:t>
      </w:r>
      <w:r>
        <w:rPr>
          <w:rFonts w:cs="Arial"/>
          <w:szCs w:val="20"/>
        </w:rPr>
        <w:t xml:space="preserve">vzrostl přepočtený </w:t>
      </w:r>
      <w:r w:rsidRPr="005333E0">
        <w:rPr>
          <w:rFonts w:cs="Arial"/>
          <w:szCs w:val="20"/>
        </w:rPr>
        <w:t xml:space="preserve">počet učitelů v mateřských školách </w:t>
      </w:r>
      <w:r>
        <w:rPr>
          <w:rFonts w:cs="Arial"/>
          <w:szCs w:val="20"/>
        </w:rPr>
        <w:t xml:space="preserve">o </w:t>
      </w:r>
      <w:r w:rsidR="00E63E64">
        <w:rPr>
          <w:rFonts w:cs="Arial"/>
          <w:szCs w:val="20"/>
        </w:rPr>
        <w:t>26,3</w:t>
      </w:r>
      <w:r w:rsidR="00243B3A">
        <w:rPr>
          <w:rFonts w:cs="Arial"/>
          <w:szCs w:val="20"/>
        </w:rPr>
        <w:t> %</w:t>
      </w:r>
      <w:r>
        <w:rPr>
          <w:rFonts w:cs="Arial"/>
          <w:szCs w:val="20"/>
        </w:rPr>
        <w:t xml:space="preserve">, za posledních pět let pak o </w:t>
      </w:r>
      <w:r w:rsidR="00E63E64">
        <w:rPr>
          <w:rFonts w:cs="Arial"/>
          <w:szCs w:val="20"/>
        </w:rPr>
        <w:t>14,2</w:t>
      </w:r>
      <w:r w:rsidR="00012510">
        <w:rPr>
          <w:rFonts w:cs="Arial"/>
          <w:szCs w:val="20"/>
        </w:rPr>
        <w:t xml:space="preserve"> %</w:t>
      </w:r>
      <w:r>
        <w:rPr>
          <w:rFonts w:cs="Arial"/>
          <w:szCs w:val="20"/>
        </w:rPr>
        <w:t>. Jde o výrazně vyšší nárůsty</w:t>
      </w:r>
      <w:r w:rsidR="00DB5D5B">
        <w:rPr>
          <w:rFonts w:cs="Arial"/>
          <w:szCs w:val="20"/>
        </w:rPr>
        <w:t>,</w:t>
      </w:r>
      <w:r>
        <w:rPr>
          <w:rFonts w:cs="Arial"/>
          <w:szCs w:val="20"/>
        </w:rPr>
        <w:t xml:space="preserve"> než </w:t>
      </w:r>
      <w:r w:rsidR="00DB5D5B">
        <w:rPr>
          <w:rFonts w:cs="Arial"/>
          <w:szCs w:val="20"/>
        </w:rPr>
        <w:t xml:space="preserve">jaké byly zaznamenány </w:t>
      </w:r>
      <w:r>
        <w:rPr>
          <w:rFonts w:cs="Arial"/>
          <w:szCs w:val="20"/>
        </w:rPr>
        <w:t>v případě počtu škol a jejich tříd, ale i dětí, kt</w:t>
      </w:r>
      <w:r w:rsidR="00E63E64">
        <w:rPr>
          <w:rFonts w:cs="Arial"/>
          <w:szCs w:val="20"/>
        </w:rPr>
        <w:t>eré je navštěvují. K 30. 9. 2021</w:t>
      </w:r>
      <w:r>
        <w:rPr>
          <w:rFonts w:cs="Arial"/>
          <w:szCs w:val="20"/>
        </w:rPr>
        <w:t xml:space="preserve"> pracovalo na pozici učitele v mateřských školách celkem </w:t>
      </w:r>
      <w:r w:rsidR="00E63E64">
        <w:rPr>
          <w:rFonts w:cs="Arial"/>
          <w:szCs w:val="20"/>
        </w:rPr>
        <w:t>33 831</w:t>
      </w:r>
      <w:r>
        <w:rPr>
          <w:rFonts w:cs="Arial"/>
          <w:szCs w:val="20"/>
        </w:rPr>
        <w:t xml:space="preserve"> </w:t>
      </w:r>
      <w:r w:rsidR="00E01B2A">
        <w:rPr>
          <w:rFonts w:cs="Arial"/>
          <w:szCs w:val="20"/>
        </w:rPr>
        <w:t xml:space="preserve">osob přepočtených na plné úvazky </w:t>
      </w:r>
      <w:r w:rsidR="00E63E64">
        <w:rPr>
          <w:rFonts w:cs="Arial"/>
          <w:szCs w:val="20"/>
        </w:rPr>
        <w:t>v porovnání s 26 781</w:t>
      </w:r>
      <w:r>
        <w:rPr>
          <w:rFonts w:cs="Arial"/>
          <w:szCs w:val="20"/>
        </w:rPr>
        <w:t xml:space="preserve"> v </w:t>
      </w:r>
      <w:r w:rsidR="00E63E64">
        <w:rPr>
          <w:rFonts w:cs="Arial"/>
          <w:szCs w:val="20"/>
        </w:rPr>
        <w:t>roce 2011.</w:t>
      </w:r>
    </w:p>
    <w:p w14:paraId="0E11BB5E" w14:textId="0D789481" w:rsidR="00A67C12" w:rsidRDefault="00A67C12" w:rsidP="00243B3A">
      <w:pPr>
        <w:keepNext/>
        <w:spacing w:after="120"/>
        <w:jc w:val="both"/>
        <w:rPr>
          <w:rFonts w:cs="Arial"/>
          <w:b/>
          <w:szCs w:val="20"/>
        </w:rPr>
      </w:pPr>
      <w:r w:rsidRPr="002E5300">
        <w:rPr>
          <w:rFonts w:cs="Arial"/>
          <w:b/>
          <w:szCs w:val="20"/>
        </w:rPr>
        <w:t>Graf 1.</w:t>
      </w:r>
      <w:r w:rsidR="00E64A4E">
        <w:rPr>
          <w:rFonts w:cs="Arial"/>
          <w:b/>
          <w:szCs w:val="20"/>
        </w:rPr>
        <w:t>4</w:t>
      </w:r>
      <w:r w:rsidRPr="002E5300">
        <w:rPr>
          <w:rFonts w:cs="Arial"/>
          <w:b/>
          <w:szCs w:val="20"/>
        </w:rPr>
        <w:t xml:space="preserve"> Mateřské školy podle zřizovatele - počet </w:t>
      </w:r>
      <w:r w:rsidR="00E01B2A">
        <w:rPr>
          <w:rFonts w:cs="Arial"/>
          <w:b/>
          <w:szCs w:val="20"/>
        </w:rPr>
        <w:t>plných úvazků učitelů</w:t>
      </w:r>
    </w:p>
    <w:p w14:paraId="594DAF2F" w14:textId="1E0224BD" w:rsidR="00A67C12" w:rsidRPr="00243B3A" w:rsidRDefault="00E63E64" w:rsidP="00243B3A">
      <w:pPr>
        <w:keepNext/>
        <w:spacing w:after="120"/>
        <w:jc w:val="both"/>
        <w:rPr>
          <w:rFonts w:cs="Arial"/>
          <w:b/>
          <w:szCs w:val="20"/>
        </w:rPr>
      </w:pPr>
      <w:r>
        <w:rPr>
          <w:noProof/>
        </w:rPr>
        <w:drawing>
          <wp:inline distT="0" distB="0" distL="0" distR="0" wp14:anchorId="3CED8ED9" wp14:editId="104447B5">
            <wp:extent cx="6083935" cy="2781300"/>
            <wp:effectExtent l="0" t="0" r="12065" b="0"/>
            <wp:docPr id="103" name="Graf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4467418" w14:textId="77777777" w:rsidR="00A67C12" w:rsidRPr="00F94849" w:rsidRDefault="00A67C12" w:rsidP="00243B3A">
      <w:pPr>
        <w:spacing w:after="120"/>
        <w:jc w:val="right"/>
        <w:rPr>
          <w:rFonts w:cs="Arial"/>
          <w:iCs/>
        </w:rPr>
      </w:pPr>
      <w:r w:rsidRPr="00F94849">
        <w:rPr>
          <w:rFonts w:cs="Arial"/>
          <w:sz w:val="18"/>
        </w:rPr>
        <w:t>Zdroj: ČSÚ</w:t>
      </w:r>
      <w:r w:rsidRPr="00F94849">
        <w:rPr>
          <w:rFonts w:cs="Arial"/>
          <w:noProof/>
        </w:rPr>
        <w:t xml:space="preserve"> </w:t>
      </w:r>
      <w:r w:rsidRPr="00307699">
        <w:rPr>
          <w:rFonts w:cs="Arial"/>
          <w:sz w:val="18"/>
        </w:rPr>
        <w:t>podle údajů MŠMT</w:t>
      </w:r>
    </w:p>
    <w:p w14:paraId="3194E650" w14:textId="3A5E0FFD" w:rsidR="008A657D" w:rsidRDefault="00A67C12" w:rsidP="00091E88">
      <w:pPr>
        <w:spacing w:after="120"/>
        <w:jc w:val="both"/>
        <w:rPr>
          <w:rFonts w:cs="Arial"/>
          <w:szCs w:val="20"/>
        </w:rPr>
      </w:pPr>
      <w:r w:rsidRPr="00D73EBA">
        <w:rPr>
          <w:rFonts w:cs="Arial"/>
          <w:szCs w:val="20"/>
        </w:rPr>
        <w:lastRenderedPageBreak/>
        <w:t xml:space="preserve">Vzdělávání v mateřských školách je u nás </w:t>
      </w:r>
      <w:r w:rsidR="008A657D">
        <w:rPr>
          <w:rFonts w:cs="Arial"/>
          <w:szCs w:val="20"/>
        </w:rPr>
        <w:t>téměř výhradní doménou žen. M</w:t>
      </w:r>
      <w:r w:rsidR="00655A7E">
        <w:rPr>
          <w:rFonts w:cs="Arial"/>
          <w:szCs w:val="20"/>
        </w:rPr>
        <w:t>uži tvořili ve školním roce 2021/22 jen 0,69</w:t>
      </w:r>
      <w:r w:rsidR="008A657D">
        <w:rPr>
          <w:rFonts w:cs="Arial"/>
          <w:szCs w:val="20"/>
        </w:rPr>
        <w:t> %</w:t>
      </w:r>
      <w:r w:rsidRPr="00D73EBA">
        <w:rPr>
          <w:rFonts w:cs="Arial"/>
          <w:szCs w:val="20"/>
        </w:rPr>
        <w:t xml:space="preserve"> pedagogických pracovníků mateřských škol. </w:t>
      </w:r>
      <w:r w:rsidR="008A657D">
        <w:rPr>
          <w:rFonts w:cs="Arial"/>
          <w:szCs w:val="20"/>
        </w:rPr>
        <w:t xml:space="preserve">Jejich podíl se však v čase </w:t>
      </w:r>
      <w:r w:rsidR="00655A7E">
        <w:rPr>
          <w:rFonts w:cs="Arial"/>
          <w:szCs w:val="20"/>
        </w:rPr>
        <w:t xml:space="preserve">soustavně </w:t>
      </w:r>
      <w:r w:rsidR="008A657D">
        <w:rPr>
          <w:rFonts w:cs="Arial"/>
          <w:szCs w:val="20"/>
        </w:rPr>
        <w:t>mírně zvyšuje. Ve ško</w:t>
      </w:r>
      <w:r w:rsidR="00655A7E">
        <w:rPr>
          <w:rFonts w:cs="Arial"/>
          <w:szCs w:val="20"/>
        </w:rPr>
        <w:t>lním roce 2011/12 zaujímali 0,35</w:t>
      </w:r>
      <w:r w:rsidR="00CF68F6">
        <w:rPr>
          <w:rFonts w:cs="Arial"/>
          <w:szCs w:val="20"/>
        </w:rPr>
        <w:t xml:space="preserve"> </w:t>
      </w:r>
      <w:r w:rsidR="00655A7E">
        <w:rPr>
          <w:rFonts w:cs="Arial"/>
          <w:szCs w:val="20"/>
        </w:rPr>
        <w:t>% všech učitelů a ve školním roce 2016/17 to bylo 0,56</w:t>
      </w:r>
      <w:r w:rsidR="008A657D">
        <w:rPr>
          <w:rFonts w:cs="Arial"/>
          <w:szCs w:val="20"/>
        </w:rPr>
        <w:t> %.</w:t>
      </w:r>
    </w:p>
    <w:p w14:paraId="6DE08446" w14:textId="740404EB" w:rsidR="00A67C12" w:rsidRPr="00D73EBA" w:rsidRDefault="00A67C12" w:rsidP="00091E88">
      <w:pPr>
        <w:spacing w:after="120"/>
        <w:jc w:val="both"/>
        <w:rPr>
          <w:rFonts w:cs="Arial"/>
          <w:szCs w:val="20"/>
        </w:rPr>
      </w:pPr>
      <w:r w:rsidRPr="00D73EBA">
        <w:rPr>
          <w:rFonts w:cs="Arial"/>
          <w:szCs w:val="20"/>
        </w:rPr>
        <w:t>V krajském srovnání by</w:t>
      </w:r>
      <w:r w:rsidR="00E01B2A">
        <w:rPr>
          <w:rFonts w:cs="Arial"/>
          <w:szCs w:val="20"/>
        </w:rPr>
        <w:t>l tento podíl nejvyšší v Praze, a sice</w:t>
      </w:r>
      <w:r w:rsidRPr="00D73EBA">
        <w:rPr>
          <w:rFonts w:cs="Arial"/>
          <w:szCs w:val="20"/>
        </w:rPr>
        <w:t xml:space="preserve"> 1,3</w:t>
      </w:r>
      <w:r w:rsidR="00655A7E">
        <w:rPr>
          <w:rFonts w:cs="Arial"/>
          <w:szCs w:val="20"/>
        </w:rPr>
        <w:t>8</w:t>
      </w:r>
      <w:r w:rsidRPr="00D73EBA">
        <w:rPr>
          <w:rFonts w:cs="Arial"/>
          <w:szCs w:val="20"/>
        </w:rPr>
        <w:t xml:space="preserve"> % (</w:t>
      </w:r>
      <w:r w:rsidR="00655A7E">
        <w:rPr>
          <w:rFonts w:cs="Arial"/>
          <w:szCs w:val="20"/>
        </w:rPr>
        <w:t>55</w:t>
      </w:r>
      <w:r w:rsidRPr="00D73EBA">
        <w:rPr>
          <w:rFonts w:cs="Arial"/>
          <w:szCs w:val="20"/>
        </w:rPr>
        <w:t xml:space="preserve"> </w:t>
      </w:r>
      <w:r w:rsidR="00655A7E">
        <w:rPr>
          <w:rFonts w:cs="Arial"/>
          <w:szCs w:val="20"/>
        </w:rPr>
        <w:t xml:space="preserve">úvazků </w:t>
      </w:r>
      <w:r w:rsidRPr="00D73EBA">
        <w:rPr>
          <w:rFonts w:cs="Arial"/>
          <w:szCs w:val="20"/>
        </w:rPr>
        <w:t>učitelů</w:t>
      </w:r>
      <w:r w:rsidR="00655A7E">
        <w:rPr>
          <w:rFonts w:cs="Arial"/>
          <w:szCs w:val="20"/>
        </w:rPr>
        <w:t xml:space="preserve"> - mužů</w:t>
      </w:r>
      <w:r w:rsidRPr="00D73EBA">
        <w:rPr>
          <w:rFonts w:cs="Arial"/>
          <w:szCs w:val="20"/>
        </w:rPr>
        <w:t>). Naopak nejnižší zastoupení mužů bylo zaznamenáno v</w:t>
      </w:r>
      <w:r>
        <w:rPr>
          <w:rFonts w:cs="Arial"/>
          <w:szCs w:val="20"/>
        </w:rPr>
        <w:t xml:space="preserve"> kraji Vysočina </w:t>
      </w:r>
      <w:r w:rsidRPr="00D73EBA">
        <w:rPr>
          <w:rFonts w:cs="Arial"/>
          <w:szCs w:val="20"/>
        </w:rPr>
        <w:t>(0,</w:t>
      </w:r>
      <w:r>
        <w:rPr>
          <w:rFonts w:cs="Arial"/>
          <w:szCs w:val="20"/>
        </w:rPr>
        <w:t>3</w:t>
      </w:r>
      <w:r w:rsidR="00655A7E">
        <w:rPr>
          <w:rFonts w:cs="Arial"/>
          <w:szCs w:val="20"/>
        </w:rPr>
        <w:t>8</w:t>
      </w:r>
      <w:r w:rsidRPr="00D73EBA">
        <w:rPr>
          <w:rFonts w:cs="Arial"/>
          <w:szCs w:val="20"/>
        </w:rPr>
        <w:t xml:space="preserve"> %</w:t>
      </w:r>
      <w:r w:rsidR="002F3B0B">
        <w:rPr>
          <w:rFonts w:cs="Arial"/>
          <w:szCs w:val="20"/>
        </w:rPr>
        <w:t>, neboli sedm plných úvazků učitelů - mužů)</w:t>
      </w:r>
      <w:r w:rsidRPr="00D73EBA">
        <w:rPr>
          <w:rFonts w:cs="Arial"/>
          <w:szCs w:val="20"/>
        </w:rPr>
        <w:t xml:space="preserve">. </w:t>
      </w:r>
    </w:p>
    <w:p w14:paraId="3E40BF47" w14:textId="25AD5908" w:rsidR="00E15503" w:rsidRDefault="00655A7E" w:rsidP="00091E88">
      <w:pPr>
        <w:spacing w:after="120"/>
        <w:jc w:val="both"/>
        <w:rPr>
          <w:rFonts w:cs="Arial"/>
          <w:szCs w:val="20"/>
        </w:rPr>
      </w:pPr>
      <w:r>
        <w:rPr>
          <w:rFonts w:cs="Arial"/>
          <w:szCs w:val="20"/>
        </w:rPr>
        <w:t>Ve školním roce 2021</w:t>
      </w:r>
      <w:r w:rsidR="00A67C12" w:rsidRPr="00F97AB8">
        <w:rPr>
          <w:rFonts w:cs="Arial"/>
          <w:szCs w:val="20"/>
        </w:rPr>
        <w:t>/</w:t>
      </w:r>
      <w:r>
        <w:rPr>
          <w:rFonts w:cs="Arial"/>
          <w:szCs w:val="20"/>
        </w:rPr>
        <w:t>22</w:t>
      </w:r>
      <w:r w:rsidR="00A67C12" w:rsidRPr="00F97AB8">
        <w:rPr>
          <w:rFonts w:cs="Arial"/>
          <w:szCs w:val="20"/>
        </w:rPr>
        <w:t xml:space="preserve"> navštěvovalo mateřské školy celkem </w:t>
      </w:r>
      <w:r>
        <w:rPr>
          <w:rFonts w:cs="Arial"/>
          <w:b/>
          <w:szCs w:val="20"/>
        </w:rPr>
        <w:t>360 490</w:t>
      </w:r>
      <w:r w:rsidR="00A67C12" w:rsidRPr="00F97AB8">
        <w:rPr>
          <w:rFonts w:cs="Arial"/>
          <w:b/>
          <w:szCs w:val="20"/>
        </w:rPr>
        <w:t xml:space="preserve"> dětí</w:t>
      </w:r>
      <w:r w:rsidR="00A67C12" w:rsidRPr="00CF68F6">
        <w:rPr>
          <w:rFonts w:cs="Arial"/>
          <w:szCs w:val="20"/>
        </w:rPr>
        <w:t xml:space="preserve">. </w:t>
      </w:r>
      <w:r w:rsidR="00F97AB8" w:rsidRPr="00CF68F6">
        <w:rPr>
          <w:rFonts w:cs="Arial"/>
          <w:szCs w:val="20"/>
        </w:rPr>
        <w:t xml:space="preserve">Oproti předchozímu školnímu roku je to o </w:t>
      </w:r>
      <w:r>
        <w:rPr>
          <w:rFonts w:cs="Arial"/>
          <w:szCs w:val="20"/>
        </w:rPr>
        <w:t>2 892</w:t>
      </w:r>
      <w:r w:rsidR="00F97AB8" w:rsidRPr="00CF68F6">
        <w:rPr>
          <w:rFonts w:cs="Arial"/>
          <w:szCs w:val="20"/>
        </w:rPr>
        <w:t xml:space="preserve"> dětí </w:t>
      </w:r>
      <w:r>
        <w:rPr>
          <w:rFonts w:cs="Arial"/>
          <w:szCs w:val="20"/>
        </w:rPr>
        <w:t>více</w:t>
      </w:r>
      <w:r w:rsidR="00F97AB8" w:rsidRPr="00CF68F6">
        <w:rPr>
          <w:rFonts w:cs="Arial"/>
          <w:szCs w:val="20"/>
        </w:rPr>
        <w:t xml:space="preserve">. </w:t>
      </w:r>
      <w:r>
        <w:rPr>
          <w:rFonts w:cs="Arial"/>
          <w:szCs w:val="20"/>
        </w:rPr>
        <w:t xml:space="preserve">Přitom mezi školními roky 2019/20 a 2020/21 došlo naopak k jejich poklesu, a sice o 7 311 dětí. </w:t>
      </w:r>
    </w:p>
    <w:p w14:paraId="49570CE8" w14:textId="3CC240EF" w:rsidR="00435E99" w:rsidRDefault="00435E99" w:rsidP="00435E99">
      <w:pPr>
        <w:keepNext/>
        <w:spacing w:after="120"/>
        <w:jc w:val="both"/>
        <w:rPr>
          <w:rFonts w:cs="Arial"/>
          <w:b/>
          <w:szCs w:val="20"/>
        </w:rPr>
      </w:pPr>
      <w:r w:rsidRPr="002E5300">
        <w:rPr>
          <w:rFonts w:cs="Arial"/>
          <w:b/>
          <w:szCs w:val="20"/>
        </w:rPr>
        <w:t>Graf 1.</w:t>
      </w:r>
      <w:r w:rsidR="00E64A4E">
        <w:rPr>
          <w:rFonts w:cs="Arial"/>
          <w:b/>
          <w:szCs w:val="20"/>
        </w:rPr>
        <w:t>5</w:t>
      </w:r>
      <w:r>
        <w:rPr>
          <w:rFonts w:cs="Arial"/>
          <w:b/>
          <w:szCs w:val="20"/>
        </w:rPr>
        <w:t xml:space="preserve"> Mateřské školy - počty dětí v mateřských školách </w:t>
      </w:r>
      <w:r w:rsidR="009D465D">
        <w:rPr>
          <w:rFonts w:cs="Arial"/>
          <w:b/>
          <w:szCs w:val="20"/>
        </w:rPr>
        <w:t>(2000/01 až 2021/22</w:t>
      </w:r>
      <w:r>
        <w:rPr>
          <w:rFonts w:cs="Arial"/>
          <w:b/>
          <w:szCs w:val="20"/>
        </w:rPr>
        <w:t>)</w:t>
      </w:r>
    </w:p>
    <w:p w14:paraId="1D8551AE" w14:textId="6E3A26C2" w:rsidR="00435E99" w:rsidRDefault="009D465D" w:rsidP="00435E99">
      <w:pPr>
        <w:keepNext/>
        <w:spacing w:after="120"/>
        <w:jc w:val="both"/>
        <w:rPr>
          <w:rFonts w:cs="Arial"/>
          <w:b/>
          <w:szCs w:val="20"/>
        </w:rPr>
      </w:pPr>
      <w:r>
        <w:rPr>
          <w:noProof/>
        </w:rPr>
        <w:drawing>
          <wp:inline distT="0" distB="0" distL="0" distR="0" wp14:anchorId="7C6C4336" wp14:editId="0A0A2122">
            <wp:extent cx="6120130" cy="2828925"/>
            <wp:effectExtent l="0" t="0" r="13970" b="9525"/>
            <wp:docPr id="105" name="Graf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C91CF97" w14:textId="5FF55879" w:rsidR="00435E99" w:rsidRPr="00435E99" w:rsidRDefault="00435E99" w:rsidP="00435E99">
      <w:pPr>
        <w:spacing w:after="120"/>
        <w:jc w:val="right"/>
        <w:rPr>
          <w:rFonts w:cs="Arial"/>
          <w:iCs/>
        </w:rPr>
      </w:pPr>
      <w:r w:rsidRPr="00F94849">
        <w:rPr>
          <w:rFonts w:cs="Arial"/>
          <w:sz w:val="18"/>
        </w:rPr>
        <w:t>Zdroj: ČSÚ</w:t>
      </w:r>
      <w:r w:rsidRPr="00F94849">
        <w:rPr>
          <w:rFonts w:cs="Arial"/>
          <w:noProof/>
        </w:rPr>
        <w:t xml:space="preserve"> </w:t>
      </w:r>
      <w:r w:rsidRPr="00307699">
        <w:rPr>
          <w:rFonts w:cs="Arial"/>
          <w:sz w:val="18"/>
        </w:rPr>
        <w:t>podle údajů MŠMT</w:t>
      </w:r>
    </w:p>
    <w:p w14:paraId="3A5635C0" w14:textId="002ADD0F" w:rsidR="00F85243" w:rsidRDefault="00F85243" w:rsidP="00435E99">
      <w:pPr>
        <w:jc w:val="both"/>
      </w:pPr>
      <w:r>
        <w:t xml:space="preserve">Jak bylo uvedeno v analýze této publikace v předchozím roce, úbytek počtu dětí </w:t>
      </w:r>
      <w:r w:rsidR="006B791E">
        <w:t xml:space="preserve">mezi školními roky 2019/20 a 2020/21 </w:t>
      </w:r>
      <w:r>
        <w:t xml:space="preserve">byl daný poklesem počtu dětí mladších než 3 roky a mírně i tříletých v mateřských školách. A to přesto, že jejich počet v populaci České republiky, tj. včetně těch, co nedocházejí do mateřských škol s právem poskytování předškolní přípravy, se naopak zvýšil. </w:t>
      </w:r>
      <w:r>
        <w:rPr>
          <w:rFonts w:cs="Arial"/>
          <w:szCs w:val="20"/>
        </w:rPr>
        <w:t>Jako možné vysvětlení byly čtenářům nabídnuty</w:t>
      </w:r>
      <w:r w:rsidRPr="00CF68F6">
        <w:rPr>
          <w:rFonts w:cs="Arial"/>
          <w:szCs w:val="20"/>
        </w:rPr>
        <w:t xml:space="preserve"> </w:t>
      </w:r>
      <w:r>
        <w:rPr>
          <w:rFonts w:cs="Arial"/>
          <w:szCs w:val="20"/>
        </w:rPr>
        <w:t>obavy</w:t>
      </w:r>
      <w:r w:rsidRPr="00CF68F6">
        <w:rPr>
          <w:rFonts w:cs="Arial"/>
          <w:szCs w:val="20"/>
        </w:rPr>
        <w:t xml:space="preserve"> rodičů z onemocnění </w:t>
      </w:r>
      <w:r>
        <w:rPr>
          <w:rFonts w:cs="Arial"/>
          <w:szCs w:val="20"/>
        </w:rPr>
        <w:t>covid</w:t>
      </w:r>
      <w:r w:rsidRPr="00CF68F6">
        <w:rPr>
          <w:rFonts w:cs="Arial"/>
          <w:szCs w:val="20"/>
        </w:rPr>
        <w:t>-19</w:t>
      </w:r>
      <w:r>
        <w:rPr>
          <w:rFonts w:cs="Arial"/>
          <w:szCs w:val="20"/>
        </w:rPr>
        <w:t>, ale také navýšení</w:t>
      </w:r>
      <w:r w:rsidRPr="00CF68F6">
        <w:rPr>
          <w:rFonts w:cs="Arial"/>
          <w:szCs w:val="20"/>
        </w:rPr>
        <w:t xml:space="preserve"> rodičovského příspěvku od ledna 2020, kdy v důsledku prodlužování mateřské dovolené</w:t>
      </w:r>
      <w:r>
        <w:rPr>
          <w:rStyle w:val="Znakapoznpodarou"/>
          <w:rFonts w:cs="Arial"/>
          <w:szCs w:val="20"/>
        </w:rPr>
        <w:footnoteReference w:id="4"/>
      </w:r>
      <w:r w:rsidRPr="00CF68F6">
        <w:rPr>
          <w:rFonts w:cs="Arial"/>
          <w:szCs w:val="20"/>
        </w:rPr>
        <w:t xml:space="preserve"> ubylo dětí mladších tří let </w:t>
      </w:r>
      <w:r>
        <w:rPr>
          <w:rFonts w:cs="Arial"/>
          <w:szCs w:val="20"/>
        </w:rPr>
        <w:t xml:space="preserve">(o 19,6 % oproti předchozímu roku) </w:t>
      </w:r>
      <w:r w:rsidRPr="00CF68F6">
        <w:rPr>
          <w:rFonts w:cs="Arial"/>
          <w:szCs w:val="20"/>
        </w:rPr>
        <w:t>a mírně i dětí tří</w:t>
      </w:r>
      <w:r>
        <w:rPr>
          <w:rFonts w:cs="Arial"/>
          <w:szCs w:val="20"/>
        </w:rPr>
        <w:t>letých (o 1,6 %) v mateřských školách</w:t>
      </w:r>
      <w:r w:rsidRPr="00CF68F6">
        <w:rPr>
          <w:rFonts w:cs="Arial"/>
          <w:szCs w:val="20"/>
        </w:rPr>
        <w:t>.</w:t>
      </w:r>
      <w:r>
        <w:rPr>
          <w:rFonts w:cs="Arial"/>
          <w:szCs w:val="20"/>
        </w:rPr>
        <w:t xml:space="preserve"> Zde lze uvést, že též mezi školními roky 2020/21 a 2021/22</w:t>
      </w:r>
      <w:r w:rsidR="004D5B7D">
        <w:rPr>
          <w:rFonts w:cs="Arial"/>
          <w:szCs w:val="20"/>
        </w:rPr>
        <w:t xml:space="preserve"> (dle stavu k 30.9.)</w:t>
      </w:r>
      <w:r>
        <w:rPr>
          <w:rFonts w:cs="Arial"/>
          <w:szCs w:val="20"/>
        </w:rPr>
        <w:t xml:space="preserve"> ubylo dětí mladších tří let v mateřských školách (o 5,4 %), počet dětí tříletých se však o 1,4 % navýšil. V populaci se přitom počet dětí dvouletých i tříletých </w:t>
      </w:r>
      <w:r w:rsidR="004D5B7D">
        <w:rPr>
          <w:rFonts w:cs="Arial"/>
          <w:szCs w:val="20"/>
        </w:rPr>
        <w:t>mezi 1. červencem</w:t>
      </w:r>
      <w:r>
        <w:rPr>
          <w:rFonts w:cs="Arial"/>
          <w:szCs w:val="20"/>
        </w:rPr>
        <w:t xml:space="preserve"> 2020 a </w:t>
      </w:r>
      <w:r w:rsidR="004D5B7D">
        <w:rPr>
          <w:rFonts w:cs="Arial"/>
          <w:szCs w:val="20"/>
        </w:rPr>
        <w:t xml:space="preserve">1. červencem </w:t>
      </w:r>
      <w:r>
        <w:rPr>
          <w:rFonts w:cs="Arial"/>
          <w:szCs w:val="20"/>
        </w:rPr>
        <w:t xml:space="preserve">2021 </w:t>
      </w:r>
      <w:r w:rsidR="004D5B7D">
        <w:rPr>
          <w:rFonts w:cs="Arial"/>
          <w:szCs w:val="20"/>
        </w:rPr>
        <w:t xml:space="preserve">mírně </w:t>
      </w:r>
      <w:r>
        <w:rPr>
          <w:rFonts w:cs="Arial"/>
          <w:szCs w:val="20"/>
        </w:rPr>
        <w:t xml:space="preserve">snížil; počet dvouletých dětí dokonce výrazněji </w:t>
      </w:r>
      <w:r w:rsidR="004D5B7D">
        <w:rPr>
          <w:rFonts w:cs="Arial"/>
          <w:szCs w:val="20"/>
        </w:rPr>
        <w:t xml:space="preserve">(o 2,7 %) </w:t>
      </w:r>
      <w:r>
        <w:rPr>
          <w:rFonts w:cs="Arial"/>
          <w:szCs w:val="20"/>
        </w:rPr>
        <w:t>než tříletých</w:t>
      </w:r>
      <w:r w:rsidR="004D5B7D">
        <w:rPr>
          <w:rFonts w:cs="Arial"/>
          <w:szCs w:val="20"/>
        </w:rPr>
        <w:t xml:space="preserve"> (o 1,1 %)</w:t>
      </w:r>
      <w:r>
        <w:rPr>
          <w:rFonts w:cs="Arial"/>
          <w:szCs w:val="20"/>
        </w:rPr>
        <w:t>. Nabízí se vysvětlení, že vzhledem k již probíhajícímu</w:t>
      </w:r>
      <w:r w:rsidR="004D5B7D">
        <w:rPr>
          <w:rFonts w:cs="Arial"/>
          <w:szCs w:val="20"/>
        </w:rPr>
        <w:t xml:space="preserve"> očkování proti onemocnění covid</w:t>
      </w:r>
      <w:r>
        <w:rPr>
          <w:rFonts w:cs="Arial"/>
          <w:szCs w:val="20"/>
        </w:rPr>
        <w:t>-19 a vyšší promořenosti obyvatel se obavy rodičů z tohoto onemocnění ve školním roce 2021/22 oproti</w:t>
      </w:r>
      <w:r w:rsidR="001125B3">
        <w:rPr>
          <w:rFonts w:cs="Arial"/>
          <w:szCs w:val="20"/>
        </w:rPr>
        <w:t xml:space="preserve"> školnímu roku 2020/21 zmírnily</w:t>
      </w:r>
      <w:r w:rsidR="00730183">
        <w:rPr>
          <w:rFonts w:cs="Arial"/>
          <w:szCs w:val="20"/>
        </w:rPr>
        <w:t xml:space="preserve">. </w:t>
      </w:r>
      <w:r w:rsidR="00C22E3D">
        <w:rPr>
          <w:rFonts w:cs="Arial"/>
          <w:szCs w:val="20"/>
        </w:rPr>
        <w:t>Je však také možné, že se tyto děti do školek z kapacitních důvodů pro svůj věk nedostaly (přednost je dávána starším dětem</w:t>
      </w:r>
      <w:r w:rsidR="00573A3B">
        <w:rPr>
          <w:rFonts w:cs="Arial"/>
          <w:szCs w:val="20"/>
        </w:rPr>
        <w:t>, včetně dětí s odkladem - viz dále v publikaci</w:t>
      </w:r>
      <w:r w:rsidR="00C22E3D">
        <w:rPr>
          <w:rFonts w:cs="Arial"/>
          <w:szCs w:val="20"/>
        </w:rPr>
        <w:t xml:space="preserve">). </w:t>
      </w:r>
      <w:r>
        <w:rPr>
          <w:rFonts w:cs="Arial"/>
          <w:szCs w:val="20"/>
        </w:rPr>
        <w:t xml:space="preserve">Více o věkovém složení dětí v mateřských školách lze nalézt v části 1.2 této zprávy. </w:t>
      </w:r>
      <w:r w:rsidRPr="00CF68F6">
        <w:rPr>
          <w:rFonts w:cs="Arial"/>
          <w:szCs w:val="20"/>
        </w:rPr>
        <w:t xml:space="preserve"> </w:t>
      </w:r>
    </w:p>
    <w:p w14:paraId="253AF1B6" w14:textId="7CF5CAF3" w:rsidR="00435E99" w:rsidRPr="00A549B5" w:rsidRDefault="000E0123" w:rsidP="00435E99">
      <w:pPr>
        <w:jc w:val="both"/>
        <w:rPr>
          <w:szCs w:val="20"/>
        </w:rPr>
      </w:pPr>
      <w:r>
        <w:t xml:space="preserve">Srovnejme vývoj </w:t>
      </w:r>
      <w:r w:rsidR="00EC20E8">
        <w:t xml:space="preserve">celkového </w:t>
      </w:r>
      <w:r>
        <w:t xml:space="preserve">počtu dětí v mateřských školách s vývojem populace </w:t>
      </w:r>
      <w:r w:rsidR="00F57735">
        <w:t xml:space="preserve">ČR </w:t>
      </w:r>
      <w:r>
        <w:t xml:space="preserve">příslušného věku. </w:t>
      </w:r>
      <w:r w:rsidR="00BE2427">
        <w:t>Graf 1.6</w:t>
      </w:r>
      <w:r w:rsidR="00435E99">
        <w:t xml:space="preserve"> podává přehled o počtu obyvatel tří věkových kohort v Če</w:t>
      </w:r>
      <w:r w:rsidR="004A6769">
        <w:t>ské republice k 1. červenci 2011, 2016 a 2021</w:t>
      </w:r>
      <w:r w:rsidR="00435E99">
        <w:t xml:space="preserve">. </w:t>
      </w:r>
      <w:r w:rsidR="00435E99">
        <w:lastRenderedPageBreak/>
        <w:t>Skupina dětí, které k 1. červenci</w:t>
      </w:r>
      <w:r w:rsidR="00B92E48">
        <w:t xml:space="preserve"> (</w:t>
      </w:r>
      <w:r w:rsidR="000D421D">
        <w:t>tedy krátce</w:t>
      </w:r>
      <w:r w:rsidR="00435E99">
        <w:t xml:space="preserve"> před začátkem školního roku</w:t>
      </w:r>
      <w:r w:rsidR="00B92E48">
        <w:t>)</w:t>
      </w:r>
      <w:r w:rsidR="00064844">
        <w:t xml:space="preserve"> dosáhly 3-5 let, představuje</w:t>
      </w:r>
      <w:r w:rsidR="00435E99">
        <w:t xml:space="preserve"> počet dětí ve věku, kdy obvykle chodí do školky</w:t>
      </w:r>
      <w:r w:rsidR="00EC20E8">
        <w:t xml:space="preserve"> (viz oranžový sloupec)</w:t>
      </w:r>
      <w:r w:rsidR="00435E99">
        <w:t xml:space="preserve">. Mladší dvě věkové skupiny </w:t>
      </w:r>
      <w:r w:rsidR="00EC20E8">
        <w:t xml:space="preserve">(viz dva modré sloupce) </w:t>
      </w:r>
      <w:r w:rsidR="00435E99">
        <w:t>představují děti, které pravděpodobně budou chodit do školky za rok, resp. za dva.</w:t>
      </w:r>
      <w:r w:rsidR="004A6769">
        <w:t xml:space="preserve"> Jak je patrné, v roce 2011</w:t>
      </w:r>
      <w:r>
        <w:t xml:space="preserve"> bylo dětí ve věku 3-5 let méně než těch ve věku 2-4 roky a 1-3</w:t>
      </w:r>
      <w:r w:rsidR="00BD536B">
        <w:t xml:space="preserve"> </w:t>
      </w:r>
      <w:r>
        <w:t>roky.  V následujících letech proto docházelo k růstu počtu dětí v</w:t>
      </w:r>
      <w:r w:rsidR="004A6769">
        <w:t> mateřských školách. V roce 2016</w:t>
      </w:r>
      <w:r>
        <w:t xml:space="preserve"> vidíme, že </w:t>
      </w:r>
      <w:r w:rsidR="006F2A2E">
        <w:t>počet dětí ve věku 3-5 let byl srovnatelný s</w:t>
      </w:r>
      <w:r w:rsidR="00302A46">
        <w:t> počtem dětí</w:t>
      </w:r>
      <w:r>
        <w:t xml:space="preserve"> v mladších věkových </w:t>
      </w:r>
      <w:r w:rsidR="006F2A2E">
        <w:t>skupinách</w:t>
      </w:r>
      <w:r>
        <w:t>.</w:t>
      </w:r>
      <w:r w:rsidR="006F2A2E">
        <w:t xml:space="preserve"> V následujících letech se proto počet dětí příliš neměnil</w:t>
      </w:r>
      <w:r w:rsidR="00302A46">
        <w:t>. V roce 2021</w:t>
      </w:r>
      <w:r>
        <w:t xml:space="preserve"> pak bylo jen nepatrně mé</w:t>
      </w:r>
      <w:r w:rsidR="006F2A2E">
        <w:t>ně dětí ve věku 1-3 roky</w:t>
      </w:r>
      <w:r w:rsidR="000D421D">
        <w:t xml:space="preserve"> než těch ve dvou </w:t>
      </w:r>
      <w:r w:rsidR="006F2A2E">
        <w:t>star</w:t>
      </w:r>
      <w:r w:rsidR="000D421D">
        <w:t>ších věkových skupinách</w:t>
      </w:r>
      <w:r>
        <w:t>. V příš</w:t>
      </w:r>
      <w:r w:rsidR="000D421D">
        <w:t>tích dvou školních rocích</w:t>
      </w:r>
      <w:r>
        <w:t xml:space="preserve"> </w:t>
      </w:r>
      <w:r w:rsidR="00BE2427">
        <w:t xml:space="preserve">by </w:t>
      </w:r>
      <w:r>
        <w:t>proto dle vývoje populace v počtu dětí v mateřských školách</w:t>
      </w:r>
      <w:r w:rsidR="00BE2427">
        <w:t xml:space="preserve"> neměly být</w:t>
      </w:r>
      <w:r w:rsidR="00103103">
        <w:t xml:space="preserve"> velké změny. </w:t>
      </w:r>
      <w:r w:rsidR="00BE2427" w:rsidRPr="00252356">
        <w:t xml:space="preserve">Nutno </w:t>
      </w:r>
      <w:r w:rsidR="00BE2427">
        <w:t>však říci, že na počet dětí v mateřských školách</w:t>
      </w:r>
      <w:r w:rsidR="00BE2427" w:rsidRPr="00252356">
        <w:t xml:space="preserve"> má vliv i podíl rodičů, kteří </w:t>
      </w:r>
      <w:r w:rsidR="00BE2427" w:rsidRPr="00A549B5">
        <w:rPr>
          <w:szCs w:val="20"/>
        </w:rPr>
        <w:t>se rozhodnou své dítě do mateřské školy přihlásit</w:t>
      </w:r>
      <w:r w:rsidR="00211611">
        <w:rPr>
          <w:szCs w:val="20"/>
        </w:rPr>
        <w:t>. Přestože se v poslední době zdůrazňuje pozitivní vliv docházky dětí ve věku 3 a více let do školky</w:t>
      </w:r>
      <w:r w:rsidR="00211611">
        <w:rPr>
          <w:rStyle w:val="Znakapoznpodarou"/>
          <w:szCs w:val="20"/>
        </w:rPr>
        <w:footnoteReference w:id="5"/>
      </w:r>
      <w:r w:rsidR="00211611">
        <w:rPr>
          <w:szCs w:val="20"/>
        </w:rPr>
        <w:t>,</w:t>
      </w:r>
      <w:r w:rsidR="00BE2427" w:rsidRPr="00A549B5">
        <w:rPr>
          <w:szCs w:val="20"/>
        </w:rPr>
        <w:t xml:space="preserve"> povinný je jen poslední roč</w:t>
      </w:r>
      <w:r w:rsidR="00211611">
        <w:rPr>
          <w:szCs w:val="20"/>
        </w:rPr>
        <w:t>ník této úrovně vzdělávání, tj.</w:t>
      </w:r>
      <w:r w:rsidR="00BE2427" w:rsidRPr="00A549B5">
        <w:rPr>
          <w:szCs w:val="20"/>
        </w:rPr>
        <w:t xml:space="preserve"> těsně před </w:t>
      </w:r>
      <w:r w:rsidR="00DB560E" w:rsidRPr="00A549B5">
        <w:rPr>
          <w:szCs w:val="20"/>
        </w:rPr>
        <w:t>ná</w:t>
      </w:r>
      <w:r w:rsidR="00BE2427" w:rsidRPr="00A549B5">
        <w:rPr>
          <w:szCs w:val="20"/>
        </w:rPr>
        <w:t xml:space="preserve">stupem do základní školy. Navíc je počet dětí v mateřských školách ovlivněn i podílem udělených odkladů a </w:t>
      </w:r>
      <w:r w:rsidR="00BE2427" w:rsidRPr="00A549B5">
        <w:rPr>
          <w:rFonts w:cs="Arial"/>
          <w:szCs w:val="20"/>
        </w:rPr>
        <w:t>mírou migrace (do školek docházejí též děti cizí státní příslušnosti bez trvalého pobytu v ČR). Ve statistikách uvádějících počet dětí v mateřsk</w:t>
      </w:r>
      <w:r w:rsidR="00E96034" w:rsidRPr="00A549B5">
        <w:rPr>
          <w:rFonts w:cs="Arial"/>
          <w:szCs w:val="20"/>
        </w:rPr>
        <w:t>ých školách ve školním roce 2021/22</w:t>
      </w:r>
      <w:r w:rsidR="00BE2427" w:rsidRPr="00A549B5">
        <w:rPr>
          <w:rFonts w:cs="Arial"/>
          <w:szCs w:val="20"/>
        </w:rPr>
        <w:t xml:space="preserve"> </w:t>
      </w:r>
      <w:r w:rsidR="0045502E" w:rsidRPr="00A549B5">
        <w:rPr>
          <w:rFonts w:cs="Arial"/>
          <w:szCs w:val="20"/>
        </w:rPr>
        <w:t xml:space="preserve">především </w:t>
      </w:r>
      <w:r w:rsidR="00BE2427" w:rsidRPr="00A549B5">
        <w:rPr>
          <w:rFonts w:cs="Arial"/>
          <w:szCs w:val="20"/>
        </w:rPr>
        <w:t>nejsou zahrnuty děti ukrajinských uprchlíků, stav je k 30. 9. 2021. Ty přitom mohou počet dětí ve školkách značně navýšit.</w:t>
      </w:r>
    </w:p>
    <w:p w14:paraId="71DE24AF" w14:textId="4CDCFD2D" w:rsidR="00435E99" w:rsidRDefault="00435E99" w:rsidP="00091E88">
      <w:pPr>
        <w:spacing w:after="120"/>
        <w:jc w:val="both"/>
        <w:rPr>
          <w:b/>
          <w:bCs/>
        </w:rPr>
      </w:pPr>
      <w:r w:rsidRPr="002E5300">
        <w:rPr>
          <w:rFonts w:cs="Arial"/>
          <w:b/>
          <w:szCs w:val="20"/>
        </w:rPr>
        <w:t>Graf 1.</w:t>
      </w:r>
      <w:r w:rsidR="00E64A4E">
        <w:rPr>
          <w:rFonts w:cs="Arial"/>
          <w:b/>
          <w:szCs w:val="20"/>
        </w:rPr>
        <w:t>6</w:t>
      </w:r>
      <w:r>
        <w:rPr>
          <w:rFonts w:cs="Arial"/>
          <w:b/>
          <w:szCs w:val="20"/>
        </w:rPr>
        <w:t xml:space="preserve"> </w:t>
      </w:r>
      <w:r w:rsidRPr="00435E99">
        <w:rPr>
          <w:b/>
          <w:bCs/>
        </w:rPr>
        <w:t>P</w:t>
      </w:r>
      <w:r w:rsidR="00DE6E08">
        <w:rPr>
          <w:b/>
          <w:bCs/>
        </w:rPr>
        <w:t>opulační vývoj - p</w:t>
      </w:r>
      <w:r w:rsidRPr="00435E99">
        <w:rPr>
          <w:b/>
          <w:bCs/>
        </w:rPr>
        <w:t xml:space="preserve">očet obyvatel ČR </w:t>
      </w:r>
      <w:r w:rsidR="00DE6E08">
        <w:rPr>
          <w:b/>
          <w:bCs/>
        </w:rPr>
        <w:t>uvedeného věku k 1. červenci vybraných roků</w:t>
      </w:r>
      <w:r w:rsidR="00D4579E">
        <w:rPr>
          <w:b/>
          <w:bCs/>
        </w:rPr>
        <w:t xml:space="preserve"> (v tis.)</w:t>
      </w:r>
    </w:p>
    <w:p w14:paraId="4D94FBC6" w14:textId="09E16870" w:rsidR="004A6769" w:rsidRDefault="00D4579E" w:rsidP="00091E88">
      <w:pPr>
        <w:spacing w:after="120"/>
        <w:jc w:val="both"/>
        <w:rPr>
          <w:b/>
          <w:bCs/>
        </w:rPr>
      </w:pPr>
      <w:r>
        <w:rPr>
          <w:noProof/>
        </w:rPr>
        <w:drawing>
          <wp:inline distT="0" distB="0" distL="0" distR="0" wp14:anchorId="25426F96" wp14:editId="6F2F546A">
            <wp:extent cx="6120130" cy="2905125"/>
            <wp:effectExtent l="0" t="0" r="13970" b="9525"/>
            <wp:docPr id="72" name="Graf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4B2D183" w14:textId="4D990812" w:rsidR="0045502E" w:rsidRDefault="0045502E" w:rsidP="0045502E">
      <w:pPr>
        <w:spacing w:after="120"/>
        <w:jc w:val="right"/>
        <w:rPr>
          <w:rFonts w:cs="Arial"/>
          <w:szCs w:val="20"/>
        </w:rPr>
      </w:pPr>
      <w:r w:rsidRPr="00F94849">
        <w:rPr>
          <w:rFonts w:cs="Arial"/>
          <w:sz w:val="18"/>
        </w:rPr>
        <w:t>Zdroj: ČSÚ</w:t>
      </w:r>
    </w:p>
    <w:p w14:paraId="2768490B" w14:textId="3D1D8852" w:rsidR="00A67C12" w:rsidRDefault="00594F9D" w:rsidP="00091E88">
      <w:pPr>
        <w:spacing w:after="120"/>
        <w:jc w:val="both"/>
        <w:rPr>
          <w:rFonts w:cs="Arial"/>
          <w:szCs w:val="20"/>
        </w:rPr>
      </w:pPr>
      <w:r>
        <w:rPr>
          <w:rFonts w:cs="Arial"/>
          <w:szCs w:val="20"/>
        </w:rPr>
        <w:t>G</w:t>
      </w:r>
      <w:r w:rsidR="00E64A4E">
        <w:rPr>
          <w:rFonts w:cs="Arial"/>
          <w:szCs w:val="20"/>
        </w:rPr>
        <w:t>raf 1.7</w:t>
      </w:r>
      <w:r w:rsidR="00485E1A">
        <w:rPr>
          <w:rFonts w:cs="Arial"/>
          <w:szCs w:val="20"/>
        </w:rPr>
        <w:t xml:space="preserve"> dále</w:t>
      </w:r>
      <w:r w:rsidR="00FC070C">
        <w:rPr>
          <w:rFonts w:cs="Arial"/>
          <w:szCs w:val="20"/>
        </w:rPr>
        <w:t xml:space="preserve"> znázorňuje </w:t>
      </w:r>
      <w:r w:rsidR="00784EA7">
        <w:rPr>
          <w:rFonts w:cs="Arial"/>
          <w:szCs w:val="20"/>
        </w:rPr>
        <w:t xml:space="preserve">vývoj podílu </w:t>
      </w:r>
      <w:r w:rsidR="0035303F">
        <w:rPr>
          <w:rFonts w:cs="Arial"/>
          <w:szCs w:val="20"/>
        </w:rPr>
        <w:t xml:space="preserve">dětí ve </w:t>
      </w:r>
      <w:r w:rsidR="00784EA7">
        <w:rPr>
          <w:rFonts w:cs="Arial"/>
          <w:szCs w:val="20"/>
        </w:rPr>
        <w:t>škol</w:t>
      </w:r>
      <w:r w:rsidR="0035303F">
        <w:rPr>
          <w:rFonts w:cs="Arial"/>
          <w:szCs w:val="20"/>
        </w:rPr>
        <w:t>ách</w:t>
      </w:r>
      <w:r w:rsidR="00784EA7">
        <w:rPr>
          <w:rFonts w:cs="Arial"/>
          <w:szCs w:val="20"/>
        </w:rPr>
        <w:t xml:space="preserve"> jednotlivých</w:t>
      </w:r>
      <w:r w:rsidR="00A67C12" w:rsidRPr="00004C03">
        <w:rPr>
          <w:rFonts w:cs="Arial"/>
          <w:b/>
          <w:szCs w:val="20"/>
        </w:rPr>
        <w:t xml:space="preserve"> zřizovatel</w:t>
      </w:r>
      <w:r w:rsidR="00784EA7">
        <w:rPr>
          <w:rFonts w:cs="Arial"/>
          <w:b/>
          <w:szCs w:val="20"/>
        </w:rPr>
        <w:t>ů</w:t>
      </w:r>
      <w:r w:rsidR="0035303F">
        <w:rPr>
          <w:rFonts w:cs="Arial"/>
          <w:b/>
          <w:szCs w:val="20"/>
        </w:rPr>
        <w:t xml:space="preserve"> </w:t>
      </w:r>
      <w:r w:rsidR="0035303F" w:rsidRPr="0035303F">
        <w:rPr>
          <w:rFonts w:cs="Arial"/>
          <w:szCs w:val="20"/>
        </w:rPr>
        <w:t>z celku</w:t>
      </w:r>
      <w:r w:rsidR="00891D6A" w:rsidRPr="0035303F">
        <w:rPr>
          <w:rFonts w:cs="Arial"/>
          <w:szCs w:val="20"/>
        </w:rPr>
        <w:t>.</w:t>
      </w:r>
      <w:r w:rsidR="00CE1234">
        <w:rPr>
          <w:rFonts w:cs="Arial"/>
          <w:szCs w:val="20"/>
        </w:rPr>
        <w:t xml:space="preserve"> </w:t>
      </w:r>
      <w:r w:rsidR="00F112A1">
        <w:rPr>
          <w:rFonts w:cs="Arial"/>
          <w:szCs w:val="20"/>
        </w:rPr>
        <w:t>Lze konstatovat, že spolu s růstem pod</w:t>
      </w:r>
      <w:r w:rsidR="00864CB6">
        <w:rPr>
          <w:rFonts w:cs="Arial"/>
          <w:szCs w:val="20"/>
        </w:rPr>
        <w:t>ílu soukromých škol (viz graf</w:t>
      </w:r>
      <w:r w:rsidR="00F112A1">
        <w:rPr>
          <w:rFonts w:cs="Arial"/>
          <w:szCs w:val="20"/>
        </w:rPr>
        <w:t xml:space="preserve"> 1.1 výše) rostl v posledních deseti letech též podíl dětí navštěvujících soukromé školky ze všech dětí v mateřských školách. </w:t>
      </w:r>
      <w:r w:rsidR="000B3A31">
        <w:rPr>
          <w:rFonts w:cs="Arial"/>
          <w:szCs w:val="20"/>
        </w:rPr>
        <w:t>Oproti školnímu roku 2011/12</w:t>
      </w:r>
      <w:r w:rsidR="00F112A1">
        <w:rPr>
          <w:rFonts w:cs="Arial"/>
          <w:szCs w:val="20"/>
        </w:rPr>
        <w:t xml:space="preserve"> </w:t>
      </w:r>
      <w:r w:rsidR="00DD2702">
        <w:rPr>
          <w:rFonts w:cs="Arial"/>
          <w:szCs w:val="20"/>
        </w:rPr>
        <w:t>byl tento podíl ve</w:t>
      </w:r>
      <w:r w:rsidR="00371F82">
        <w:rPr>
          <w:rFonts w:cs="Arial"/>
          <w:szCs w:val="20"/>
        </w:rPr>
        <w:t xml:space="preserve"> školním roce 2016/17</w:t>
      </w:r>
      <w:r w:rsidR="00DD2702" w:rsidRPr="00DD2702">
        <w:rPr>
          <w:rFonts w:cs="Arial"/>
          <w:szCs w:val="20"/>
        </w:rPr>
        <w:t xml:space="preserve"> </w:t>
      </w:r>
      <w:r w:rsidR="00371F82">
        <w:rPr>
          <w:rFonts w:cs="Arial"/>
          <w:szCs w:val="20"/>
        </w:rPr>
        <w:t xml:space="preserve">téměř </w:t>
      </w:r>
      <w:r w:rsidR="00DD2702">
        <w:rPr>
          <w:rFonts w:cs="Arial"/>
          <w:szCs w:val="20"/>
        </w:rPr>
        <w:t>dvojnásobný, a sice 3</w:t>
      </w:r>
      <w:r w:rsidR="00371F82">
        <w:rPr>
          <w:rFonts w:cs="Arial"/>
          <w:szCs w:val="20"/>
        </w:rPr>
        <w:t>,1 %. Do školního roku 2021/22 se pak zvýšil o dalších 0,8</w:t>
      </w:r>
      <w:r w:rsidR="00DD2702">
        <w:rPr>
          <w:rFonts w:cs="Arial"/>
          <w:szCs w:val="20"/>
        </w:rPr>
        <w:t xml:space="preserve"> procentního bodu. Za posledních deset let </w:t>
      </w:r>
      <w:r w:rsidR="00371F82">
        <w:rPr>
          <w:rFonts w:cs="Arial"/>
          <w:szCs w:val="20"/>
        </w:rPr>
        <w:t xml:space="preserve">se </w:t>
      </w:r>
      <w:r w:rsidR="00DD2702">
        <w:rPr>
          <w:rFonts w:cs="Arial"/>
          <w:szCs w:val="20"/>
        </w:rPr>
        <w:t xml:space="preserve">také </w:t>
      </w:r>
      <w:r w:rsidR="00371F82">
        <w:rPr>
          <w:rFonts w:cs="Arial"/>
          <w:szCs w:val="20"/>
        </w:rPr>
        <w:t>o třetinu zvýšil</w:t>
      </w:r>
      <w:r w:rsidR="00DD2702">
        <w:rPr>
          <w:rFonts w:cs="Arial"/>
          <w:szCs w:val="20"/>
        </w:rPr>
        <w:t xml:space="preserve"> podíl žáků v církevních </w:t>
      </w:r>
      <w:r w:rsidR="00371F82">
        <w:rPr>
          <w:rFonts w:cs="Arial"/>
          <w:szCs w:val="20"/>
        </w:rPr>
        <w:t>mateřských školách, a sice z 0,4 % ve školním roce 2011/12 na 0,6 % ve školním roce 2021/22</w:t>
      </w:r>
      <w:r w:rsidR="00DD2702">
        <w:rPr>
          <w:rFonts w:cs="Arial"/>
          <w:szCs w:val="20"/>
        </w:rPr>
        <w:t xml:space="preserve">. </w:t>
      </w:r>
      <w:r w:rsidR="00280ACF">
        <w:rPr>
          <w:rFonts w:cs="Arial"/>
          <w:szCs w:val="20"/>
        </w:rPr>
        <w:t>Vzdělávání v církevních mateřských školách je však stále v předškolním vzdělávání okrajovou záležitostí.</w:t>
      </w:r>
      <w:r w:rsidR="00CE1234">
        <w:rPr>
          <w:rStyle w:val="Znakapoznpodarou"/>
          <w:rFonts w:cs="Arial"/>
          <w:szCs w:val="20"/>
        </w:rPr>
        <w:footnoteReference w:id="6"/>
      </w:r>
      <w:r w:rsidR="00DD2702">
        <w:rPr>
          <w:rFonts w:cs="Arial"/>
          <w:szCs w:val="20"/>
        </w:rPr>
        <w:t xml:space="preserve"> </w:t>
      </w:r>
      <w:r w:rsidR="00F112A1">
        <w:rPr>
          <w:rFonts w:cs="Arial"/>
          <w:szCs w:val="20"/>
        </w:rPr>
        <w:t xml:space="preserve"> </w:t>
      </w:r>
    </w:p>
    <w:p w14:paraId="66C6FD1E" w14:textId="65B2CD68" w:rsidR="00A67C12" w:rsidRDefault="00A67C12" w:rsidP="00A22ADD">
      <w:pPr>
        <w:keepNext/>
        <w:spacing w:after="120"/>
        <w:jc w:val="both"/>
        <w:rPr>
          <w:rFonts w:cs="Arial"/>
          <w:b/>
          <w:szCs w:val="20"/>
        </w:rPr>
      </w:pPr>
      <w:r w:rsidRPr="002E5300">
        <w:rPr>
          <w:rFonts w:cs="Arial"/>
          <w:b/>
          <w:szCs w:val="20"/>
        </w:rPr>
        <w:lastRenderedPageBreak/>
        <w:t>Graf 1.</w:t>
      </w:r>
      <w:r w:rsidR="00E64A4E">
        <w:rPr>
          <w:rFonts w:cs="Arial"/>
          <w:b/>
          <w:szCs w:val="20"/>
        </w:rPr>
        <w:t>7</w:t>
      </w:r>
      <w:r w:rsidR="001210D7">
        <w:rPr>
          <w:rFonts w:cs="Arial"/>
          <w:b/>
          <w:szCs w:val="20"/>
        </w:rPr>
        <w:t xml:space="preserve"> </w:t>
      </w:r>
      <w:r w:rsidRPr="002E5300">
        <w:rPr>
          <w:rFonts w:cs="Arial"/>
          <w:b/>
          <w:szCs w:val="20"/>
        </w:rPr>
        <w:t xml:space="preserve">Mateřské školy </w:t>
      </w:r>
      <w:r w:rsidR="00F112A1">
        <w:rPr>
          <w:rFonts w:cs="Arial"/>
          <w:b/>
          <w:szCs w:val="20"/>
        </w:rPr>
        <w:t>– podíl dětí dle druhu zřizovatele školy</w:t>
      </w:r>
      <w:r w:rsidRPr="002E5300">
        <w:rPr>
          <w:rFonts w:cs="Arial"/>
          <w:b/>
          <w:szCs w:val="20"/>
        </w:rPr>
        <w:t xml:space="preserve"> </w:t>
      </w:r>
      <w:r w:rsidR="00F112A1">
        <w:rPr>
          <w:rFonts w:cs="Arial"/>
          <w:b/>
          <w:szCs w:val="20"/>
        </w:rPr>
        <w:t>(</w:t>
      </w:r>
      <w:r w:rsidR="00103103">
        <w:rPr>
          <w:rFonts w:cs="Arial"/>
          <w:b/>
          <w:szCs w:val="20"/>
        </w:rPr>
        <w:t xml:space="preserve">v </w:t>
      </w:r>
      <w:r>
        <w:rPr>
          <w:rFonts w:cs="Arial"/>
          <w:b/>
          <w:szCs w:val="20"/>
        </w:rPr>
        <w:t>%)</w:t>
      </w:r>
    </w:p>
    <w:p w14:paraId="62BB085F" w14:textId="2D6C881F" w:rsidR="000B3A31" w:rsidRDefault="00103103" w:rsidP="00A22ADD">
      <w:pPr>
        <w:keepNext/>
        <w:spacing w:after="120"/>
        <w:jc w:val="both"/>
        <w:rPr>
          <w:rFonts w:cs="Arial"/>
          <w:b/>
          <w:szCs w:val="20"/>
        </w:rPr>
      </w:pPr>
      <w:r>
        <w:rPr>
          <w:noProof/>
        </w:rPr>
        <w:drawing>
          <wp:inline distT="0" distB="0" distL="0" distR="0" wp14:anchorId="3A913727" wp14:editId="012E86D4">
            <wp:extent cx="6057900" cy="2552700"/>
            <wp:effectExtent l="0" t="0" r="0" b="0"/>
            <wp:docPr id="44" name="Graf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1FEBC28" w14:textId="023D8DCD" w:rsidR="00A67C12" w:rsidRPr="00F94849" w:rsidRDefault="00A67C12" w:rsidP="00DD2702">
      <w:pPr>
        <w:spacing w:after="120"/>
        <w:jc w:val="right"/>
        <w:rPr>
          <w:rFonts w:cs="Arial"/>
          <w:iCs/>
        </w:rPr>
      </w:pPr>
      <w:r w:rsidRPr="00F94849">
        <w:rPr>
          <w:rFonts w:cs="Arial"/>
          <w:sz w:val="18"/>
        </w:rPr>
        <w:t>Zdroj: ČSÚ</w:t>
      </w:r>
      <w:r w:rsidRPr="00F94849">
        <w:rPr>
          <w:rFonts w:cs="Arial"/>
          <w:noProof/>
        </w:rPr>
        <w:t xml:space="preserve"> </w:t>
      </w:r>
      <w:r w:rsidRPr="00307699">
        <w:rPr>
          <w:rFonts w:cs="Arial"/>
          <w:sz w:val="18"/>
        </w:rPr>
        <w:t>podle údajů MŠMT</w:t>
      </w:r>
    </w:p>
    <w:p w14:paraId="4B303410" w14:textId="6BC67827" w:rsidR="00C53C00" w:rsidRDefault="000C12F5" w:rsidP="00A67C12">
      <w:pPr>
        <w:spacing w:after="120"/>
        <w:jc w:val="both"/>
        <w:rPr>
          <w:rFonts w:cs="Arial"/>
          <w:szCs w:val="20"/>
        </w:rPr>
      </w:pPr>
      <w:r>
        <w:rPr>
          <w:rFonts w:cs="Arial"/>
          <w:szCs w:val="20"/>
        </w:rPr>
        <w:t xml:space="preserve">K výše uvedeným poznatkům </w:t>
      </w:r>
      <w:r w:rsidR="00C53C00" w:rsidRPr="00C53C00">
        <w:rPr>
          <w:rFonts w:cs="Arial"/>
          <w:szCs w:val="20"/>
        </w:rPr>
        <w:t>o počtu škol, tříd a žáků v dělení dle zřizovate</w:t>
      </w:r>
      <w:r w:rsidR="003D5685">
        <w:rPr>
          <w:rFonts w:cs="Arial"/>
          <w:szCs w:val="20"/>
        </w:rPr>
        <w:t>le doplňme, že za uplynulých 10 </w:t>
      </w:r>
      <w:r w:rsidR="00C53C00" w:rsidRPr="00C53C00">
        <w:rPr>
          <w:rFonts w:cs="Arial"/>
          <w:szCs w:val="20"/>
        </w:rPr>
        <w:t xml:space="preserve">let se zvýšil počet dětí </w:t>
      </w:r>
      <w:r w:rsidR="00C53C00" w:rsidRPr="00C53C00">
        <w:rPr>
          <w:rFonts w:cs="Arial"/>
          <w:b/>
          <w:szCs w:val="20"/>
        </w:rPr>
        <w:t>v mateřských školách veřejného zřizovatele</w:t>
      </w:r>
      <w:r w:rsidR="00C53C00" w:rsidRPr="00C53C00">
        <w:rPr>
          <w:rFonts w:cs="Arial"/>
          <w:szCs w:val="20"/>
        </w:rPr>
        <w:t xml:space="preserve"> o 2,8 %, počet takových škol o 2,7 % a počet tříd o 12,5 %. Tomu odpovídá i snižující se počet dětí na 1 třídu a 1 učitele. Ve školním roce 2013/14 bylo v jedné třídě v průměru 23,9 dítěte a na jednoho učitele připadalo v průměru 12,9 dítěte. Poté se hodnoty obou těchto ukazatelů snižovaly až na 21,7 dítěte na 1 třídu a 10,8 dítěte na 1 učitele ve školním roce 2021/22. Počet </w:t>
      </w:r>
      <w:r w:rsidR="00C53C00" w:rsidRPr="00C53C00">
        <w:rPr>
          <w:rFonts w:cs="Arial"/>
          <w:b/>
          <w:szCs w:val="20"/>
        </w:rPr>
        <w:t>soukromých mateřských škol</w:t>
      </w:r>
      <w:r w:rsidR="00C53C00" w:rsidRPr="00C53C00">
        <w:rPr>
          <w:rFonts w:cs="Arial"/>
          <w:szCs w:val="20"/>
        </w:rPr>
        <w:t xml:space="preserve"> se oproti tomu za uplynulých 10 let téměř ztrojnásobil (zvýšil se o 183,3 %). O něco menší, přesto velmi významný, nárůst zaznamenal počet tříd v soukromých mateřských školách (o 162,5 %) a dětí navštěvujících soukromé školy (o 140,9 %).</w:t>
      </w:r>
    </w:p>
    <w:p w14:paraId="759DB1A3" w14:textId="6E178EE7" w:rsidR="00091E88" w:rsidRPr="002E3CFA" w:rsidRDefault="00C53C00" w:rsidP="00A67C12">
      <w:pPr>
        <w:spacing w:after="120"/>
        <w:jc w:val="both"/>
        <w:rPr>
          <w:rFonts w:cs="Arial"/>
          <w:szCs w:val="20"/>
        </w:rPr>
      </w:pPr>
      <w:r>
        <w:rPr>
          <w:rFonts w:cs="Arial"/>
          <w:szCs w:val="20"/>
        </w:rPr>
        <w:t>Za celou Českou republiku pak n</w:t>
      </w:r>
      <w:r w:rsidR="00A67C12" w:rsidRPr="003E1C01">
        <w:rPr>
          <w:rFonts w:cs="Arial"/>
          <w:szCs w:val="20"/>
        </w:rPr>
        <w:t>a jednu třídu v</w:t>
      </w:r>
      <w:r w:rsidR="00280ACF">
        <w:rPr>
          <w:rFonts w:cs="Arial"/>
          <w:szCs w:val="20"/>
        </w:rPr>
        <w:t> mateřských školách připadalo ve</w:t>
      </w:r>
      <w:r w:rsidR="00A67C12" w:rsidRPr="003E1C01">
        <w:rPr>
          <w:rFonts w:cs="Arial"/>
          <w:szCs w:val="20"/>
        </w:rPr>
        <w:t xml:space="preserve"> </w:t>
      </w:r>
      <w:r w:rsidR="00746E70">
        <w:rPr>
          <w:rFonts w:cs="Arial"/>
          <w:szCs w:val="20"/>
        </w:rPr>
        <w:t xml:space="preserve">školním </w:t>
      </w:r>
      <w:r w:rsidR="00A67C12" w:rsidRPr="003E1C01">
        <w:rPr>
          <w:rFonts w:cs="Arial"/>
          <w:szCs w:val="20"/>
        </w:rPr>
        <w:t>roce</w:t>
      </w:r>
      <w:r w:rsidR="00280ACF">
        <w:rPr>
          <w:rFonts w:cs="Arial"/>
          <w:szCs w:val="20"/>
        </w:rPr>
        <w:t xml:space="preserve"> </w:t>
      </w:r>
      <w:r w:rsidR="00371F82">
        <w:rPr>
          <w:rFonts w:cs="Arial"/>
          <w:szCs w:val="20"/>
        </w:rPr>
        <w:t>2021/22</w:t>
      </w:r>
      <w:r w:rsidR="00280ACF">
        <w:rPr>
          <w:rFonts w:cs="Arial"/>
          <w:szCs w:val="20"/>
        </w:rPr>
        <w:t xml:space="preserve"> celkem 21</w:t>
      </w:r>
      <w:r w:rsidR="00A67C12" w:rsidRPr="003E1C01">
        <w:rPr>
          <w:rFonts w:cs="Arial"/>
          <w:szCs w:val="20"/>
        </w:rPr>
        <w:t>,</w:t>
      </w:r>
      <w:r w:rsidR="00371F82">
        <w:rPr>
          <w:rFonts w:cs="Arial"/>
          <w:szCs w:val="20"/>
        </w:rPr>
        <w:t>5 dítěte</w:t>
      </w:r>
      <w:r w:rsidR="00A67C12" w:rsidRPr="003E1C01">
        <w:rPr>
          <w:rFonts w:cs="Arial"/>
          <w:szCs w:val="20"/>
        </w:rPr>
        <w:t xml:space="preserve"> a na 1 učitel</w:t>
      </w:r>
      <w:r w:rsidR="007660BB">
        <w:rPr>
          <w:rFonts w:cs="Arial"/>
          <w:szCs w:val="20"/>
        </w:rPr>
        <w:t>ský úvazek</w:t>
      </w:r>
      <w:r w:rsidR="00A67C12" w:rsidRPr="003E1C01">
        <w:rPr>
          <w:rFonts w:cs="Arial"/>
          <w:szCs w:val="20"/>
        </w:rPr>
        <w:t xml:space="preserve"> 1</w:t>
      </w:r>
      <w:r w:rsidR="00371F82">
        <w:rPr>
          <w:rFonts w:cs="Arial"/>
          <w:szCs w:val="20"/>
        </w:rPr>
        <w:t>0,7 dítěte</w:t>
      </w:r>
      <w:r w:rsidR="00864CB6">
        <w:rPr>
          <w:rFonts w:cs="Arial"/>
          <w:szCs w:val="20"/>
        </w:rPr>
        <w:t xml:space="preserve"> – viz tabulku</w:t>
      </w:r>
      <w:r w:rsidR="00280ACF">
        <w:rPr>
          <w:rFonts w:cs="Arial"/>
          <w:szCs w:val="20"/>
        </w:rPr>
        <w:t xml:space="preserve"> 1.1.</w:t>
      </w:r>
    </w:p>
    <w:p w14:paraId="3DB4B89F" w14:textId="33C24AC3" w:rsidR="00A67C12" w:rsidRDefault="00A67C12" w:rsidP="00A12895">
      <w:pPr>
        <w:keepNext/>
        <w:spacing w:after="120"/>
        <w:jc w:val="both"/>
        <w:rPr>
          <w:rFonts w:cs="Arial"/>
          <w:b/>
          <w:szCs w:val="20"/>
        </w:rPr>
      </w:pPr>
      <w:r w:rsidRPr="00AD425D">
        <w:rPr>
          <w:rFonts w:cs="Arial"/>
          <w:b/>
          <w:szCs w:val="20"/>
        </w:rPr>
        <w:t xml:space="preserve">Tab. 1.1 Mateřské školy - počet dětí </w:t>
      </w:r>
      <w:r w:rsidR="00AD425D">
        <w:rPr>
          <w:rFonts w:cs="Arial"/>
          <w:b/>
          <w:szCs w:val="20"/>
        </w:rPr>
        <w:t>n</w:t>
      </w:r>
      <w:r w:rsidRPr="00AD425D">
        <w:rPr>
          <w:rFonts w:cs="Arial"/>
          <w:b/>
          <w:szCs w:val="20"/>
        </w:rPr>
        <w:t xml:space="preserve">a </w:t>
      </w:r>
      <w:r w:rsidR="00AD425D">
        <w:rPr>
          <w:rFonts w:cs="Arial"/>
          <w:b/>
          <w:szCs w:val="20"/>
        </w:rPr>
        <w:t>jednu třídu a na jednoho učitele</w:t>
      </w:r>
      <w:r w:rsidR="008664AD" w:rsidRPr="00AD425D">
        <w:rPr>
          <w:rFonts w:cs="Arial"/>
          <w:b/>
          <w:szCs w:val="20"/>
        </w:rPr>
        <w:t xml:space="preserve"> podle zřizovatele školy</w:t>
      </w:r>
    </w:p>
    <w:tbl>
      <w:tblPr>
        <w:tblW w:w="9498" w:type="dxa"/>
        <w:tblInd w:w="-10" w:type="dxa"/>
        <w:tblCellMar>
          <w:left w:w="70" w:type="dxa"/>
          <w:right w:w="70" w:type="dxa"/>
        </w:tblCellMar>
        <w:tblLook w:val="04A0" w:firstRow="1" w:lastRow="0" w:firstColumn="1" w:lastColumn="0" w:noHBand="0" w:noVBand="1"/>
      </w:tblPr>
      <w:tblGrid>
        <w:gridCol w:w="1134"/>
        <w:gridCol w:w="993"/>
        <w:gridCol w:w="1134"/>
        <w:gridCol w:w="992"/>
        <w:gridCol w:w="992"/>
        <w:gridCol w:w="1134"/>
        <w:gridCol w:w="1134"/>
        <w:gridCol w:w="992"/>
        <w:gridCol w:w="993"/>
      </w:tblGrid>
      <w:tr w:rsidR="00371F82" w:rsidRPr="00371F82" w14:paraId="67D8FB9F" w14:textId="77777777" w:rsidTr="00A12895">
        <w:trPr>
          <w:trHeight w:val="284"/>
        </w:trPr>
        <w:tc>
          <w:tcPr>
            <w:tcW w:w="1134" w:type="dxa"/>
            <w:vMerge w:val="restart"/>
            <w:tcBorders>
              <w:top w:val="single" w:sz="8" w:space="0" w:color="auto"/>
              <w:left w:val="single" w:sz="8" w:space="0" w:color="auto"/>
              <w:bottom w:val="single" w:sz="8" w:space="0" w:color="000000"/>
              <w:right w:val="single" w:sz="8" w:space="0" w:color="auto"/>
            </w:tcBorders>
            <w:shd w:val="clear" w:color="000000" w:fill="D99594"/>
            <w:vAlign w:val="center"/>
            <w:hideMark/>
          </w:tcPr>
          <w:p w14:paraId="0889B64B" w14:textId="77777777" w:rsidR="00371F82" w:rsidRPr="001325E0" w:rsidRDefault="00371F82" w:rsidP="00A12895">
            <w:pPr>
              <w:keepNext/>
              <w:spacing w:after="0" w:line="240" w:lineRule="auto"/>
              <w:jc w:val="center"/>
              <w:rPr>
                <w:rFonts w:cs="Arial"/>
                <w:b/>
                <w:color w:val="000000"/>
                <w:sz w:val="16"/>
                <w:szCs w:val="16"/>
              </w:rPr>
            </w:pPr>
            <w:r w:rsidRPr="001325E0">
              <w:rPr>
                <w:rFonts w:cs="Arial"/>
                <w:b/>
                <w:bCs/>
                <w:color w:val="000000"/>
                <w:sz w:val="16"/>
                <w:szCs w:val="16"/>
              </w:rPr>
              <w:t>školní rok</w:t>
            </w:r>
          </w:p>
        </w:tc>
        <w:tc>
          <w:tcPr>
            <w:tcW w:w="2127" w:type="dxa"/>
            <w:gridSpan w:val="2"/>
            <w:vMerge w:val="restart"/>
            <w:tcBorders>
              <w:top w:val="single" w:sz="8" w:space="0" w:color="auto"/>
              <w:left w:val="single" w:sz="8" w:space="0" w:color="auto"/>
              <w:bottom w:val="single" w:sz="8" w:space="0" w:color="000000"/>
              <w:right w:val="single" w:sz="8" w:space="0" w:color="000000"/>
            </w:tcBorders>
            <w:shd w:val="clear" w:color="000000" w:fill="D99594"/>
            <w:vAlign w:val="center"/>
            <w:hideMark/>
          </w:tcPr>
          <w:p w14:paraId="26230788" w14:textId="1BFB6519" w:rsidR="00371F82" w:rsidRPr="001325E0" w:rsidRDefault="001325E0" w:rsidP="00A12895">
            <w:pPr>
              <w:keepNext/>
              <w:spacing w:after="0" w:line="240" w:lineRule="auto"/>
              <w:jc w:val="center"/>
              <w:rPr>
                <w:rFonts w:cs="Arial"/>
                <w:b/>
                <w:color w:val="000000"/>
                <w:sz w:val="16"/>
                <w:szCs w:val="16"/>
              </w:rPr>
            </w:pPr>
            <w:r w:rsidRPr="001325E0">
              <w:rPr>
                <w:rFonts w:cs="Arial"/>
                <w:b/>
                <w:bCs/>
                <w:color w:val="000000"/>
                <w:sz w:val="16"/>
                <w:szCs w:val="16"/>
              </w:rPr>
              <w:t>celkový počet dětí</w:t>
            </w:r>
          </w:p>
        </w:tc>
        <w:tc>
          <w:tcPr>
            <w:tcW w:w="6237" w:type="dxa"/>
            <w:gridSpan w:val="6"/>
            <w:tcBorders>
              <w:top w:val="single" w:sz="8" w:space="0" w:color="auto"/>
              <w:left w:val="nil"/>
              <w:bottom w:val="single" w:sz="8" w:space="0" w:color="auto"/>
              <w:right w:val="single" w:sz="8" w:space="0" w:color="000000"/>
            </w:tcBorders>
            <w:shd w:val="clear" w:color="000000" w:fill="D99594"/>
            <w:vAlign w:val="center"/>
            <w:hideMark/>
          </w:tcPr>
          <w:p w14:paraId="28E4AD4C" w14:textId="24323AAA" w:rsidR="00371F82" w:rsidRPr="001325E0" w:rsidRDefault="001325E0" w:rsidP="00A12895">
            <w:pPr>
              <w:keepNext/>
              <w:spacing w:after="0" w:line="240" w:lineRule="auto"/>
              <w:jc w:val="center"/>
              <w:rPr>
                <w:rFonts w:cs="Arial"/>
                <w:b/>
                <w:color w:val="000000"/>
                <w:sz w:val="16"/>
                <w:szCs w:val="16"/>
              </w:rPr>
            </w:pPr>
            <w:r w:rsidRPr="001325E0">
              <w:rPr>
                <w:rFonts w:cs="Arial"/>
                <w:b/>
                <w:bCs/>
                <w:color w:val="000000"/>
                <w:sz w:val="16"/>
                <w:szCs w:val="16"/>
              </w:rPr>
              <w:t xml:space="preserve">počet dětí </w:t>
            </w:r>
            <w:r w:rsidR="00371F82" w:rsidRPr="001325E0">
              <w:rPr>
                <w:rFonts w:cs="Arial"/>
                <w:b/>
                <w:bCs/>
                <w:color w:val="000000"/>
                <w:sz w:val="16"/>
                <w:szCs w:val="16"/>
              </w:rPr>
              <w:t>dle druhu zřizovatele</w:t>
            </w:r>
          </w:p>
        </w:tc>
      </w:tr>
      <w:tr w:rsidR="008E0E9C" w:rsidRPr="00371F82" w14:paraId="3D8AC5F6" w14:textId="77777777" w:rsidTr="00A12895">
        <w:trPr>
          <w:trHeight w:val="284"/>
        </w:trPr>
        <w:tc>
          <w:tcPr>
            <w:tcW w:w="1134" w:type="dxa"/>
            <w:vMerge/>
            <w:tcBorders>
              <w:top w:val="single" w:sz="8" w:space="0" w:color="auto"/>
              <w:left w:val="single" w:sz="8" w:space="0" w:color="auto"/>
              <w:bottom w:val="single" w:sz="8" w:space="0" w:color="000000"/>
              <w:right w:val="single" w:sz="8" w:space="0" w:color="auto"/>
            </w:tcBorders>
            <w:vAlign w:val="center"/>
            <w:hideMark/>
          </w:tcPr>
          <w:p w14:paraId="0A39F9C0" w14:textId="77777777" w:rsidR="00371F82" w:rsidRPr="00371F82" w:rsidRDefault="00371F82" w:rsidP="00A12895">
            <w:pPr>
              <w:keepNext/>
              <w:spacing w:after="0" w:line="240" w:lineRule="auto"/>
              <w:rPr>
                <w:rFonts w:cs="Arial"/>
                <w:color w:val="000000"/>
                <w:sz w:val="16"/>
                <w:szCs w:val="16"/>
              </w:rPr>
            </w:pPr>
          </w:p>
        </w:tc>
        <w:tc>
          <w:tcPr>
            <w:tcW w:w="2127" w:type="dxa"/>
            <w:gridSpan w:val="2"/>
            <w:vMerge/>
            <w:tcBorders>
              <w:top w:val="single" w:sz="8" w:space="0" w:color="auto"/>
              <w:left w:val="single" w:sz="8" w:space="0" w:color="auto"/>
              <w:bottom w:val="single" w:sz="8" w:space="0" w:color="000000"/>
              <w:right w:val="single" w:sz="8" w:space="0" w:color="000000"/>
            </w:tcBorders>
            <w:vAlign w:val="center"/>
            <w:hideMark/>
          </w:tcPr>
          <w:p w14:paraId="6D2EFF4F" w14:textId="77777777" w:rsidR="00371F82" w:rsidRPr="00371F82" w:rsidRDefault="00371F82" w:rsidP="00A12895">
            <w:pPr>
              <w:keepNext/>
              <w:spacing w:after="0" w:line="240" w:lineRule="auto"/>
              <w:rPr>
                <w:rFonts w:cs="Arial"/>
                <w:color w:val="000000"/>
                <w:sz w:val="16"/>
                <w:szCs w:val="16"/>
              </w:rPr>
            </w:pPr>
          </w:p>
        </w:tc>
        <w:tc>
          <w:tcPr>
            <w:tcW w:w="1984" w:type="dxa"/>
            <w:gridSpan w:val="2"/>
            <w:tcBorders>
              <w:top w:val="single" w:sz="8" w:space="0" w:color="auto"/>
              <w:left w:val="nil"/>
              <w:bottom w:val="single" w:sz="8" w:space="0" w:color="auto"/>
              <w:right w:val="single" w:sz="8" w:space="0" w:color="000000"/>
            </w:tcBorders>
            <w:shd w:val="clear" w:color="000000" w:fill="D99594"/>
            <w:vAlign w:val="center"/>
            <w:hideMark/>
          </w:tcPr>
          <w:p w14:paraId="3F055B42" w14:textId="77777777" w:rsidR="00371F82" w:rsidRPr="00371F82" w:rsidRDefault="00371F82" w:rsidP="00A12895">
            <w:pPr>
              <w:keepNext/>
              <w:spacing w:after="0" w:line="240" w:lineRule="auto"/>
              <w:jc w:val="center"/>
              <w:rPr>
                <w:rFonts w:cs="Arial"/>
                <w:b/>
                <w:bCs/>
                <w:color w:val="000000"/>
                <w:sz w:val="16"/>
                <w:szCs w:val="16"/>
              </w:rPr>
            </w:pPr>
            <w:r w:rsidRPr="00371F82">
              <w:rPr>
                <w:rFonts w:cs="Arial"/>
                <w:b/>
                <w:bCs/>
                <w:color w:val="000000"/>
                <w:sz w:val="16"/>
                <w:szCs w:val="16"/>
              </w:rPr>
              <w:t>veřejný</w:t>
            </w:r>
          </w:p>
        </w:tc>
        <w:tc>
          <w:tcPr>
            <w:tcW w:w="2268" w:type="dxa"/>
            <w:gridSpan w:val="2"/>
            <w:tcBorders>
              <w:top w:val="single" w:sz="8" w:space="0" w:color="auto"/>
              <w:left w:val="nil"/>
              <w:bottom w:val="single" w:sz="8" w:space="0" w:color="auto"/>
              <w:right w:val="single" w:sz="8" w:space="0" w:color="000000"/>
            </w:tcBorders>
            <w:shd w:val="clear" w:color="000000" w:fill="D99594"/>
            <w:vAlign w:val="center"/>
            <w:hideMark/>
          </w:tcPr>
          <w:p w14:paraId="4B8AB9A2" w14:textId="77777777" w:rsidR="00371F82" w:rsidRPr="00371F82" w:rsidRDefault="00371F82" w:rsidP="00A12895">
            <w:pPr>
              <w:keepNext/>
              <w:spacing w:after="0" w:line="240" w:lineRule="auto"/>
              <w:jc w:val="center"/>
              <w:rPr>
                <w:rFonts w:cs="Arial"/>
                <w:b/>
                <w:bCs/>
                <w:color w:val="000000"/>
                <w:sz w:val="16"/>
                <w:szCs w:val="16"/>
              </w:rPr>
            </w:pPr>
            <w:r w:rsidRPr="00371F82">
              <w:rPr>
                <w:rFonts w:cs="Arial"/>
                <w:b/>
                <w:bCs/>
                <w:color w:val="000000"/>
                <w:sz w:val="16"/>
                <w:szCs w:val="16"/>
              </w:rPr>
              <w:t>soukromý</w:t>
            </w:r>
          </w:p>
        </w:tc>
        <w:tc>
          <w:tcPr>
            <w:tcW w:w="1985" w:type="dxa"/>
            <w:gridSpan w:val="2"/>
            <w:tcBorders>
              <w:top w:val="single" w:sz="8" w:space="0" w:color="auto"/>
              <w:left w:val="nil"/>
              <w:bottom w:val="single" w:sz="8" w:space="0" w:color="auto"/>
              <w:right w:val="single" w:sz="8" w:space="0" w:color="000000"/>
            </w:tcBorders>
            <w:shd w:val="clear" w:color="000000" w:fill="D99594"/>
            <w:vAlign w:val="center"/>
            <w:hideMark/>
          </w:tcPr>
          <w:p w14:paraId="240060B5" w14:textId="77777777" w:rsidR="00371F82" w:rsidRPr="00371F82" w:rsidRDefault="00371F82" w:rsidP="00A12895">
            <w:pPr>
              <w:keepNext/>
              <w:spacing w:after="0" w:line="240" w:lineRule="auto"/>
              <w:jc w:val="center"/>
              <w:rPr>
                <w:rFonts w:cs="Arial"/>
                <w:b/>
                <w:bCs/>
                <w:color w:val="000000"/>
                <w:sz w:val="16"/>
                <w:szCs w:val="16"/>
              </w:rPr>
            </w:pPr>
            <w:r w:rsidRPr="00371F82">
              <w:rPr>
                <w:rFonts w:cs="Arial"/>
                <w:b/>
                <w:bCs/>
                <w:color w:val="000000"/>
                <w:sz w:val="16"/>
                <w:szCs w:val="16"/>
              </w:rPr>
              <w:t>církevní</w:t>
            </w:r>
          </w:p>
        </w:tc>
      </w:tr>
      <w:tr w:rsidR="00371F82" w:rsidRPr="00371F82" w14:paraId="08901F50" w14:textId="77777777" w:rsidTr="00A12895">
        <w:trPr>
          <w:trHeight w:val="284"/>
        </w:trPr>
        <w:tc>
          <w:tcPr>
            <w:tcW w:w="1134" w:type="dxa"/>
            <w:vMerge/>
            <w:tcBorders>
              <w:top w:val="single" w:sz="8" w:space="0" w:color="auto"/>
              <w:left w:val="single" w:sz="8" w:space="0" w:color="auto"/>
              <w:bottom w:val="single" w:sz="8" w:space="0" w:color="000000"/>
              <w:right w:val="single" w:sz="8" w:space="0" w:color="auto"/>
            </w:tcBorders>
            <w:vAlign w:val="center"/>
            <w:hideMark/>
          </w:tcPr>
          <w:p w14:paraId="56065532" w14:textId="77777777" w:rsidR="00371F82" w:rsidRPr="00371F82" w:rsidRDefault="00371F82" w:rsidP="00A12895">
            <w:pPr>
              <w:keepNext/>
              <w:spacing w:after="0" w:line="240" w:lineRule="auto"/>
              <w:rPr>
                <w:rFonts w:cs="Arial"/>
                <w:color w:val="000000"/>
                <w:sz w:val="16"/>
                <w:szCs w:val="16"/>
              </w:rPr>
            </w:pPr>
          </w:p>
        </w:tc>
        <w:tc>
          <w:tcPr>
            <w:tcW w:w="993" w:type="dxa"/>
            <w:tcBorders>
              <w:top w:val="nil"/>
              <w:left w:val="nil"/>
              <w:bottom w:val="single" w:sz="8" w:space="0" w:color="auto"/>
              <w:right w:val="single" w:sz="8" w:space="0" w:color="auto"/>
            </w:tcBorders>
            <w:shd w:val="clear" w:color="000000" w:fill="E5B8B7"/>
            <w:vAlign w:val="center"/>
            <w:hideMark/>
          </w:tcPr>
          <w:p w14:paraId="4BFF370E" w14:textId="77777777" w:rsidR="00371F82" w:rsidRPr="001325E0" w:rsidRDefault="00371F82" w:rsidP="00A12895">
            <w:pPr>
              <w:keepNext/>
              <w:spacing w:after="0" w:line="240" w:lineRule="auto"/>
              <w:jc w:val="center"/>
              <w:rPr>
                <w:rFonts w:cs="Arial"/>
                <w:i/>
                <w:color w:val="000000"/>
                <w:sz w:val="16"/>
                <w:szCs w:val="16"/>
              </w:rPr>
            </w:pPr>
            <w:r w:rsidRPr="001325E0">
              <w:rPr>
                <w:rFonts w:cs="Arial"/>
                <w:i/>
                <w:color w:val="000000"/>
                <w:sz w:val="16"/>
                <w:szCs w:val="16"/>
              </w:rPr>
              <w:t>na 1 třídu</w:t>
            </w:r>
          </w:p>
        </w:tc>
        <w:tc>
          <w:tcPr>
            <w:tcW w:w="1134" w:type="dxa"/>
            <w:tcBorders>
              <w:top w:val="nil"/>
              <w:left w:val="nil"/>
              <w:bottom w:val="single" w:sz="8" w:space="0" w:color="auto"/>
              <w:right w:val="single" w:sz="8" w:space="0" w:color="auto"/>
            </w:tcBorders>
            <w:shd w:val="clear" w:color="000000" w:fill="E5B8B7"/>
            <w:vAlign w:val="center"/>
            <w:hideMark/>
          </w:tcPr>
          <w:p w14:paraId="18EFF066" w14:textId="77777777" w:rsidR="00371F82" w:rsidRPr="001325E0" w:rsidRDefault="00371F82" w:rsidP="00A12895">
            <w:pPr>
              <w:keepNext/>
              <w:spacing w:after="0" w:line="240" w:lineRule="auto"/>
              <w:jc w:val="center"/>
              <w:rPr>
                <w:rFonts w:cs="Arial"/>
                <w:i/>
                <w:color w:val="000000"/>
                <w:sz w:val="16"/>
                <w:szCs w:val="16"/>
              </w:rPr>
            </w:pPr>
            <w:r w:rsidRPr="001325E0">
              <w:rPr>
                <w:rFonts w:cs="Arial"/>
                <w:i/>
                <w:color w:val="000000"/>
                <w:sz w:val="16"/>
                <w:szCs w:val="16"/>
              </w:rPr>
              <w:t>na 1 učitele</w:t>
            </w:r>
          </w:p>
        </w:tc>
        <w:tc>
          <w:tcPr>
            <w:tcW w:w="992" w:type="dxa"/>
            <w:tcBorders>
              <w:top w:val="nil"/>
              <w:left w:val="nil"/>
              <w:bottom w:val="single" w:sz="8" w:space="0" w:color="auto"/>
              <w:right w:val="single" w:sz="8" w:space="0" w:color="auto"/>
            </w:tcBorders>
            <w:shd w:val="clear" w:color="000000" w:fill="E5B8B7"/>
            <w:vAlign w:val="center"/>
            <w:hideMark/>
          </w:tcPr>
          <w:p w14:paraId="47E64A80" w14:textId="77777777" w:rsidR="00371F82" w:rsidRPr="001325E0" w:rsidRDefault="00371F82" w:rsidP="00A12895">
            <w:pPr>
              <w:keepNext/>
              <w:spacing w:after="0" w:line="240" w:lineRule="auto"/>
              <w:jc w:val="center"/>
              <w:rPr>
                <w:rFonts w:cs="Arial"/>
                <w:i/>
                <w:color w:val="000000"/>
                <w:sz w:val="16"/>
                <w:szCs w:val="16"/>
              </w:rPr>
            </w:pPr>
            <w:r w:rsidRPr="001325E0">
              <w:rPr>
                <w:rFonts w:cs="Arial"/>
                <w:i/>
                <w:color w:val="000000"/>
                <w:sz w:val="16"/>
                <w:szCs w:val="16"/>
              </w:rPr>
              <w:t>na 1 třídu</w:t>
            </w:r>
          </w:p>
        </w:tc>
        <w:tc>
          <w:tcPr>
            <w:tcW w:w="992" w:type="dxa"/>
            <w:tcBorders>
              <w:top w:val="nil"/>
              <w:left w:val="nil"/>
              <w:bottom w:val="single" w:sz="8" w:space="0" w:color="auto"/>
              <w:right w:val="single" w:sz="8" w:space="0" w:color="auto"/>
            </w:tcBorders>
            <w:shd w:val="clear" w:color="000000" w:fill="E5B8B7"/>
            <w:vAlign w:val="center"/>
            <w:hideMark/>
          </w:tcPr>
          <w:p w14:paraId="68C4FB58" w14:textId="77777777" w:rsidR="00371F82" w:rsidRPr="001325E0" w:rsidRDefault="00371F82" w:rsidP="00A12895">
            <w:pPr>
              <w:keepNext/>
              <w:spacing w:after="0" w:line="240" w:lineRule="auto"/>
              <w:jc w:val="center"/>
              <w:rPr>
                <w:rFonts w:cs="Arial"/>
                <w:i/>
                <w:color w:val="000000"/>
                <w:sz w:val="16"/>
                <w:szCs w:val="16"/>
              </w:rPr>
            </w:pPr>
            <w:r w:rsidRPr="001325E0">
              <w:rPr>
                <w:rFonts w:cs="Arial"/>
                <w:i/>
                <w:color w:val="000000"/>
                <w:sz w:val="16"/>
                <w:szCs w:val="16"/>
              </w:rPr>
              <w:t>na 1 učitele</w:t>
            </w:r>
          </w:p>
        </w:tc>
        <w:tc>
          <w:tcPr>
            <w:tcW w:w="1134" w:type="dxa"/>
            <w:tcBorders>
              <w:top w:val="nil"/>
              <w:left w:val="nil"/>
              <w:bottom w:val="single" w:sz="8" w:space="0" w:color="auto"/>
              <w:right w:val="single" w:sz="8" w:space="0" w:color="auto"/>
            </w:tcBorders>
            <w:shd w:val="clear" w:color="000000" w:fill="E5B8B7"/>
            <w:vAlign w:val="center"/>
            <w:hideMark/>
          </w:tcPr>
          <w:p w14:paraId="67EB5FEB" w14:textId="77777777" w:rsidR="00371F82" w:rsidRPr="001325E0" w:rsidRDefault="00371F82" w:rsidP="00A12895">
            <w:pPr>
              <w:keepNext/>
              <w:spacing w:after="0" w:line="240" w:lineRule="auto"/>
              <w:jc w:val="center"/>
              <w:rPr>
                <w:rFonts w:cs="Arial"/>
                <w:i/>
                <w:color w:val="000000"/>
                <w:sz w:val="16"/>
                <w:szCs w:val="16"/>
              </w:rPr>
            </w:pPr>
            <w:r w:rsidRPr="001325E0">
              <w:rPr>
                <w:rFonts w:cs="Arial"/>
                <w:i/>
                <w:color w:val="000000"/>
                <w:sz w:val="16"/>
                <w:szCs w:val="16"/>
              </w:rPr>
              <w:t>na 1 třídu</w:t>
            </w:r>
          </w:p>
        </w:tc>
        <w:tc>
          <w:tcPr>
            <w:tcW w:w="1134" w:type="dxa"/>
            <w:tcBorders>
              <w:top w:val="nil"/>
              <w:left w:val="nil"/>
              <w:bottom w:val="single" w:sz="8" w:space="0" w:color="auto"/>
              <w:right w:val="single" w:sz="8" w:space="0" w:color="auto"/>
            </w:tcBorders>
            <w:shd w:val="clear" w:color="000000" w:fill="E5B8B7"/>
            <w:vAlign w:val="center"/>
            <w:hideMark/>
          </w:tcPr>
          <w:p w14:paraId="4BCBAB5D" w14:textId="77777777" w:rsidR="00371F82" w:rsidRPr="001325E0" w:rsidRDefault="00371F82" w:rsidP="00A12895">
            <w:pPr>
              <w:keepNext/>
              <w:spacing w:after="0" w:line="240" w:lineRule="auto"/>
              <w:jc w:val="center"/>
              <w:rPr>
                <w:rFonts w:cs="Arial"/>
                <w:i/>
                <w:color w:val="000000"/>
                <w:sz w:val="16"/>
                <w:szCs w:val="16"/>
              </w:rPr>
            </w:pPr>
            <w:r w:rsidRPr="001325E0">
              <w:rPr>
                <w:rFonts w:cs="Arial"/>
                <w:i/>
                <w:color w:val="000000"/>
                <w:sz w:val="16"/>
                <w:szCs w:val="16"/>
              </w:rPr>
              <w:t>na 1 učitele</w:t>
            </w:r>
          </w:p>
        </w:tc>
        <w:tc>
          <w:tcPr>
            <w:tcW w:w="992" w:type="dxa"/>
            <w:tcBorders>
              <w:top w:val="nil"/>
              <w:left w:val="nil"/>
              <w:bottom w:val="single" w:sz="8" w:space="0" w:color="auto"/>
              <w:right w:val="single" w:sz="8" w:space="0" w:color="auto"/>
            </w:tcBorders>
            <w:shd w:val="clear" w:color="000000" w:fill="E5B8B7"/>
            <w:vAlign w:val="center"/>
            <w:hideMark/>
          </w:tcPr>
          <w:p w14:paraId="5F79E553" w14:textId="77777777" w:rsidR="00371F82" w:rsidRPr="001325E0" w:rsidRDefault="00371F82" w:rsidP="00A12895">
            <w:pPr>
              <w:keepNext/>
              <w:spacing w:after="0" w:line="240" w:lineRule="auto"/>
              <w:jc w:val="center"/>
              <w:rPr>
                <w:rFonts w:cs="Arial"/>
                <w:i/>
                <w:color w:val="000000"/>
                <w:sz w:val="16"/>
                <w:szCs w:val="16"/>
              </w:rPr>
            </w:pPr>
            <w:r w:rsidRPr="001325E0">
              <w:rPr>
                <w:rFonts w:cs="Arial"/>
                <w:i/>
                <w:color w:val="000000"/>
                <w:sz w:val="16"/>
                <w:szCs w:val="16"/>
              </w:rPr>
              <w:t>na 1 třídu</w:t>
            </w:r>
          </w:p>
        </w:tc>
        <w:tc>
          <w:tcPr>
            <w:tcW w:w="993" w:type="dxa"/>
            <w:tcBorders>
              <w:top w:val="nil"/>
              <w:left w:val="nil"/>
              <w:bottom w:val="single" w:sz="8" w:space="0" w:color="auto"/>
              <w:right w:val="single" w:sz="8" w:space="0" w:color="auto"/>
            </w:tcBorders>
            <w:shd w:val="clear" w:color="000000" w:fill="E5B8B7"/>
            <w:vAlign w:val="center"/>
            <w:hideMark/>
          </w:tcPr>
          <w:p w14:paraId="625F997C" w14:textId="77777777" w:rsidR="00371F82" w:rsidRPr="001325E0" w:rsidRDefault="00371F82" w:rsidP="00A12895">
            <w:pPr>
              <w:keepNext/>
              <w:spacing w:after="0" w:line="240" w:lineRule="auto"/>
              <w:jc w:val="center"/>
              <w:rPr>
                <w:rFonts w:cs="Arial"/>
                <w:i/>
                <w:color w:val="000000"/>
                <w:sz w:val="16"/>
                <w:szCs w:val="16"/>
              </w:rPr>
            </w:pPr>
            <w:r w:rsidRPr="001325E0">
              <w:rPr>
                <w:rFonts w:cs="Arial"/>
                <w:i/>
                <w:color w:val="000000"/>
                <w:sz w:val="16"/>
                <w:szCs w:val="16"/>
              </w:rPr>
              <w:t>na 1 učitele</w:t>
            </w:r>
          </w:p>
        </w:tc>
      </w:tr>
      <w:tr w:rsidR="00371F82" w:rsidRPr="00371F82" w14:paraId="32969C31" w14:textId="77777777" w:rsidTr="00A12895">
        <w:trPr>
          <w:trHeight w:val="284"/>
        </w:trPr>
        <w:tc>
          <w:tcPr>
            <w:tcW w:w="1134" w:type="dxa"/>
            <w:tcBorders>
              <w:top w:val="nil"/>
              <w:left w:val="single" w:sz="8" w:space="0" w:color="auto"/>
              <w:bottom w:val="nil"/>
              <w:right w:val="nil"/>
            </w:tcBorders>
            <w:shd w:val="clear" w:color="auto" w:fill="auto"/>
            <w:noWrap/>
            <w:vAlign w:val="center"/>
            <w:hideMark/>
          </w:tcPr>
          <w:p w14:paraId="1C0DFDCE" w14:textId="77777777" w:rsidR="00371F82" w:rsidRPr="00371F82" w:rsidRDefault="00371F82" w:rsidP="00A12895">
            <w:pPr>
              <w:keepNext/>
              <w:spacing w:after="0" w:line="240" w:lineRule="auto"/>
              <w:jc w:val="center"/>
              <w:rPr>
                <w:rFonts w:cs="Arial"/>
                <w:color w:val="000000"/>
                <w:sz w:val="16"/>
                <w:szCs w:val="16"/>
              </w:rPr>
            </w:pPr>
            <w:r w:rsidRPr="00371F82">
              <w:rPr>
                <w:rFonts w:cs="Arial"/>
                <w:color w:val="000000"/>
                <w:sz w:val="16"/>
                <w:szCs w:val="16"/>
              </w:rPr>
              <w:t>2011/12</w:t>
            </w:r>
          </w:p>
        </w:tc>
        <w:tc>
          <w:tcPr>
            <w:tcW w:w="993" w:type="dxa"/>
            <w:tcBorders>
              <w:top w:val="nil"/>
              <w:left w:val="single" w:sz="8" w:space="0" w:color="auto"/>
              <w:bottom w:val="nil"/>
              <w:right w:val="nil"/>
            </w:tcBorders>
            <w:shd w:val="clear" w:color="auto" w:fill="auto"/>
            <w:noWrap/>
            <w:vAlign w:val="center"/>
            <w:hideMark/>
          </w:tcPr>
          <w:p w14:paraId="5FCE9516"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23,7</w:t>
            </w:r>
          </w:p>
        </w:tc>
        <w:tc>
          <w:tcPr>
            <w:tcW w:w="1134" w:type="dxa"/>
            <w:tcBorders>
              <w:top w:val="nil"/>
              <w:left w:val="nil"/>
              <w:bottom w:val="nil"/>
              <w:right w:val="single" w:sz="8" w:space="0" w:color="auto"/>
            </w:tcBorders>
            <w:shd w:val="clear" w:color="auto" w:fill="auto"/>
            <w:noWrap/>
            <w:vAlign w:val="center"/>
            <w:hideMark/>
          </w:tcPr>
          <w:p w14:paraId="133A5140"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12,8</w:t>
            </w:r>
          </w:p>
        </w:tc>
        <w:tc>
          <w:tcPr>
            <w:tcW w:w="992" w:type="dxa"/>
            <w:tcBorders>
              <w:top w:val="nil"/>
              <w:left w:val="nil"/>
              <w:bottom w:val="nil"/>
              <w:right w:val="nil"/>
            </w:tcBorders>
            <w:shd w:val="clear" w:color="auto" w:fill="auto"/>
            <w:noWrap/>
            <w:vAlign w:val="center"/>
            <w:hideMark/>
          </w:tcPr>
          <w:p w14:paraId="3F4BB913"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23,8</w:t>
            </w:r>
          </w:p>
        </w:tc>
        <w:tc>
          <w:tcPr>
            <w:tcW w:w="992" w:type="dxa"/>
            <w:tcBorders>
              <w:top w:val="nil"/>
              <w:left w:val="nil"/>
              <w:bottom w:val="nil"/>
              <w:right w:val="single" w:sz="8" w:space="0" w:color="auto"/>
            </w:tcBorders>
            <w:shd w:val="clear" w:color="auto" w:fill="auto"/>
            <w:noWrap/>
            <w:vAlign w:val="center"/>
            <w:hideMark/>
          </w:tcPr>
          <w:p w14:paraId="5707E9EA"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12,9</w:t>
            </w:r>
          </w:p>
        </w:tc>
        <w:tc>
          <w:tcPr>
            <w:tcW w:w="1134" w:type="dxa"/>
            <w:tcBorders>
              <w:top w:val="nil"/>
              <w:left w:val="nil"/>
              <w:bottom w:val="nil"/>
              <w:right w:val="nil"/>
            </w:tcBorders>
            <w:shd w:val="clear" w:color="auto" w:fill="auto"/>
            <w:noWrap/>
            <w:vAlign w:val="center"/>
            <w:hideMark/>
          </w:tcPr>
          <w:p w14:paraId="65A591F1"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17,8</w:t>
            </w:r>
          </w:p>
        </w:tc>
        <w:tc>
          <w:tcPr>
            <w:tcW w:w="1134" w:type="dxa"/>
            <w:tcBorders>
              <w:top w:val="nil"/>
              <w:left w:val="nil"/>
              <w:bottom w:val="nil"/>
              <w:right w:val="single" w:sz="8" w:space="0" w:color="auto"/>
            </w:tcBorders>
            <w:shd w:val="clear" w:color="auto" w:fill="auto"/>
            <w:noWrap/>
            <w:vAlign w:val="center"/>
            <w:hideMark/>
          </w:tcPr>
          <w:p w14:paraId="1BDCC5E3"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9,5</w:t>
            </w:r>
          </w:p>
        </w:tc>
        <w:tc>
          <w:tcPr>
            <w:tcW w:w="992" w:type="dxa"/>
            <w:tcBorders>
              <w:top w:val="nil"/>
              <w:left w:val="nil"/>
              <w:bottom w:val="nil"/>
              <w:right w:val="nil"/>
            </w:tcBorders>
            <w:shd w:val="clear" w:color="auto" w:fill="auto"/>
            <w:noWrap/>
            <w:vAlign w:val="center"/>
            <w:hideMark/>
          </w:tcPr>
          <w:p w14:paraId="7FA04830"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19,9</w:t>
            </w:r>
          </w:p>
        </w:tc>
        <w:tc>
          <w:tcPr>
            <w:tcW w:w="993" w:type="dxa"/>
            <w:tcBorders>
              <w:top w:val="nil"/>
              <w:left w:val="nil"/>
              <w:bottom w:val="nil"/>
              <w:right w:val="single" w:sz="8" w:space="0" w:color="auto"/>
            </w:tcBorders>
            <w:shd w:val="clear" w:color="auto" w:fill="auto"/>
            <w:noWrap/>
            <w:vAlign w:val="center"/>
            <w:hideMark/>
          </w:tcPr>
          <w:p w14:paraId="42FE5884"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11,3</w:t>
            </w:r>
          </w:p>
        </w:tc>
      </w:tr>
      <w:tr w:rsidR="00371F82" w:rsidRPr="00371F82" w14:paraId="60DFA781" w14:textId="77777777" w:rsidTr="00A12895">
        <w:trPr>
          <w:trHeight w:val="284"/>
        </w:trPr>
        <w:tc>
          <w:tcPr>
            <w:tcW w:w="1134" w:type="dxa"/>
            <w:tcBorders>
              <w:top w:val="nil"/>
              <w:left w:val="single" w:sz="8" w:space="0" w:color="auto"/>
              <w:bottom w:val="nil"/>
              <w:right w:val="nil"/>
            </w:tcBorders>
            <w:shd w:val="clear" w:color="000000" w:fill="F2DBDB"/>
            <w:noWrap/>
            <w:vAlign w:val="center"/>
            <w:hideMark/>
          </w:tcPr>
          <w:p w14:paraId="56F2CE47" w14:textId="77777777" w:rsidR="00371F82" w:rsidRPr="00371F82" w:rsidRDefault="00371F82" w:rsidP="00A12895">
            <w:pPr>
              <w:keepNext/>
              <w:spacing w:after="0" w:line="240" w:lineRule="auto"/>
              <w:jc w:val="center"/>
              <w:rPr>
                <w:rFonts w:cs="Arial"/>
                <w:color w:val="000000"/>
                <w:sz w:val="16"/>
                <w:szCs w:val="16"/>
              </w:rPr>
            </w:pPr>
            <w:r w:rsidRPr="00371F82">
              <w:rPr>
                <w:rFonts w:cs="Arial"/>
                <w:color w:val="000000"/>
                <w:sz w:val="16"/>
                <w:szCs w:val="16"/>
              </w:rPr>
              <w:t>2012/13</w:t>
            </w:r>
          </w:p>
        </w:tc>
        <w:tc>
          <w:tcPr>
            <w:tcW w:w="993" w:type="dxa"/>
            <w:tcBorders>
              <w:top w:val="nil"/>
              <w:left w:val="single" w:sz="8" w:space="0" w:color="auto"/>
              <w:bottom w:val="nil"/>
              <w:right w:val="nil"/>
            </w:tcBorders>
            <w:shd w:val="clear" w:color="000000" w:fill="F2DBDB"/>
            <w:noWrap/>
            <w:vAlign w:val="center"/>
            <w:hideMark/>
          </w:tcPr>
          <w:p w14:paraId="3BE068C3"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23,7</w:t>
            </w:r>
          </w:p>
        </w:tc>
        <w:tc>
          <w:tcPr>
            <w:tcW w:w="1134" w:type="dxa"/>
            <w:tcBorders>
              <w:top w:val="nil"/>
              <w:left w:val="nil"/>
              <w:bottom w:val="nil"/>
              <w:right w:val="single" w:sz="8" w:space="0" w:color="auto"/>
            </w:tcBorders>
            <w:shd w:val="clear" w:color="000000" w:fill="F2DBDB"/>
            <w:noWrap/>
            <w:vAlign w:val="center"/>
            <w:hideMark/>
          </w:tcPr>
          <w:p w14:paraId="2B1FDB0E"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12,8</w:t>
            </w:r>
          </w:p>
        </w:tc>
        <w:tc>
          <w:tcPr>
            <w:tcW w:w="992" w:type="dxa"/>
            <w:tcBorders>
              <w:top w:val="nil"/>
              <w:left w:val="nil"/>
              <w:bottom w:val="nil"/>
              <w:right w:val="nil"/>
            </w:tcBorders>
            <w:shd w:val="clear" w:color="000000" w:fill="F2DBDB"/>
            <w:noWrap/>
            <w:vAlign w:val="center"/>
            <w:hideMark/>
          </w:tcPr>
          <w:p w14:paraId="0023763E"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23,9</w:t>
            </w:r>
          </w:p>
        </w:tc>
        <w:tc>
          <w:tcPr>
            <w:tcW w:w="992" w:type="dxa"/>
            <w:tcBorders>
              <w:top w:val="nil"/>
              <w:left w:val="nil"/>
              <w:bottom w:val="nil"/>
              <w:right w:val="single" w:sz="8" w:space="0" w:color="auto"/>
            </w:tcBorders>
            <w:shd w:val="clear" w:color="000000" w:fill="F2DBDB"/>
            <w:noWrap/>
            <w:vAlign w:val="center"/>
            <w:hideMark/>
          </w:tcPr>
          <w:p w14:paraId="6B7BC6F1"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12,9</w:t>
            </w:r>
          </w:p>
        </w:tc>
        <w:tc>
          <w:tcPr>
            <w:tcW w:w="1134" w:type="dxa"/>
            <w:tcBorders>
              <w:top w:val="nil"/>
              <w:left w:val="nil"/>
              <w:bottom w:val="nil"/>
              <w:right w:val="nil"/>
            </w:tcBorders>
            <w:shd w:val="clear" w:color="000000" w:fill="F2DBDB"/>
            <w:noWrap/>
            <w:vAlign w:val="center"/>
            <w:hideMark/>
          </w:tcPr>
          <w:p w14:paraId="068C0205"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17,5</w:t>
            </w:r>
          </w:p>
        </w:tc>
        <w:tc>
          <w:tcPr>
            <w:tcW w:w="1134" w:type="dxa"/>
            <w:tcBorders>
              <w:top w:val="nil"/>
              <w:left w:val="nil"/>
              <w:bottom w:val="nil"/>
              <w:right w:val="single" w:sz="8" w:space="0" w:color="auto"/>
            </w:tcBorders>
            <w:shd w:val="clear" w:color="000000" w:fill="F2DBDB"/>
            <w:noWrap/>
            <w:vAlign w:val="center"/>
            <w:hideMark/>
          </w:tcPr>
          <w:p w14:paraId="44361C0F"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9,1</w:t>
            </w:r>
          </w:p>
        </w:tc>
        <w:tc>
          <w:tcPr>
            <w:tcW w:w="992" w:type="dxa"/>
            <w:tcBorders>
              <w:top w:val="nil"/>
              <w:left w:val="nil"/>
              <w:bottom w:val="nil"/>
              <w:right w:val="nil"/>
            </w:tcBorders>
            <w:shd w:val="clear" w:color="000000" w:fill="F2DBDB"/>
            <w:noWrap/>
            <w:vAlign w:val="center"/>
            <w:hideMark/>
          </w:tcPr>
          <w:p w14:paraId="6ADF45A9"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20,1</w:t>
            </w:r>
          </w:p>
        </w:tc>
        <w:tc>
          <w:tcPr>
            <w:tcW w:w="993" w:type="dxa"/>
            <w:tcBorders>
              <w:top w:val="nil"/>
              <w:left w:val="nil"/>
              <w:bottom w:val="nil"/>
              <w:right w:val="single" w:sz="8" w:space="0" w:color="auto"/>
            </w:tcBorders>
            <w:shd w:val="clear" w:color="000000" w:fill="F2DBDB"/>
            <w:noWrap/>
            <w:vAlign w:val="center"/>
            <w:hideMark/>
          </w:tcPr>
          <w:p w14:paraId="128058E9"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11,5</w:t>
            </w:r>
          </w:p>
        </w:tc>
      </w:tr>
      <w:tr w:rsidR="00371F82" w:rsidRPr="00371F82" w14:paraId="4379DD2D" w14:textId="77777777" w:rsidTr="00A12895">
        <w:trPr>
          <w:trHeight w:val="284"/>
        </w:trPr>
        <w:tc>
          <w:tcPr>
            <w:tcW w:w="1134" w:type="dxa"/>
            <w:tcBorders>
              <w:top w:val="nil"/>
              <w:left w:val="single" w:sz="8" w:space="0" w:color="auto"/>
              <w:bottom w:val="nil"/>
              <w:right w:val="nil"/>
            </w:tcBorders>
            <w:shd w:val="clear" w:color="auto" w:fill="auto"/>
            <w:noWrap/>
            <w:vAlign w:val="center"/>
            <w:hideMark/>
          </w:tcPr>
          <w:p w14:paraId="7F29D6ED" w14:textId="77777777" w:rsidR="00371F82" w:rsidRPr="00371F82" w:rsidRDefault="00371F82" w:rsidP="00A12895">
            <w:pPr>
              <w:keepNext/>
              <w:spacing w:after="0" w:line="240" w:lineRule="auto"/>
              <w:jc w:val="center"/>
              <w:rPr>
                <w:rFonts w:cs="Arial"/>
                <w:color w:val="000000"/>
                <w:sz w:val="16"/>
                <w:szCs w:val="16"/>
              </w:rPr>
            </w:pPr>
            <w:r w:rsidRPr="00371F82">
              <w:rPr>
                <w:rFonts w:cs="Arial"/>
                <w:color w:val="000000"/>
                <w:sz w:val="16"/>
                <w:szCs w:val="16"/>
              </w:rPr>
              <w:t>2013/14</w:t>
            </w:r>
          </w:p>
        </w:tc>
        <w:tc>
          <w:tcPr>
            <w:tcW w:w="993" w:type="dxa"/>
            <w:tcBorders>
              <w:top w:val="nil"/>
              <w:left w:val="single" w:sz="8" w:space="0" w:color="auto"/>
              <w:bottom w:val="nil"/>
              <w:right w:val="nil"/>
            </w:tcBorders>
            <w:shd w:val="clear" w:color="auto" w:fill="auto"/>
            <w:noWrap/>
            <w:vAlign w:val="center"/>
            <w:hideMark/>
          </w:tcPr>
          <w:p w14:paraId="032744DA"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23,6</w:t>
            </w:r>
          </w:p>
        </w:tc>
        <w:tc>
          <w:tcPr>
            <w:tcW w:w="1134" w:type="dxa"/>
            <w:tcBorders>
              <w:top w:val="nil"/>
              <w:left w:val="nil"/>
              <w:bottom w:val="nil"/>
              <w:right w:val="single" w:sz="8" w:space="0" w:color="auto"/>
            </w:tcBorders>
            <w:shd w:val="clear" w:color="auto" w:fill="auto"/>
            <w:noWrap/>
            <w:vAlign w:val="center"/>
            <w:hideMark/>
          </w:tcPr>
          <w:p w14:paraId="14891153"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12,7</w:t>
            </w:r>
          </w:p>
        </w:tc>
        <w:tc>
          <w:tcPr>
            <w:tcW w:w="992" w:type="dxa"/>
            <w:tcBorders>
              <w:top w:val="nil"/>
              <w:left w:val="nil"/>
              <w:bottom w:val="nil"/>
              <w:right w:val="nil"/>
            </w:tcBorders>
            <w:shd w:val="clear" w:color="auto" w:fill="auto"/>
            <w:noWrap/>
            <w:vAlign w:val="center"/>
            <w:hideMark/>
          </w:tcPr>
          <w:p w14:paraId="696A647C"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23,9</w:t>
            </w:r>
          </w:p>
        </w:tc>
        <w:tc>
          <w:tcPr>
            <w:tcW w:w="992" w:type="dxa"/>
            <w:tcBorders>
              <w:top w:val="nil"/>
              <w:left w:val="nil"/>
              <w:bottom w:val="nil"/>
              <w:right w:val="single" w:sz="8" w:space="0" w:color="auto"/>
            </w:tcBorders>
            <w:shd w:val="clear" w:color="auto" w:fill="auto"/>
            <w:noWrap/>
            <w:vAlign w:val="center"/>
            <w:hideMark/>
          </w:tcPr>
          <w:p w14:paraId="319DD6E5"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12,9</w:t>
            </w:r>
          </w:p>
        </w:tc>
        <w:tc>
          <w:tcPr>
            <w:tcW w:w="1134" w:type="dxa"/>
            <w:tcBorders>
              <w:top w:val="nil"/>
              <w:left w:val="nil"/>
              <w:bottom w:val="nil"/>
              <w:right w:val="nil"/>
            </w:tcBorders>
            <w:shd w:val="clear" w:color="auto" w:fill="auto"/>
            <w:noWrap/>
            <w:vAlign w:val="center"/>
            <w:hideMark/>
          </w:tcPr>
          <w:p w14:paraId="0F49CD9C"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16,9</w:t>
            </w:r>
          </w:p>
        </w:tc>
        <w:tc>
          <w:tcPr>
            <w:tcW w:w="1134" w:type="dxa"/>
            <w:tcBorders>
              <w:top w:val="nil"/>
              <w:left w:val="nil"/>
              <w:bottom w:val="nil"/>
              <w:right w:val="single" w:sz="8" w:space="0" w:color="auto"/>
            </w:tcBorders>
            <w:shd w:val="clear" w:color="auto" w:fill="auto"/>
            <w:noWrap/>
            <w:vAlign w:val="center"/>
            <w:hideMark/>
          </w:tcPr>
          <w:p w14:paraId="1D6198EA" w14:textId="55902FA8"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9</w:t>
            </w:r>
            <w:r w:rsidR="00103103">
              <w:rPr>
                <w:rFonts w:cs="Arial"/>
                <w:color w:val="000000"/>
                <w:sz w:val="16"/>
                <w:szCs w:val="16"/>
              </w:rPr>
              <w:t>,0</w:t>
            </w:r>
          </w:p>
        </w:tc>
        <w:tc>
          <w:tcPr>
            <w:tcW w:w="992" w:type="dxa"/>
            <w:tcBorders>
              <w:top w:val="nil"/>
              <w:left w:val="nil"/>
              <w:bottom w:val="nil"/>
              <w:right w:val="nil"/>
            </w:tcBorders>
            <w:shd w:val="clear" w:color="auto" w:fill="auto"/>
            <w:noWrap/>
            <w:vAlign w:val="center"/>
            <w:hideMark/>
          </w:tcPr>
          <w:p w14:paraId="4434082C"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20,2</w:t>
            </w:r>
          </w:p>
        </w:tc>
        <w:tc>
          <w:tcPr>
            <w:tcW w:w="993" w:type="dxa"/>
            <w:tcBorders>
              <w:top w:val="nil"/>
              <w:left w:val="nil"/>
              <w:bottom w:val="nil"/>
              <w:right w:val="single" w:sz="8" w:space="0" w:color="auto"/>
            </w:tcBorders>
            <w:shd w:val="clear" w:color="auto" w:fill="auto"/>
            <w:noWrap/>
            <w:vAlign w:val="center"/>
            <w:hideMark/>
          </w:tcPr>
          <w:p w14:paraId="1B2A5E8C"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11,6</w:t>
            </w:r>
          </w:p>
        </w:tc>
      </w:tr>
      <w:tr w:rsidR="00371F82" w:rsidRPr="00371F82" w14:paraId="4CE40AD6" w14:textId="77777777" w:rsidTr="00A12895">
        <w:trPr>
          <w:trHeight w:val="284"/>
        </w:trPr>
        <w:tc>
          <w:tcPr>
            <w:tcW w:w="1134" w:type="dxa"/>
            <w:tcBorders>
              <w:top w:val="nil"/>
              <w:left w:val="single" w:sz="8" w:space="0" w:color="auto"/>
              <w:bottom w:val="nil"/>
              <w:right w:val="nil"/>
            </w:tcBorders>
            <w:shd w:val="clear" w:color="000000" w:fill="F2DBDB"/>
            <w:noWrap/>
            <w:vAlign w:val="center"/>
            <w:hideMark/>
          </w:tcPr>
          <w:p w14:paraId="3526E9A8" w14:textId="77777777" w:rsidR="00371F82" w:rsidRPr="00371F82" w:rsidRDefault="00371F82" w:rsidP="00A12895">
            <w:pPr>
              <w:keepNext/>
              <w:spacing w:after="0" w:line="240" w:lineRule="auto"/>
              <w:jc w:val="center"/>
              <w:rPr>
                <w:rFonts w:cs="Arial"/>
                <w:color w:val="000000"/>
                <w:sz w:val="16"/>
                <w:szCs w:val="16"/>
              </w:rPr>
            </w:pPr>
            <w:r w:rsidRPr="00371F82">
              <w:rPr>
                <w:rFonts w:cs="Arial"/>
                <w:color w:val="000000"/>
                <w:sz w:val="16"/>
                <w:szCs w:val="16"/>
              </w:rPr>
              <w:t>2014/15</w:t>
            </w:r>
          </w:p>
        </w:tc>
        <w:tc>
          <w:tcPr>
            <w:tcW w:w="993" w:type="dxa"/>
            <w:tcBorders>
              <w:top w:val="nil"/>
              <w:left w:val="single" w:sz="8" w:space="0" w:color="auto"/>
              <w:bottom w:val="nil"/>
              <w:right w:val="nil"/>
            </w:tcBorders>
            <w:shd w:val="clear" w:color="000000" w:fill="F2DBDB"/>
            <w:noWrap/>
            <w:vAlign w:val="center"/>
            <w:hideMark/>
          </w:tcPr>
          <w:p w14:paraId="30DE917F"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23,4</w:t>
            </w:r>
          </w:p>
        </w:tc>
        <w:tc>
          <w:tcPr>
            <w:tcW w:w="1134" w:type="dxa"/>
            <w:tcBorders>
              <w:top w:val="nil"/>
              <w:left w:val="nil"/>
              <w:bottom w:val="nil"/>
              <w:right w:val="single" w:sz="8" w:space="0" w:color="auto"/>
            </w:tcBorders>
            <w:shd w:val="clear" w:color="000000" w:fill="F2DBDB"/>
            <w:noWrap/>
            <w:vAlign w:val="center"/>
            <w:hideMark/>
          </w:tcPr>
          <w:p w14:paraId="65808934"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12,6</w:t>
            </w:r>
          </w:p>
        </w:tc>
        <w:tc>
          <w:tcPr>
            <w:tcW w:w="992" w:type="dxa"/>
            <w:tcBorders>
              <w:top w:val="nil"/>
              <w:left w:val="nil"/>
              <w:bottom w:val="nil"/>
              <w:right w:val="nil"/>
            </w:tcBorders>
            <w:shd w:val="clear" w:color="000000" w:fill="F2DBDB"/>
            <w:noWrap/>
            <w:vAlign w:val="center"/>
            <w:hideMark/>
          </w:tcPr>
          <w:p w14:paraId="0F1C8874"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23,7</w:t>
            </w:r>
          </w:p>
        </w:tc>
        <w:tc>
          <w:tcPr>
            <w:tcW w:w="992" w:type="dxa"/>
            <w:tcBorders>
              <w:top w:val="nil"/>
              <w:left w:val="nil"/>
              <w:bottom w:val="nil"/>
              <w:right w:val="single" w:sz="8" w:space="0" w:color="auto"/>
            </w:tcBorders>
            <w:shd w:val="clear" w:color="000000" w:fill="F2DBDB"/>
            <w:noWrap/>
            <w:vAlign w:val="center"/>
            <w:hideMark/>
          </w:tcPr>
          <w:p w14:paraId="54AB8795"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12,7</w:t>
            </w:r>
          </w:p>
        </w:tc>
        <w:tc>
          <w:tcPr>
            <w:tcW w:w="1134" w:type="dxa"/>
            <w:tcBorders>
              <w:top w:val="nil"/>
              <w:left w:val="nil"/>
              <w:bottom w:val="nil"/>
              <w:right w:val="nil"/>
            </w:tcBorders>
            <w:shd w:val="clear" w:color="000000" w:fill="F2DBDB"/>
            <w:noWrap/>
            <w:vAlign w:val="center"/>
            <w:hideMark/>
          </w:tcPr>
          <w:p w14:paraId="537D36DE"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16,3</w:t>
            </w:r>
          </w:p>
        </w:tc>
        <w:tc>
          <w:tcPr>
            <w:tcW w:w="1134" w:type="dxa"/>
            <w:tcBorders>
              <w:top w:val="nil"/>
              <w:left w:val="nil"/>
              <w:bottom w:val="nil"/>
              <w:right w:val="single" w:sz="8" w:space="0" w:color="auto"/>
            </w:tcBorders>
            <w:shd w:val="clear" w:color="000000" w:fill="F2DBDB"/>
            <w:noWrap/>
            <w:vAlign w:val="center"/>
            <w:hideMark/>
          </w:tcPr>
          <w:p w14:paraId="05AED764"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8,7</w:t>
            </w:r>
          </w:p>
        </w:tc>
        <w:tc>
          <w:tcPr>
            <w:tcW w:w="992" w:type="dxa"/>
            <w:tcBorders>
              <w:top w:val="nil"/>
              <w:left w:val="nil"/>
              <w:bottom w:val="nil"/>
              <w:right w:val="nil"/>
            </w:tcBorders>
            <w:shd w:val="clear" w:color="000000" w:fill="F2DBDB"/>
            <w:noWrap/>
            <w:vAlign w:val="center"/>
            <w:hideMark/>
          </w:tcPr>
          <w:p w14:paraId="1F89CAA8"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19,8</w:t>
            </w:r>
          </w:p>
        </w:tc>
        <w:tc>
          <w:tcPr>
            <w:tcW w:w="993" w:type="dxa"/>
            <w:tcBorders>
              <w:top w:val="nil"/>
              <w:left w:val="nil"/>
              <w:bottom w:val="nil"/>
              <w:right w:val="single" w:sz="8" w:space="0" w:color="auto"/>
            </w:tcBorders>
            <w:shd w:val="clear" w:color="000000" w:fill="F2DBDB"/>
            <w:noWrap/>
            <w:vAlign w:val="center"/>
            <w:hideMark/>
          </w:tcPr>
          <w:p w14:paraId="043052C5"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11</w:t>
            </w:r>
          </w:p>
        </w:tc>
      </w:tr>
      <w:tr w:rsidR="00371F82" w:rsidRPr="00371F82" w14:paraId="6D702422" w14:textId="77777777" w:rsidTr="00A12895">
        <w:trPr>
          <w:trHeight w:val="284"/>
        </w:trPr>
        <w:tc>
          <w:tcPr>
            <w:tcW w:w="1134" w:type="dxa"/>
            <w:tcBorders>
              <w:top w:val="nil"/>
              <w:left w:val="single" w:sz="8" w:space="0" w:color="auto"/>
              <w:bottom w:val="nil"/>
              <w:right w:val="nil"/>
            </w:tcBorders>
            <w:shd w:val="clear" w:color="auto" w:fill="auto"/>
            <w:noWrap/>
            <w:vAlign w:val="center"/>
            <w:hideMark/>
          </w:tcPr>
          <w:p w14:paraId="63808137" w14:textId="77777777" w:rsidR="00371F82" w:rsidRPr="00371F82" w:rsidRDefault="00371F82" w:rsidP="00A12895">
            <w:pPr>
              <w:keepNext/>
              <w:spacing w:after="0" w:line="240" w:lineRule="auto"/>
              <w:jc w:val="center"/>
              <w:rPr>
                <w:rFonts w:cs="Arial"/>
                <w:color w:val="000000"/>
                <w:sz w:val="16"/>
                <w:szCs w:val="16"/>
              </w:rPr>
            </w:pPr>
            <w:r w:rsidRPr="00371F82">
              <w:rPr>
                <w:rFonts w:cs="Arial"/>
                <w:color w:val="000000"/>
                <w:sz w:val="16"/>
                <w:szCs w:val="16"/>
              </w:rPr>
              <w:t>2015/16</w:t>
            </w:r>
          </w:p>
        </w:tc>
        <w:tc>
          <w:tcPr>
            <w:tcW w:w="993" w:type="dxa"/>
            <w:tcBorders>
              <w:top w:val="nil"/>
              <w:left w:val="single" w:sz="8" w:space="0" w:color="auto"/>
              <w:bottom w:val="nil"/>
              <w:right w:val="nil"/>
            </w:tcBorders>
            <w:shd w:val="clear" w:color="auto" w:fill="auto"/>
            <w:noWrap/>
            <w:vAlign w:val="center"/>
            <w:hideMark/>
          </w:tcPr>
          <w:p w14:paraId="53EA1423"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23,2</w:t>
            </w:r>
          </w:p>
        </w:tc>
        <w:tc>
          <w:tcPr>
            <w:tcW w:w="1134" w:type="dxa"/>
            <w:tcBorders>
              <w:top w:val="nil"/>
              <w:left w:val="nil"/>
              <w:bottom w:val="nil"/>
              <w:right w:val="single" w:sz="8" w:space="0" w:color="auto"/>
            </w:tcBorders>
            <w:shd w:val="clear" w:color="auto" w:fill="auto"/>
            <w:noWrap/>
            <w:vAlign w:val="center"/>
            <w:hideMark/>
          </w:tcPr>
          <w:p w14:paraId="561377E7"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12,4</w:t>
            </w:r>
          </w:p>
        </w:tc>
        <w:tc>
          <w:tcPr>
            <w:tcW w:w="992" w:type="dxa"/>
            <w:tcBorders>
              <w:top w:val="nil"/>
              <w:left w:val="nil"/>
              <w:bottom w:val="nil"/>
              <w:right w:val="nil"/>
            </w:tcBorders>
            <w:shd w:val="clear" w:color="auto" w:fill="auto"/>
            <w:noWrap/>
            <w:vAlign w:val="center"/>
            <w:hideMark/>
          </w:tcPr>
          <w:p w14:paraId="43EBB60E"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23,5</w:t>
            </w:r>
          </w:p>
        </w:tc>
        <w:tc>
          <w:tcPr>
            <w:tcW w:w="992" w:type="dxa"/>
            <w:tcBorders>
              <w:top w:val="nil"/>
              <w:left w:val="nil"/>
              <w:bottom w:val="nil"/>
              <w:right w:val="single" w:sz="8" w:space="0" w:color="auto"/>
            </w:tcBorders>
            <w:shd w:val="clear" w:color="auto" w:fill="auto"/>
            <w:noWrap/>
            <w:vAlign w:val="center"/>
            <w:hideMark/>
          </w:tcPr>
          <w:p w14:paraId="44B40875"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12,6</w:t>
            </w:r>
          </w:p>
        </w:tc>
        <w:tc>
          <w:tcPr>
            <w:tcW w:w="1134" w:type="dxa"/>
            <w:tcBorders>
              <w:top w:val="nil"/>
              <w:left w:val="nil"/>
              <w:bottom w:val="nil"/>
              <w:right w:val="nil"/>
            </w:tcBorders>
            <w:shd w:val="clear" w:color="auto" w:fill="auto"/>
            <w:noWrap/>
            <w:vAlign w:val="center"/>
            <w:hideMark/>
          </w:tcPr>
          <w:p w14:paraId="49B55462"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16,6</w:t>
            </w:r>
          </w:p>
        </w:tc>
        <w:tc>
          <w:tcPr>
            <w:tcW w:w="1134" w:type="dxa"/>
            <w:tcBorders>
              <w:top w:val="nil"/>
              <w:left w:val="nil"/>
              <w:bottom w:val="nil"/>
              <w:right w:val="single" w:sz="8" w:space="0" w:color="auto"/>
            </w:tcBorders>
            <w:shd w:val="clear" w:color="auto" w:fill="auto"/>
            <w:noWrap/>
            <w:vAlign w:val="center"/>
            <w:hideMark/>
          </w:tcPr>
          <w:p w14:paraId="4C73124F"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9,1</w:t>
            </w:r>
          </w:p>
        </w:tc>
        <w:tc>
          <w:tcPr>
            <w:tcW w:w="992" w:type="dxa"/>
            <w:tcBorders>
              <w:top w:val="nil"/>
              <w:left w:val="nil"/>
              <w:bottom w:val="nil"/>
              <w:right w:val="nil"/>
            </w:tcBorders>
            <w:shd w:val="clear" w:color="auto" w:fill="auto"/>
            <w:noWrap/>
            <w:vAlign w:val="center"/>
            <w:hideMark/>
          </w:tcPr>
          <w:p w14:paraId="75925150"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19,8</w:t>
            </w:r>
          </w:p>
        </w:tc>
        <w:tc>
          <w:tcPr>
            <w:tcW w:w="993" w:type="dxa"/>
            <w:tcBorders>
              <w:top w:val="nil"/>
              <w:left w:val="nil"/>
              <w:bottom w:val="nil"/>
              <w:right w:val="single" w:sz="8" w:space="0" w:color="auto"/>
            </w:tcBorders>
            <w:shd w:val="clear" w:color="auto" w:fill="auto"/>
            <w:noWrap/>
            <w:vAlign w:val="center"/>
            <w:hideMark/>
          </w:tcPr>
          <w:p w14:paraId="09466A7E"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10,6</w:t>
            </w:r>
          </w:p>
        </w:tc>
      </w:tr>
      <w:tr w:rsidR="00371F82" w:rsidRPr="00371F82" w14:paraId="5D233FBD" w14:textId="77777777" w:rsidTr="00A12895">
        <w:trPr>
          <w:trHeight w:val="284"/>
        </w:trPr>
        <w:tc>
          <w:tcPr>
            <w:tcW w:w="1134" w:type="dxa"/>
            <w:tcBorders>
              <w:top w:val="nil"/>
              <w:left w:val="single" w:sz="8" w:space="0" w:color="auto"/>
              <w:bottom w:val="nil"/>
              <w:right w:val="nil"/>
            </w:tcBorders>
            <w:shd w:val="clear" w:color="000000" w:fill="F2DBDB"/>
            <w:noWrap/>
            <w:vAlign w:val="center"/>
            <w:hideMark/>
          </w:tcPr>
          <w:p w14:paraId="02272DAF" w14:textId="77777777" w:rsidR="00371F82" w:rsidRPr="00371F82" w:rsidRDefault="00371F82" w:rsidP="00A12895">
            <w:pPr>
              <w:keepNext/>
              <w:spacing w:after="0" w:line="240" w:lineRule="auto"/>
              <w:jc w:val="center"/>
              <w:rPr>
                <w:rFonts w:cs="Arial"/>
                <w:color w:val="000000"/>
                <w:sz w:val="16"/>
                <w:szCs w:val="16"/>
              </w:rPr>
            </w:pPr>
            <w:r w:rsidRPr="00371F82">
              <w:rPr>
                <w:rFonts w:cs="Arial"/>
                <w:color w:val="000000"/>
                <w:sz w:val="16"/>
                <w:szCs w:val="16"/>
              </w:rPr>
              <w:t>2016/17</w:t>
            </w:r>
          </w:p>
        </w:tc>
        <w:tc>
          <w:tcPr>
            <w:tcW w:w="993" w:type="dxa"/>
            <w:tcBorders>
              <w:top w:val="nil"/>
              <w:left w:val="single" w:sz="8" w:space="0" w:color="auto"/>
              <w:bottom w:val="nil"/>
              <w:right w:val="nil"/>
            </w:tcBorders>
            <w:shd w:val="clear" w:color="000000" w:fill="F2DBDB"/>
            <w:noWrap/>
            <w:vAlign w:val="center"/>
            <w:hideMark/>
          </w:tcPr>
          <w:p w14:paraId="34103378"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22,9</w:t>
            </w:r>
          </w:p>
        </w:tc>
        <w:tc>
          <w:tcPr>
            <w:tcW w:w="1134" w:type="dxa"/>
            <w:tcBorders>
              <w:top w:val="nil"/>
              <w:left w:val="nil"/>
              <w:bottom w:val="nil"/>
              <w:right w:val="single" w:sz="8" w:space="0" w:color="auto"/>
            </w:tcBorders>
            <w:shd w:val="clear" w:color="000000" w:fill="F2DBDB"/>
            <w:noWrap/>
            <w:vAlign w:val="center"/>
            <w:hideMark/>
          </w:tcPr>
          <w:p w14:paraId="6C935278"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12,2</w:t>
            </w:r>
          </w:p>
        </w:tc>
        <w:tc>
          <w:tcPr>
            <w:tcW w:w="992" w:type="dxa"/>
            <w:tcBorders>
              <w:top w:val="nil"/>
              <w:left w:val="nil"/>
              <w:bottom w:val="nil"/>
              <w:right w:val="nil"/>
            </w:tcBorders>
            <w:shd w:val="clear" w:color="000000" w:fill="F2DBDB"/>
            <w:noWrap/>
            <w:vAlign w:val="center"/>
            <w:hideMark/>
          </w:tcPr>
          <w:p w14:paraId="6ACFA832"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23,2</w:t>
            </w:r>
          </w:p>
        </w:tc>
        <w:tc>
          <w:tcPr>
            <w:tcW w:w="992" w:type="dxa"/>
            <w:tcBorders>
              <w:top w:val="nil"/>
              <w:left w:val="nil"/>
              <w:bottom w:val="nil"/>
              <w:right w:val="single" w:sz="8" w:space="0" w:color="auto"/>
            </w:tcBorders>
            <w:shd w:val="clear" w:color="000000" w:fill="F2DBDB"/>
            <w:noWrap/>
            <w:vAlign w:val="center"/>
            <w:hideMark/>
          </w:tcPr>
          <w:p w14:paraId="3B7487DE"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12,4</w:t>
            </w:r>
          </w:p>
        </w:tc>
        <w:tc>
          <w:tcPr>
            <w:tcW w:w="1134" w:type="dxa"/>
            <w:tcBorders>
              <w:top w:val="nil"/>
              <w:left w:val="nil"/>
              <w:bottom w:val="nil"/>
              <w:right w:val="nil"/>
            </w:tcBorders>
            <w:shd w:val="clear" w:color="000000" w:fill="F2DBDB"/>
            <w:noWrap/>
            <w:vAlign w:val="center"/>
            <w:hideMark/>
          </w:tcPr>
          <w:p w14:paraId="008D1350"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16,4</w:t>
            </w:r>
          </w:p>
        </w:tc>
        <w:tc>
          <w:tcPr>
            <w:tcW w:w="1134" w:type="dxa"/>
            <w:tcBorders>
              <w:top w:val="nil"/>
              <w:left w:val="nil"/>
              <w:bottom w:val="nil"/>
              <w:right w:val="single" w:sz="8" w:space="0" w:color="auto"/>
            </w:tcBorders>
            <w:shd w:val="clear" w:color="000000" w:fill="F2DBDB"/>
            <w:noWrap/>
            <w:vAlign w:val="center"/>
            <w:hideMark/>
          </w:tcPr>
          <w:p w14:paraId="3F2A985D" w14:textId="0117E2A0"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9</w:t>
            </w:r>
            <w:r w:rsidR="00103103">
              <w:rPr>
                <w:rFonts w:cs="Arial"/>
                <w:color w:val="000000"/>
                <w:sz w:val="16"/>
                <w:szCs w:val="16"/>
              </w:rPr>
              <w:t>,0</w:t>
            </w:r>
          </w:p>
        </w:tc>
        <w:tc>
          <w:tcPr>
            <w:tcW w:w="992" w:type="dxa"/>
            <w:tcBorders>
              <w:top w:val="nil"/>
              <w:left w:val="nil"/>
              <w:bottom w:val="nil"/>
              <w:right w:val="nil"/>
            </w:tcBorders>
            <w:shd w:val="clear" w:color="000000" w:fill="F2DBDB"/>
            <w:noWrap/>
            <w:vAlign w:val="center"/>
            <w:hideMark/>
          </w:tcPr>
          <w:p w14:paraId="6023F962"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19,7</w:t>
            </w:r>
          </w:p>
        </w:tc>
        <w:tc>
          <w:tcPr>
            <w:tcW w:w="993" w:type="dxa"/>
            <w:tcBorders>
              <w:top w:val="nil"/>
              <w:left w:val="nil"/>
              <w:bottom w:val="nil"/>
              <w:right w:val="single" w:sz="8" w:space="0" w:color="auto"/>
            </w:tcBorders>
            <w:shd w:val="clear" w:color="000000" w:fill="F2DBDB"/>
            <w:noWrap/>
            <w:vAlign w:val="center"/>
            <w:hideMark/>
          </w:tcPr>
          <w:p w14:paraId="5F23027C"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10,7</w:t>
            </w:r>
          </w:p>
        </w:tc>
      </w:tr>
      <w:tr w:rsidR="00371F82" w:rsidRPr="00371F82" w14:paraId="2FD393D1" w14:textId="77777777" w:rsidTr="00A12895">
        <w:trPr>
          <w:trHeight w:val="284"/>
        </w:trPr>
        <w:tc>
          <w:tcPr>
            <w:tcW w:w="1134" w:type="dxa"/>
            <w:tcBorders>
              <w:top w:val="nil"/>
              <w:left w:val="single" w:sz="8" w:space="0" w:color="auto"/>
              <w:bottom w:val="nil"/>
              <w:right w:val="nil"/>
            </w:tcBorders>
            <w:shd w:val="clear" w:color="auto" w:fill="auto"/>
            <w:noWrap/>
            <w:vAlign w:val="center"/>
            <w:hideMark/>
          </w:tcPr>
          <w:p w14:paraId="2C5116B2" w14:textId="77777777" w:rsidR="00371F82" w:rsidRPr="00371F82" w:rsidRDefault="00371F82" w:rsidP="00A12895">
            <w:pPr>
              <w:keepNext/>
              <w:spacing w:after="0" w:line="240" w:lineRule="auto"/>
              <w:jc w:val="center"/>
              <w:rPr>
                <w:rFonts w:cs="Arial"/>
                <w:color w:val="000000"/>
                <w:sz w:val="16"/>
                <w:szCs w:val="16"/>
              </w:rPr>
            </w:pPr>
            <w:r w:rsidRPr="00371F82">
              <w:rPr>
                <w:rFonts w:cs="Arial"/>
                <w:color w:val="000000"/>
                <w:sz w:val="16"/>
                <w:szCs w:val="16"/>
              </w:rPr>
              <w:t>2017/18</w:t>
            </w:r>
          </w:p>
        </w:tc>
        <w:tc>
          <w:tcPr>
            <w:tcW w:w="993" w:type="dxa"/>
            <w:tcBorders>
              <w:top w:val="nil"/>
              <w:left w:val="single" w:sz="8" w:space="0" w:color="auto"/>
              <w:bottom w:val="nil"/>
              <w:right w:val="nil"/>
            </w:tcBorders>
            <w:shd w:val="clear" w:color="auto" w:fill="auto"/>
            <w:noWrap/>
            <w:vAlign w:val="center"/>
            <w:hideMark/>
          </w:tcPr>
          <w:p w14:paraId="3DE066C2"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22,7</w:t>
            </w:r>
          </w:p>
        </w:tc>
        <w:tc>
          <w:tcPr>
            <w:tcW w:w="1134" w:type="dxa"/>
            <w:tcBorders>
              <w:top w:val="nil"/>
              <w:left w:val="nil"/>
              <w:bottom w:val="nil"/>
              <w:right w:val="single" w:sz="8" w:space="0" w:color="auto"/>
            </w:tcBorders>
            <w:shd w:val="clear" w:color="auto" w:fill="auto"/>
            <w:noWrap/>
            <w:vAlign w:val="center"/>
            <w:hideMark/>
          </w:tcPr>
          <w:p w14:paraId="64D2EDE0"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12</w:t>
            </w:r>
          </w:p>
        </w:tc>
        <w:tc>
          <w:tcPr>
            <w:tcW w:w="992" w:type="dxa"/>
            <w:tcBorders>
              <w:top w:val="nil"/>
              <w:left w:val="nil"/>
              <w:bottom w:val="nil"/>
              <w:right w:val="nil"/>
            </w:tcBorders>
            <w:shd w:val="clear" w:color="auto" w:fill="auto"/>
            <w:noWrap/>
            <w:vAlign w:val="center"/>
            <w:hideMark/>
          </w:tcPr>
          <w:p w14:paraId="0AFC9C92"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23,1</w:t>
            </w:r>
          </w:p>
        </w:tc>
        <w:tc>
          <w:tcPr>
            <w:tcW w:w="992" w:type="dxa"/>
            <w:tcBorders>
              <w:top w:val="nil"/>
              <w:left w:val="nil"/>
              <w:bottom w:val="nil"/>
              <w:right w:val="single" w:sz="8" w:space="0" w:color="auto"/>
            </w:tcBorders>
            <w:shd w:val="clear" w:color="auto" w:fill="auto"/>
            <w:noWrap/>
            <w:vAlign w:val="center"/>
            <w:hideMark/>
          </w:tcPr>
          <w:p w14:paraId="180F39A0"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12,1</w:t>
            </w:r>
          </w:p>
        </w:tc>
        <w:tc>
          <w:tcPr>
            <w:tcW w:w="1134" w:type="dxa"/>
            <w:tcBorders>
              <w:top w:val="nil"/>
              <w:left w:val="nil"/>
              <w:bottom w:val="nil"/>
              <w:right w:val="nil"/>
            </w:tcBorders>
            <w:shd w:val="clear" w:color="auto" w:fill="auto"/>
            <w:noWrap/>
            <w:vAlign w:val="center"/>
            <w:hideMark/>
          </w:tcPr>
          <w:p w14:paraId="1B226587"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16,2</w:t>
            </w:r>
          </w:p>
        </w:tc>
        <w:tc>
          <w:tcPr>
            <w:tcW w:w="1134" w:type="dxa"/>
            <w:tcBorders>
              <w:top w:val="nil"/>
              <w:left w:val="nil"/>
              <w:bottom w:val="nil"/>
              <w:right w:val="single" w:sz="8" w:space="0" w:color="auto"/>
            </w:tcBorders>
            <w:shd w:val="clear" w:color="auto" w:fill="auto"/>
            <w:noWrap/>
            <w:vAlign w:val="center"/>
            <w:hideMark/>
          </w:tcPr>
          <w:p w14:paraId="119D9A94" w14:textId="7F322270"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9</w:t>
            </w:r>
            <w:r w:rsidR="00103103">
              <w:rPr>
                <w:rFonts w:cs="Arial"/>
                <w:color w:val="000000"/>
                <w:sz w:val="16"/>
                <w:szCs w:val="16"/>
              </w:rPr>
              <w:t>,0</w:t>
            </w:r>
          </w:p>
        </w:tc>
        <w:tc>
          <w:tcPr>
            <w:tcW w:w="992" w:type="dxa"/>
            <w:tcBorders>
              <w:top w:val="nil"/>
              <w:left w:val="nil"/>
              <w:bottom w:val="nil"/>
              <w:right w:val="nil"/>
            </w:tcBorders>
            <w:shd w:val="clear" w:color="auto" w:fill="auto"/>
            <w:noWrap/>
            <w:vAlign w:val="center"/>
            <w:hideMark/>
          </w:tcPr>
          <w:p w14:paraId="663FCB86"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19,5</w:t>
            </w:r>
          </w:p>
        </w:tc>
        <w:tc>
          <w:tcPr>
            <w:tcW w:w="993" w:type="dxa"/>
            <w:tcBorders>
              <w:top w:val="nil"/>
              <w:left w:val="nil"/>
              <w:bottom w:val="nil"/>
              <w:right w:val="single" w:sz="8" w:space="0" w:color="auto"/>
            </w:tcBorders>
            <w:shd w:val="clear" w:color="auto" w:fill="auto"/>
            <w:noWrap/>
            <w:vAlign w:val="center"/>
            <w:hideMark/>
          </w:tcPr>
          <w:p w14:paraId="386FB084"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10,9</w:t>
            </w:r>
          </w:p>
        </w:tc>
      </w:tr>
      <w:tr w:rsidR="00371F82" w:rsidRPr="00371F82" w14:paraId="18D4EB6C" w14:textId="77777777" w:rsidTr="00A12895">
        <w:trPr>
          <w:trHeight w:val="284"/>
        </w:trPr>
        <w:tc>
          <w:tcPr>
            <w:tcW w:w="1134" w:type="dxa"/>
            <w:tcBorders>
              <w:top w:val="nil"/>
              <w:left w:val="single" w:sz="8" w:space="0" w:color="auto"/>
              <w:bottom w:val="nil"/>
              <w:right w:val="nil"/>
            </w:tcBorders>
            <w:shd w:val="clear" w:color="000000" w:fill="F2DBDB"/>
            <w:noWrap/>
            <w:vAlign w:val="center"/>
            <w:hideMark/>
          </w:tcPr>
          <w:p w14:paraId="62DA86ED" w14:textId="77777777" w:rsidR="00371F82" w:rsidRPr="00371F82" w:rsidRDefault="00371F82" w:rsidP="00A12895">
            <w:pPr>
              <w:keepNext/>
              <w:spacing w:after="0" w:line="240" w:lineRule="auto"/>
              <w:jc w:val="center"/>
              <w:rPr>
                <w:rFonts w:cs="Arial"/>
                <w:color w:val="000000"/>
                <w:sz w:val="16"/>
                <w:szCs w:val="16"/>
              </w:rPr>
            </w:pPr>
            <w:r w:rsidRPr="00371F82">
              <w:rPr>
                <w:rFonts w:cs="Arial"/>
                <w:color w:val="000000"/>
                <w:sz w:val="16"/>
                <w:szCs w:val="16"/>
              </w:rPr>
              <w:t>2018/19</w:t>
            </w:r>
          </w:p>
        </w:tc>
        <w:tc>
          <w:tcPr>
            <w:tcW w:w="993" w:type="dxa"/>
            <w:tcBorders>
              <w:top w:val="nil"/>
              <w:left w:val="single" w:sz="8" w:space="0" w:color="auto"/>
              <w:bottom w:val="nil"/>
              <w:right w:val="nil"/>
            </w:tcBorders>
            <w:shd w:val="clear" w:color="000000" w:fill="F2DBDB"/>
            <w:noWrap/>
            <w:vAlign w:val="center"/>
            <w:hideMark/>
          </w:tcPr>
          <w:p w14:paraId="74770F4E"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22,6</w:t>
            </w:r>
          </w:p>
        </w:tc>
        <w:tc>
          <w:tcPr>
            <w:tcW w:w="1134" w:type="dxa"/>
            <w:tcBorders>
              <w:top w:val="nil"/>
              <w:left w:val="nil"/>
              <w:bottom w:val="nil"/>
              <w:right w:val="single" w:sz="8" w:space="0" w:color="auto"/>
            </w:tcBorders>
            <w:shd w:val="clear" w:color="000000" w:fill="F2DBDB"/>
            <w:noWrap/>
            <w:vAlign w:val="center"/>
            <w:hideMark/>
          </w:tcPr>
          <w:p w14:paraId="1693220B"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11,9</w:t>
            </w:r>
          </w:p>
        </w:tc>
        <w:tc>
          <w:tcPr>
            <w:tcW w:w="992" w:type="dxa"/>
            <w:tcBorders>
              <w:top w:val="nil"/>
              <w:left w:val="nil"/>
              <w:bottom w:val="nil"/>
              <w:right w:val="nil"/>
            </w:tcBorders>
            <w:shd w:val="clear" w:color="000000" w:fill="F2DBDB"/>
            <w:noWrap/>
            <w:vAlign w:val="center"/>
            <w:hideMark/>
          </w:tcPr>
          <w:p w14:paraId="258DB978"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23</w:t>
            </w:r>
          </w:p>
        </w:tc>
        <w:tc>
          <w:tcPr>
            <w:tcW w:w="992" w:type="dxa"/>
            <w:tcBorders>
              <w:top w:val="nil"/>
              <w:left w:val="nil"/>
              <w:bottom w:val="nil"/>
              <w:right w:val="single" w:sz="8" w:space="0" w:color="auto"/>
            </w:tcBorders>
            <w:shd w:val="clear" w:color="000000" w:fill="F2DBDB"/>
            <w:noWrap/>
            <w:vAlign w:val="center"/>
            <w:hideMark/>
          </w:tcPr>
          <w:p w14:paraId="4910F048"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12</w:t>
            </w:r>
          </w:p>
        </w:tc>
        <w:tc>
          <w:tcPr>
            <w:tcW w:w="1134" w:type="dxa"/>
            <w:tcBorders>
              <w:top w:val="nil"/>
              <w:left w:val="nil"/>
              <w:bottom w:val="nil"/>
              <w:right w:val="nil"/>
            </w:tcBorders>
            <w:shd w:val="clear" w:color="000000" w:fill="F2DBDB"/>
            <w:noWrap/>
            <w:vAlign w:val="center"/>
            <w:hideMark/>
          </w:tcPr>
          <w:p w14:paraId="29DEE322"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16,4</w:t>
            </w:r>
          </w:p>
        </w:tc>
        <w:tc>
          <w:tcPr>
            <w:tcW w:w="1134" w:type="dxa"/>
            <w:tcBorders>
              <w:top w:val="nil"/>
              <w:left w:val="nil"/>
              <w:bottom w:val="nil"/>
              <w:right w:val="single" w:sz="8" w:space="0" w:color="auto"/>
            </w:tcBorders>
            <w:shd w:val="clear" w:color="000000" w:fill="F2DBDB"/>
            <w:noWrap/>
            <w:vAlign w:val="center"/>
            <w:hideMark/>
          </w:tcPr>
          <w:p w14:paraId="66BC552F"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8,9</w:t>
            </w:r>
          </w:p>
        </w:tc>
        <w:tc>
          <w:tcPr>
            <w:tcW w:w="992" w:type="dxa"/>
            <w:tcBorders>
              <w:top w:val="nil"/>
              <w:left w:val="nil"/>
              <w:bottom w:val="nil"/>
              <w:right w:val="nil"/>
            </w:tcBorders>
            <w:shd w:val="clear" w:color="000000" w:fill="F2DBDB"/>
            <w:noWrap/>
            <w:vAlign w:val="center"/>
            <w:hideMark/>
          </w:tcPr>
          <w:p w14:paraId="621CD100"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19,5</w:t>
            </w:r>
          </w:p>
        </w:tc>
        <w:tc>
          <w:tcPr>
            <w:tcW w:w="993" w:type="dxa"/>
            <w:tcBorders>
              <w:top w:val="nil"/>
              <w:left w:val="nil"/>
              <w:bottom w:val="nil"/>
              <w:right w:val="single" w:sz="8" w:space="0" w:color="auto"/>
            </w:tcBorders>
            <w:shd w:val="clear" w:color="000000" w:fill="F2DBDB"/>
            <w:noWrap/>
            <w:vAlign w:val="center"/>
            <w:hideMark/>
          </w:tcPr>
          <w:p w14:paraId="068AE08B"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10,9</w:t>
            </w:r>
          </w:p>
        </w:tc>
      </w:tr>
      <w:tr w:rsidR="00371F82" w:rsidRPr="00371F82" w14:paraId="6A3CA91E" w14:textId="77777777" w:rsidTr="00A12895">
        <w:trPr>
          <w:trHeight w:val="284"/>
        </w:trPr>
        <w:tc>
          <w:tcPr>
            <w:tcW w:w="1134" w:type="dxa"/>
            <w:tcBorders>
              <w:top w:val="nil"/>
              <w:left w:val="single" w:sz="8" w:space="0" w:color="auto"/>
              <w:bottom w:val="nil"/>
              <w:right w:val="nil"/>
            </w:tcBorders>
            <w:shd w:val="clear" w:color="auto" w:fill="auto"/>
            <w:noWrap/>
            <w:vAlign w:val="center"/>
            <w:hideMark/>
          </w:tcPr>
          <w:p w14:paraId="3B58472E" w14:textId="77777777" w:rsidR="00371F82" w:rsidRPr="00371F82" w:rsidRDefault="00371F82" w:rsidP="00A12895">
            <w:pPr>
              <w:keepNext/>
              <w:spacing w:after="0" w:line="240" w:lineRule="auto"/>
              <w:jc w:val="center"/>
              <w:rPr>
                <w:rFonts w:cs="Arial"/>
                <w:color w:val="000000"/>
                <w:sz w:val="16"/>
                <w:szCs w:val="16"/>
              </w:rPr>
            </w:pPr>
            <w:r w:rsidRPr="00371F82">
              <w:rPr>
                <w:rFonts w:cs="Arial"/>
                <w:color w:val="000000"/>
                <w:sz w:val="16"/>
                <w:szCs w:val="16"/>
              </w:rPr>
              <w:t>2019/20</w:t>
            </w:r>
          </w:p>
        </w:tc>
        <w:tc>
          <w:tcPr>
            <w:tcW w:w="993" w:type="dxa"/>
            <w:tcBorders>
              <w:top w:val="nil"/>
              <w:left w:val="single" w:sz="8" w:space="0" w:color="auto"/>
              <w:bottom w:val="nil"/>
              <w:right w:val="nil"/>
            </w:tcBorders>
            <w:shd w:val="clear" w:color="auto" w:fill="auto"/>
            <w:noWrap/>
            <w:vAlign w:val="center"/>
            <w:hideMark/>
          </w:tcPr>
          <w:p w14:paraId="44AF8B59"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22,4</w:t>
            </w:r>
          </w:p>
        </w:tc>
        <w:tc>
          <w:tcPr>
            <w:tcW w:w="1134" w:type="dxa"/>
            <w:tcBorders>
              <w:top w:val="nil"/>
              <w:left w:val="nil"/>
              <w:bottom w:val="nil"/>
              <w:right w:val="single" w:sz="8" w:space="0" w:color="auto"/>
            </w:tcBorders>
            <w:shd w:val="clear" w:color="auto" w:fill="auto"/>
            <w:noWrap/>
            <w:vAlign w:val="center"/>
            <w:hideMark/>
          </w:tcPr>
          <w:p w14:paraId="1D81B4CB"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11,3</w:t>
            </w:r>
          </w:p>
        </w:tc>
        <w:tc>
          <w:tcPr>
            <w:tcW w:w="992" w:type="dxa"/>
            <w:tcBorders>
              <w:top w:val="nil"/>
              <w:left w:val="nil"/>
              <w:bottom w:val="nil"/>
              <w:right w:val="nil"/>
            </w:tcBorders>
            <w:shd w:val="clear" w:color="auto" w:fill="auto"/>
            <w:noWrap/>
            <w:vAlign w:val="center"/>
            <w:hideMark/>
          </w:tcPr>
          <w:p w14:paraId="140192F6"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22,7</w:t>
            </w:r>
          </w:p>
        </w:tc>
        <w:tc>
          <w:tcPr>
            <w:tcW w:w="992" w:type="dxa"/>
            <w:tcBorders>
              <w:top w:val="nil"/>
              <w:left w:val="nil"/>
              <w:bottom w:val="nil"/>
              <w:right w:val="single" w:sz="8" w:space="0" w:color="auto"/>
            </w:tcBorders>
            <w:shd w:val="clear" w:color="auto" w:fill="auto"/>
            <w:noWrap/>
            <w:vAlign w:val="center"/>
            <w:hideMark/>
          </w:tcPr>
          <w:p w14:paraId="1B6F9839"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11,4</w:t>
            </w:r>
          </w:p>
        </w:tc>
        <w:tc>
          <w:tcPr>
            <w:tcW w:w="1134" w:type="dxa"/>
            <w:tcBorders>
              <w:top w:val="nil"/>
              <w:left w:val="nil"/>
              <w:bottom w:val="nil"/>
              <w:right w:val="nil"/>
            </w:tcBorders>
            <w:shd w:val="clear" w:color="auto" w:fill="auto"/>
            <w:noWrap/>
            <w:vAlign w:val="center"/>
            <w:hideMark/>
          </w:tcPr>
          <w:p w14:paraId="232F86AB"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16,6</w:t>
            </w:r>
          </w:p>
        </w:tc>
        <w:tc>
          <w:tcPr>
            <w:tcW w:w="1134" w:type="dxa"/>
            <w:tcBorders>
              <w:top w:val="nil"/>
              <w:left w:val="nil"/>
              <w:bottom w:val="nil"/>
              <w:right w:val="single" w:sz="8" w:space="0" w:color="auto"/>
            </w:tcBorders>
            <w:shd w:val="clear" w:color="auto" w:fill="auto"/>
            <w:noWrap/>
            <w:vAlign w:val="center"/>
            <w:hideMark/>
          </w:tcPr>
          <w:p w14:paraId="714E1E4B"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9</w:t>
            </w:r>
          </w:p>
        </w:tc>
        <w:tc>
          <w:tcPr>
            <w:tcW w:w="992" w:type="dxa"/>
            <w:tcBorders>
              <w:top w:val="nil"/>
              <w:left w:val="nil"/>
              <w:bottom w:val="nil"/>
              <w:right w:val="nil"/>
            </w:tcBorders>
            <w:shd w:val="clear" w:color="auto" w:fill="auto"/>
            <w:noWrap/>
            <w:vAlign w:val="center"/>
            <w:hideMark/>
          </w:tcPr>
          <w:p w14:paraId="5CED0AB8"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19,3</w:t>
            </w:r>
          </w:p>
        </w:tc>
        <w:tc>
          <w:tcPr>
            <w:tcW w:w="993" w:type="dxa"/>
            <w:tcBorders>
              <w:top w:val="nil"/>
              <w:left w:val="nil"/>
              <w:bottom w:val="nil"/>
              <w:right w:val="single" w:sz="8" w:space="0" w:color="auto"/>
            </w:tcBorders>
            <w:shd w:val="clear" w:color="auto" w:fill="auto"/>
            <w:noWrap/>
            <w:vAlign w:val="center"/>
            <w:hideMark/>
          </w:tcPr>
          <w:p w14:paraId="0CC12F35"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10,6</w:t>
            </w:r>
          </w:p>
        </w:tc>
      </w:tr>
      <w:tr w:rsidR="00371F82" w:rsidRPr="00371F82" w14:paraId="79DC5B69" w14:textId="77777777" w:rsidTr="00A12895">
        <w:trPr>
          <w:trHeight w:val="284"/>
        </w:trPr>
        <w:tc>
          <w:tcPr>
            <w:tcW w:w="1134" w:type="dxa"/>
            <w:tcBorders>
              <w:top w:val="nil"/>
              <w:left w:val="single" w:sz="8" w:space="0" w:color="auto"/>
              <w:bottom w:val="nil"/>
              <w:right w:val="nil"/>
            </w:tcBorders>
            <w:shd w:val="clear" w:color="000000" w:fill="F2DBDB"/>
            <w:noWrap/>
            <w:vAlign w:val="center"/>
            <w:hideMark/>
          </w:tcPr>
          <w:p w14:paraId="3430CBD3" w14:textId="77777777" w:rsidR="00371F82" w:rsidRPr="00371F82" w:rsidRDefault="00371F82" w:rsidP="00A12895">
            <w:pPr>
              <w:keepNext/>
              <w:spacing w:after="0" w:line="240" w:lineRule="auto"/>
              <w:jc w:val="center"/>
              <w:rPr>
                <w:rFonts w:cs="Arial"/>
                <w:color w:val="000000"/>
                <w:sz w:val="16"/>
                <w:szCs w:val="16"/>
              </w:rPr>
            </w:pPr>
            <w:r w:rsidRPr="00371F82">
              <w:rPr>
                <w:rFonts w:cs="Arial"/>
                <w:color w:val="000000"/>
                <w:sz w:val="16"/>
                <w:szCs w:val="16"/>
              </w:rPr>
              <w:t>2020/21</w:t>
            </w:r>
          </w:p>
        </w:tc>
        <w:tc>
          <w:tcPr>
            <w:tcW w:w="993" w:type="dxa"/>
            <w:tcBorders>
              <w:top w:val="nil"/>
              <w:left w:val="single" w:sz="8" w:space="0" w:color="auto"/>
              <w:bottom w:val="nil"/>
              <w:right w:val="nil"/>
            </w:tcBorders>
            <w:shd w:val="clear" w:color="000000" w:fill="F2DBDB"/>
            <w:noWrap/>
            <w:vAlign w:val="center"/>
            <w:hideMark/>
          </w:tcPr>
          <w:p w14:paraId="4F083505"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21,6</w:t>
            </w:r>
          </w:p>
        </w:tc>
        <w:tc>
          <w:tcPr>
            <w:tcW w:w="1134" w:type="dxa"/>
            <w:tcBorders>
              <w:top w:val="nil"/>
              <w:left w:val="nil"/>
              <w:bottom w:val="nil"/>
              <w:right w:val="single" w:sz="8" w:space="0" w:color="auto"/>
            </w:tcBorders>
            <w:shd w:val="clear" w:color="000000" w:fill="F2DBDB"/>
            <w:noWrap/>
            <w:vAlign w:val="center"/>
            <w:hideMark/>
          </w:tcPr>
          <w:p w14:paraId="08E6D2B7"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10,8</w:t>
            </w:r>
          </w:p>
        </w:tc>
        <w:tc>
          <w:tcPr>
            <w:tcW w:w="992" w:type="dxa"/>
            <w:tcBorders>
              <w:top w:val="nil"/>
              <w:left w:val="nil"/>
              <w:bottom w:val="nil"/>
              <w:right w:val="nil"/>
            </w:tcBorders>
            <w:shd w:val="clear" w:color="000000" w:fill="F2DBDB"/>
            <w:noWrap/>
            <w:vAlign w:val="center"/>
            <w:hideMark/>
          </w:tcPr>
          <w:p w14:paraId="1A2E7E6A"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21,9</w:t>
            </w:r>
          </w:p>
        </w:tc>
        <w:tc>
          <w:tcPr>
            <w:tcW w:w="992" w:type="dxa"/>
            <w:tcBorders>
              <w:top w:val="nil"/>
              <w:left w:val="nil"/>
              <w:bottom w:val="nil"/>
              <w:right w:val="single" w:sz="8" w:space="0" w:color="auto"/>
            </w:tcBorders>
            <w:shd w:val="clear" w:color="000000" w:fill="F2DBDB"/>
            <w:noWrap/>
            <w:vAlign w:val="center"/>
            <w:hideMark/>
          </w:tcPr>
          <w:p w14:paraId="04B46A60"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10,9</w:t>
            </w:r>
          </w:p>
        </w:tc>
        <w:tc>
          <w:tcPr>
            <w:tcW w:w="1134" w:type="dxa"/>
            <w:tcBorders>
              <w:top w:val="nil"/>
              <w:left w:val="nil"/>
              <w:bottom w:val="nil"/>
              <w:right w:val="nil"/>
            </w:tcBorders>
            <w:shd w:val="clear" w:color="000000" w:fill="F2DBDB"/>
            <w:noWrap/>
            <w:vAlign w:val="center"/>
            <w:hideMark/>
          </w:tcPr>
          <w:p w14:paraId="18618B64"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16,2</w:t>
            </w:r>
          </w:p>
        </w:tc>
        <w:tc>
          <w:tcPr>
            <w:tcW w:w="1134" w:type="dxa"/>
            <w:tcBorders>
              <w:top w:val="nil"/>
              <w:left w:val="nil"/>
              <w:bottom w:val="nil"/>
              <w:right w:val="single" w:sz="8" w:space="0" w:color="auto"/>
            </w:tcBorders>
            <w:shd w:val="clear" w:color="000000" w:fill="F2DBDB"/>
            <w:noWrap/>
            <w:vAlign w:val="center"/>
            <w:hideMark/>
          </w:tcPr>
          <w:p w14:paraId="712D3CBD"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8,6</w:t>
            </w:r>
          </w:p>
        </w:tc>
        <w:tc>
          <w:tcPr>
            <w:tcW w:w="992" w:type="dxa"/>
            <w:tcBorders>
              <w:top w:val="nil"/>
              <w:left w:val="nil"/>
              <w:bottom w:val="nil"/>
              <w:right w:val="nil"/>
            </w:tcBorders>
            <w:shd w:val="clear" w:color="000000" w:fill="F2DBDB"/>
            <w:noWrap/>
            <w:vAlign w:val="center"/>
            <w:hideMark/>
          </w:tcPr>
          <w:p w14:paraId="6F800E73"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19,5</w:t>
            </w:r>
          </w:p>
        </w:tc>
        <w:tc>
          <w:tcPr>
            <w:tcW w:w="993" w:type="dxa"/>
            <w:tcBorders>
              <w:top w:val="nil"/>
              <w:left w:val="nil"/>
              <w:bottom w:val="nil"/>
              <w:right w:val="single" w:sz="8" w:space="0" w:color="auto"/>
            </w:tcBorders>
            <w:shd w:val="clear" w:color="000000" w:fill="F2DBDB"/>
            <w:noWrap/>
            <w:vAlign w:val="center"/>
            <w:hideMark/>
          </w:tcPr>
          <w:p w14:paraId="1EB75248" w14:textId="77777777" w:rsidR="00371F82" w:rsidRPr="00371F82" w:rsidRDefault="00371F82" w:rsidP="00A12895">
            <w:pPr>
              <w:keepNext/>
              <w:spacing w:after="0" w:line="240" w:lineRule="auto"/>
              <w:jc w:val="right"/>
              <w:rPr>
                <w:rFonts w:cs="Arial"/>
                <w:color w:val="000000"/>
                <w:sz w:val="16"/>
                <w:szCs w:val="16"/>
              </w:rPr>
            </w:pPr>
            <w:r w:rsidRPr="00371F82">
              <w:rPr>
                <w:rFonts w:cs="Arial"/>
                <w:color w:val="000000"/>
                <w:sz w:val="16"/>
                <w:szCs w:val="16"/>
              </w:rPr>
              <w:t>10,8</w:t>
            </w:r>
          </w:p>
        </w:tc>
      </w:tr>
      <w:tr w:rsidR="00371F82" w:rsidRPr="00371F82" w14:paraId="5D4ED802" w14:textId="77777777" w:rsidTr="00A12895">
        <w:trPr>
          <w:trHeight w:val="284"/>
        </w:trPr>
        <w:tc>
          <w:tcPr>
            <w:tcW w:w="1134" w:type="dxa"/>
            <w:tcBorders>
              <w:top w:val="nil"/>
              <w:left w:val="single" w:sz="8" w:space="0" w:color="auto"/>
              <w:bottom w:val="single" w:sz="8" w:space="0" w:color="auto"/>
              <w:right w:val="nil"/>
            </w:tcBorders>
            <w:shd w:val="clear" w:color="auto" w:fill="auto"/>
            <w:noWrap/>
            <w:vAlign w:val="center"/>
            <w:hideMark/>
          </w:tcPr>
          <w:p w14:paraId="15ABC162" w14:textId="77777777" w:rsidR="00371F82" w:rsidRPr="00371F82" w:rsidRDefault="00371F82" w:rsidP="00371F82">
            <w:pPr>
              <w:spacing w:after="0" w:line="240" w:lineRule="auto"/>
              <w:jc w:val="center"/>
              <w:rPr>
                <w:rFonts w:cs="Arial"/>
                <w:color w:val="000000"/>
                <w:sz w:val="16"/>
                <w:szCs w:val="16"/>
              </w:rPr>
            </w:pPr>
            <w:r w:rsidRPr="00371F82">
              <w:rPr>
                <w:rFonts w:cs="Arial"/>
                <w:color w:val="000000"/>
                <w:sz w:val="16"/>
                <w:szCs w:val="16"/>
              </w:rPr>
              <w:t>2021/22</w:t>
            </w:r>
          </w:p>
        </w:tc>
        <w:tc>
          <w:tcPr>
            <w:tcW w:w="993" w:type="dxa"/>
            <w:tcBorders>
              <w:top w:val="nil"/>
              <w:left w:val="single" w:sz="8" w:space="0" w:color="auto"/>
              <w:bottom w:val="single" w:sz="8" w:space="0" w:color="auto"/>
              <w:right w:val="nil"/>
            </w:tcBorders>
            <w:shd w:val="clear" w:color="auto" w:fill="auto"/>
            <w:noWrap/>
            <w:vAlign w:val="center"/>
            <w:hideMark/>
          </w:tcPr>
          <w:p w14:paraId="7926985A" w14:textId="77777777" w:rsidR="00371F82" w:rsidRPr="00371F82" w:rsidRDefault="00371F82" w:rsidP="00371F82">
            <w:pPr>
              <w:spacing w:after="0" w:line="240" w:lineRule="auto"/>
              <w:jc w:val="right"/>
              <w:rPr>
                <w:rFonts w:cs="Arial"/>
                <w:color w:val="000000"/>
                <w:sz w:val="16"/>
                <w:szCs w:val="16"/>
              </w:rPr>
            </w:pPr>
            <w:r w:rsidRPr="00371F82">
              <w:rPr>
                <w:rFonts w:cs="Arial"/>
                <w:color w:val="000000"/>
                <w:sz w:val="16"/>
                <w:szCs w:val="16"/>
              </w:rPr>
              <w:t>21,5</w:t>
            </w:r>
          </w:p>
        </w:tc>
        <w:tc>
          <w:tcPr>
            <w:tcW w:w="1134" w:type="dxa"/>
            <w:tcBorders>
              <w:top w:val="nil"/>
              <w:left w:val="nil"/>
              <w:bottom w:val="single" w:sz="8" w:space="0" w:color="auto"/>
              <w:right w:val="single" w:sz="8" w:space="0" w:color="auto"/>
            </w:tcBorders>
            <w:shd w:val="clear" w:color="auto" w:fill="auto"/>
            <w:noWrap/>
            <w:vAlign w:val="center"/>
            <w:hideMark/>
          </w:tcPr>
          <w:p w14:paraId="58AFA709" w14:textId="77777777" w:rsidR="00371F82" w:rsidRPr="00371F82" w:rsidRDefault="00371F82" w:rsidP="00371F82">
            <w:pPr>
              <w:spacing w:after="0" w:line="240" w:lineRule="auto"/>
              <w:jc w:val="right"/>
              <w:rPr>
                <w:rFonts w:cs="Arial"/>
                <w:color w:val="000000"/>
                <w:sz w:val="16"/>
                <w:szCs w:val="16"/>
              </w:rPr>
            </w:pPr>
            <w:r w:rsidRPr="00371F82">
              <w:rPr>
                <w:rFonts w:cs="Arial"/>
                <w:color w:val="000000"/>
                <w:sz w:val="16"/>
                <w:szCs w:val="16"/>
              </w:rPr>
              <w:t>10,7</w:t>
            </w:r>
          </w:p>
        </w:tc>
        <w:tc>
          <w:tcPr>
            <w:tcW w:w="992" w:type="dxa"/>
            <w:tcBorders>
              <w:top w:val="nil"/>
              <w:left w:val="nil"/>
              <w:bottom w:val="single" w:sz="8" w:space="0" w:color="auto"/>
              <w:right w:val="nil"/>
            </w:tcBorders>
            <w:shd w:val="clear" w:color="auto" w:fill="auto"/>
            <w:noWrap/>
            <w:vAlign w:val="center"/>
            <w:hideMark/>
          </w:tcPr>
          <w:p w14:paraId="65A7E54D" w14:textId="77777777" w:rsidR="00371F82" w:rsidRPr="00371F82" w:rsidRDefault="00371F82" w:rsidP="00371F82">
            <w:pPr>
              <w:spacing w:after="0" w:line="240" w:lineRule="auto"/>
              <w:jc w:val="right"/>
              <w:rPr>
                <w:rFonts w:cs="Arial"/>
                <w:color w:val="000000"/>
                <w:sz w:val="16"/>
                <w:szCs w:val="16"/>
              </w:rPr>
            </w:pPr>
            <w:r w:rsidRPr="00371F82">
              <w:rPr>
                <w:rFonts w:cs="Arial"/>
                <w:color w:val="000000"/>
                <w:sz w:val="16"/>
                <w:szCs w:val="16"/>
              </w:rPr>
              <w:t>21,7</w:t>
            </w:r>
          </w:p>
        </w:tc>
        <w:tc>
          <w:tcPr>
            <w:tcW w:w="992" w:type="dxa"/>
            <w:tcBorders>
              <w:top w:val="nil"/>
              <w:left w:val="nil"/>
              <w:bottom w:val="single" w:sz="8" w:space="0" w:color="auto"/>
              <w:right w:val="single" w:sz="8" w:space="0" w:color="auto"/>
            </w:tcBorders>
            <w:shd w:val="clear" w:color="auto" w:fill="auto"/>
            <w:noWrap/>
            <w:vAlign w:val="center"/>
            <w:hideMark/>
          </w:tcPr>
          <w:p w14:paraId="75149D6D" w14:textId="77777777" w:rsidR="00371F82" w:rsidRPr="00371F82" w:rsidRDefault="00371F82" w:rsidP="00371F82">
            <w:pPr>
              <w:spacing w:after="0" w:line="240" w:lineRule="auto"/>
              <w:jc w:val="right"/>
              <w:rPr>
                <w:rFonts w:cs="Arial"/>
                <w:color w:val="000000"/>
                <w:sz w:val="16"/>
                <w:szCs w:val="16"/>
              </w:rPr>
            </w:pPr>
            <w:r w:rsidRPr="00371F82">
              <w:rPr>
                <w:rFonts w:cs="Arial"/>
                <w:color w:val="000000"/>
                <w:sz w:val="16"/>
                <w:szCs w:val="16"/>
              </w:rPr>
              <w:t>10,8</w:t>
            </w:r>
          </w:p>
        </w:tc>
        <w:tc>
          <w:tcPr>
            <w:tcW w:w="1134" w:type="dxa"/>
            <w:tcBorders>
              <w:top w:val="nil"/>
              <w:left w:val="nil"/>
              <w:bottom w:val="single" w:sz="8" w:space="0" w:color="auto"/>
              <w:right w:val="nil"/>
            </w:tcBorders>
            <w:shd w:val="clear" w:color="auto" w:fill="auto"/>
            <w:noWrap/>
            <w:vAlign w:val="center"/>
            <w:hideMark/>
          </w:tcPr>
          <w:p w14:paraId="32E8525D" w14:textId="77777777" w:rsidR="00371F82" w:rsidRPr="00371F82" w:rsidRDefault="00371F82" w:rsidP="00371F82">
            <w:pPr>
              <w:spacing w:after="0" w:line="240" w:lineRule="auto"/>
              <w:jc w:val="right"/>
              <w:rPr>
                <w:rFonts w:cs="Arial"/>
                <w:color w:val="000000"/>
                <w:sz w:val="16"/>
                <w:szCs w:val="16"/>
              </w:rPr>
            </w:pPr>
            <w:r w:rsidRPr="00371F82">
              <w:rPr>
                <w:rFonts w:cs="Arial"/>
                <w:color w:val="000000"/>
                <w:sz w:val="16"/>
                <w:szCs w:val="16"/>
              </w:rPr>
              <w:t>16,3</w:t>
            </w:r>
          </w:p>
        </w:tc>
        <w:tc>
          <w:tcPr>
            <w:tcW w:w="1134" w:type="dxa"/>
            <w:tcBorders>
              <w:top w:val="nil"/>
              <w:left w:val="nil"/>
              <w:bottom w:val="single" w:sz="8" w:space="0" w:color="auto"/>
              <w:right w:val="single" w:sz="8" w:space="0" w:color="auto"/>
            </w:tcBorders>
            <w:shd w:val="clear" w:color="auto" w:fill="auto"/>
            <w:noWrap/>
            <w:vAlign w:val="center"/>
            <w:hideMark/>
          </w:tcPr>
          <w:p w14:paraId="15AC85B1" w14:textId="77777777" w:rsidR="00371F82" w:rsidRPr="00371F82" w:rsidRDefault="00371F82" w:rsidP="00371F82">
            <w:pPr>
              <w:spacing w:after="0" w:line="240" w:lineRule="auto"/>
              <w:jc w:val="right"/>
              <w:rPr>
                <w:rFonts w:cs="Arial"/>
                <w:color w:val="000000"/>
                <w:sz w:val="16"/>
                <w:szCs w:val="16"/>
              </w:rPr>
            </w:pPr>
            <w:r w:rsidRPr="00371F82">
              <w:rPr>
                <w:rFonts w:cs="Arial"/>
                <w:color w:val="000000"/>
                <w:sz w:val="16"/>
                <w:szCs w:val="16"/>
              </w:rPr>
              <w:t>8,6</w:t>
            </w:r>
          </w:p>
        </w:tc>
        <w:tc>
          <w:tcPr>
            <w:tcW w:w="992" w:type="dxa"/>
            <w:tcBorders>
              <w:top w:val="nil"/>
              <w:left w:val="nil"/>
              <w:bottom w:val="single" w:sz="8" w:space="0" w:color="auto"/>
              <w:right w:val="nil"/>
            </w:tcBorders>
            <w:shd w:val="clear" w:color="auto" w:fill="auto"/>
            <w:noWrap/>
            <w:vAlign w:val="center"/>
            <w:hideMark/>
          </w:tcPr>
          <w:p w14:paraId="16918ADB" w14:textId="77777777" w:rsidR="00371F82" w:rsidRPr="00371F82" w:rsidRDefault="00371F82" w:rsidP="00371F82">
            <w:pPr>
              <w:spacing w:after="0" w:line="240" w:lineRule="auto"/>
              <w:jc w:val="right"/>
              <w:rPr>
                <w:rFonts w:cs="Arial"/>
                <w:color w:val="000000"/>
                <w:sz w:val="16"/>
                <w:szCs w:val="16"/>
              </w:rPr>
            </w:pPr>
            <w:r w:rsidRPr="00371F82">
              <w:rPr>
                <w:rFonts w:cs="Arial"/>
                <w:color w:val="000000"/>
                <w:sz w:val="16"/>
                <w:szCs w:val="16"/>
              </w:rPr>
              <w:t>19,3</w:t>
            </w:r>
          </w:p>
        </w:tc>
        <w:tc>
          <w:tcPr>
            <w:tcW w:w="993" w:type="dxa"/>
            <w:tcBorders>
              <w:top w:val="nil"/>
              <w:left w:val="nil"/>
              <w:bottom w:val="single" w:sz="8" w:space="0" w:color="auto"/>
              <w:right w:val="single" w:sz="8" w:space="0" w:color="auto"/>
            </w:tcBorders>
            <w:shd w:val="clear" w:color="auto" w:fill="auto"/>
            <w:noWrap/>
            <w:vAlign w:val="center"/>
            <w:hideMark/>
          </w:tcPr>
          <w:p w14:paraId="6888A5D5" w14:textId="77777777" w:rsidR="00371F82" w:rsidRPr="00371F82" w:rsidRDefault="00371F82" w:rsidP="00371F82">
            <w:pPr>
              <w:spacing w:after="0" w:line="240" w:lineRule="auto"/>
              <w:jc w:val="right"/>
              <w:rPr>
                <w:rFonts w:cs="Arial"/>
                <w:color w:val="000000"/>
                <w:sz w:val="16"/>
                <w:szCs w:val="16"/>
              </w:rPr>
            </w:pPr>
            <w:r w:rsidRPr="00371F82">
              <w:rPr>
                <w:rFonts w:cs="Arial"/>
                <w:color w:val="000000"/>
                <w:sz w:val="16"/>
                <w:szCs w:val="16"/>
              </w:rPr>
              <w:t>10,3</w:t>
            </w:r>
          </w:p>
        </w:tc>
      </w:tr>
    </w:tbl>
    <w:p w14:paraId="17D06D10" w14:textId="7A54F9C9" w:rsidR="00280ACF" w:rsidRPr="00F94849" w:rsidRDefault="00280ACF" w:rsidP="001B5BEF">
      <w:pPr>
        <w:spacing w:before="120" w:after="120" w:line="240" w:lineRule="auto"/>
        <w:jc w:val="right"/>
        <w:rPr>
          <w:rFonts w:cs="Arial"/>
          <w:iCs/>
        </w:rPr>
      </w:pPr>
      <w:r w:rsidRPr="00F94849">
        <w:rPr>
          <w:rFonts w:cs="Arial"/>
          <w:sz w:val="18"/>
        </w:rPr>
        <w:t>Zdroj: ČSÚ</w:t>
      </w:r>
      <w:r w:rsidRPr="00F94849">
        <w:rPr>
          <w:rFonts w:cs="Arial"/>
          <w:noProof/>
        </w:rPr>
        <w:t xml:space="preserve"> </w:t>
      </w:r>
      <w:r w:rsidRPr="00307699">
        <w:rPr>
          <w:rFonts w:cs="Arial"/>
          <w:sz w:val="18"/>
        </w:rPr>
        <w:t>podle údajů MŠMT</w:t>
      </w:r>
    </w:p>
    <w:p w14:paraId="57B5722E" w14:textId="0331399E" w:rsidR="00E64A4E" w:rsidRPr="008E0E9C" w:rsidRDefault="008E0E9C" w:rsidP="00B827F5">
      <w:pPr>
        <w:spacing w:after="120"/>
        <w:jc w:val="both"/>
        <w:rPr>
          <w:rFonts w:cs="Arial"/>
          <w:szCs w:val="20"/>
        </w:rPr>
      </w:pPr>
      <w:r>
        <w:rPr>
          <w:rFonts w:cs="Arial"/>
          <w:szCs w:val="20"/>
        </w:rPr>
        <w:t>Stejně jako ve zprávě z minulého roku, i letos l</w:t>
      </w:r>
      <w:r w:rsidR="00280ACF">
        <w:rPr>
          <w:rFonts w:cs="Arial"/>
          <w:szCs w:val="20"/>
        </w:rPr>
        <w:t>ze konstatovat, že od školního roku 2012/13 průměrný počet žáků na jednu třídu i na jednoho učitele rok od roku klesá</w:t>
      </w:r>
      <w:r w:rsidR="00B827F5">
        <w:rPr>
          <w:rFonts w:cs="Arial"/>
          <w:szCs w:val="20"/>
        </w:rPr>
        <w:t xml:space="preserve">. </w:t>
      </w:r>
      <w:r w:rsidR="00A12895">
        <w:rPr>
          <w:rFonts w:cs="Arial"/>
          <w:szCs w:val="20"/>
        </w:rPr>
        <w:t>V</w:t>
      </w:r>
      <w:r w:rsidR="00B827F5">
        <w:rPr>
          <w:rFonts w:cs="Arial"/>
          <w:szCs w:val="20"/>
        </w:rPr>
        <w:t xml:space="preserve"> případě počtu dětí na jednoho učitele došlo </w:t>
      </w:r>
      <w:r w:rsidR="00A12895">
        <w:rPr>
          <w:rFonts w:cs="Arial"/>
          <w:szCs w:val="20"/>
        </w:rPr>
        <w:t xml:space="preserve">přitom </w:t>
      </w:r>
      <w:r>
        <w:rPr>
          <w:rFonts w:cs="Arial"/>
          <w:szCs w:val="20"/>
        </w:rPr>
        <w:t>ve</w:t>
      </w:r>
      <w:r w:rsidR="00B827F5">
        <w:rPr>
          <w:rFonts w:cs="Arial"/>
          <w:szCs w:val="20"/>
        </w:rPr>
        <w:t xml:space="preserve"> školních rocích</w:t>
      </w:r>
      <w:r>
        <w:rPr>
          <w:rFonts w:cs="Arial"/>
          <w:szCs w:val="20"/>
        </w:rPr>
        <w:t xml:space="preserve"> 2019/20 a 2020/21</w:t>
      </w:r>
      <w:r w:rsidR="00B827F5">
        <w:rPr>
          <w:rFonts w:cs="Arial"/>
          <w:szCs w:val="20"/>
        </w:rPr>
        <w:t xml:space="preserve">, které </w:t>
      </w:r>
      <w:r>
        <w:rPr>
          <w:rFonts w:cs="Arial"/>
          <w:szCs w:val="20"/>
        </w:rPr>
        <w:t xml:space="preserve">nejvíce </w:t>
      </w:r>
      <w:r w:rsidR="00B827F5">
        <w:rPr>
          <w:rFonts w:cs="Arial"/>
          <w:szCs w:val="20"/>
        </w:rPr>
        <w:t>poznamenala pandemie, k výraznějšímu poklesu než v</w:t>
      </w:r>
      <w:r>
        <w:rPr>
          <w:rFonts w:cs="Arial"/>
          <w:szCs w:val="20"/>
        </w:rPr>
        <w:t> </w:t>
      </w:r>
      <w:r w:rsidR="00B827F5">
        <w:rPr>
          <w:rFonts w:cs="Arial"/>
          <w:szCs w:val="20"/>
        </w:rPr>
        <w:t>předchozích.</w:t>
      </w:r>
      <w:r>
        <w:rPr>
          <w:rFonts w:cs="Arial"/>
          <w:szCs w:val="20"/>
        </w:rPr>
        <w:t xml:space="preserve"> Jak je patrné, v posledním školním roce již průměrný počet dětí</w:t>
      </w:r>
      <w:r w:rsidR="001B5BEF">
        <w:rPr>
          <w:rFonts w:cs="Arial"/>
          <w:szCs w:val="20"/>
        </w:rPr>
        <w:t xml:space="preserve"> na jednoho učitele klesl jen o </w:t>
      </w:r>
      <w:r>
        <w:rPr>
          <w:rFonts w:cs="Arial"/>
          <w:szCs w:val="20"/>
        </w:rPr>
        <w:t xml:space="preserve">jednu desetinu dítěte. Stejně tak pokles průměrného počtu dětí na jednu třídu byl zřetelně výraznější mezi </w:t>
      </w:r>
      <w:r>
        <w:rPr>
          <w:rFonts w:cs="Arial"/>
          <w:szCs w:val="20"/>
        </w:rPr>
        <w:lastRenderedPageBreak/>
        <w:t xml:space="preserve">školními roky 2019/20 a 2020/21 než mezi školními roky 2020/21 a 2021/22. </w:t>
      </w:r>
      <w:r w:rsidR="00B827F5">
        <w:rPr>
          <w:rFonts w:cs="Arial"/>
          <w:szCs w:val="20"/>
        </w:rPr>
        <w:t xml:space="preserve"> Z tabulky 1.1 je zá</w:t>
      </w:r>
      <w:r w:rsidR="00676AA2">
        <w:rPr>
          <w:rFonts w:cs="Arial"/>
          <w:szCs w:val="20"/>
        </w:rPr>
        <w:t>roveň zřejmé, že úbytek dětí na jednu třídu lze pozorovat</w:t>
      </w:r>
      <w:r w:rsidR="00B827F5">
        <w:rPr>
          <w:rFonts w:cs="Arial"/>
          <w:szCs w:val="20"/>
        </w:rPr>
        <w:t xml:space="preserve"> zejména </w:t>
      </w:r>
      <w:r>
        <w:rPr>
          <w:rFonts w:cs="Arial"/>
          <w:szCs w:val="20"/>
        </w:rPr>
        <w:t>u </w:t>
      </w:r>
      <w:r w:rsidR="00676AA2">
        <w:rPr>
          <w:rFonts w:cs="Arial"/>
          <w:szCs w:val="20"/>
        </w:rPr>
        <w:t>škol</w:t>
      </w:r>
      <w:r w:rsidR="00B827F5">
        <w:rPr>
          <w:rFonts w:cs="Arial"/>
          <w:szCs w:val="20"/>
        </w:rPr>
        <w:t xml:space="preserve"> veřejného zř</w:t>
      </w:r>
      <w:r>
        <w:rPr>
          <w:rFonts w:cs="Arial"/>
          <w:szCs w:val="20"/>
        </w:rPr>
        <w:t xml:space="preserve">izovatele. </w:t>
      </w:r>
    </w:p>
    <w:p w14:paraId="3FFD072A" w14:textId="750FF1AD" w:rsidR="00A67C12" w:rsidRPr="007B0AEE" w:rsidRDefault="00A67C12" w:rsidP="00091E88">
      <w:pPr>
        <w:spacing w:after="120"/>
        <w:jc w:val="both"/>
        <w:rPr>
          <w:rFonts w:cs="Arial"/>
          <w:szCs w:val="20"/>
        </w:rPr>
      </w:pPr>
      <w:r w:rsidRPr="002C111E">
        <w:rPr>
          <w:rFonts w:cs="Arial"/>
          <w:szCs w:val="20"/>
        </w:rPr>
        <w:t>Z </w:t>
      </w:r>
      <w:r w:rsidRPr="002C111E">
        <w:rPr>
          <w:rFonts w:cs="Arial"/>
          <w:b/>
          <w:szCs w:val="20"/>
        </w:rPr>
        <w:t>regionálního pohledu</w:t>
      </w:r>
      <w:r w:rsidRPr="002C111E">
        <w:rPr>
          <w:rFonts w:cs="Arial"/>
          <w:szCs w:val="20"/>
        </w:rPr>
        <w:t xml:space="preserve"> je logicky nejvíce mateřských škol a tříd zřízených v kraji největším, tj. ve Středočeském kraji. Ve školním</w:t>
      </w:r>
      <w:r w:rsidRPr="007B0AEE">
        <w:rPr>
          <w:rFonts w:cs="Arial"/>
          <w:szCs w:val="20"/>
        </w:rPr>
        <w:t xml:space="preserve"> roce </w:t>
      </w:r>
      <w:r w:rsidR="00A12895">
        <w:rPr>
          <w:rFonts w:cs="Arial"/>
          <w:szCs w:val="20"/>
        </w:rPr>
        <w:t>2021/22</w:t>
      </w:r>
      <w:r w:rsidRPr="007B0AEE">
        <w:rPr>
          <w:rFonts w:cs="Arial"/>
          <w:szCs w:val="20"/>
        </w:rPr>
        <w:t xml:space="preserve"> </w:t>
      </w:r>
      <w:r w:rsidR="00961D85">
        <w:rPr>
          <w:rFonts w:cs="Arial"/>
          <w:szCs w:val="20"/>
        </w:rPr>
        <w:t xml:space="preserve">se </w:t>
      </w:r>
      <w:r w:rsidRPr="007B0AEE">
        <w:rPr>
          <w:rFonts w:cs="Arial"/>
          <w:szCs w:val="20"/>
        </w:rPr>
        <w:t xml:space="preserve">zde </w:t>
      </w:r>
      <w:r w:rsidR="00F476BD">
        <w:rPr>
          <w:rFonts w:cs="Arial"/>
          <w:szCs w:val="20"/>
        </w:rPr>
        <w:t>nacházelo 15,1</w:t>
      </w:r>
      <w:r w:rsidR="00961D85">
        <w:rPr>
          <w:rFonts w:cs="Arial"/>
          <w:szCs w:val="20"/>
        </w:rPr>
        <w:t xml:space="preserve"> % ze všech mateřských škol v</w:t>
      </w:r>
      <w:r w:rsidR="00172128">
        <w:rPr>
          <w:rFonts w:cs="Arial"/>
          <w:szCs w:val="20"/>
        </w:rPr>
        <w:t> </w:t>
      </w:r>
      <w:r w:rsidR="00961D85">
        <w:rPr>
          <w:rFonts w:cs="Arial"/>
          <w:szCs w:val="20"/>
        </w:rPr>
        <w:t>Č</w:t>
      </w:r>
      <w:r w:rsidR="00172128">
        <w:rPr>
          <w:rFonts w:cs="Arial"/>
          <w:szCs w:val="20"/>
        </w:rPr>
        <w:t>eské republice</w:t>
      </w:r>
      <w:r w:rsidR="00961D85">
        <w:rPr>
          <w:rFonts w:cs="Arial"/>
          <w:szCs w:val="20"/>
        </w:rPr>
        <w:t xml:space="preserve">. V absolutním vyjádření šlo o </w:t>
      </w:r>
      <w:r w:rsidR="00A12895">
        <w:rPr>
          <w:rFonts w:cs="Arial"/>
          <w:szCs w:val="20"/>
        </w:rPr>
        <w:t>808</w:t>
      </w:r>
      <w:r w:rsidR="00961D85">
        <w:rPr>
          <w:rFonts w:cs="Arial"/>
          <w:szCs w:val="20"/>
        </w:rPr>
        <w:t xml:space="preserve"> mateřských škol </w:t>
      </w:r>
      <w:r w:rsidRPr="007B0AEE">
        <w:rPr>
          <w:rFonts w:cs="Arial"/>
          <w:szCs w:val="20"/>
        </w:rPr>
        <w:t xml:space="preserve">s 2 </w:t>
      </w:r>
      <w:r w:rsidR="00A12895">
        <w:rPr>
          <w:rFonts w:cs="Arial"/>
          <w:szCs w:val="20"/>
        </w:rPr>
        <w:t>402</w:t>
      </w:r>
      <w:r w:rsidRPr="007B0AEE">
        <w:rPr>
          <w:rFonts w:cs="Arial"/>
          <w:szCs w:val="20"/>
        </w:rPr>
        <w:t xml:space="preserve"> třídami, které navštěvovalo 5</w:t>
      </w:r>
      <w:r>
        <w:rPr>
          <w:rFonts w:cs="Arial"/>
          <w:szCs w:val="20"/>
        </w:rPr>
        <w:t>1</w:t>
      </w:r>
      <w:r w:rsidRPr="007B0AEE">
        <w:rPr>
          <w:rFonts w:cs="Arial"/>
          <w:szCs w:val="20"/>
        </w:rPr>
        <w:t> </w:t>
      </w:r>
      <w:r w:rsidR="00A12895">
        <w:rPr>
          <w:rFonts w:cs="Arial"/>
          <w:szCs w:val="20"/>
        </w:rPr>
        <w:t>834 dětí. Naopak jen 125</w:t>
      </w:r>
      <w:r w:rsidRPr="007B0AEE">
        <w:rPr>
          <w:rFonts w:cs="Arial"/>
          <w:szCs w:val="20"/>
        </w:rPr>
        <w:t xml:space="preserve"> mateřských škol najdeme v Karlovarském kraji s</w:t>
      </w:r>
      <w:r w:rsidR="00B375FB">
        <w:rPr>
          <w:rFonts w:cs="Arial"/>
          <w:szCs w:val="20"/>
        </w:rPr>
        <w:t> </w:t>
      </w:r>
      <w:r w:rsidRPr="007B0AEE">
        <w:rPr>
          <w:rFonts w:cs="Arial"/>
          <w:szCs w:val="20"/>
        </w:rPr>
        <w:t>38</w:t>
      </w:r>
      <w:r w:rsidR="00A12895">
        <w:rPr>
          <w:rFonts w:cs="Arial"/>
          <w:szCs w:val="20"/>
        </w:rPr>
        <w:t>6</w:t>
      </w:r>
      <w:r w:rsidR="00B375FB">
        <w:rPr>
          <w:rFonts w:cs="Arial"/>
          <w:szCs w:val="20"/>
        </w:rPr>
        <w:t> </w:t>
      </w:r>
      <w:r w:rsidRPr="007B0AEE">
        <w:rPr>
          <w:rFonts w:cs="Arial"/>
          <w:szCs w:val="20"/>
        </w:rPr>
        <w:t>třídami, kde se vzdělávalo 8 </w:t>
      </w:r>
      <w:r w:rsidR="00A12895">
        <w:rPr>
          <w:rFonts w:cs="Arial"/>
          <w:szCs w:val="20"/>
        </w:rPr>
        <w:t>354</w:t>
      </w:r>
      <w:r w:rsidRPr="007B0AEE">
        <w:rPr>
          <w:rFonts w:cs="Arial"/>
          <w:szCs w:val="20"/>
        </w:rPr>
        <w:t xml:space="preserve"> dětí. </w:t>
      </w:r>
    </w:p>
    <w:p w14:paraId="61A501B3" w14:textId="140ABD1F" w:rsidR="00963599" w:rsidRDefault="00A67C12" w:rsidP="000C12F5">
      <w:pPr>
        <w:keepNext/>
        <w:spacing w:after="120"/>
        <w:jc w:val="both"/>
        <w:rPr>
          <w:rFonts w:cs="Arial"/>
          <w:b/>
          <w:szCs w:val="20"/>
        </w:rPr>
      </w:pPr>
      <w:r w:rsidRPr="00FF3C6B">
        <w:rPr>
          <w:rFonts w:cs="Arial"/>
          <w:b/>
          <w:szCs w:val="20"/>
        </w:rPr>
        <w:t>Tab. 1.</w:t>
      </w:r>
      <w:r>
        <w:rPr>
          <w:rFonts w:cs="Arial"/>
          <w:b/>
          <w:szCs w:val="20"/>
        </w:rPr>
        <w:t>2</w:t>
      </w:r>
      <w:r w:rsidRPr="00FF3C6B">
        <w:rPr>
          <w:rFonts w:cs="Arial"/>
          <w:b/>
          <w:szCs w:val="20"/>
        </w:rPr>
        <w:t xml:space="preserve"> Mateřské školy - počet škol, tříd, dětí a učitelů </w:t>
      </w:r>
      <w:r>
        <w:rPr>
          <w:rFonts w:cs="Arial"/>
          <w:b/>
          <w:szCs w:val="20"/>
        </w:rPr>
        <w:t>v jednotlivých krajích</w:t>
      </w:r>
      <w:r w:rsidR="00A12895">
        <w:rPr>
          <w:rFonts w:cs="Arial"/>
          <w:b/>
          <w:szCs w:val="20"/>
        </w:rPr>
        <w:t xml:space="preserve"> (2021/22</w:t>
      </w:r>
      <w:r w:rsidRPr="00FF3C6B">
        <w:rPr>
          <w:rFonts w:cs="Arial"/>
          <w:b/>
          <w:szCs w:val="20"/>
        </w:rPr>
        <w:t>)</w:t>
      </w:r>
    </w:p>
    <w:tbl>
      <w:tblPr>
        <w:tblW w:w="9639" w:type="dxa"/>
        <w:tblInd w:w="-10" w:type="dxa"/>
        <w:tblCellMar>
          <w:left w:w="70" w:type="dxa"/>
          <w:right w:w="70" w:type="dxa"/>
        </w:tblCellMar>
        <w:tblLook w:val="04A0" w:firstRow="1" w:lastRow="0" w:firstColumn="1" w:lastColumn="0" w:noHBand="0" w:noVBand="1"/>
      </w:tblPr>
      <w:tblGrid>
        <w:gridCol w:w="1843"/>
        <w:gridCol w:w="629"/>
        <w:gridCol w:w="709"/>
        <w:gridCol w:w="850"/>
        <w:gridCol w:w="709"/>
        <w:gridCol w:w="992"/>
        <w:gridCol w:w="851"/>
        <w:gridCol w:w="850"/>
        <w:gridCol w:w="709"/>
        <w:gridCol w:w="789"/>
        <w:gridCol w:w="708"/>
      </w:tblGrid>
      <w:tr w:rsidR="00A12895" w:rsidRPr="00A12895" w14:paraId="4F52FED6" w14:textId="77777777" w:rsidTr="001B5BEF">
        <w:trPr>
          <w:trHeight w:val="261"/>
        </w:trPr>
        <w:tc>
          <w:tcPr>
            <w:tcW w:w="1843" w:type="dxa"/>
            <w:vMerge w:val="restart"/>
            <w:tcBorders>
              <w:top w:val="single" w:sz="8" w:space="0" w:color="auto"/>
              <w:left w:val="single" w:sz="8" w:space="0" w:color="auto"/>
              <w:bottom w:val="single" w:sz="8" w:space="0" w:color="000000"/>
              <w:right w:val="single" w:sz="8" w:space="0" w:color="auto"/>
            </w:tcBorders>
            <w:shd w:val="clear" w:color="000000" w:fill="D99594"/>
            <w:vAlign w:val="center"/>
            <w:hideMark/>
          </w:tcPr>
          <w:p w14:paraId="1642E01E" w14:textId="1E17BDAB" w:rsidR="00A12895" w:rsidRPr="00A12895" w:rsidRDefault="001325E0" w:rsidP="000C12F5">
            <w:pPr>
              <w:keepNext/>
              <w:spacing w:after="0" w:line="240" w:lineRule="auto"/>
              <w:jc w:val="center"/>
              <w:rPr>
                <w:rFonts w:cs="Arial"/>
                <w:b/>
                <w:bCs/>
                <w:color w:val="000000"/>
                <w:sz w:val="16"/>
                <w:szCs w:val="16"/>
              </w:rPr>
            </w:pPr>
            <w:r>
              <w:rPr>
                <w:rFonts w:cs="Arial"/>
                <w:b/>
                <w:bCs/>
                <w:color w:val="000000"/>
                <w:sz w:val="16"/>
                <w:szCs w:val="16"/>
              </w:rPr>
              <w:t>Území</w:t>
            </w:r>
          </w:p>
        </w:tc>
        <w:tc>
          <w:tcPr>
            <w:tcW w:w="1338" w:type="dxa"/>
            <w:gridSpan w:val="2"/>
            <w:tcBorders>
              <w:top w:val="single" w:sz="8" w:space="0" w:color="auto"/>
              <w:left w:val="nil"/>
              <w:bottom w:val="single" w:sz="8" w:space="0" w:color="auto"/>
              <w:right w:val="single" w:sz="8" w:space="0" w:color="000000"/>
            </w:tcBorders>
            <w:shd w:val="clear" w:color="000000" w:fill="D99594"/>
            <w:vAlign w:val="center"/>
            <w:hideMark/>
          </w:tcPr>
          <w:p w14:paraId="1E9C9320" w14:textId="77777777" w:rsidR="00A12895" w:rsidRPr="00A12895" w:rsidRDefault="00A12895" w:rsidP="000C12F5">
            <w:pPr>
              <w:keepNext/>
              <w:spacing w:after="0" w:line="240" w:lineRule="auto"/>
              <w:jc w:val="center"/>
              <w:rPr>
                <w:rFonts w:cs="Arial"/>
                <w:b/>
                <w:bCs/>
                <w:color w:val="000000"/>
                <w:sz w:val="16"/>
                <w:szCs w:val="16"/>
              </w:rPr>
            </w:pPr>
            <w:r w:rsidRPr="00A12895">
              <w:rPr>
                <w:rFonts w:cs="Arial"/>
                <w:b/>
                <w:bCs/>
                <w:color w:val="000000"/>
                <w:sz w:val="16"/>
                <w:szCs w:val="16"/>
              </w:rPr>
              <w:t>Školy</w:t>
            </w:r>
          </w:p>
        </w:tc>
        <w:tc>
          <w:tcPr>
            <w:tcW w:w="1559" w:type="dxa"/>
            <w:gridSpan w:val="2"/>
            <w:tcBorders>
              <w:top w:val="single" w:sz="8" w:space="0" w:color="auto"/>
              <w:left w:val="nil"/>
              <w:bottom w:val="single" w:sz="8" w:space="0" w:color="auto"/>
              <w:right w:val="single" w:sz="8" w:space="0" w:color="000000"/>
            </w:tcBorders>
            <w:shd w:val="clear" w:color="000000" w:fill="D99594"/>
            <w:vAlign w:val="center"/>
            <w:hideMark/>
          </w:tcPr>
          <w:p w14:paraId="77C4FD40" w14:textId="77777777" w:rsidR="00A12895" w:rsidRPr="00A12895" w:rsidRDefault="00A12895" w:rsidP="000C12F5">
            <w:pPr>
              <w:keepNext/>
              <w:spacing w:after="0" w:line="240" w:lineRule="auto"/>
              <w:jc w:val="center"/>
              <w:rPr>
                <w:rFonts w:cs="Arial"/>
                <w:b/>
                <w:bCs/>
                <w:color w:val="000000"/>
                <w:sz w:val="16"/>
                <w:szCs w:val="16"/>
              </w:rPr>
            </w:pPr>
            <w:r w:rsidRPr="00A12895">
              <w:rPr>
                <w:rFonts w:cs="Arial"/>
                <w:b/>
                <w:bCs/>
                <w:color w:val="000000"/>
                <w:sz w:val="16"/>
                <w:szCs w:val="16"/>
              </w:rPr>
              <w:t>Třídy</w:t>
            </w:r>
          </w:p>
        </w:tc>
        <w:tc>
          <w:tcPr>
            <w:tcW w:w="1843" w:type="dxa"/>
            <w:gridSpan w:val="2"/>
            <w:tcBorders>
              <w:top w:val="single" w:sz="8" w:space="0" w:color="auto"/>
              <w:left w:val="nil"/>
              <w:bottom w:val="single" w:sz="8" w:space="0" w:color="auto"/>
              <w:right w:val="single" w:sz="8" w:space="0" w:color="000000"/>
            </w:tcBorders>
            <w:shd w:val="clear" w:color="000000" w:fill="D99594"/>
            <w:vAlign w:val="center"/>
            <w:hideMark/>
          </w:tcPr>
          <w:p w14:paraId="5B347D27" w14:textId="77777777" w:rsidR="00A12895" w:rsidRPr="00A12895" w:rsidRDefault="00A12895" w:rsidP="000C12F5">
            <w:pPr>
              <w:keepNext/>
              <w:spacing w:after="0" w:line="240" w:lineRule="auto"/>
              <w:jc w:val="center"/>
              <w:rPr>
                <w:rFonts w:cs="Arial"/>
                <w:b/>
                <w:bCs/>
                <w:color w:val="000000"/>
                <w:sz w:val="16"/>
                <w:szCs w:val="16"/>
              </w:rPr>
            </w:pPr>
            <w:r w:rsidRPr="00A12895">
              <w:rPr>
                <w:rFonts w:cs="Arial"/>
                <w:b/>
                <w:bCs/>
                <w:color w:val="000000"/>
                <w:sz w:val="16"/>
                <w:szCs w:val="16"/>
              </w:rPr>
              <w:t>Děti</w:t>
            </w:r>
          </w:p>
        </w:tc>
        <w:tc>
          <w:tcPr>
            <w:tcW w:w="1559" w:type="dxa"/>
            <w:gridSpan w:val="2"/>
            <w:tcBorders>
              <w:top w:val="single" w:sz="8" w:space="0" w:color="auto"/>
              <w:left w:val="nil"/>
              <w:bottom w:val="single" w:sz="8" w:space="0" w:color="auto"/>
              <w:right w:val="single" w:sz="8" w:space="0" w:color="000000"/>
            </w:tcBorders>
            <w:shd w:val="clear" w:color="000000" w:fill="D99594"/>
            <w:vAlign w:val="center"/>
            <w:hideMark/>
          </w:tcPr>
          <w:p w14:paraId="07B23995" w14:textId="77777777" w:rsidR="00A12895" w:rsidRPr="00A12895" w:rsidRDefault="00A12895" w:rsidP="000C12F5">
            <w:pPr>
              <w:keepNext/>
              <w:spacing w:after="0" w:line="240" w:lineRule="auto"/>
              <w:jc w:val="center"/>
              <w:rPr>
                <w:rFonts w:cs="Arial"/>
                <w:b/>
                <w:bCs/>
                <w:color w:val="000000"/>
                <w:sz w:val="16"/>
                <w:szCs w:val="16"/>
              </w:rPr>
            </w:pPr>
            <w:r w:rsidRPr="00A12895">
              <w:rPr>
                <w:rFonts w:cs="Arial"/>
                <w:b/>
                <w:bCs/>
                <w:color w:val="000000"/>
                <w:sz w:val="16"/>
                <w:szCs w:val="16"/>
              </w:rPr>
              <w:t>Učitelé</w:t>
            </w:r>
            <w:r w:rsidRPr="00A12895">
              <w:rPr>
                <w:rFonts w:cs="Arial"/>
                <w:b/>
                <w:bCs/>
                <w:color w:val="000000"/>
                <w:sz w:val="16"/>
                <w:szCs w:val="16"/>
                <w:vertAlign w:val="superscript"/>
              </w:rPr>
              <w:t>1)</w:t>
            </w:r>
          </w:p>
        </w:tc>
        <w:tc>
          <w:tcPr>
            <w:tcW w:w="1497" w:type="dxa"/>
            <w:gridSpan w:val="2"/>
            <w:tcBorders>
              <w:top w:val="single" w:sz="8" w:space="0" w:color="auto"/>
              <w:left w:val="nil"/>
              <w:bottom w:val="single" w:sz="8" w:space="0" w:color="auto"/>
              <w:right w:val="single" w:sz="8" w:space="0" w:color="000000"/>
            </w:tcBorders>
            <w:shd w:val="clear" w:color="000000" w:fill="D99594"/>
            <w:vAlign w:val="center"/>
            <w:hideMark/>
          </w:tcPr>
          <w:p w14:paraId="5B57B8A2" w14:textId="77777777" w:rsidR="00A12895" w:rsidRPr="00A12895" w:rsidRDefault="00A12895" w:rsidP="000C12F5">
            <w:pPr>
              <w:keepNext/>
              <w:spacing w:after="0" w:line="240" w:lineRule="auto"/>
              <w:jc w:val="center"/>
              <w:rPr>
                <w:rFonts w:cs="Arial"/>
                <w:b/>
                <w:bCs/>
                <w:i/>
                <w:iCs/>
                <w:color w:val="000000"/>
                <w:sz w:val="16"/>
                <w:szCs w:val="16"/>
              </w:rPr>
            </w:pPr>
            <w:r w:rsidRPr="00A12895">
              <w:rPr>
                <w:rFonts w:cs="Arial"/>
                <w:b/>
                <w:bCs/>
                <w:i/>
                <w:iCs/>
                <w:color w:val="000000"/>
                <w:sz w:val="16"/>
                <w:szCs w:val="16"/>
              </w:rPr>
              <w:t xml:space="preserve">Počet dětí na 1: </w:t>
            </w:r>
          </w:p>
        </w:tc>
      </w:tr>
      <w:tr w:rsidR="00A12895" w:rsidRPr="00A12895" w14:paraId="7CE3BD3A" w14:textId="77777777" w:rsidTr="001B5BEF">
        <w:trPr>
          <w:trHeight w:val="266"/>
        </w:trPr>
        <w:tc>
          <w:tcPr>
            <w:tcW w:w="1843" w:type="dxa"/>
            <w:vMerge/>
            <w:tcBorders>
              <w:top w:val="single" w:sz="8" w:space="0" w:color="auto"/>
              <w:left w:val="single" w:sz="8" w:space="0" w:color="auto"/>
              <w:bottom w:val="single" w:sz="8" w:space="0" w:color="000000"/>
              <w:right w:val="single" w:sz="8" w:space="0" w:color="auto"/>
            </w:tcBorders>
            <w:vAlign w:val="center"/>
            <w:hideMark/>
          </w:tcPr>
          <w:p w14:paraId="3E07255E" w14:textId="77777777" w:rsidR="00A12895" w:rsidRPr="00A12895" w:rsidRDefault="00A12895" w:rsidP="000C12F5">
            <w:pPr>
              <w:keepNext/>
              <w:spacing w:after="0" w:line="240" w:lineRule="auto"/>
              <w:rPr>
                <w:rFonts w:cs="Arial"/>
                <w:b/>
                <w:bCs/>
                <w:color w:val="000000"/>
                <w:sz w:val="16"/>
                <w:szCs w:val="16"/>
              </w:rPr>
            </w:pPr>
          </w:p>
        </w:tc>
        <w:tc>
          <w:tcPr>
            <w:tcW w:w="629" w:type="dxa"/>
            <w:tcBorders>
              <w:top w:val="nil"/>
              <w:left w:val="nil"/>
              <w:bottom w:val="single" w:sz="8" w:space="0" w:color="auto"/>
              <w:right w:val="single" w:sz="8" w:space="0" w:color="auto"/>
            </w:tcBorders>
            <w:shd w:val="clear" w:color="000000" w:fill="E5B8B7"/>
            <w:noWrap/>
            <w:vAlign w:val="center"/>
            <w:hideMark/>
          </w:tcPr>
          <w:p w14:paraId="333167E2" w14:textId="77777777" w:rsidR="00A12895" w:rsidRPr="00A12895" w:rsidRDefault="00A12895" w:rsidP="000C12F5">
            <w:pPr>
              <w:keepNext/>
              <w:spacing w:after="0" w:line="240" w:lineRule="auto"/>
              <w:jc w:val="center"/>
              <w:rPr>
                <w:rFonts w:cs="Arial"/>
                <w:color w:val="000000"/>
                <w:sz w:val="16"/>
                <w:szCs w:val="16"/>
              </w:rPr>
            </w:pPr>
            <w:r w:rsidRPr="00A12895">
              <w:rPr>
                <w:rFonts w:cs="Arial"/>
                <w:color w:val="000000"/>
                <w:sz w:val="16"/>
                <w:szCs w:val="16"/>
              </w:rPr>
              <w:t>Abs.</w:t>
            </w:r>
          </w:p>
        </w:tc>
        <w:tc>
          <w:tcPr>
            <w:tcW w:w="709" w:type="dxa"/>
            <w:tcBorders>
              <w:top w:val="nil"/>
              <w:left w:val="nil"/>
              <w:bottom w:val="single" w:sz="8" w:space="0" w:color="auto"/>
              <w:right w:val="single" w:sz="8" w:space="0" w:color="auto"/>
            </w:tcBorders>
            <w:shd w:val="clear" w:color="000000" w:fill="E5B8B7"/>
            <w:noWrap/>
            <w:vAlign w:val="center"/>
            <w:hideMark/>
          </w:tcPr>
          <w:p w14:paraId="096B0FB0" w14:textId="77777777" w:rsidR="00A12895" w:rsidRPr="00A12895" w:rsidRDefault="00A12895" w:rsidP="000C12F5">
            <w:pPr>
              <w:keepNext/>
              <w:spacing w:after="0" w:line="240" w:lineRule="auto"/>
              <w:jc w:val="center"/>
              <w:rPr>
                <w:rFonts w:cs="Arial"/>
                <w:color w:val="000000"/>
                <w:sz w:val="16"/>
                <w:szCs w:val="16"/>
              </w:rPr>
            </w:pPr>
            <w:r w:rsidRPr="00A12895">
              <w:rPr>
                <w:rFonts w:cs="Arial"/>
                <w:color w:val="000000"/>
                <w:sz w:val="16"/>
                <w:szCs w:val="16"/>
              </w:rPr>
              <w:t>%</w:t>
            </w:r>
          </w:p>
        </w:tc>
        <w:tc>
          <w:tcPr>
            <w:tcW w:w="850" w:type="dxa"/>
            <w:tcBorders>
              <w:top w:val="nil"/>
              <w:left w:val="nil"/>
              <w:bottom w:val="single" w:sz="8" w:space="0" w:color="auto"/>
              <w:right w:val="single" w:sz="8" w:space="0" w:color="auto"/>
            </w:tcBorders>
            <w:shd w:val="clear" w:color="000000" w:fill="E5B8B7"/>
            <w:noWrap/>
            <w:vAlign w:val="center"/>
            <w:hideMark/>
          </w:tcPr>
          <w:p w14:paraId="6B458A75" w14:textId="77777777" w:rsidR="00A12895" w:rsidRPr="00A12895" w:rsidRDefault="00A12895" w:rsidP="000C12F5">
            <w:pPr>
              <w:keepNext/>
              <w:spacing w:after="0" w:line="240" w:lineRule="auto"/>
              <w:jc w:val="center"/>
              <w:rPr>
                <w:rFonts w:cs="Arial"/>
                <w:color w:val="000000"/>
                <w:sz w:val="16"/>
                <w:szCs w:val="16"/>
              </w:rPr>
            </w:pPr>
            <w:r w:rsidRPr="00A12895">
              <w:rPr>
                <w:rFonts w:cs="Arial"/>
                <w:color w:val="000000"/>
                <w:sz w:val="16"/>
                <w:szCs w:val="16"/>
              </w:rPr>
              <w:t>Abs.</w:t>
            </w:r>
          </w:p>
        </w:tc>
        <w:tc>
          <w:tcPr>
            <w:tcW w:w="709" w:type="dxa"/>
            <w:tcBorders>
              <w:top w:val="nil"/>
              <w:left w:val="nil"/>
              <w:bottom w:val="single" w:sz="8" w:space="0" w:color="auto"/>
              <w:right w:val="single" w:sz="8" w:space="0" w:color="auto"/>
            </w:tcBorders>
            <w:shd w:val="clear" w:color="000000" w:fill="E5B8B7"/>
            <w:noWrap/>
            <w:vAlign w:val="center"/>
            <w:hideMark/>
          </w:tcPr>
          <w:p w14:paraId="65DD9B32" w14:textId="77777777" w:rsidR="00A12895" w:rsidRPr="00A12895" w:rsidRDefault="00A12895" w:rsidP="000C12F5">
            <w:pPr>
              <w:keepNext/>
              <w:spacing w:after="0" w:line="240" w:lineRule="auto"/>
              <w:jc w:val="center"/>
              <w:rPr>
                <w:rFonts w:cs="Arial"/>
                <w:color w:val="000000"/>
                <w:sz w:val="16"/>
                <w:szCs w:val="16"/>
              </w:rPr>
            </w:pPr>
            <w:r w:rsidRPr="00A12895">
              <w:rPr>
                <w:rFonts w:cs="Arial"/>
                <w:color w:val="000000"/>
                <w:sz w:val="16"/>
                <w:szCs w:val="16"/>
              </w:rPr>
              <w:t>%</w:t>
            </w:r>
          </w:p>
        </w:tc>
        <w:tc>
          <w:tcPr>
            <w:tcW w:w="992" w:type="dxa"/>
            <w:tcBorders>
              <w:top w:val="nil"/>
              <w:left w:val="nil"/>
              <w:bottom w:val="single" w:sz="8" w:space="0" w:color="auto"/>
              <w:right w:val="single" w:sz="8" w:space="0" w:color="auto"/>
            </w:tcBorders>
            <w:shd w:val="clear" w:color="000000" w:fill="E5B8B7"/>
            <w:noWrap/>
            <w:vAlign w:val="center"/>
            <w:hideMark/>
          </w:tcPr>
          <w:p w14:paraId="0197AE33" w14:textId="77777777" w:rsidR="00A12895" w:rsidRPr="00A12895" w:rsidRDefault="00A12895" w:rsidP="000C12F5">
            <w:pPr>
              <w:keepNext/>
              <w:spacing w:after="0" w:line="240" w:lineRule="auto"/>
              <w:jc w:val="center"/>
              <w:rPr>
                <w:rFonts w:cs="Arial"/>
                <w:color w:val="000000"/>
                <w:sz w:val="16"/>
                <w:szCs w:val="16"/>
              </w:rPr>
            </w:pPr>
            <w:r w:rsidRPr="00A12895">
              <w:rPr>
                <w:rFonts w:cs="Arial"/>
                <w:color w:val="000000"/>
                <w:sz w:val="16"/>
                <w:szCs w:val="16"/>
              </w:rPr>
              <w:t>Abs.</w:t>
            </w:r>
          </w:p>
        </w:tc>
        <w:tc>
          <w:tcPr>
            <w:tcW w:w="851" w:type="dxa"/>
            <w:tcBorders>
              <w:top w:val="nil"/>
              <w:left w:val="nil"/>
              <w:bottom w:val="single" w:sz="8" w:space="0" w:color="auto"/>
              <w:right w:val="single" w:sz="8" w:space="0" w:color="auto"/>
            </w:tcBorders>
            <w:shd w:val="clear" w:color="000000" w:fill="E5B8B7"/>
            <w:noWrap/>
            <w:vAlign w:val="center"/>
            <w:hideMark/>
          </w:tcPr>
          <w:p w14:paraId="3302969F" w14:textId="77777777" w:rsidR="00A12895" w:rsidRPr="00A12895" w:rsidRDefault="00A12895" w:rsidP="000C12F5">
            <w:pPr>
              <w:keepNext/>
              <w:spacing w:after="0" w:line="240" w:lineRule="auto"/>
              <w:jc w:val="center"/>
              <w:rPr>
                <w:rFonts w:cs="Arial"/>
                <w:color w:val="000000"/>
                <w:sz w:val="16"/>
                <w:szCs w:val="16"/>
              </w:rPr>
            </w:pPr>
            <w:r w:rsidRPr="00A12895">
              <w:rPr>
                <w:rFonts w:cs="Arial"/>
                <w:color w:val="000000"/>
                <w:sz w:val="16"/>
                <w:szCs w:val="16"/>
              </w:rPr>
              <w:t>%</w:t>
            </w:r>
          </w:p>
        </w:tc>
        <w:tc>
          <w:tcPr>
            <w:tcW w:w="850" w:type="dxa"/>
            <w:tcBorders>
              <w:top w:val="nil"/>
              <w:left w:val="nil"/>
              <w:bottom w:val="single" w:sz="8" w:space="0" w:color="auto"/>
              <w:right w:val="single" w:sz="8" w:space="0" w:color="auto"/>
            </w:tcBorders>
            <w:shd w:val="clear" w:color="000000" w:fill="E5B8B7"/>
            <w:noWrap/>
            <w:vAlign w:val="center"/>
            <w:hideMark/>
          </w:tcPr>
          <w:p w14:paraId="05591F2B" w14:textId="77777777" w:rsidR="00A12895" w:rsidRPr="00A12895" w:rsidRDefault="00A12895" w:rsidP="000C12F5">
            <w:pPr>
              <w:keepNext/>
              <w:spacing w:after="0" w:line="240" w:lineRule="auto"/>
              <w:jc w:val="center"/>
              <w:rPr>
                <w:rFonts w:cs="Arial"/>
                <w:color w:val="000000"/>
                <w:sz w:val="16"/>
                <w:szCs w:val="16"/>
              </w:rPr>
            </w:pPr>
            <w:r w:rsidRPr="00A12895">
              <w:rPr>
                <w:rFonts w:cs="Arial"/>
                <w:color w:val="000000"/>
                <w:sz w:val="16"/>
                <w:szCs w:val="16"/>
              </w:rPr>
              <w:t>Abs.</w:t>
            </w:r>
          </w:p>
        </w:tc>
        <w:tc>
          <w:tcPr>
            <w:tcW w:w="709" w:type="dxa"/>
            <w:tcBorders>
              <w:top w:val="nil"/>
              <w:left w:val="nil"/>
              <w:bottom w:val="single" w:sz="8" w:space="0" w:color="auto"/>
              <w:right w:val="single" w:sz="8" w:space="0" w:color="auto"/>
            </w:tcBorders>
            <w:shd w:val="clear" w:color="000000" w:fill="E5B8B7"/>
            <w:noWrap/>
            <w:vAlign w:val="center"/>
            <w:hideMark/>
          </w:tcPr>
          <w:p w14:paraId="470D6596" w14:textId="77777777" w:rsidR="00A12895" w:rsidRPr="00A12895" w:rsidRDefault="00A12895" w:rsidP="000C12F5">
            <w:pPr>
              <w:keepNext/>
              <w:spacing w:after="0" w:line="240" w:lineRule="auto"/>
              <w:jc w:val="center"/>
              <w:rPr>
                <w:rFonts w:cs="Arial"/>
                <w:color w:val="000000"/>
                <w:sz w:val="16"/>
                <w:szCs w:val="16"/>
              </w:rPr>
            </w:pPr>
            <w:r w:rsidRPr="00A12895">
              <w:rPr>
                <w:rFonts w:cs="Arial"/>
                <w:color w:val="000000"/>
                <w:sz w:val="16"/>
                <w:szCs w:val="16"/>
              </w:rPr>
              <w:t>%</w:t>
            </w:r>
          </w:p>
        </w:tc>
        <w:tc>
          <w:tcPr>
            <w:tcW w:w="789" w:type="dxa"/>
            <w:tcBorders>
              <w:top w:val="nil"/>
              <w:left w:val="nil"/>
              <w:bottom w:val="single" w:sz="8" w:space="0" w:color="auto"/>
              <w:right w:val="single" w:sz="8" w:space="0" w:color="auto"/>
            </w:tcBorders>
            <w:shd w:val="clear" w:color="000000" w:fill="E5B8B7"/>
            <w:noWrap/>
            <w:vAlign w:val="center"/>
            <w:hideMark/>
          </w:tcPr>
          <w:p w14:paraId="67FF0D16" w14:textId="77777777" w:rsidR="00A12895" w:rsidRPr="00A12895" w:rsidRDefault="00A12895" w:rsidP="000C12F5">
            <w:pPr>
              <w:keepNext/>
              <w:spacing w:after="0" w:line="240" w:lineRule="auto"/>
              <w:jc w:val="center"/>
              <w:rPr>
                <w:rFonts w:cs="Arial"/>
                <w:b/>
                <w:bCs/>
                <w:i/>
                <w:iCs/>
                <w:color w:val="000000"/>
                <w:sz w:val="16"/>
                <w:szCs w:val="16"/>
              </w:rPr>
            </w:pPr>
            <w:r w:rsidRPr="00A12895">
              <w:rPr>
                <w:rFonts w:cs="Arial"/>
                <w:b/>
                <w:bCs/>
                <w:i/>
                <w:iCs/>
                <w:color w:val="000000"/>
                <w:sz w:val="16"/>
                <w:szCs w:val="16"/>
              </w:rPr>
              <w:t>třídu</w:t>
            </w:r>
          </w:p>
        </w:tc>
        <w:tc>
          <w:tcPr>
            <w:tcW w:w="708" w:type="dxa"/>
            <w:tcBorders>
              <w:top w:val="nil"/>
              <w:left w:val="nil"/>
              <w:bottom w:val="single" w:sz="8" w:space="0" w:color="auto"/>
              <w:right w:val="single" w:sz="8" w:space="0" w:color="auto"/>
            </w:tcBorders>
            <w:shd w:val="clear" w:color="000000" w:fill="E5B8B7"/>
            <w:noWrap/>
            <w:vAlign w:val="center"/>
            <w:hideMark/>
          </w:tcPr>
          <w:p w14:paraId="3EA5E234" w14:textId="77777777" w:rsidR="00A12895" w:rsidRPr="00A12895" w:rsidRDefault="00A12895" w:rsidP="000C12F5">
            <w:pPr>
              <w:keepNext/>
              <w:spacing w:after="0" w:line="240" w:lineRule="auto"/>
              <w:jc w:val="center"/>
              <w:rPr>
                <w:rFonts w:cs="Arial"/>
                <w:b/>
                <w:bCs/>
                <w:i/>
                <w:iCs/>
                <w:color w:val="000000"/>
                <w:sz w:val="16"/>
                <w:szCs w:val="16"/>
              </w:rPr>
            </w:pPr>
            <w:r w:rsidRPr="00A12895">
              <w:rPr>
                <w:rFonts w:cs="Arial"/>
                <w:b/>
                <w:bCs/>
                <w:i/>
                <w:iCs/>
                <w:color w:val="000000"/>
                <w:sz w:val="16"/>
                <w:szCs w:val="16"/>
              </w:rPr>
              <w:t>učitele</w:t>
            </w:r>
          </w:p>
        </w:tc>
      </w:tr>
      <w:tr w:rsidR="00A12895" w:rsidRPr="00A12895" w14:paraId="2D85EA49" w14:textId="77777777" w:rsidTr="00A12895">
        <w:trPr>
          <w:trHeight w:val="300"/>
        </w:trPr>
        <w:tc>
          <w:tcPr>
            <w:tcW w:w="1843" w:type="dxa"/>
            <w:tcBorders>
              <w:top w:val="nil"/>
              <w:left w:val="single" w:sz="8" w:space="0" w:color="auto"/>
              <w:bottom w:val="nil"/>
              <w:right w:val="nil"/>
            </w:tcBorders>
            <w:shd w:val="clear" w:color="auto" w:fill="auto"/>
            <w:vAlign w:val="center"/>
            <w:hideMark/>
          </w:tcPr>
          <w:p w14:paraId="47DF6031" w14:textId="77777777" w:rsidR="00A12895" w:rsidRPr="00A12895" w:rsidRDefault="00A12895" w:rsidP="000C12F5">
            <w:pPr>
              <w:keepNext/>
              <w:spacing w:after="0" w:line="240" w:lineRule="auto"/>
              <w:rPr>
                <w:rFonts w:cs="Arial"/>
                <w:b/>
                <w:bCs/>
                <w:color w:val="000000"/>
                <w:sz w:val="16"/>
                <w:szCs w:val="16"/>
              </w:rPr>
            </w:pPr>
            <w:r w:rsidRPr="00A12895">
              <w:rPr>
                <w:rFonts w:cs="Arial"/>
                <w:b/>
                <w:bCs/>
                <w:color w:val="000000"/>
                <w:sz w:val="16"/>
                <w:szCs w:val="16"/>
              </w:rPr>
              <w:t>Česká republika</w:t>
            </w:r>
          </w:p>
        </w:tc>
        <w:tc>
          <w:tcPr>
            <w:tcW w:w="629" w:type="dxa"/>
            <w:tcBorders>
              <w:top w:val="nil"/>
              <w:left w:val="single" w:sz="8" w:space="0" w:color="auto"/>
              <w:bottom w:val="nil"/>
              <w:right w:val="nil"/>
            </w:tcBorders>
            <w:shd w:val="clear" w:color="auto" w:fill="auto"/>
            <w:noWrap/>
            <w:vAlign w:val="center"/>
            <w:hideMark/>
          </w:tcPr>
          <w:p w14:paraId="5F7A1708" w14:textId="77777777" w:rsidR="00A12895" w:rsidRPr="00A12895" w:rsidRDefault="00A12895" w:rsidP="000C12F5">
            <w:pPr>
              <w:keepNext/>
              <w:spacing w:after="0" w:line="240" w:lineRule="auto"/>
              <w:jc w:val="right"/>
              <w:rPr>
                <w:rFonts w:cs="Arial"/>
                <w:b/>
                <w:bCs/>
                <w:color w:val="000000"/>
                <w:sz w:val="16"/>
                <w:szCs w:val="16"/>
              </w:rPr>
            </w:pPr>
            <w:r w:rsidRPr="00A12895">
              <w:rPr>
                <w:rFonts w:cs="Arial"/>
                <w:b/>
                <w:bCs/>
                <w:color w:val="000000"/>
                <w:sz w:val="16"/>
                <w:szCs w:val="16"/>
              </w:rPr>
              <w:t>5 349</w:t>
            </w:r>
          </w:p>
        </w:tc>
        <w:tc>
          <w:tcPr>
            <w:tcW w:w="709" w:type="dxa"/>
            <w:tcBorders>
              <w:top w:val="nil"/>
              <w:left w:val="nil"/>
              <w:bottom w:val="nil"/>
              <w:right w:val="single" w:sz="8" w:space="0" w:color="auto"/>
            </w:tcBorders>
            <w:shd w:val="clear" w:color="auto" w:fill="auto"/>
            <w:noWrap/>
            <w:vAlign w:val="center"/>
            <w:hideMark/>
          </w:tcPr>
          <w:p w14:paraId="69D288F0" w14:textId="77777777" w:rsidR="00A12895" w:rsidRPr="00A12895" w:rsidRDefault="00A12895" w:rsidP="000C12F5">
            <w:pPr>
              <w:keepNext/>
              <w:spacing w:after="0" w:line="240" w:lineRule="auto"/>
              <w:jc w:val="right"/>
              <w:rPr>
                <w:rFonts w:cs="Arial"/>
                <w:b/>
                <w:bCs/>
                <w:color w:val="000000"/>
                <w:sz w:val="16"/>
                <w:szCs w:val="16"/>
              </w:rPr>
            </w:pPr>
            <w:r w:rsidRPr="00A12895">
              <w:rPr>
                <w:rFonts w:cs="Arial"/>
                <w:b/>
                <w:bCs/>
                <w:color w:val="000000"/>
                <w:sz w:val="16"/>
                <w:szCs w:val="16"/>
              </w:rPr>
              <w:t>100</w:t>
            </w:r>
          </w:p>
        </w:tc>
        <w:tc>
          <w:tcPr>
            <w:tcW w:w="850" w:type="dxa"/>
            <w:tcBorders>
              <w:top w:val="nil"/>
              <w:left w:val="nil"/>
              <w:bottom w:val="nil"/>
              <w:right w:val="nil"/>
            </w:tcBorders>
            <w:shd w:val="clear" w:color="auto" w:fill="auto"/>
            <w:noWrap/>
            <w:vAlign w:val="center"/>
            <w:hideMark/>
          </w:tcPr>
          <w:p w14:paraId="4CDC42C4" w14:textId="77777777" w:rsidR="00A12895" w:rsidRPr="00A12895" w:rsidRDefault="00A12895" w:rsidP="000C12F5">
            <w:pPr>
              <w:keepNext/>
              <w:spacing w:after="0" w:line="240" w:lineRule="auto"/>
              <w:jc w:val="right"/>
              <w:rPr>
                <w:rFonts w:cs="Arial"/>
                <w:b/>
                <w:bCs/>
                <w:color w:val="000000"/>
                <w:sz w:val="16"/>
                <w:szCs w:val="16"/>
              </w:rPr>
            </w:pPr>
            <w:r w:rsidRPr="00A12895">
              <w:rPr>
                <w:rFonts w:cs="Arial"/>
                <w:b/>
                <w:bCs/>
                <w:color w:val="000000"/>
                <w:sz w:val="16"/>
                <w:szCs w:val="16"/>
              </w:rPr>
              <w:t>16 800</w:t>
            </w:r>
          </w:p>
        </w:tc>
        <w:tc>
          <w:tcPr>
            <w:tcW w:w="709" w:type="dxa"/>
            <w:tcBorders>
              <w:top w:val="nil"/>
              <w:left w:val="nil"/>
              <w:bottom w:val="nil"/>
              <w:right w:val="single" w:sz="8" w:space="0" w:color="auto"/>
            </w:tcBorders>
            <w:shd w:val="clear" w:color="auto" w:fill="auto"/>
            <w:noWrap/>
            <w:vAlign w:val="center"/>
            <w:hideMark/>
          </w:tcPr>
          <w:p w14:paraId="38FA4267" w14:textId="77777777" w:rsidR="00A12895" w:rsidRPr="00A12895" w:rsidRDefault="00A12895" w:rsidP="000C12F5">
            <w:pPr>
              <w:keepNext/>
              <w:spacing w:after="0" w:line="240" w:lineRule="auto"/>
              <w:jc w:val="right"/>
              <w:rPr>
                <w:rFonts w:cs="Arial"/>
                <w:b/>
                <w:bCs/>
                <w:color w:val="000000"/>
                <w:sz w:val="16"/>
                <w:szCs w:val="16"/>
              </w:rPr>
            </w:pPr>
            <w:r w:rsidRPr="00A12895">
              <w:rPr>
                <w:rFonts w:cs="Arial"/>
                <w:b/>
                <w:bCs/>
                <w:color w:val="000000"/>
                <w:sz w:val="16"/>
                <w:szCs w:val="16"/>
              </w:rPr>
              <w:t>100</w:t>
            </w:r>
          </w:p>
        </w:tc>
        <w:tc>
          <w:tcPr>
            <w:tcW w:w="992" w:type="dxa"/>
            <w:tcBorders>
              <w:top w:val="nil"/>
              <w:left w:val="nil"/>
              <w:bottom w:val="nil"/>
              <w:right w:val="nil"/>
            </w:tcBorders>
            <w:shd w:val="clear" w:color="auto" w:fill="auto"/>
            <w:noWrap/>
            <w:vAlign w:val="center"/>
            <w:hideMark/>
          </w:tcPr>
          <w:p w14:paraId="73D24427" w14:textId="77777777" w:rsidR="00A12895" w:rsidRPr="00A12895" w:rsidRDefault="00A12895" w:rsidP="000C12F5">
            <w:pPr>
              <w:keepNext/>
              <w:spacing w:after="0" w:line="240" w:lineRule="auto"/>
              <w:jc w:val="right"/>
              <w:rPr>
                <w:rFonts w:cs="Arial"/>
                <w:b/>
                <w:bCs/>
                <w:color w:val="000000"/>
                <w:sz w:val="16"/>
                <w:szCs w:val="16"/>
              </w:rPr>
            </w:pPr>
            <w:r w:rsidRPr="00A12895">
              <w:rPr>
                <w:rFonts w:cs="Arial"/>
                <w:b/>
                <w:bCs/>
                <w:color w:val="000000"/>
                <w:sz w:val="16"/>
                <w:szCs w:val="16"/>
              </w:rPr>
              <w:t>360 490</w:t>
            </w:r>
          </w:p>
        </w:tc>
        <w:tc>
          <w:tcPr>
            <w:tcW w:w="851" w:type="dxa"/>
            <w:tcBorders>
              <w:top w:val="nil"/>
              <w:left w:val="nil"/>
              <w:bottom w:val="nil"/>
              <w:right w:val="single" w:sz="8" w:space="0" w:color="auto"/>
            </w:tcBorders>
            <w:shd w:val="clear" w:color="auto" w:fill="auto"/>
            <w:noWrap/>
            <w:vAlign w:val="center"/>
            <w:hideMark/>
          </w:tcPr>
          <w:p w14:paraId="648D8B18" w14:textId="77777777" w:rsidR="00A12895" w:rsidRPr="00A12895" w:rsidRDefault="00A12895" w:rsidP="000C12F5">
            <w:pPr>
              <w:keepNext/>
              <w:spacing w:after="0" w:line="240" w:lineRule="auto"/>
              <w:jc w:val="right"/>
              <w:rPr>
                <w:rFonts w:cs="Arial"/>
                <w:b/>
                <w:bCs/>
                <w:color w:val="000000"/>
                <w:sz w:val="16"/>
                <w:szCs w:val="16"/>
              </w:rPr>
            </w:pPr>
            <w:r w:rsidRPr="00A12895">
              <w:rPr>
                <w:rFonts w:cs="Arial"/>
                <w:b/>
                <w:bCs/>
                <w:color w:val="000000"/>
                <w:sz w:val="16"/>
                <w:szCs w:val="16"/>
              </w:rPr>
              <w:t>100</w:t>
            </w:r>
          </w:p>
        </w:tc>
        <w:tc>
          <w:tcPr>
            <w:tcW w:w="850" w:type="dxa"/>
            <w:tcBorders>
              <w:top w:val="nil"/>
              <w:left w:val="nil"/>
              <w:bottom w:val="nil"/>
              <w:right w:val="nil"/>
            </w:tcBorders>
            <w:shd w:val="clear" w:color="auto" w:fill="auto"/>
            <w:noWrap/>
            <w:vAlign w:val="center"/>
            <w:hideMark/>
          </w:tcPr>
          <w:p w14:paraId="251E0C89" w14:textId="77777777" w:rsidR="00A12895" w:rsidRPr="00A12895" w:rsidRDefault="00A12895" w:rsidP="000C12F5">
            <w:pPr>
              <w:keepNext/>
              <w:spacing w:after="0" w:line="240" w:lineRule="auto"/>
              <w:jc w:val="right"/>
              <w:rPr>
                <w:rFonts w:cs="Arial"/>
                <w:b/>
                <w:bCs/>
                <w:color w:val="000000"/>
                <w:sz w:val="16"/>
                <w:szCs w:val="16"/>
              </w:rPr>
            </w:pPr>
            <w:r w:rsidRPr="00A12895">
              <w:rPr>
                <w:rFonts w:cs="Arial"/>
                <w:b/>
                <w:bCs/>
                <w:color w:val="000000"/>
                <w:sz w:val="16"/>
                <w:szCs w:val="16"/>
              </w:rPr>
              <w:t>33 831</w:t>
            </w:r>
          </w:p>
        </w:tc>
        <w:tc>
          <w:tcPr>
            <w:tcW w:w="709" w:type="dxa"/>
            <w:tcBorders>
              <w:top w:val="nil"/>
              <w:left w:val="nil"/>
              <w:bottom w:val="nil"/>
              <w:right w:val="single" w:sz="8" w:space="0" w:color="auto"/>
            </w:tcBorders>
            <w:shd w:val="clear" w:color="auto" w:fill="auto"/>
            <w:noWrap/>
            <w:vAlign w:val="center"/>
            <w:hideMark/>
          </w:tcPr>
          <w:p w14:paraId="0CD39E11" w14:textId="77777777" w:rsidR="00A12895" w:rsidRPr="00A12895" w:rsidRDefault="00A12895" w:rsidP="000C12F5">
            <w:pPr>
              <w:keepNext/>
              <w:spacing w:after="0" w:line="240" w:lineRule="auto"/>
              <w:jc w:val="right"/>
              <w:rPr>
                <w:rFonts w:cs="Arial"/>
                <w:b/>
                <w:bCs/>
                <w:color w:val="000000"/>
                <w:sz w:val="16"/>
                <w:szCs w:val="16"/>
              </w:rPr>
            </w:pPr>
            <w:r w:rsidRPr="00A12895">
              <w:rPr>
                <w:rFonts w:cs="Arial"/>
                <w:b/>
                <w:bCs/>
                <w:color w:val="000000"/>
                <w:sz w:val="16"/>
                <w:szCs w:val="16"/>
              </w:rPr>
              <w:t>100</w:t>
            </w:r>
          </w:p>
        </w:tc>
        <w:tc>
          <w:tcPr>
            <w:tcW w:w="789" w:type="dxa"/>
            <w:tcBorders>
              <w:top w:val="nil"/>
              <w:left w:val="nil"/>
              <w:bottom w:val="nil"/>
              <w:right w:val="nil"/>
            </w:tcBorders>
            <w:shd w:val="clear" w:color="auto" w:fill="auto"/>
            <w:noWrap/>
            <w:vAlign w:val="center"/>
            <w:hideMark/>
          </w:tcPr>
          <w:p w14:paraId="2D63B1CB" w14:textId="77777777" w:rsidR="00A12895" w:rsidRPr="00A12895" w:rsidRDefault="00A12895" w:rsidP="000C12F5">
            <w:pPr>
              <w:keepNext/>
              <w:spacing w:after="0" w:line="240" w:lineRule="auto"/>
              <w:jc w:val="right"/>
              <w:rPr>
                <w:rFonts w:cs="Arial"/>
                <w:b/>
                <w:bCs/>
                <w:i/>
                <w:iCs/>
                <w:color w:val="000000"/>
                <w:sz w:val="16"/>
                <w:szCs w:val="16"/>
              </w:rPr>
            </w:pPr>
            <w:r w:rsidRPr="00A12895">
              <w:rPr>
                <w:rFonts w:cs="Arial"/>
                <w:b/>
                <w:bCs/>
                <w:i/>
                <w:iCs/>
                <w:color w:val="000000"/>
                <w:sz w:val="16"/>
                <w:szCs w:val="16"/>
              </w:rPr>
              <w:t>21,5</w:t>
            </w:r>
          </w:p>
        </w:tc>
        <w:tc>
          <w:tcPr>
            <w:tcW w:w="708" w:type="dxa"/>
            <w:tcBorders>
              <w:top w:val="nil"/>
              <w:left w:val="nil"/>
              <w:bottom w:val="nil"/>
              <w:right w:val="single" w:sz="8" w:space="0" w:color="auto"/>
            </w:tcBorders>
            <w:shd w:val="clear" w:color="auto" w:fill="auto"/>
            <w:noWrap/>
            <w:vAlign w:val="center"/>
            <w:hideMark/>
          </w:tcPr>
          <w:p w14:paraId="64A87463" w14:textId="77777777" w:rsidR="00A12895" w:rsidRPr="00A12895" w:rsidRDefault="00A12895" w:rsidP="000C12F5">
            <w:pPr>
              <w:keepNext/>
              <w:spacing w:after="0" w:line="240" w:lineRule="auto"/>
              <w:jc w:val="right"/>
              <w:rPr>
                <w:rFonts w:cs="Arial"/>
                <w:b/>
                <w:bCs/>
                <w:i/>
                <w:iCs/>
                <w:color w:val="000000"/>
                <w:sz w:val="16"/>
                <w:szCs w:val="16"/>
              </w:rPr>
            </w:pPr>
            <w:r w:rsidRPr="00A12895">
              <w:rPr>
                <w:rFonts w:cs="Arial"/>
                <w:b/>
                <w:bCs/>
                <w:i/>
                <w:iCs/>
                <w:color w:val="000000"/>
                <w:sz w:val="16"/>
                <w:szCs w:val="16"/>
              </w:rPr>
              <w:t>10,7</w:t>
            </w:r>
          </w:p>
        </w:tc>
      </w:tr>
      <w:tr w:rsidR="00A12895" w:rsidRPr="00A12895" w14:paraId="1C13FA94" w14:textId="77777777" w:rsidTr="00A12895">
        <w:trPr>
          <w:trHeight w:val="300"/>
        </w:trPr>
        <w:tc>
          <w:tcPr>
            <w:tcW w:w="1843" w:type="dxa"/>
            <w:tcBorders>
              <w:top w:val="nil"/>
              <w:left w:val="single" w:sz="8" w:space="0" w:color="auto"/>
              <w:bottom w:val="nil"/>
              <w:right w:val="nil"/>
            </w:tcBorders>
            <w:shd w:val="clear" w:color="000000" w:fill="F2DBDB"/>
            <w:vAlign w:val="center"/>
            <w:hideMark/>
          </w:tcPr>
          <w:p w14:paraId="0579B0B7" w14:textId="77777777" w:rsidR="00A12895" w:rsidRPr="00A12895" w:rsidRDefault="00A12895" w:rsidP="000C12F5">
            <w:pPr>
              <w:keepNext/>
              <w:spacing w:after="0" w:line="240" w:lineRule="auto"/>
              <w:ind w:firstLineChars="100" w:firstLine="160"/>
              <w:rPr>
                <w:rFonts w:cs="Arial"/>
                <w:color w:val="000000"/>
                <w:sz w:val="16"/>
                <w:szCs w:val="16"/>
              </w:rPr>
            </w:pPr>
            <w:r w:rsidRPr="00A12895">
              <w:rPr>
                <w:rFonts w:cs="Arial"/>
                <w:color w:val="000000"/>
                <w:sz w:val="16"/>
                <w:szCs w:val="16"/>
              </w:rPr>
              <w:t>Hlavní město Praha</w:t>
            </w:r>
          </w:p>
        </w:tc>
        <w:tc>
          <w:tcPr>
            <w:tcW w:w="629" w:type="dxa"/>
            <w:tcBorders>
              <w:top w:val="nil"/>
              <w:left w:val="single" w:sz="8" w:space="0" w:color="auto"/>
              <w:bottom w:val="nil"/>
              <w:right w:val="nil"/>
            </w:tcBorders>
            <w:shd w:val="clear" w:color="000000" w:fill="F2DBDB"/>
            <w:noWrap/>
            <w:vAlign w:val="center"/>
            <w:hideMark/>
          </w:tcPr>
          <w:p w14:paraId="287D06D1"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435</w:t>
            </w:r>
          </w:p>
        </w:tc>
        <w:tc>
          <w:tcPr>
            <w:tcW w:w="709" w:type="dxa"/>
            <w:tcBorders>
              <w:top w:val="nil"/>
              <w:left w:val="nil"/>
              <w:bottom w:val="nil"/>
              <w:right w:val="single" w:sz="8" w:space="0" w:color="auto"/>
            </w:tcBorders>
            <w:shd w:val="clear" w:color="000000" w:fill="F2DBDB"/>
            <w:noWrap/>
            <w:vAlign w:val="center"/>
            <w:hideMark/>
          </w:tcPr>
          <w:p w14:paraId="5F7B4B74"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8,1</w:t>
            </w:r>
          </w:p>
        </w:tc>
        <w:tc>
          <w:tcPr>
            <w:tcW w:w="850" w:type="dxa"/>
            <w:tcBorders>
              <w:top w:val="nil"/>
              <w:left w:val="nil"/>
              <w:bottom w:val="nil"/>
              <w:right w:val="nil"/>
            </w:tcBorders>
            <w:shd w:val="clear" w:color="000000" w:fill="F2DBDB"/>
            <w:noWrap/>
            <w:vAlign w:val="center"/>
            <w:hideMark/>
          </w:tcPr>
          <w:p w14:paraId="180A7E94"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1 928</w:t>
            </w:r>
          </w:p>
        </w:tc>
        <w:tc>
          <w:tcPr>
            <w:tcW w:w="709" w:type="dxa"/>
            <w:tcBorders>
              <w:top w:val="nil"/>
              <w:left w:val="nil"/>
              <w:bottom w:val="nil"/>
              <w:right w:val="single" w:sz="8" w:space="0" w:color="auto"/>
            </w:tcBorders>
            <w:shd w:val="clear" w:color="000000" w:fill="F2DBDB"/>
            <w:noWrap/>
            <w:vAlign w:val="center"/>
            <w:hideMark/>
          </w:tcPr>
          <w:p w14:paraId="65A6BAA5"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11,5</w:t>
            </w:r>
          </w:p>
        </w:tc>
        <w:tc>
          <w:tcPr>
            <w:tcW w:w="992" w:type="dxa"/>
            <w:tcBorders>
              <w:top w:val="nil"/>
              <w:left w:val="nil"/>
              <w:bottom w:val="nil"/>
              <w:right w:val="nil"/>
            </w:tcBorders>
            <w:shd w:val="clear" w:color="000000" w:fill="F2DBDB"/>
            <w:noWrap/>
            <w:vAlign w:val="center"/>
            <w:hideMark/>
          </w:tcPr>
          <w:p w14:paraId="485345B3"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42 580</w:t>
            </w:r>
          </w:p>
        </w:tc>
        <w:tc>
          <w:tcPr>
            <w:tcW w:w="851" w:type="dxa"/>
            <w:tcBorders>
              <w:top w:val="nil"/>
              <w:left w:val="nil"/>
              <w:bottom w:val="nil"/>
              <w:right w:val="single" w:sz="8" w:space="0" w:color="auto"/>
            </w:tcBorders>
            <w:shd w:val="clear" w:color="000000" w:fill="F2DBDB"/>
            <w:noWrap/>
            <w:vAlign w:val="center"/>
            <w:hideMark/>
          </w:tcPr>
          <w:p w14:paraId="3DA5C43C"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11,8</w:t>
            </w:r>
          </w:p>
        </w:tc>
        <w:tc>
          <w:tcPr>
            <w:tcW w:w="850" w:type="dxa"/>
            <w:tcBorders>
              <w:top w:val="nil"/>
              <w:left w:val="nil"/>
              <w:bottom w:val="nil"/>
              <w:right w:val="nil"/>
            </w:tcBorders>
            <w:shd w:val="clear" w:color="000000" w:fill="F2DBDB"/>
            <w:noWrap/>
            <w:vAlign w:val="center"/>
            <w:hideMark/>
          </w:tcPr>
          <w:p w14:paraId="1B661455"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3 941</w:t>
            </w:r>
          </w:p>
        </w:tc>
        <w:tc>
          <w:tcPr>
            <w:tcW w:w="709" w:type="dxa"/>
            <w:tcBorders>
              <w:top w:val="nil"/>
              <w:left w:val="nil"/>
              <w:bottom w:val="nil"/>
              <w:right w:val="single" w:sz="8" w:space="0" w:color="auto"/>
            </w:tcBorders>
            <w:shd w:val="clear" w:color="000000" w:fill="F2DBDB"/>
            <w:noWrap/>
            <w:vAlign w:val="center"/>
            <w:hideMark/>
          </w:tcPr>
          <w:p w14:paraId="3626AEE3"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11,6</w:t>
            </w:r>
          </w:p>
        </w:tc>
        <w:tc>
          <w:tcPr>
            <w:tcW w:w="789" w:type="dxa"/>
            <w:tcBorders>
              <w:top w:val="nil"/>
              <w:left w:val="nil"/>
              <w:bottom w:val="nil"/>
              <w:right w:val="nil"/>
            </w:tcBorders>
            <w:shd w:val="clear" w:color="000000" w:fill="F2DBDB"/>
            <w:noWrap/>
            <w:vAlign w:val="center"/>
            <w:hideMark/>
          </w:tcPr>
          <w:p w14:paraId="0510022D"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22,1</w:t>
            </w:r>
          </w:p>
        </w:tc>
        <w:tc>
          <w:tcPr>
            <w:tcW w:w="708" w:type="dxa"/>
            <w:tcBorders>
              <w:top w:val="nil"/>
              <w:left w:val="nil"/>
              <w:bottom w:val="nil"/>
              <w:right w:val="single" w:sz="8" w:space="0" w:color="auto"/>
            </w:tcBorders>
            <w:shd w:val="clear" w:color="000000" w:fill="F2DBDB"/>
            <w:noWrap/>
            <w:vAlign w:val="center"/>
            <w:hideMark/>
          </w:tcPr>
          <w:p w14:paraId="5230254E"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10,8</w:t>
            </w:r>
          </w:p>
        </w:tc>
      </w:tr>
      <w:tr w:rsidR="00A12895" w:rsidRPr="00A12895" w14:paraId="46D75A7F" w14:textId="77777777" w:rsidTr="00A12895">
        <w:trPr>
          <w:trHeight w:val="300"/>
        </w:trPr>
        <w:tc>
          <w:tcPr>
            <w:tcW w:w="1843" w:type="dxa"/>
            <w:tcBorders>
              <w:top w:val="nil"/>
              <w:left w:val="single" w:sz="8" w:space="0" w:color="auto"/>
              <w:bottom w:val="nil"/>
              <w:right w:val="nil"/>
            </w:tcBorders>
            <w:shd w:val="clear" w:color="auto" w:fill="auto"/>
            <w:vAlign w:val="center"/>
            <w:hideMark/>
          </w:tcPr>
          <w:p w14:paraId="4580C00E" w14:textId="77777777" w:rsidR="00A12895" w:rsidRPr="00A12895" w:rsidRDefault="00A12895" w:rsidP="000C12F5">
            <w:pPr>
              <w:keepNext/>
              <w:spacing w:after="0" w:line="240" w:lineRule="auto"/>
              <w:ind w:firstLineChars="100" w:firstLine="160"/>
              <w:rPr>
                <w:rFonts w:cs="Arial"/>
                <w:color w:val="000000"/>
                <w:sz w:val="16"/>
                <w:szCs w:val="16"/>
              </w:rPr>
            </w:pPr>
            <w:r w:rsidRPr="00A12895">
              <w:rPr>
                <w:rFonts w:cs="Arial"/>
                <w:color w:val="000000"/>
                <w:sz w:val="16"/>
                <w:szCs w:val="16"/>
              </w:rPr>
              <w:t>Středočeský kraj</w:t>
            </w:r>
          </w:p>
        </w:tc>
        <w:tc>
          <w:tcPr>
            <w:tcW w:w="629" w:type="dxa"/>
            <w:tcBorders>
              <w:top w:val="nil"/>
              <w:left w:val="single" w:sz="8" w:space="0" w:color="auto"/>
              <w:bottom w:val="nil"/>
              <w:right w:val="nil"/>
            </w:tcBorders>
            <w:shd w:val="clear" w:color="auto" w:fill="auto"/>
            <w:noWrap/>
            <w:vAlign w:val="center"/>
            <w:hideMark/>
          </w:tcPr>
          <w:p w14:paraId="7754AD14"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808</w:t>
            </w:r>
          </w:p>
        </w:tc>
        <w:tc>
          <w:tcPr>
            <w:tcW w:w="709" w:type="dxa"/>
            <w:tcBorders>
              <w:top w:val="nil"/>
              <w:left w:val="nil"/>
              <w:bottom w:val="nil"/>
              <w:right w:val="single" w:sz="8" w:space="0" w:color="auto"/>
            </w:tcBorders>
            <w:shd w:val="clear" w:color="auto" w:fill="auto"/>
            <w:noWrap/>
            <w:vAlign w:val="center"/>
            <w:hideMark/>
          </w:tcPr>
          <w:p w14:paraId="0680C9DC"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15,1</w:t>
            </w:r>
          </w:p>
        </w:tc>
        <w:tc>
          <w:tcPr>
            <w:tcW w:w="850" w:type="dxa"/>
            <w:tcBorders>
              <w:top w:val="nil"/>
              <w:left w:val="nil"/>
              <w:bottom w:val="nil"/>
              <w:right w:val="nil"/>
            </w:tcBorders>
            <w:shd w:val="clear" w:color="auto" w:fill="auto"/>
            <w:noWrap/>
            <w:vAlign w:val="center"/>
            <w:hideMark/>
          </w:tcPr>
          <w:p w14:paraId="15CCBE7D"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2 402</w:t>
            </w:r>
          </w:p>
        </w:tc>
        <w:tc>
          <w:tcPr>
            <w:tcW w:w="709" w:type="dxa"/>
            <w:tcBorders>
              <w:top w:val="nil"/>
              <w:left w:val="nil"/>
              <w:bottom w:val="nil"/>
              <w:right w:val="single" w:sz="8" w:space="0" w:color="auto"/>
            </w:tcBorders>
            <w:shd w:val="clear" w:color="auto" w:fill="auto"/>
            <w:noWrap/>
            <w:vAlign w:val="center"/>
            <w:hideMark/>
          </w:tcPr>
          <w:p w14:paraId="6AB47269"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14,3</w:t>
            </w:r>
          </w:p>
        </w:tc>
        <w:tc>
          <w:tcPr>
            <w:tcW w:w="992" w:type="dxa"/>
            <w:tcBorders>
              <w:top w:val="nil"/>
              <w:left w:val="nil"/>
              <w:bottom w:val="nil"/>
              <w:right w:val="nil"/>
            </w:tcBorders>
            <w:shd w:val="clear" w:color="auto" w:fill="auto"/>
            <w:noWrap/>
            <w:vAlign w:val="center"/>
            <w:hideMark/>
          </w:tcPr>
          <w:p w14:paraId="27961E68"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51 834</w:t>
            </w:r>
          </w:p>
        </w:tc>
        <w:tc>
          <w:tcPr>
            <w:tcW w:w="851" w:type="dxa"/>
            <w:tcBorders>
              <w:top w:val="nil"/>
              <w:left w:val="nil"/>
              <w:bottom w:val="nil"/>
              <w:right w:val="single" w:sz="8" w:space="0" w:color="auto"/>
            </w:tcBorders>
            <w:shd w:val="clear" w:color="auto" w:fill="auto"/>
            <w:noWrap/>
            <w:vAlign w:val="center"/>
            <w:hideMark/>
          </w:tcPr>
          <w:p w14:paraId="451943B6"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14,4</w:t>
            </w:r>
          </w:p>
        </w:tc>
        <w:tc>
          <w:tcPr>
            <w:tcW w:w="850" w:type="dxa"/>
            <w:tcBorders>
              <w:top w:val="nil"/>
              <w:left w:val="nil"/>
              <w:bottom w:val="nil"/>
              <w:right w:val="nil"/>
            </w:tcBorders>
            <w:shd w:val="clear" w:color="auto" w:fill="auto"/>
            <w:noWrap/>
            <w:vAlign w:val="center"/>
            <w:hideMark/>
          </w:tcPr>
          <w:p w14:paraId="75478557"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4 852</w:t>
            </w:r>
          </w:p>
        </w:tc>
        <w:tc>
          <w:tcPr>
            <w:tcW w:w="709" w:type="dxa"/>
            <w:tcBorders>
              <w:top w:val="nil"/>
              <w:left w:val="nil"/>
              <w:bottom w:val="nil"/>
              <w:right w:val="single" w:sz="8" w:space="0" w:color="auto"/>
            </w:tcBorders>
            <w:shd w:val="clear" w:color="auto" w:fill="auto"/>
            <w:noWrap/>
            <w:vAlign w:val="center"/>
            <w:hideMark/>
          </w:tcPr>
          <w:p w14:paraId="53D34DD8"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14,3</w:t>
            </w:r>
          </w:p>
        </w:tc>
        <w:tc>
          <w:tcPr>
            <w:tcW w:w="789" w:type="dxa"/>
            <w:tcBorders>
              <w:top w:val="nil"/>
              <w:left w:val="nil"/>
              <w:bottom w:val="nil"/>
              <w:right w:val="nil"/>
            </w:tcBorders>
            <w:shd w:val="clear" w:color="auto" w:fill="auto"/>
            <w:noWrap/>
            <w:vAlign w:val="center"/>
            <w:hideMark/>
          </w:tcPr>
          <w:p w14:paraId="6C5E3F64"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21,6</w:t>
            </w:r>
          </w:p>
        </w:tc>
        <w:tc>
          <w:tcPr>
            <w:tcW w:w="708" w:type="dxa"/>
            <w:tcBorders>
              <w:top w:val="nil"/>
              <w:left w:val="nil"/>
              <w:bottom w:val="nil"/>
              <w:right w:val="single" w:sz="8" w:space="0" w:color="auto"/>
            </w:tcBorders>
            <w:shd w:val="clear" w:color="auto" w:fill="auto"/>
            <w:noWrap/>
            <w:vAlign w:val="center"/>
            <w:hideMark/>
          </w:tcPr>
          <w:p w14:paraId="76B2DD0E"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10,7</w:t>
            </w:r>
          </w:p>
        </w:tc>
      </w:tr>
      <w:tr w:rsidR="00A12895" w:rsidRPr="00A12895" w14:paraId="41EE85C9" w14:textId="77777777" w:rsidTr="00A12895">
        <w:trPr>
          <w:trHeight w:val="300"/>
        </w:trPr>
        <w:tc>
          <w:tcPr>
            <w:tcW w:w="1843" w:type="dxa"/>
            <w:tcBorders>
              <w:top w:val="nil"/>
              <w:left w:val="single" w:sz="8" w:space="0" w:color="auto"/>
              <w:bottom w:val="nil"/>
              <w:right w:val="nil"/>
            </w:tcBorders>
            <w:shd w:val="clear" w:color="000000" w:fill="F2DBDB"/>
            <w:vAlign w:val="center"/>
            <w:hideMark/>
          </w:tcPr>
          <w:p w14:paraId="4EB79014" w14:textId="77777777" w:rsidR="00A12895" w:rsidRPr="00A12895" w:rsidRDefault="00A12895" w:rsidP="000C12F5">
            <w:pPr>
              <w:keepNext/>
              <w:spacing w:after="0" w:line="240" w:lineRule="auto"/>
              <w:ind w:firstLineChars="100" w:firstLine="160"/>
              <w:rPr>
                <w:rFonts w:cs="Arial"/>
                <w:color w:val="000000"/>
                <w:sz w:val="16"/>
                <w:szCs w:val="16"/>
              </w:rPr>
            </w:pPr>
            <w:r w:rsidRPr="00A12895">
              <w:rPr>
                <w:rFonts w:cs="Arial"/>
                <w:color w:val="000000"/>
                <w:sz w:val="16"/>
                <w:szCs w:val="16"/>
              </w:rPr>
              <w:t>Jihočeský kraj</w:t>
            </w:r>
          </w:p>
        </w:tc>
        <w:tc>
          <w:tcPr>
            <w:tcW w:w="629" w:type="dxa"/>
            <w:tcBorders>
              <w:top w:val="nil"/>
              <w:left w:val="single" w:sz="8" w:space="0" w:color="auto"/>
              <w:bottom w:val="nil"/>
              <w:right w:val="nil"/>
            </w:tcBorders>
            <w:shd w:val="clear" w:color="000000" w:fill="F2DBDB"/>
            <w:noWrap/>
            <w:vAlign w:val="center"/>
            <w:hideMark/>
          </w:tcPr>
          <w:p w14:paraId="731F3637"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328</w:t>
            </w:r>
          </w:p>
        </w:tc>
        <w:tc>
          <w:tcPr>
            <w:tcW w:w="709" w:type="dxa"/>
            <w:tcBorders>
              <w:top w:val="nil"/>
              <w:left w:val="nil"/>
              <w:bottom w:val="nil"/>
              <w:right w:val="single" w:sz="8" w:space="0" w:color="auto"/>
            </w:tcBorders>
            <w:shd w:val="clear" w:color="000000" w:fill="F2DBDB"/>
            <w:noWrap/>
            <w:vAlign w:val="center"/>
            <w:hideMark/>
          </w:tcPr>
          <w:p w14:paraId="0F6FCBDA"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6,1</w:t>
            </w:r>
          </w:p>
        </w:tc>
        <w:tc>
          <w:tcPr>
            <w:tcW w:w="850" w:type="dxa"/>
            <w:tcBorders>
              <w:top w:val="nil"/>
              <w:left w:val="nil"/>
              <w:bottom w:val="nil"/>
              <w:right w:val="nil"/>
            </w:tcBorders>
            <w:shd w:val="clear" w:color="000000" w:fill="F2DBDB"/>
            <w:noWrap/>
            <w:vAlign w:val="center"/>
            <w:hideMark/>
          </w:tcPr>
          <w:p w14:paraId="4EEC2503"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1 053</w:t>
            </w:r>
          </w:p>
        </w:tc>
        <w:tc>
          <w:tcPr>
            <w:tcW w:w="709" w:type="dxa"/>
            <w:tcBorders>
              <w:top w:val="nil"/>
              <w:left w:val="nil"/>
              <w:bottom w:val="nil"/>
              <w:right w:val="single" w:sz="8" w:space="0" w:color="auto"/>
            </w:tcBorders>
            <w:shd w:val="clear" w:color="000000" w:fill="F2DBDB"/>
            <w:noWrap/>
            <w:vAlign w:val="center"/>
            <w:hideMark/>
          </w:tcPr>
          <w:p w14:paraId="5454D47B"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6,3</w:t>
            </w:r>
          </w:p>
        </w:tc>
        <w:tc>
          <w:tcPr>
            <w:tcW w:w="992" w:type="dxa"/>
            <w:tcBorders>
              <w:top w:val="nil"/>
              <w:left w:val="nil"/>
              <w:bottom w:val="nil"/>
              <w:right w:val="nil"/>
            </w:tcBorders>
            <w:shd w:val="clear" w:color="000000" w:fill="F2DBDB"/>
            <w:noWrap/>
            <w:vAlign w:val="center"/>
            <w:hideMark/>
          </w:tcPr>
          <w:p w14:paraId="55685E34"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22 743</w:t>
            </w:r>
          </w:p>
        </w:tc>
        <w:tc>
          <w:tcPr>
            <w:tcW w:w="851" w:type="dxa"/>
            <w:tcBorders>
              <w:top w:val="nil"/>
              <w:left w:val="nil"/>
              <w:bottom w:val="nil"/>
              <w:right w:val="single" w:sz="8" w:space="0" w:color="auto"/>
            </w:tcBorders>
            <w:shd w:val="clear" w:color="000000" w:fill="F2DBDB"/>
            <w:noWrap/>
            <w:vAlign w:val="center"/>
            <w:hideMark/>
          </w:tcPr>
          <w:p w14:paraId="1FF2E3D5"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6,3</w:t>
            </w:r>
          </w:p>
        </w:tc>
        <w:tc>
          <w:tcPr>
            <w:tcW w:w="850" w:type="dxa"/>
            <w:tcBorders>
              <w:top w:val="nil"/>
              <w:left w:val="nil"/>
              <w:bottom w:val="nil"/>
              <w:right w:val="nil"/>
            </w:tcBorders>
            <w:shd w:val="clear" w:color="000000" w:fill="F2DBDB"/>
            <w:noWrap/>
            <w:vAlign w:val="center"/>
            <w:hideMark/>
          </w:tcPr>
          <w:p w14:paraId="441B2E48"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2 103</w:t>
            </w:r>
          </w:p>
        </w:tc>
        <w:tc>
          <w:tcPr>
            <w:tcW w:w="709" w:type="dxa"/>
            <w:tcBorders>
              <w:top w:val="nil"/>
              <w:left w:val="nil"/>
              <w:bottom w:val="nil"/>
              <w:right w:val="single" w:sz="8" w:space="0" w:color="auto"/>
            </w:tcBorders>
            <w:shd w:val="clear" w:color="000000" w:fill="F2DBDB"/>
            <w:noWrap/>
            <w:vAlign w:val="center"/>
            <w:hideMark/>
          </w:tcPr>
          <w:p w14:paraId="61CB5A12"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6,2</w:t>
            </w:r>
          </w:p>
        </w:tc>
        <w:tc>
          <w:tcPr>
            <w:tcW w:w="789" w:type="dxa"/>
            <w:tcBorders>
              <w:top w:val="nil"/>
              <w:left w:val="nil"/>
              <w:bottom w:val="nil"/>
              <w:right w:val="nil"/>
            </w:tcBorders>
            <w:shd w:val="clear" w:color="000000" w:fill="F2DBDB"/>
            <w:noWrap/>
            <w:vAlign w:val="center"/>
            <w:hideMark/>
          </w:tcPr>
          <w:p w14:paraId="514B3D2E"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21,6</w:t>
            </w:r>
          </w:p>
        </w:tc>
        <w:tc>
          <w:tcPr>
            <w:tcW w:w="708" w:type="dxa"/>
            <w:tcBorders>
              <w:top w:val="nil"/>
              <w:left w:val="nil"/>
              <w:bottom w:val="nil"/>
              <w:right w:val="single" w:sz="8" w:space="0" w:color="auto"/>
            </w:tcBorders>
            <w:shd w:val="clear" w:color="000000" w:fill="F2DBDB"/>
            <w:noWrap/>
            <w:vAlign w:val="center"/>
            <w:hideMark/>
          </w:tcPr>
          <w:p w14:paraId="4E76E2FB"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10,8</w:t>
            </w:r>
          </w:p>
        </w:tc>
      </w:tr>
      <w:tr w:rsidR="00A12895" w:rsidRPr="00A12895" w14:paraId="4FDA60DD" w14:textId="77777777" w:rsidTr="00A12895">
        <w:trPr>
          <w:trHeight w:val="300"/>
        </w:trPr>
        <w:tc>
          <w:tcPr>
            <w:tcW w:w="1843" w:type="dxa"/>
            <w:tcBorders>
              <w:top w:val="nil"/>
              <w:left w:val="single" w:sz="8" w:space="0" w:color="auto"/>
              <w:bottom w:val="nil"/>
              <w:right w:val="nil"/>
            </w:tcBorders>
            <w:shd w:val="clear" w:color="auto" w:fill="auto"/>
            <w:vAlign w:val="center"/>
            <w:hideMark/>
          </w:tcPr>
          <w:p w14:paraId="768F383F" w14:textId="77777777" w:rsidR="00A12895" w:rsidRPr="00A12895" w:rsidRDefault="00A12895" w:rsidP="000C12F5">
            <w:pPr>
              <w:keepNext/>
              <w:spacing w:after="0" w:line="240" w:lineRule="auto"/>
              <w:ind w:firstLineChars="100" w:firstLine="160"/>
              <w:rPr>
                <w:rFonts w:cs="Arial"/>
                <w:color w:val="000000"/>
                <w:sz w:val="16"/>
                <w:szCs w:val="16"/>
              </w:rPr>
            </w:pPr>
            <w:r w:rsidRPr="00A12895">
              <w:rPr>
                <w:rFonts w:cs="Arial"/>
                <w:color w:val="000000"/>
                <w:sz w:val="16"/>
                <w:szCs w:val="16"/>
              </w:rPr>
              <w:t>Plzeňský kraj</w:t>
            </w:r>
          </w:p>
        </w:tc>
        <w:tc>
          <w:tcPr>
            <w:tcW w:w="629" w:type="dxa"/>
            <w:tcBorders>
              <w:top w:val="nil"/>
              <w:left w:val="single" w:sz="8" w:space="0" w:color="auto"/>
              <w:bottom w:val="nil"/>
              <w:right w:val="nil"/>
            </w:tcBorders>
            <w:shd w:val="clear" w:color="auto" w:fill="auto"/>
            <w:noWrap/>
            <w:vAlign w:val="center"/>
            <w:hideMark/>
          </w:tcPr>
          <w:p w14:paraId="6F6DCCFC"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281</w:t>
            </w:r>
          </w:p>
        </w:tc>
        <w:tc>
          <w:tcPr>
            <w:tcW w:w="709" w:type="dxa"/>
            <w:tcBorders>
              <w:top w:val="nil"/>
              <w:left w:val="nil"/>
              <w:bottom w:val="nil"/>
              <w:right w:val="single" w:sz="8" w:space="0" w:color="auto"/>
            </w:tcBorders>
            <w:shd w:val="clear" w:color="auto" w:fill="auto"/>
            <w:noWrap/>
            <w:vAlign w:val="center"/>
            <w:hideMark/>
          </w:tcPr>
          <w:p w14:paraId="625DC260"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5,3</w:t>
            </w:r>
          </w:p>
        </w:tc>
        <w:tc>
          <w:tcPr>
            <w:tcW w:w="850" w:type="dxa"/>
            <w:tcBorders>
              <w:top w:val="nil"/>
              <w:left w:val="nil"/>
              <w:bottom w:val="nil"/>
              <w:right w:val="nil"/>
            </w:tcBorders>
            <w:shd w:val="clear" w:color="auto" w:fill="auto"/>
            <w:noWrap/>
            <w:vAlign w:val="center"/>
            <w:hideMark/>
          </w:tcPr>
          <w:p w14:paraId="41F6CD31"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884</w:t>
            </w:r>
          </w:p>
        </w:tc>
        <w:tc>
          <w:tcPr>
            <w:tcW w:w="709" w:type="dxa"/>
            <w:tcBorders>
              <w:top w:val="nil"/>
              <w:left w:val="nil"/>
              <w:bottom w:val="nil"/>
              <w:right w:val="single" w:sz="8" w:space="0" w:color="auto"/>
            </w:tcBorders>
            <w:shd w:val="clear" w:color="auto" w:fill="auto"/>
            <w:noWrap/>
            <w:vAlign w:val="center"/>
            <w:hideMark/>
          </w:tcPr>
          <w:p w14:paraId="342AB55B"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5,3</w:t>
            </w:r>
          </w:p>
        </w:tc>
        <w:tc>
          <w:tcPr>
            <w:tcW w:w="992" w:type="dxa"/>
            <w:tcBorders>
              <w:top w:val="nil"/>
              <w:left w:val="nil"/>
              <w:bottom w:val="nil"/>
              <w:right w:val="nil"/>
            </w:tcBorders>
            <w:shd w:val="clear" w:color="auto" w:fill="auto"/>
            <w:noWrap/>
            <w:vAlign w:val="center"/>
            <w:hideMark/>
          </w:tcPr>
          <w:p w14:paraId="657C34C1"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19 023</w:t>
            </w:r>
          </w:p>
        </w:tc>
        <w:tc>
          <w:tcPr>
            <w:tcW w:w="851" w:type="dxa"/>
            <w:tcBorders>
              <w:top w:val="nil"/>
              <w:left w:val="nil"/>
              <w:bottom w:val="nil"/>
              <w:right w:val="single" w:sz="8" w:space="0" w:color="auto"/>
            </w:tcBorders>
            <w:shd w:val="clear" w:color="auto" w:fill="auto"/>
            <w:noWrap/>
            <w:vAlign w:val="center"/>
            <w:hideMark/>
          </w:tcPr>
          <w:p w14:paraId="6900C201"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5,3</w:t>
            </w:r>
          </w:p>
        </w:tc>
        <w:tc>
          <w:tcPr>
            <w:tcW w:w="850" w:type="dxa"/>
            <w:tcBorders>
              <w:top w:val="nil"/>
              <w:left w:val="nil"/>
              <w:bottom w:val="nil"/>
              <w:right w:val="nil"/>
            </w:tcBorders>
            <w:shd w:val="clear" w:color="auto" w:fill="auto"/>
            <w:noWrap/>
            <w:vAlign w:val="center"/>
            <w:hideMark/>
          </w:tcPr>
          <w:p w14:paraId="5D1F7DCC"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1 773</w:t>
            </w:r>
          </w:p>
        </w:tc>
        <w:tc>
          <w:tcPr>
            <w:tcW w:w="709" w:type="dxa"/>
            <w:tcBorders>
              <w:top w:val="nil"/>
              <w:left w:val="nil"/>
              <w:bottom w:val="nil"/>
              <w:right w:val="single" w:sz="8" w:space="0" w:color="auto"/>
            </w:tcBorders>
            <w:shd w:val="clear" w:color="auto" w:fill="auto"/>
            <w:noWrap/>
            <w:vAlign w:val="center"/>
            <w:hideMark/>
          </w:tcPr>
          <w:p w14:paraId="1C29E85B"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5,2</w:t>
            </w:r>
          </w:p>
        </w:tc>
        <w:tc>
          <w:tcPr>
            <w:tcW w:w="789" w:type="dxa"/>
            <w:tcBorders>
              <w:top w:val="nil"/>
              <w:left w:val="nil"/>
              <w:bottom w:val="nil"/>
              <w:right w:val="nil"/>
            </w:tcBorders>
            <w:shd w:val="clear" w:color="auto" w:fill="auto"/>
            <w:noWrap/>
            <w:vAlign w:val="center"/>
            <w:hideMark/>
          </w:tcPr>
          <w:p w14:paraId="0EC3BE75"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21,5</w:t>
            </w:r>
          </w:p>
        </w:tc>
        <w:tc>
          <w:tcPr>
            <w:tcW w:w="708" w:type="dxa"/>
            <w:tcBorders>
              <w:top w:val="nil"/>
              <w:left w:val="nil"/>
              <w:bottom w:val="nil"/>
              <w:right w:val="single" w:sz="8" w:space="0" w:color="auto"/>
            </w:tcBorders>
            <w:shd w:val="clear" w:color="auto" w:fill="auto"/>
            <w:noWrap/>
            <w:vAlign w:val="center"/>
            <w:hideMark/>
          </w:tcPr>
          <w:p w14:paraId="066E485A"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10,7</w:t>
            </w:r>
          </w:p>
        </w:tc>
      </w:tr>
      <w:tr w:rsidR="00A12895" w:rsidRPr="00A12895" w14:paraId="758A5017" w14:textId="77777777" w:rsidTr="00A12895">
        <w:trPr>
          <w:trHeight w:val="300"/>
        </w:trPr>
        <w:tc>
          <w:tcPr>
            <w:tcW w:w="1843" w:type="dxa"/>
            <w:tcBorders>
              <w:top w:val="nil"/>
              <w:left w:val="single" w:sz="8" w:space="0" w:color="auto"/>
              <w:bottom w:val="nil"/>
              <w:right w:val="nil"/>
            </w:tcBorders>
            <w:shd w:val="clear" w:color="000000" w:fill="F2DBDB"/>
            <w:vAlign w:val="center"/>
            <w:hideMark/>
          </w:tcPr>
          <w:p w14:paraId="07C2D2A8" w14:textId="77777777" w:rsidR="00A12895" w:rsidRPr="00A12895" w:rsidRDefault="00A12895" w:rsidP="000C12F5">
            <w:pPr>
              <w:keepNext/>
              <w:spacing w:after="0" w:line="240" w:lineRule="auto"/>
              <w:ind w:firstLineChars="100" w:firstLine="160"/>
              <w:rPr>
                <w:rFonts w:cs="Arial"/>
                <w:color w:val="000000"/>
                <w:sz w:val="16"/>
                <w:szCs w:val="16"/>
              </w:rPr>
            </w:pPr>
            <w:r w:rsidRPr="00A12895">
              <w:rPr>
                <w:rFonts w:cs="Arial"/>
                <w:color w:val="000000"/>
                <w:sz w:val="16"/>
                <w:szCs w:val="16"/>
              </w:rPr>
              <w:t>Karlovarský kraj</w:t>
            </w:r>
          </w:p>
        </w:tc>
        <w:tc>
          <w:tcPr>
            <w:tcW w:w="629" w:type="dxa"/>
            <w:tcBorders>
              <w:top w:val="nil"/>
              <w:left w:val="single" w:sz="8" w:space="0" w:color="auto"/>
              <w:bottom w:val="nil"/>
              <w:right w:val="nil"/>
            </w:tcBorders>
            <w:shd w:val="clear" w:color="000000" w:fill="F2DBDB"/>
            <w:noWrap/>
            <w:vAlign w:val="center"/>
            <w:hideMark/>
          </w:tcPr>
          <w:p w14:paraId="58183EBD"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125</w:t>
            </w:r>
          </w:p>
        </w:tc>
        <w:tc>
          <w:tcPr>
            <w:tcW w:w="709" w:type="dxa"/>
            <w:tcBorders>
              <w:top w:val="nil"/>
              <w:left w:val="nil"/>
              <w:bottom w:val="nil"/>
              <w:right w:val="single" w:sz="8" w:space="0" w:color="auto"/>
            </w:tcBorders>
            <w:shd w:val="clear" w:color="000000" w:fill="F2DBDB"/>
            <w:noWrap/>
            <w:vAlign w:val="center"/>
            <w:hideMark/>
          </w:tcPr>
          <w:p w14:paraId="352BABFB"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2,3</w:t>
            </w:r>
          </w:p>
        </w:tc>
        <w:tc>
          <w:tcPr>
            <w:tcW w:w="850" w:type="dxa"/>
            <w:tcBorders>
              <w:top w:val="nil"/>
              <w:left w:val="nil"/>
              <w:bottom w:val="nil"/>
              <w:right w:val="nil"/>
            </w:tcBorders>
            <w:shd w:val="clear" w:color="000000" w:fill="F2DBDB"/>
            <w:noWrap/>
            <w:vAlign w:val="center"/>
            <w:hideMark/>
          </w:tcPr>
          <w:p w14:paraId="6771956C"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386</w:t>
            </w:r>
          </w:p>
        </w:tc>
        <w:tc>
          <w:tcPr>
            <w:tcW w:w="709" w:type="dxa"/>
            <w:tcBorders>
              <w:top w:val="nil"/>
              <w:left w:val="nil"/>
              <w:bottom w:val="nil"/>
              <w:right w:val="single" w:sz="8" w:space="0" w:color="auto"/>
            </w:tcBorders>
            <w:shd w:val="clear" w:color="000000" w:fill="F2DBDB"/>
            <w:noWrap/>
            <w:vAlign w:val="center"/>
            <w:hideMark/>
          </w:tcPr>
          <w:p w14:paraId="0B7E36E4"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2,3</w:t>
            </w:r>
          </w:p>
        </w:tc>
        <w:tc>
          <w:tcPr>
            <w:tcW w:w="992" w:type="dxa"/>
            <w:tcBorders>
              <w:top w:val="nil"/>
              <w:left w:val="nil"/>
              <w:bottom w:val="nil"/>
              <w:right w:val="nil"/>
            </w:tcBorders>
            <w:shd w:val="clear" w:color="000000" w:fill="F2DBDB"/>
            <w:noWrap/>
            <w:vAlign w:val="center"/>
            <w:hideMark/>
          </w:tcPr>
          <w:p w14:paraId="040C7677"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8 354</w:t>
            </w:r>
          </w:p>
        </w:tc>
        <w:tc>
          <w:tcPr>
            <w:tcW w:w="851" w:type="dxa"/>
            <w:tcBorders>
              <w:top w:val="nil"/>
              <w:left w:val="nil"/>
              <w:bottom w:val="nil"/>
              <w:right w:val="single" w:sz="8" w:space="0" w:color="auto"/>
            </w:tcBorders>
            <w:shd w:val="clear" w:color="000000" w:fill="F2DBDB"/>
            <w:noWrap/>
            <w:vAlign w:val="center"/>
            <w:hideMark/>
          </w:tcPr>
          <w:p w14:paraId="6D295818"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2,3</w:t>
            </w:r>
          </w:p>
        </w:tc>
        <w:tc>
          <w:tcPr>
            <w:tcW w:w="850" w:type="dxa"/>
            <w:tcBorders>
              <w:top w:val="nil"/>
              <w:left w:val="nil"/>
              <w:bottom w:val="nil"/>
              <w:right w:val="nil"/>
            </w:tcBorders>
            <w:shd w:val="clear" w:color="000000" w:fill="F2DBDB"/>
            <w:noWrap/>
            <w:vAlign w:val="center"/>
            <w:hideMark/>
          </w:tcPr>
          <w:p w14:paraId="662578A4"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786</w:t>
            </w:r>
          </w:p>
        </w:tc>
        <w:tc>
          <w:tcPr>
            <w:tcW w:w="709" w:type="dxa"/>
            <w:tcBorders>
              <w:top w:val="nil"/>
              <w:left w:val="nil"/>
              <w:bottom w:val="nil"/>
              <w:right w:val="single" w:sz="8" w:space="0" w:color="auto"/>
            </w:tcBorders>
            <w:shd w:val="clear" w:color="000000" w:fill="F2DBDB"/>
            <w:noWrap/>
            <w:vAlign w:val="center"/>
            <w:hideMark/>
          </w:tcPr>
          <w:p w14:paraId="46922962"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2,3</w:t>
            </w:r>
          </w:p>
        </w:tc>
        <w:tc>
          <w:tcPr>
            <w:tcW w:w="789" w:type="dxa"/>
            <w:tcBorders>
              <w:top w:val="nil"/>
              <w:left w:val="nil"/>
              <w:bottom w:val="nil"/>
              <w:right w:val="nil"/>
            </w:tcBorders>
            <w:shd w:val="clear" w:color="000000" w:fill="F2DBDB"/>
            <w:noWrap/>
            <w:vAlign w:val="center"/>
            <w:hideMark/>
          </w:tcPr>
          <w:p w14:paraId="704A6D77"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21,6</w:t>
            </w:r>
          </w:p>
        </w:tc>
        <w:tc>
          <w:tcPr>
            <w:tcW w:w="708" w:type="dxa"/>
            <w:tcBorders>
              <w:top w:val="nil"/>
              <w:left w:val="nil"/>
              <w:bottom w:val="nil"/>
              <w:right w:val="single" w:sz="8" w:space="0" w:color="auto"/>
            </w:tcBorders>
            <w:shd w:val="clear" w:color="000000" w:fill="F2DBDB"/>
            <w:noWrap/>
            <w:vAlign w:val="center"/>
            <w:hideMark/>
          </w:tcPr>
          <w:p w14:paraId="72565867"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10,6</w:t>
            </w:r>
          </w:p>
        </w:tc>
      </w:tr>
      <w:tr w:rsidR="00A12895" w:rsidRPr="00A12895" w14:paraId="4C7BE10D" w14:textId="77777777" w:rsidTr="00A12895">
        <w:trPr>
          <w:trHeight w:val="300"/>
        </w:trPr>
        <w:tc>
          <w:tcPr>
            <w:tcW w:w="1843" w:type="dxa"/>
            <w:tcBorders>
              <w:top w:val="nil"/>
              <w:left w:val="single" w:sz="8" w:space="0" w:color="auto"/>
              <w:bottom w:val="nil"/>
              <w:right w:val="nil"/>
            </w:tcBorders>
            <w:shd w:val="clear" w:color="auto" w:fill="auto"/>
            <w:vAlign w:val="center"/>
            <w:hideMark/>
          </w:tcPr>
          <w:p w14:paraId="562F791E" w14:textId="77777777" w:rsidR="00A12895" w:rsidRPr="00A12895" w:rsidRDefault="00A12895" w:rsidP="000C12F5">
            <w:pPr>
              <w:keepNext/>
              <w:spacing w:after="0" w:line="240" w:lineRule="auto"/>
              <w:ind w:firstLineChars="100" w:firstLine="160"/>
              <w:rPr>
                <w:rFonts w:cs="Arial"/>
                <w:color w:val="000000"/>
                <w:sz w:val="16"/>
                <w:szCs w:val="16"/>
              </w:rPr>
            </w:pPr>
            <w:r w:rsidRPr="00A12895">
              <w:rPr>
                <w:rFonts w:cs="Arial"/>
                <w:color w:val="000000"/>
                <w:sz w:val="16"/>
                <w:szCs w:val="16"/>
              </w:rPr>
              <w:t>Ústecký kraj</w:t>
            </w:r>
          </w:p>
        </w:tc>
        <w:tc>
          <w:tcPr>
            <w:tcW w:w="629" w:type="dxa"/>
            <w:tcBorders>
              <w:top w:val="nil"/>
              <w:left w:val="single" w:sz="8" w:space="0" w:color="auto"/>
              <w:bottom w:val="nil"/>
              <w:right w:val="nil"/>
            </w:tcBorders>
            <w:shd w:val="clear" w:color="auto" w:fill="auto"/>
            <w:noWrap/>
            <w:vAlign w:val="center"/>
            <w:hideMark/>
          </w:tcPr>
          <w:p w14:paraId="764649FD"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360</w:t>
            </w:r>
          </w:p>
        </w:tc>
        <w:tc>
          <w:tcPr>
            <w:tcW w:w="709" w:type="dxa"/>
            <w:tcBorders>
              <w:top w:val="nil"/>
              <w:left w:val="nil"/>
              <w:bottom w:val="nil"/>
              <w:right w:val="single" w:sz="8" w:space="0" w:color="auto"/>
            </w:tcBorders>
            <w:shd w:val="clear" w:color="auto" w:fill="auto"/>
            <w:noWrap/>
            <w:vAlign w:val="center"/>
            <w:hideMark/>
          </w:tcPr>
          <w:p w14:paraId="019163CD"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6,7</w:t>
            </w:r>
          </w:p>
        </w:tc>
        <w:tc>
          <w:tcPr>
            <w:tcW w:w="850" w:type="dxa"/>
            <w:tcBorders>
              <w:top w:val="nil"/>
              <w:left w:val="nil"/>
              <w:bottom w:val="nil"/>
              <w:right w:val="nil"/>
            </w:tcBorders>
            <w:shd w:val="clear" w:color="auto" w:fill="auto"/>
            <w:noWrap/>
            <w:vAlign w:val="center"/>
            <w:hideMark/>
          </w:tcPr>
          <w:p w14:paraId="41AE70BC"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1 170</w:t>
            </w:r>
          </w:p>
        </w:tc>
        <w:tc>
          <w:tcPr>
            <w:tcW w:w="709" w:type="dxa"/>
            <w:tcBorders>
              <w:top w:val="nil"/>
              <w:left w:val="nil"/>
              <w:bottom w:val="nil"/>
              <w:right w:val="single" w:sz="8" w:space="0" w:color="auto"/>
            </w:tcBorders>
            <w:shd w:val="clear" w:color="auto" w:fill="auto"/>
            <w:noWrap/>
            <w:vAlign w:val="center"/>
            <w:hideMark/>
          </w:tcPr>
          <w:p w14:paraId="5C27BE27"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7,0</w:t>
            </w:r>
          </w:p>
        </w:tc>
        <w:tc>
          <w:tcPr>
            <w:tcW w:w="992" w:type="dxa"/>
            <w:tcBorders>
              <w:top w:val="nil"/>
              <w:left w:val="nil"/>
              <w:bottom w:val="nil"/>
              <w:right w:val="nil"/>
            </w:tcBorders>
            <w:shd w:val="clear" w:color="auto" w:fill="auto"/>
            <w:noWrap/>
            <w:vAlign w:val="center"/>
            <w:hideMark/>
          </w:tcPr>
          <w:p w14:paraId="7BB6CC02"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24 264</w:t>
            </w:r>
          </w:p>
        </w:tc>
        <w:tc>
          <w:tcPr>
            <w:tcW w:w="851" w:type="dxa"/>
            <w:tcBorders>
              <w:top w:val="nil"/>
              <w:left w:val="nil"/>
              <w:bottom w:val="nil"/>
              <w:right w:val="single" w:sz="8" w:space="0" w:color="auto"/>
            </w:tcBorders>
            <w:shd w:val="clear" w:color="auto" w:fill="auto"/>
            <w:noWrap/>
            <w:vAlign w:val="center"/>
            <w:hideMark/>
          </w:tcPr>
          <w:p w14:paraId="2EBD73DF"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6,7</w:t>
            </w:r>
          </w:p>
        </w:tc>
        <w:tc>
          <w:tcPr>
            <w:tcW w:w="850" w:type="dxa"/>
            <w:tcBorders>
              <w:top w:val="nil"/>
              <w:left w:val="nil"/>
              <w:bottom w:val="nil"/>
              <w:right w:val="nil"/>
            </w:tcBorders>
            <w:shd w:val="clear" w:color="auto" w:fill="auto"/>
            <w:noWrap/>
            <w:vAlign w:val="center"/>
            <w:hideMark/>
          </w:tcPr>
          <w:p w14:paraId="3512F154"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2 382</w:t>
            </w:r>
          </w:p>
        </w:tc>
        <w:tc>
          <w:tcPr>
            <w:tcW w:w="709" w:type="dxa"/>
            <w:tcBorders>
              <w:top w:val="nil"/>
              <w:left w:val="nil"/>
              <w:bottom w:val="nil"/>
              <w:right w:val="single" w:sz="8" w:space="0" w:color="auto"/>
            </w:tcBorders>
            <w:shd w:val="clear" w:color="auto" w:fill="auto"/>
            <w:noWrap/>
            <w:vAlign w:val="center"/>
            <w:hideMark/>
          </w:tcPr>
          <w:p w14:paraId="32C0E9A6"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7,0</w:t>
            </w:r>
          </w:p>
        </w:tc>
        <w:tc>
          <w:tcPr>
            <w:tcW w:w="789" w:type="dxa"/>
            <w:tcBorders>
              <w:top w:val="nil"/>
              <w:left w:val="nil"/>
              <w:bottom w:val="nil"/>
              <w:right w:val="nil"/>
            </w:tcBorders>
            <w:shd w:val="clear" w:color="auto" w:fill="auto"/>
            <w:noWrap/>
            <w:vAlign w:val="center"/>
            <w:hideMark/>
          </w:tcPr>
          <w:p w14:paraId="2DD05FBF"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20,7</w:t>
            </w:r>
          </w:p>
        </w:tc>
        <w:tc>
          <w:tcPr>
            <w:tcW w:w="708" w:type="dxa"/>
            <w:tcBorders>
              <w:top w:val="nil"/>
              <w:left w:val="nil"/>
              <w:bottom w:val="nil"/>
              <w:right w:val="single" w:sz="8" w:space="0" w:color="auto"/>
            </w:tcBorders>
            <w:shd w:val="clear" w:color="auto" w:fill="auto"/>
            <w:noWrap/>
            <w:vAlign w:val="center"/>
            <w:hideMark/>
          </w:tcPr>
          <w:p w14:paraId="2DF5DF14"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10,2</w:t>
            </w:r>
          </w:p>
        </w:tc>
      </w:tr>
      <w:tr w:rsidR="00A12895" w:rsidRPr="00A12895" w14:paraId="06787D13" w14:textId="77777777" w:rsidTr="00A12895">
        <w:trPr>
          <w:trHeight w:val="300"/>
        </w:trPr>
        <w:tc>
          <w:tcPr>
            <w:tcW w:w="1843" w:type="dxa"/>
            <w:tcBorders>
              <w:top w:val="nil"/>
              <w:left w:val="single" w:sz="8" w:space="0" w:color="auto"/>
              <w:bottom w:val="nil"/>
              <w:right w:val="nil"/>
            </w:tcBorders>
            <w:shd w:val="clear" w:color="000000" w:fill="F2DBDB"/>
            <w:vAlign w:val="center"/>
            <w:hideMark/>
          </w:tcPr>
          <w:p w14:paraId="477580F2" w14:textId="77777777" w:rsidR="00A12895" w:rsidRPr="00A12895" w:rsidRDefault="00A12895" w:rsidP="000C12F5">
            <w:pPr>
              <w:keepNext/>
              <w:spacing w:after="0" w:line="240" w:lineRule="auto"/>
              <w:ind w:firstLineChars="100" w:firstLine="160"/>
              <w:rPr>
                <w:rFonts w:cs="Arial"/>
                <w:color w:val="000000"/>
                <w:sz w:val="16"/>
                <w:szCs w:val="16"/>
              </w:rPr>
            </w:pPr>
            <w:r w:rsidRPr="00A12895">
              <w:rPr>
                <w:rFonts w:cs="Arial"/>
                <w:color w:val="000000"/>
                <w:sz w:val="16"/>
                <w:szCs w:val="16"/>
              </w:rPr>
              <w:t>Liberecký kraj</w:t>
            </w:r>
          </w:p>
        </w:tc>
        <w:tc>
          <w:tcPr>
            <w:tcW w:w="629" w:type="dxa"/>
            <w:tcBorders>
              <w:top w:val="nil"/>
              <w:left w:val="single" w:sz="8" w:space="0" w:color="auto"/>
              <w:bottom w:val="nil"/>
              <w:right w:val="nil"/>
            </w:tcBorders>
            <w:shd w:val="clear" w:color="000000" w:fill="F2DBDB"/>
            <w:noWrap/>
            <w:vAlign w:val="center"/>
            <w:hideMark/>
          </w:tcPr>
          <w:p w14:paraId="01E099DC"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235</w:t>
            </w:r>
          </w:p>
        </w:tc>
        <w:tc>
          <w:tcPr>
            <w:tcW w:w="709" w:type="dxa"/>
            <w:tcBorders>
              <w:top w:val="nil"/>
              <w:left w:val="nil"/>
              <w:bottom w:val="nil"/>
              <w:right w:val="single" w:sz="8" w:space="0" w:color="auto"/>
            </w:tcBorders>
            <w:shd w:val="clear" w:color="000000" w:fill="F2DBDB"/>
            <w:noWrap/>
            <w:vAlign w:val="center"/>
            <w:hideMark/>
          </w:tcPr>
          <w:p w14:paraId="207B4D83"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4,4</w:t>
            </w:r>
          </w:p>
        </w:tc>
        <w:tc>
          <w:tcPr>
            <w:tcW w:w="850" w:type="dxa"/>
            <w:tcBorders>
              <w:top w:val="nil"/>
              <w:left w:val="nil"/>
              <w:bottom w:val="nil"/>
              <w:right w:val="nil"/>
            </w:tcBorders>
            <w:shd w:val="clear" w:color="000000" w:fill="F2DBDB"/>
            <w:noWrap/>
            <w:vAlign w:val="center"/>
            <w:hideMark/>
          </w:tcPr>
          <w:p w14:paraId="35596419"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723</w:t>
            </w:r>
          </w:p>
        </w:tc>
        <w:tc>
          <w:tcPr>
            <w:tcW w:w="709" w:type="dxa"/>
            <w:tcBorders>
              <w:top w:val="nil"/>
              <w:left w:val="nil"/>
              <w:bottom w:val="nil"/>
              <w:right w:val="single" w:sz="8" w:space="0" w:color="auto"/>
            </w:tcBorders>
            <w:shd w:val="clear" w:color="000000" w:fill="F2DBDB"/>
            <w:noWrap/>
            <w:vAlign w:val="center"/>
            <w:hideMark/>
          </w:tcPr>
          <w:p w14:paraId="4161E4D4"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4,3</w:t>
            </w:r>
          </w:p>
        </w:tc>
        <w:tc>
          <w:tcPr>
            <w:tcW w:w="992" w:type="dxa"/>
            <w:tcBorders>
              <w:top w:val="nil"/>
              <w:left w:val="nil"/>
              <w:bottom w:val="nil"/>
              <w:right w:val="nil"/>
            </w:tcBorders>
            <w:shd w:val="clear" w:color="000000" w:fill="F2DBDB"/>
            <w:noWrap/>
            <w:vAlign w:val="center"/>
            <w:hideMark/>
          </w:tcPr>
          <w:p w14:paraId="6394795F"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15 195</w:t>
            </w:r>
          </w:p>
        </w:tc>
        <w:tc>
          <w:tcPr>
            <w:tcW w:w="851" w:type="dxa"/>
            <w:tcBorders>
              <w:top w:val="nil"/>
              <w:left w:val="nil"/>
              <w:bottom w:val="nil"/>
              <w:right w:val="single" w:sz="8" w:space="0" w:color="auto"/>
            </w:tcBorders>
            <w:shd w:val="clear" w:color="000000" w:fill="F2DBDB"/>
            <w:noWrap/>
            <w:vAlign w:val="center"/>
            <w:hideMark/>
          </w:tcPr>
          <w:p w14:paraId="520121FA"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4,2</w:t>
            </w:r>
          </w:p>
        </w:tc>
        <w:tc>
          <w:tcPr>
            <w:tcW w:w="850" w:type="dxa"/>
            <w:tcBorders>
              <w:top w:val="nil"/>
              <w:left w:val="nil"/>
              <w:bottom w:val="nil"/>
              <w:right w:val="nil"/>
            </w:tcBorders>
            <w:shd w:val="clear" w:color="000000" w:fill="F2DBDB"/>
            <w:noWrap/>
            <w:vAlign w:val="center"/>
            <w:hideMark/>
          </w:tcPr>
          <w:p w14:paraId="10816650"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1 457</w:t>
            </w:r>
          </w:p>
        </w:tc>
        <w:tc>
          <w:tcPr>
            <w:tcW w:w="709" w:type="dxa"/>
            <w:tcBorders>
              <w:top w:val="nil"/>
              <w:left w:val="nil"/>
              <w:bottom w:val="nil"/>
              <w:right w:val="single" w:sz="8" w:space="0" w:color="auto"/>
            </w:tcBorders>
            <w:shd w:val="clear" w:color="000000" w:fill="F2DBDB"/>
            <w:noWrap/>
            <w:vAlign w:val="center"/>
            <w:hideMark/>
          </w:tcPr>
          <w:p w14:paraId="4F3ED384"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4,3</w:t>
            </w:r>
          </w:p>
        </w:tc>
        <w:tc>
          <w:tcPr>
            <w:tcW w:w="789" w:type="dxa"/>
            <w:tcBorders>
              <w:top w:val="nil"/>
              <w:left w:val="nil"/>
              <w:bottom w:val="nil"/>
              <w:right w:val="nil"/>
            </w:tcBorders>
            <w:shd w:val="clear" w:color="000000" w:fill="F2DBDB"/>
            <w:noWrap/>
            <w:vAlign w:val="center"/>
            <w:hideMark/>
          </w:tcPr>
          <w:p w14:paraId="38456198"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21,0</w:t>
            </w:r>
          </w:p>
        </w:tc>
        <w:tc>
          <w:tcPr>
            <w:tcW w:w="708" w:type="dxa"/>
            <w:tcBorders>
              <w:top w:val="nil"/>
              <w:left w:val="nil"/>
              <w:bottom w:val="nil"/>
              <w:right w:val="single" w:sz="8" w:space="0" w:color="auto"/>
            </w:tcBorders>
            <w:shd w:val="clear" w:color="000000" w:fill="F2DBDB"/>
            <w:noWrap/>
            <w:vAlign w:val="center"/>
            <w:hideMark/>
          </w:tcPr>
          <w:p w14:paraId="58BDDA9C"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10,4</w:t>
            </w:r>
          </w:p>
        </w:tc>
      </w:tr>
      <w:tr w:rsidR="00A12895" w:rsidRPr="00A12895" w14:paraId="7DF214F3" w14:textId="77777777" w:rsidTr="00A12895">
        <w:trPr>
          <w:trHeight w:val="300"/>
        </w:trPr>
        <w:tc>
          <w:tcPr>
            <w:tcW w:w="1843" w:type="dxa"/>
            <w:tcBorders>
              <w:top w:val="nil"/>
              <w:left w:val="single" w:sz="8" w:space="0" w:color="auto"/>
              <w:bottom w:val="nil"/>
              <w:right w:val="nil"/>
            </w:tcBorders>
            <w:shd w:val="clear" w:color="auto" w:fill="auto"/>
            <w:vAlign w:val="center"/>
            <w:hideMark/>
          </w:tcPr>
          <w:p w14:paraId="5762F2AE" w14:textId="77777777" w:rsidR="00A12895" w:rsidRPr="00A12895" w:rsidRDefault="00A12895" w:rsidP="000C12F5">
            <w:pPr>
              <w:keepNext/>
              <w:spacing w:after="0" w:line="240" w:lineRule="auto"/>
              <w:ind w:firstLineChars="100" w:firstLine="160"/>
              <w:rPr>
                <w:rFonts w:cs="Arial"/>
                <w:color w:val="000000"/>
                <w:sz w:val="16"/>
                <w:szCs w:val="16"/>
              </w:rPr>
            </w:pPr>
            <w:r w:rsidRPr="00A12895">
              <w:rPr>
                <w:rFonts w:cs="Arial"/>
                <w:color w:val="000000"/>
                <w:sz w:val="16"/>
                <w:szCs w:val="16"/>
              </w:rPr>
              <w:t>Královéhradecký kraj</w:t>
            </w:r>
          </w:p>
        </w:tc>
        <w:tc>
          <w:tcPr>
            <w:tcW w:w="629" w:type="dxa"/>
            <w:tcBorders>
              <w:top w:val="nil"/>
              <w:left w:val="single" w:sz="8" w:space="0" w:color="auto"/>
              <w:bottom w:val="nil"/>
              <w:right w:val="nil"/>
            </w:tcBorders>
            <w:shd w:val="clear" w:color="auto" w:fill="auto"/>
            <w:noWrap/>
            <w:vAlign w:val="center"/>
            <w:hideMark/>
          </w:tcPr>
          <w:p w14:paraId="0A04E092"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315</w:t>
            </w:r>
          </w:p>
        </w:tc>
        <w:tc>
          <w:tcPr>
            <w:tcW w:w="709" w:type="dxa"/>
            <w:tcBorders>
              <w:top w:val="nil"/>
              <w:left w:val="nil"/>
              <w:bottom w:val="nil"/>
              <w:right w:val="single" w:sz="8" w:space="0" w:color="auto"/>
            </w:tcBorders>
            <w:shd w:val="clear" w:color="auto" w:fill="auto"/>
            <w:noWrap/>
            <w:vAlign w:val="center"/>
            <w:hideMark/>
          </w:tcPr>
          <w:p w14:paraId="7827EEF8"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5,9</w:t>
            </w:r>
          </w:p>
        </w:tc>
        <w:tc>
          <w:tcPr>
            <w:tcW w:w="850" w:type="dxa"/>
            <w:tcBorders>
              <w:top w:val="nil"/>
              <w:left w:val="nil"/>
              <w:bottom w:val="nil"/>
              <w:right w:val="nil"/>
            </w:tcBorders>
            <w:shd w:val="clear" w:color="auto" w:fill="auto"/>
            <w:noWrap/>
            <w:vAlign w:val="center"/>
            <w:hideMark/>
          </w:tcPr>
          <w:p w14:paraId="2F078732"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886</w:t>
            </w:r>
          </w:p>
        </w:tc>
        <w:tc>
          <w:tcPr>
            <w:tcW w:w="709" w:type="dxa"/>
            <w:tcBorders>
              <w:top w:val="nil"/>
              <w:left w:val="nil"/>
              <w:bottom w:val="nil"/>
              <w:right w:val="single" w:sz="8" w:space="0" w:color="auto"/>
            </w:tcBorders>
            <w:shd w:val="clear" w:color="auto" w:fill="auto"/>
            <w:noWrap/>
            <w:vAlign w:val="center"/>
            <w:hideMark/>
          </w:tcPr>
          <w:p w14:paraId="4EDA609B"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5,3</w:t>
            </w:r>
          </w:p>
        </w:tc>
        <w:tc>
          <w:tcPr>
            <w:tcW w:w="992" w:type="dxa"/>
            <w:tcBorders>
              <w:top w:val="nil"/>
              <w:left w:val="nil"/>
              <w:bottom w:val="nil"/>
              <w:right w:val="nil"/>
            </w:tcBorders>
            <w:shd w:val="clear" w:color="auto" w:fill="auto"/>
            <w:noWrap/>
            <w:vAlign w:val="center"/>
            <w:hideMark/>
          </w:tcPr>
          <w:p w14:paraId="2AB8F32D"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18 482</w:t>
            </w:r>
          </w:p>
        </w:tc>
        <w:tc>
          <w:tcPr>
            <w:tcW w:w="851" w:type="dxa"/>
            <w:tcBorders>
              <w:top w:val="nil"/>
              <w:left w:val="nil"/>
              <w:bottom w:val="nil"/>
              <w:right w:val="single" w:sz="8" w:space="0" w:color="auto"/>
            </w:tcBorders>
            <w:shd w:val="clear" w:color="auto" w:fill="auto"/>
            <w:noWrap/>
            <w:vAlign w:val="center"/>
            <w:hideMark/>
          </w:tcPr>
          <w:p w14:paraId="1455C929"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5,1</w:t>
            </w:r>
          </w:p>
        </w:tc>
        <w:tc>
          <w:tcPr>
            <w:tcW w:w="850" w:type="dxa"/>
            <w:tcBorders>
              <w:top w:val="nil"/>
              <w:left w:val="nil"/>
              <w:bottom w:val="nil"/>
              <w:right w:val="nil"/>
            </w:tcBorders>
            <w:shd w:val="clear" w:color="auto" w:fill="auto"/>
            <w:noWrap/>
            <w:vAlign w:val="center"/>
            <w:hideMark/>
          </w:tcPr>
          <w:p w14:paraId="3A12EC22"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1 781</w:t>
            </w:r>
          </w:p>
        </w:tc>
        <w:tc>
          <w:tcPr>
            <w:tcW w:w="709" w:type="dxa"/>
            <w:tcBorders>
              <w:top w:val="nil"/>
              <w:left w:val="nil"/>
              <w:bottom w:val="nil"/>
              <w:right w:val="single" w:sz="8" w:space="0" w:color="auto"/>
            </w:tcBorders>
            <w:shd w:val="clear" w:color="auto" w:fill="auto"/>
            <w:noWrap/>
            <w:vAlign w:val="center"/>
            <w:hideMark/>
          </w:tcPr>
          <w:p w14:paraId="02F99DB6"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5,3</w:t>
            </w:r>
          </w:p>
        </w:tc>
        <w:tc>
          <w:tcPr>
            <w:tcW w:w="789" w:type="dxa"/>
            <w:tcBorders>
              <w:top w:val="nil"/>
              <w:left w:val="nil"/>
              <w:bottom w:val="nil"/>
              <w:right w:val="nil"/>
            </w:tcBorders>
            <w:shd w:val="clear" w:color="auto" w:fill="auto"/>
            <w:noWrap/>
            <w:vAlign w:val="center"/>
            <w:hideMark/>
          </w:tcPr>
          <w:p w14:paraId="3D23FBED"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20,9</w:t>
            </w:r>
          </w:p>
        </w:tc>
        <w:tc>
          <w:tcPr>
            <w:tcW w:w="708" w:type="dxa"/>
            <w:tcBorders>
              <w:top w:val="nil"/>
              <w:left w:val="nil"/>
              <w:bottom w:val="nil"/>
              <w:right w:val="single" w:sz="8" w:space="0" w:color="auto"/>
            </w:tcBorders>
            <w:shd w:val="clear" w:color="auto" w:fill="auto"/>
            <w:noWrap/>
            <w:vAlign w:val="center"/>
            <w:hideMark/>
          </w:tcPr>
          <w:p w14:paraId="28847E68"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10,4</w:t>
            </w:r>
          </w:p>
        </w:tc>
      </w:tr>
      <w:tr w:rsidR="00A12895" w:rsidRPr="00A12895" w14:paraId="7EB6DB08" w14:textId="77777777" w:rsidTr="00A12895">
        <w:trPr>
          <w:trHeight w:val="300"/>
        </w:trPr>
        <w:tc>
          <w:tcPr>
            <w:tcW w:w="1843" w:type="dxa"/>
            <w:tcBorders>
              <w:top w:val="nil"/>
              <w:left w:val="single" w:sz="8" w:space="0" w:color="auto"/>
              <w:bottom w:val="nil"/>
              <w:right w:val="nil"/>
            </w:tcBorders>
            <w:shd w:val="clear" w:color="000000" w:fill="F2DBDB"/>
            <w:vAlign w:val="center"/>
            <w:hideMark/>
          </w:tcPr>
          <w:p w14:paraId="4B1A9ED2" w14:textId="77777777" w:rsidR="00A12895" w:rsidRPr="00A12895" w:rsidRDefault="00A12895" w:rsidP="000C12F5">
            <w:pPr>
              <w:keepNext/>
              <w:spacing w:after="0" w:line="240" w:lineRule="auto"/>
              <w:ind w:firstLineChars="100" w:firstLine="160"/>
              <w:rPr>
                <w:rFonts w:cs="Arial"/>
                <w:color w:val="000000"/>
                <w:sz w:val="16"/>
                <w:szCs w:val="16"/>
              </w:rPr>
            </w:pPr>
            <w:r w:rsidRPr="00A12895">
              <w:rPr>
                <w:rFonts w:cs="Arial"/>
                <w:color w:val="000000"/>
                <w:sz w:val="16"/>
                <w:szCs w:val="16"/>
              </w:rPr>
              <w:t>Pardubický kraj</w:t>
            </w:r>
          </w:p>
        </w:tc>
        <w:tc>
          <w:tcPr>
            <w:tcW w:w="629" w:type="dxa"/>
            <w:tcBorders>
              <w:top w:val="nil"/>
              <w:left w:val="single" w:sz="8" w:space="0" w:color="auto"/>
              <w:bottom w:val="nil"/>
              <w:right w:val="nil"/>
            </w:tcBorders>
            <w:shd w:val="clear" w:color="000000" w:fill="F2DBDB"/>
            <w:noWrap/>
            <w:vAlign w:val="center"/>
            <w:hideMark/>
          </w:tcPr>
          <w:p w14:paraId="574BB189"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320</w:t>
            </w:r>
          </w:p>
        </w:tc>
        <w:tc>
          <w:tcPr>
            <w:tcW w:w="709" w:type="dxa"/>
            <w:tcBorders>
              <w:top w:val="nil"/>
              <w:left w:val="nil"/>
              <w:bottom w:val="nil"/>
              <w:right w:val="single" w:sz="8" w:space="0" w:color="auto"/>
            </w:tcBorders>
            <w:shd w:val="clear" w:color="000000" w:fill="F2DBDB"/>
            <w:noWrap/>
            <w:vAlign w:val="center"/>
            <w:hideMark/>
          </w:tcPr>
          <w:p w14:paraId="0DE6A70B"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6,0</w:t>
            </w:r>
          </w:p>
        </w:tc>
        <w:tc>
          <w:tcPr>
            <w:tcW w:w="850" w:type="dxa"/>
            <w:tcBorders>
              <w:top w:val="nil"/>
              <w:left w:val="nil"/>
              <w:bottom w:val="nil"/>
              <w:right w:val="nil"/>
            </w:tcBorders>
            <w:shd w:val="clear" w:color="000000" w:fill="F2DBDB"/>
            <w:noWrap/>
            <w:vAlign w:val="center"/>
            <w:hideMark/>
          </w:tcPr>
          <w:p w14:paraId="64A31567"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813</w:t>
            </w:r>
          </w:p>
        </w:tc>
        <w:tc>
          <w:tcPr>
            <w:tcW w:w="709" w:type="dxa"/>
            <w:tcBorders>
              <w:top w:val="nil"/>
              <w:left w:val="nil"/>
              <w:bottom w:val="nil"/>
              <w:right w:val="single" w:sz="8" w:space="0" w:color="auto"/>
            </w:tcBorders>
            <w:shd w:val="clear" w:color="000000" w:fill="F2DBDB"/>
            <w:noWrap/>
            <w:vAlign w:val="center"/>
            <w:hideMark/>
          </w:tcPr>
          <w:p w14:paraId="5F790A66"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4,8</w:t>
            </w:r>
          </w:p>
        </w:tc>
        <w:tc>
          <w:tcPr>
            <w:tcW w:w="992" w:type="dxa"/>
            <w:tcBorders>
              <w:top w:val="nil"/>
              <w:left w:val="nil"/>
              <w:bottom w:val="nil"/>
              <w:right w:val="nil"/>
            </w:tcBorders>
            <w:shd w:val="clear" w:color="000000" w:fill="F2DBDB"/>
            <w:noWrap/>
            <w:vAlign w:val="center"/>
            <w:hideMark/>
          </w:tcPr>
          <w:p w14:paraId="4190E02B"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17 975</w:t>
            </w:r>
          </w:p>
        </w:tc>
        <w:tc>
          <w:tcPr>
            <w:tcW w:w="851" w:type="dxa"/>
            <w:tcBorders>
              <w:top w:val="nil"/>
              <w:left w:val="nil"/>
              <w:bottom w:val="nil"/>
              <w:right w:val="single" w:sz="8" w:space="0" w:color="auto"/>
            </w:tcBorders>
            <w:shd w:val="clear" w:color="000000" w:fill="F2DBDB"/>
            <w:noWrap/>
            <w:vAlign w:val="center"/>
            <w:hideMark/>
          </w:tcPr>
          <w:p w14:paraId="6DF4A7C9"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5,0</w:t>
            </w:r>
          </w:p>
        </w:tc>
        <w:tc>
          <w:tcPr>
            <w:tcW w:w="850" w:type="dxa"/>
            <w:tcBorders>
              <w:top w:val="nil"/>
              <w:left w:val="nil"/>
              <w:bottom w:val="nil"/>
              <w:right w:val="nil"/>
            </w:tcBorders>
            <w:shd w:val="clear" w:color="000000" w:fill="F2DBDB"/>
            <w:noWrap/>
            <w:vAlign w:val="center"/>
            <w:hideMark/>
          </w:tcPr>
          <w:p w14:paraId="5DD5C5E0"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1 685</w:t>
            </w:r>
          </w:p>
        </w:tc>
        <w:tc>
          <w:tcPr>
            <w:tcW w:w="709" w:type="dxa"/>
            <w:tcBorders>
              <w:top w:val="nil"/>
              <w:left w:val="nil"/>
              <w:bottom w:val="nil"/>
              <w:right w:val="single" w:sz="8" w:space="0" w:color="auto"/>
            </w:tcBorders>
            <w:shd w:val="clear" w:color="000000" w:fill="F2DBDB"/>
            <w:noWrap/>
            <w:vAlign w:val="center"/>
            <w:hideMark/>
          </w:tcPr>
          <w:p w14:paraId="6D1505F4"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5,0</w:t>
            </w:r>
          </w:p>
        </w:tc>
        <w:tc>
          <w:tcPr>
            <w:tcW w:w="789" w:type="dxa"/>
            <w:tcBorders>
              <w:top w:val="nil"/>
              <w:left w:val="nil"/>
              <w:bottom w:val="nil"/>
              <w:right w:val="nil"/>
            </w:tcBorders>
            <w:shd w:val="clear" w:color="000000" w:fill="F2DBDB"/>
            <w:noWrap/>
            <w:vAlign w:val="center"/>
            <w:hideMark/>
          </w:tcPr>
          <w:p w14:paraId="5A924AD7"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22,1</w:t>
            </w:r>
          </w:p>
        </w:tc>
        <w:tc>
          <w:tcPr>
            <w:tcW w:w="708" w:type="dxa"/>
            <w:tcBorders>
              <w:top w:val="nil"/>
              <w:left w:val="nil"/>
              <w:bottom w:val="nil"/>
              <w:right w:val="single" w:sz="8" w:space="0" w:color="auto"/>
            </w:tcBorders>
            <w:shd w:val="clear" w:color="000000" w:fill="F2DBDB"/>
            <w:noWrap/>
            <w:vAlign w:val="center"/>
            <w:hideMark/>
          </w:tcPr>
          <w:p w14:paraId="394DF4D8"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10,7</w:t>
            </w:r>
          </w:p>
        </w:tc>
      </w:tr>
      <w:tr w:rsidR="00A12895" w:rsidRPr="00A12895" w14:paraId="007CD058" w14:textId="77777777" w:rsidTr="00A12895">
        <w:trPr>
          <w:trHeight w:val="300"/>
        </w:trPr>
        <w:tc>
          <w:tcPr>
            <w:tcW w:w="1843" w:type="dxa"/>
            <w:tcBorders>
              <w:top w:val="nil"/>
              <w:left w:val="single" w:sz="8" w:space="0" w:color="auto"/>
              <w:bottom w:val="nil"/>
              <w:right w:val="nil"/>
            </w:tcBorders>
            <w:shd w:val="clear" w:color="auto" w:fill="auto"/>
            <w:vAlign w:val="center"/>
            <w:hideMark/>
          </w:tcPr>
          <w:p w14:paraId="47FDB692" w14:textId="77777777" w:rsidR="00A12895" w:rsidRPr="00A12895" w:rsidRDefault="00A12895" w:rsidP="000C12F5">
            <w:pPr>
              <w:keepNext/>
              <w:spacing w:after="0" w:line="240" w:lineRule="auto"/>
              <w:ind w:firstLineChars="100" w:firstLine="160"/>
              <w:rPr>
                <w:rFonts w:cs="Arial"/>
                <w:color w:val="000000"/>
                <w:sz w:val="16"/>
                <w:szCs w:val="16"/>
              </w:rPr>
            </w:pPr>
            <w:r w:rsidRPr="00A12895">
              <w:rPr>
                <w:rFonts w:cs="Arial"/>
                <w:color w:val="000000"/>
                <w:sz w:val="16"/>
                <w:szCs w:val="16"/>
              </w:rPr>
              <w:t>Kraj Vysočina</w:t>
            </w:r>
          </w:p>
        </w:tc>
        <w:tc>
          <w:tcPr>
            <w:tcW w:w="629" w:type="dxa"/>
            <w:tcBorders>
              <w:top w:val="nil"/>
              <w:left w:val="single" w:sz="8" w:space="0" w:color="auto"/>
              <w:bottom w:val="nil"/>
              <w:right w:val="nil"/>
            </w:tcBorders>
            <w:shd w:val="clear" w:color="auto" w:fill="auto"/>
            <w:noWrap/>
            <w:vAlign w:val="center"/>
            <w:hideMark/>
          </w:tcPr>
          <w:p w14:paraId="6B51D1D5"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291</w:t>
            </w:r>
          </w:p>
        </w:tc>
        <w:tc>
          <w:tcPr>
            <w:tcW w:w="709" w:type="dxa"/>
            <w:tcBorders>
              <w:top w:val="nil"/>
              <w:left w:val="nil"/>
              <w:bottom w:val="nil"/>
              <w:right w:val="single" w:sz="8" w:space="0" w:color="auto"/>
            </w:tcBorders>
            <w:shd w:val="clear" w:color="auto" w:fill="auto"/>
            <w:noWrap/>
            <w:vAlign w:val="center"/>
            <w:hideMark/>
          </w:tcPr>
          <w:p w14:paraId="3CEBCD91"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5,4</w:t>
            </w:r>
          </w:p>
        </w:tc>
        <w:tc>
          <w:tcPr>
            <w:tcW w:w="850" w:type="dxa"/>
            <w:tcBorders>
              <w:top w:val="nil"/>
              <w:left w:val="nil"/>
              <w:bottom w:val="nil"/>
              <w:right w:val="nil"/>
            </w:tcBorders>
            <w:shd w:val="clear" w:color="auto" w:fill="auto"/>
            <w:noWrap/>
            <w:vAlign w:val="center"/>
            <w:hideMark/>
          </w:tcPr>
          <w:p w14:paraId="3D3A10D0"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853</w:t>
            </w:r>
          </w:p>
        </w:tc>
        <w:tc>
          <w:tcPr>
            <w:tcW w:w="709" w:type="dxa"/>
            <w:tcBorders>
              <w:top w:val="nil"/>
              <w:left w:val="nil"/>
              <w:bottom w:val="nil"/>
              <w:right w:val="single" w:sz="8" w:space="0" w:color="auto"/>
            </w:tcBorders>
            <w:shd w:val="clear" w:color="auto" w:fill="auto"/>
            <w:noWrap/>
            <w:vAlign w:val="center"/>
            <w:hideMark/>
          </w:tcPr>
          <w:p w14:paraId="77A3CCEE"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5,1</w:t>
            </w:r>
          </w:p>
        </w:tc>
        <w:tc>
          <w:tcPr>
            <w:tcW w:w="992" w:type="dxa"/>
            <w:tcBorders>
              <w:top w:val="nil"/>
              <w:left w:val="nil"/>
              <w:bottom w:val="nil"/>
              <w:right w:val="nil"/>
            </w:tcBorders>
            <w:shd w:val="clear" w:color="auto" w:fill="auto"/>
            <w:noWrap/>
            <w:vAlign w:val="center"/>
            <w:hideMark/>
          </w:tcPr>
          <w:p w14:paraId="61F9D0B4"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17 693</w:t>
            </w:r>
          </w:p>
        </w:tc>
        <w:tc>
          <w:tcPr>
            <w:tcW w:w="851" w:type="dxa"/>
            <w:tcBorders>
              <w:top w:val="nil"/>
              <w:left w:val="nil"/>
              <w:bottom w:val="nil"/>
              <w:right w:val="single" w:sz="8" w:space="0" w:color="auto"/>
            </w:tcBorders>
            <w:shd w:val="clear" w:color="auto" w:fill="auto"/>
            <w:noWrap/>
            <w:vAlign w:val="center"/>
            <w:hideMark/>
          </w:tcPr>
          <w:p w14:paraId="47C8682D"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4,9</w:t>
            </w:r>
          </w:p>
        </w:tc>
        <w:tc>
          <w:tcPr>
            <w:tcW w:w="850" w:type="dxa"/>
            <w:tcBorders>
              <w:top w:val="nil"/>
              <w:left w:val="nil"/>
              <w:bottom w:val="nil"/>
              <w:right w:val="nil"/>
            </w:tcBorders>
            <w:shd w:val="clear" w:color="auto" w:fill="auto"/>
            <w:noWrap/>
            <w:vAlign w:val="center"/>
            <w:hideMark/>
          </w:tcPr>
          <w:p w14:paraId="6E515791"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1 688</w:t>
            </w:r>
          </w:p>
        </w:tc>
        <w:tc>
          <w:tcPr>
            <w:tcW w:w="709" w:type="dxa"/>
            <w:tcBorders>
              <w:top w:val="nil"/>
              <w:left w:val="nil"/>
              <w:bottom w:val="nil"/>
              <w:right w:val="single" w:sz="8" w:space="0" w:color="auto"/>
            </w:tcBorders>
            <w:shd w:val="clear" w:color="auto" w:fill="auto"/>
            <w:noWrap/>
            <w:vAlign w:val="center"/>
            <w:hideMark/>
          </w:tcPr>
          <w:p w14:paraId="419951FB"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5,0</w:t>
            </w:r>
          </w:p>
        </w:tc>
        <w:tc>
          <w:tcPr>
            <w:tcW w:w="789" w:type="dxa"/>
            <w:tcBorders>
              <w:top w:val="nil"/>
              <w:left w:val="nil"/>
              <w:bottom w:val="nil"/>
              <w:right w:val="nil"/>
            </w:tcBorders>
            <w:shd w:val="clear" w:color="auto" w:fill="auto"/>
            <w:noWrap/>
            <w:vAlign w:val="center"/>
            <w:hideMark/>
          </w:tcPr>
          <w:p w14:paraId="31EAF136"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20,7</w:t>
            </w:r>
          </w:p>
        </w:tc>
        <w:tc>
          <w:tcPr>
            <w:tcW w:w="708" w:type="dxa"/>
            <w:tcBorders>
              <w:top w:val="nil"/>
              <w:left w:val="nil"/>
              <w:bottom w:val="nil"/>
              <w:right w:val="single" w:sz="8" w:space="0" w:color="auto"/>
            </w:tcBorders>
            <w:shd w:val="clear" w:color="auto" w:fill="auto"/>
            <w:noWrap/>
            <w:vAlign w:val="center"/>
            <w:hideMark/>
          </w:tcPr>
          <w:p w14:paraId="1D347518"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10,5</w:t>
            </w:r>
          </w:p>
        </w:tc>
      </w:tr>
      <w:tr w:rsidR="00A12895" w:rsidRPr="00A12895" w14:paraId="4E95F625" w14:textId="77777777" w:rsidTr="00A12895">
        <w:trPr>
          <w:trHeight w:val="300"/>
        </w:trPr>
        <w:tc>
          <w:tcPr>
            <w:tcW w:w="1843" w:type="dxa"/>
            <w:tcBorders>
              <w:top w:val="nil"/>
              <w:left w:val="single" w:sz="8" w:space="0" w:color="auto"/>
              <w:bottom w:val="nil"/>
              <w:right w:val="nil"/>
            </w:tcBorders>
            <w:shd w:val="clear" w:color="000000" w:fill="F2DBDB"/>
            <w:vAlign w:val="center"/>
            <w:hideMark/>
          </w:tcPr>
          <w:p w14:paraId="4F518367" w14:textId="77777777" w:rsidR="00A12895" w:rsidRPr="00A12895" w:rsidRDefault="00A12895" w:rsidP="000C12F5">
            <w:pPr>
              <w:keepNext/>
              <w:spacing w:after="0" w:line="240" w:lineRule="auto"/>
              <w:ind w:firstLineChars="100" w:firstLine="160"/>
              <w:rPr>
                <w:rFonts w:cs="Arial"/>
                <w:color w:val="000000"/>
                <w:sz w:val="16"/>
                <w:szCs w:val="16"/>
              </w:rPr>
            </w:pPr>
            <w:r w:rsidRPr="00A12895">
              <w:rPr>
                <w:rFonts w:cs="Arial"/>
                <w:color w:val="000000"/>
                <w:sz w:val="16"/>
                <w:szCs w:val="16"/>
              </w:rPr>
              <w:t>Jihomoravský kraj</w:t>
            </w:r>
          </w:p>
        </w:tc>
        <w:tc>
          <w:tcPr>
            <w:tcW w:w="629" w:type="dxa"/>
            <w:tcBorders>
              <w:top w:val="nil"/>
              <w:left w:val="single" w:sz="8" w:space="0" w:color="auto"/>
              <w:bottom w:val="nil"/>
              <w:right w:val="nil"/>
            </w:tcBorders>
            <w:shd w:val="clear" w:color="000000" w:fill="F2DBDB"/>
            <w:noWrap/>
            <w:vAlign w:val="center"/>
            <w:hideMark/>
          </w:tcPr>
          <w:p w14:paraId="052AF28B"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679</w:t>
            </w:r>
          </w:p>
        </w:tc>
        <w:tc>
          <w:tcPr>
            <w:tcW w:w="709" w:type="dxa"/>
            <w:tcBorders>
              <w:top w:val="nil"/>
              <w:left w:val="nil"/>
              <w:bottom w:val="nil"/>
              <w:right w:val="single" w:sz="8" w:space="0" w:color="auto"/>
            </w:tcBorders>
            <w:shd w:val="clear" w:color="000000" w:fill="F2DBDB"/>
            <w:noWrap/>
            <w:vAlign w:val="center"/>
            <w:hideMark/>
          </w:tcPr>
          <w:p w14:paraId="5BA7818E"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12,7</w:t>
            </w:r>
          </w:p>
        </w:tc>
        <w:tc>
          <w:tcPr>
            <w:tcW w:w="850" w:type="dxa"/>
            <w:tcBorders>
              <w:top w:val="nil"/>
              <w:left w:val="nil"/>
              <w:bottom w:val="nil"/>
              <w:right w:val="nil"/>
            </w:tcBorders>
            <w:shd w:val="clear" w:color="000000" w:fill="F2DBDB"/>
            <w:noWrap/>
            <w:vAlign w:val="center"/>
            <w:hideMark/>
          </w:tcPr>
          <w:p w14:paraId="4422143B"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1 919</w:t>
            </w:r>
          </w:p>
        </w:tc>
        <w:tc>
          <w:tcPr>
            <w:tcW w:w="709" w:type="dxa"/>
            <w:tcBorders>
              <w:top w:val="nil"/>
              <w:left w:val="nil"/>
              <w:bottom w:val="nil"/>
              <w:right w:val="single" w:sz="8" w:space="0" w:color="auto"/>
            </w:tcBorders>
            <w:shd w:val="clear" w:color="000000" w:fill="F2DBDB"/>
            <w:noWrap/>
            <w:vAlign w:val="center"/>
            <w:hideMark/>
          </w:tcPr>
          <w:p w14:paraId="6A6EE7A2"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11,4</w:t>
            </w:r>
          </w:p>
        </w:tc>
        <w:tc>
          <w:tcPr>
            <w:tcW w:w="992" w:type="dxa"/>
            <w:tcBorders>
              <w:top w:val="nil"/>
              <w:left w:val="nil"/>
              <w:bottom w:val="nil"/>
              <w:right w:val="nil"/>
            </w:tcBorders>
            <w:shd w:val="clear" w:color="000000" w:fill="F2DBDB"/>
            <w:noWrap/>
            <w:vAlign w:val="center"/>
            <w:hideMark/>
          </w:tcPr>
          <w:p w14:paraId="3BB927A4"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41 612</w:t>
            </w:r>
          </w:p>
        </w:tc>
        <w:tc>
          <w:tcPr>
            <w:tcW w:w="851" w:type="dxa"/>
            <w:tcBorders>
              <w:top w:val="nil"/>
              <w:left w:val="nil"/>
              <w:bottom w:val="nil"/>
              <w:right w:val="single" w:sz="8" w:space="0" w:color="auto"/>
            </w:tcBorders>
            <w:shd w:val="clear" w:color="000000" w:fill="F2DBDB"/>
            <w:noWrap/>
            <w:vAlign w:val="center"/>
            <w:hideMark/>
          </w:tcPr>
          <w:p w14:paraId="493286BC"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11,5</w:t>
            </w:r>
          </w:p>
        </w:tc>
        <w:tc>
          <w:tcPr>
            <w:tcW w:w="850" w:type="dxa"/>
            <w:tcBorders>
              <w:top w:val="nil"/>
              <w:left w:val="nil"/>
              <w:bottom w:val="nil"/>
              <w:right w:val="nil"/>
            </w:tcBorders>
            <w:shd w:val="clear" w:color="000000" w:fill="F2DBDB"/>
            <w:noWrap/>
            <w:vAlign w:val="center"/>
            <w:hideMark/>
          </w:tcPr>
          <w:p w14:paraId="3267B111"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3 843</w:t>
            </w:r>
          </w:p>
        </w:tc>
        <w:tc>
          <w:tcPr>
            <w:tcW w:w="709" w:type="dxa"/>
            <w:tcBorders>
              <w:top w:val="nil"/>
              <w:left w:val="nil"/>
              <w:bottom w:val="nil"/>
              <w:right w:val="single" w:sz="8" w:space="0" w:color="auto"/>
            </w:tcBorders>
            <w:shd w:val="clear" w:color="000000" w:fill="F2DBDB"/>
            <w:noWrap/>
            <w:vAlign w:val="center"/>
            <w:hideMark/>
          </w:tcPr>
          <w:p w14:paraId="4F0099B0"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11,4</w:t>
            </w:r>
          </w:p>
        </w:tc>
        <w:tc>
          <w:tcPr>
            <w:tcW w:w="789" w:type="dxa"/>
            <w:tcBorders>
              <w:top w:val="nil"/>
              <w:left w:val="nil"/>
              <w:bottom w:val="nil"/>
              <w:right w:val="nil"/>
            </w:tcBorders>
            <w:shd w:val="clear" w:color="000000" w:fill="F2DBDB"/>
            <w:noWrap/>
            <w:vAlign w:val="center"/>
            <w:hideMark/>
          </w:tcPr>
          <w:p w14:paraId="6514DDD6"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21,7</w:t>
            </w:r>
          </w:p>
        </w:tc>
        <w:tc>
          <w:tcPr>
            <w:tcW w:w="708" w:type="dxa"/>
            <w:tcBorders>
              <w:top w:val="nil"/>
              <w:left w:val="nil"/>
              <w:bottom w:val="nil"/>
              <w:right w:val="single" w:sz="8" w:space="0" w:color="auto"/>
            </w:tcBorders>
            <w:shd w:val="clear" w:color="000000" w:fill="F2DBDB"/>
            <w:noWrap/>
            <w:vAlign w:val="center"/>
            <w:hideMark/>
          </w:tcPr>
          <w:p w14:paraId="6C8F3FF8"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10,8</w:t>
            </w:r>
          </w:p>
        </w:tc>
      </w:tr>
      <w:tr w:rsidR="00A12895" w:rsidRPr="00A12895" w14:paraId="42215871" w14:textId="77777777" w:rsidTr="00A12895">
        <w:trPr>
          <w:trHeight w:val="300"/>
        </w:trPr>
        <w:tc>
          <w:tcPr>
            <w:tcW w:w="1843" w:type="dxa"/>
            <w:tcBorders>
              <w:top w:val="nil"/>
              <w:left w:val="single" w:sz="8" w:space="0" w:color="auto"/>
              <w:bottom w:val="nil"/>
              <w:right w:val="nil"/>
            </w:tcBorders>
            <w:shd w:val="clear" w:color="auto" w:fill="auto"/>
            <w:vAlign w:val="center"/>
            <w:hideMark/>
          </w:tcPr>
          <w:p w14:paraId="6A10B664" w14:textId="77777777" w:rsidR="00A12895" w:rsidRPr="00A12895" w:rsidRDefault="00A12895" w:rsidP="000C12F5">
            <w:pPr>
              <w:keepNext/>
              <w:spacing w:after="0" w:line="240" w:lineRule="auto"/>
              <w:ind w:firstLineChars="100" w:firstLine="160"/>
              <w:rPr>
                <w:rFonts w:cs="Arial"/>
                <w:color w:val="000000"/>
                <w:sz w:val="16"/>
                <w:szCs w:val="16"/>
              </w:rPr>
            </w:pPr>
            <w:r w:rsidRPr="00A12895">
              <w:rPr>
                <w:rFonts w:cs="Arial"/>
                <w:color w:val="000000"/>
                <w:sz w:val="16"/>
                <w:szCs w:val="16"/>
              </w:rPr>
              <w:t>Olomoucký kraj</w:t>
            </w:r>
          </w:p>
        </w:tc>
        <w:tc>
          <w:tcPr>
            <w:tcW w:w="629" w:type="dxa"/>
            <w:tcBorders>
              <w:top w:val="nil"/>
              <w:left w:val="single" w:sz="8" w:space="0" w:color="auto"/>
              <w:bottom w:val="nil"/>
              <w:right w:val="nil"/>
            </w:tcBorders>
            <w:shd w:val="clear" w:color="auto" w:fill="auto"/>
            <w:noWrap/>
            <w:vAlign w:val="center"/>
            <w:hideMark/>
          </w:tcPr>
          <w:p w14:paraId="1E320913"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388</w:t>
            </w:r>
          </w:p>
        </w:tc>
        <w:tc>
          <w:tcPr>
            <w:tcW w:w="709" w:type="dxa"/>
            <w:tcBorders>
              <w:top w:val="nil"/>
              <w:left w:val="nil"/>
              <w:bottom w:val="nil"/>
              <w:right w:val="single" w:sz="8" w:space="0" w:color="auto"/>
            </w:tcBorders>
            <w:shd w:val="clear" w:color="auto" w:fill="auto"/>
            <w:noWrap/>
            <w:vAlign w:val="center"/>
            <w:hideMark/>
          </w:tcPr>
          <w:p w14:paraId="0092E337"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7,3</w:t>
            </w:r>
          </w:p>
        </w:tc>
        <w:tc>
          <w:tcPr>
            <w:tcW w:w="850" w:type="dxa"/>
            <w:tcBorders>
              <w:top w:val="nil"/>
              <w:left w:val="nil"/>
              <w:bottom w:val="nil"/>
              <w:right w:val="nil"/>
            </w:tcBorders>
            <w:shd w:val="clear" w:color="auto" w:fill="auto"/>
            <w:noWrap/>
            <w:vAlign w:val="center"/>
            <w:hideMark/>
          </w:tcPr>
          <w:p w14:paraId="1E236922"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1 078</w:t>
            </w:r>
          </w:p>
        </w:tc>
        <w:tc>
          <w:tcPr>
            <w:tcW w:w="709" w:type="dxa"/>
            <w:tcBorders>
              <w:top w:val="nil"/>
              <w:left w:val="nil"/>
              <w:bottom w:val="nil"/>
              <w:right w:val="single" w:sz="8" w:space="0" w:color="auto"/>
            </w:tcBorders>
            <w:shd w:val="clear" w:color="auto" w:fill="auto"/>
            <w:noWrap/>
            <w:vAlign w:val="center"/>
            <w:hideMark/>
          </w:tcPr>
          <w:p w14:paraId="4F850103"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6,4</w:t>
            </w:r>
          </w:p>
        </w:tc>
        <w:tc>
          <w:tcPr>
            <w:tcW w:w="992" w:type="dxa"/>
            <w:tcBorders>
              <w:top w:val="nil"/>
              <w:left w:val="nil"/>
              <w:bottom w:val="nil"/>
              <w:right w:val="nil"/>
            </w:tcBorders>
            <w:shd w:val="clear" w:color="auto" w:fill="auto"/>
            <w:noWrap/>
            <w:vAlign w:val="center"/>
            <w:hideMark/>
          </w:tcPr>
          <w:p w14:paraId="3C84B641"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22 407</w:t>
            </w:r>
          </w:p>
        </w:tc>
        <w:tc>
          <w:tcPr>
            <w:tcW w:w="851" w:type="dxa"/>
            <w:tcBorders>
              <w:top w:val="nil"/>
              <w:left w:val="nil"/>
              <w:bottom w:val="nil"/>
              <w:right w:val="single" w:sz="8" w:space="0" w:color="auto"/>
            </w:tcBorders>
            <w:shd w:val="clear" w:color="auto" w:fill="auto"/>
            <w:noWrap/>
            <w:vAlign w:val="center"/>
            <w:hideMark/>
          </w:tcPr>
          <w:p w14:paraId="4A50BBD2"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6,2</w:t>
            </w:r>
          </w:p>
        </w:tc>
        <w:tc>
          <w:tcPr>
            <w:tcW w:w="850" w:type="dxa"/>
            <w:tcBorders>
              <w:top w:val="nil"/>
              <w:left w:val="nil"/>
              <w:bottom w:val="nil"/>
              <w:right w:val="nil"/>
            </w:tcBorders>
            <w:shd w:val="clear" w:color="auto" w:fill="auto"/>
            <w:noWrap/>
            <w:vAlign w:val="center"/>
            <w:hideMark/>
          </w:tcPr>
          <w:p w14:paraId="164249D3"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2 134</w:t>
            </w:r>
          </w:p>
        </w:tc>
        <w:tc>
          <w:tcPr>
            <w:tcW w:w="709" w:type="dxa"/>
            <w:tcBorders>
              <w:top w:val="nil"/>
              <w:left w:val="nil"/>
              <w:bottom w:val="nil"/>
              <w:right w:val="single" w:sz="8" w:space="0" w:color="auto"/>
            </w:tcBorders>
            <w:shd w:val="clear" w:color="auto" w:fill="auto"/>
            <w:noWrap/>
            <w:vAlign w:val="center"/>
            <w:hideMark/>
          </w:tcPr>
          <w:p w14:paraId="0816D1A9"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6,3</w:t>
            </w:r>
          </w:p>
        </w:tc>
        <w:tc>
          <w:tcPr>
            <w:tcW w:w="789" w:type="dxa"/>
            <w:tcBorders>
              <w:top w:val="nil"/>
              <w:left w:val="nil"/>
              <w:bottom w:val="nil"/>
              <w:right w:val="nil"/>
            </w:tcBorders>
            <w:shd w:val="clear" w:color="auto" w:fill="auto"/>
            <w:noWrap/>
            <w:vAlign w:val="center"/>
            <w:hideMark/>
          </w:tcPr>
          <w:p w14:paraId="6E760819"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20,8</w:t>
            </w:r>
          </w:p>
        </w:tc>
        <w:tc>
          <w:tcPr>
            <w:tcW w:w="708" w:type="dxa"/>
            <w:tcBorders>
              <w:top w:val="nil"/>
              <w:left w:val="nil"/>
              <w:bottom w:val="nil"/>
              <w:right w:val="single" w:sz="8" w:space="0" w:color="auto"/>
            </w:tcBorders>
            <w:shd w:val="clear" w:color="auto" w:fill="auto"/>
            <w:noWrap/>
            <w:vAlign w:val="center"/>
            <w:hideMark/>
          </w:tcPr>
          <w:p w14:paraId="4121A0C4"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10,5</w:t>
            </w:r>
          </w:p>
        </w:tc>
      </w:tr>
      <w:tr w:rsidR="00A12895" w:rsidRPr="00A12895" w14:paraId="6E176AB3" w14:textId="77777777" w:rsidTr="00A12895">
        <w:trPr>
          <w:trHeight w:val="300"/>
        </w:trPr>
        <w:tc>
          <w:tcPr>
            <w:tcW w:w="1843" w:type="dxa"/>
            <w:tcBorders>
              <w:top w:val="nil"/>
              <w:left w:val="single" w:sz="8" w:space="0" w:color="auto"/>
              <w:bottom w:val="nil"/>
              <w:right w:val="nil"/>
            </w:tcBorders>
            <w:shd w:val="clear" w:color="000000" w:fill="F2DBDB"/>
            <w:vAlign w:val="center"/>
            <w:hideMark/>
          </w:tcPr>
          <w:p w14:paraId="144ACDB5" w14:textId="77777777" w:rsidR="00A12895" w:rsidRPr="00A12895" w:rsidRDefault="00A12895" w:rsidP="000C12F5">
            <w:pPr>
              <w:keepNext/>
              <w:spacing w:after="0" w:line="240" w:lineRule="auto"/>
              <w:ind w:firstLineChars="100" w:firstLine="160"/>
              <w:rPr>
                <w:rFonts w:cs="Arial"/>
                <w:color w:val="000000"/>
                <w:sz w:val="16"/>
                <w:szCs w:val="16"/>
              </w:rPr>
            </w:pPr>
            <w:r w:rsidRPr="00A12895">
              <w:rPr>
                <w:rFonts w:cs="Arial"/>
                <w:color w:val="000000"/>
                <w:sz w:val="16"/>
                <w:szCs w:val="16"/>
              </w:rPr>
              <w:t>Zlínský kraj</w:t>
            </w:r>
          </w:p>
        </w:tc>
        <w:tc>
          <w:tcPr>
            <w:tcW w:w="629" w:type="dxa"/>
            <w:tcBorders>
              <w:top w:val="nil"/>
              <w:left w:val="single" w:sz="8" w:space="0" w:color="auto"/>
              <w:bottom w:val="nil"/>
              <w:right w:val="nil"/>
            </w:tcBorders>
            <w:shd w:val="clear" w:color="000000" w:fill="F2DBDB"/>
            <w:noWrap/>
            <w:vAlign w:val="center"/>
            <w:hideMark/>
          </w:tcPr>
          <w:p w14:paraId="14C24663"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318</w:t>
            </w:r>
          </w:p>
        </w:tc>
        <w:tc>
          <w:tcPr>
            <w:tcW w:w="709" w:type="dxa"/>
            <w:tcBorders>
              <w:top w:val="nil"/>
              <w:left w:val="nil"/>
              <w:bottom w:val="nil"/>
              <w:right w:val="single" w:sz="8" w:space="0" w:color="auto"/>
            </w:tcBorders>
            <w:shd w:val="clear" w:color="000000" w:fill="F2DBDB"/>
            <w:noWrap/>
            <w:vAlign w:val="center"/>
            <w:hideMark/>
          </w:tcPr>
          <w:p w14:paraId="7C130F31"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5,9</w:t>
            </w:r>
          </w:p>
        </w:tc>
        <w:tc>
          <w:tcPr>
            <w:tcW w:w="850" w:type="dxa"/>
            <w:tcBorders>
              <w:top w:val="nil"/>
              <w:left w:val="nil"/>
              <w:bottom w:val="nil"/>
              <w:right w:val="nil"/>
            </w:tcBorders>
            <w:shd w:val="clear" w:color="000000" w:fill="F2DBDB"/>
            <w:noWrap/>
            <w:vAlign w:val="center"/>
            <w:hideMark/>
          </w:tcPr>
          <w:p w14:paraId="023AB2BB"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898</w:t>
            </w:r>
          </w:p>
        </w:tc>
        <w:tc>
          <w:tcPr>
            <w:tcW w:w="709" w:type="dxa"/>
            <w:tcBorders>
              <w:top w:val="nil"/>
              <w:left w:val="nil"/>
              <w:bottom w:val="nil"/>
              <w:right w:val="single" w:sz="8" w:space="0" w:color="auto"/>
            </w:tcBorders>
            <w:shd w:val="clear" w:color="000000" w:fill="F2DBDB"/>
            <w:noWrap/>
            <w:vAlign w:val="center"/>
            <w:hideMark/>
          </w:tcPr>
          <w:p w14:paraId="20E76104"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5,3</w:t>
            </w:r>
          </w:p>
        </w:tc>
        <w:tc>
          <w:tcPr>
            <w:tcW w:w="992" w:type="dxa"/>
            <w:tcBorders>
              <w:top w:val="nil"/>
              <w:left w:val="nil"/>
              <w:bottom w:val="nil"/>
              <w:right w:val="nil"/>
            </w:tcBorders>
            <w:shd w:val="clear" w:color="000000" w:fill="F2DBDB"/>
            <w:noWrap/>
            <w:vAlign w:val="center"/>
            <w:hideMark/>
          </w:tcPr>
          <w:p w14:paraId="678188F4"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19 860</w:t>
            </w:r>
          </w:p>
        </w:tc>
        <w:tc>
          <w:tcPr>
            <w:tcW w:w="851" w:type="dxa"/>
            <w:tcBorders>
              <w:top w:val="nil"/>
              <w:left w:val="nil"/>
              <w:bottom w:val="nil"/>
              <w:right w:val="single" w:sz="8" w:space="0" w:color="auto"/>
            </w:tcBorders>
            <w:shd w:val="clear" w:color="000000" w:fill="F2DBDB"/>
            <w:noWrap/>
            <w:vAlign w:val="center"/>
            <w:hideMark/>
          </w:tcPr>
          <w:p w14:paraId="6F6FF9D0"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5,5</w:t>
            </w:r>
          </w:p>
        </w:tc>
        <w:tc>
          <w:tcPr>
            <w:tcW w:w="850" w:type="dxa"/>
            <w:tcBorders>
              <w:top w:val="nil"/>
              <w:left w:val="nil"/>
              <w:bottom w:val="nil"/>
              <w:right w:val="nil"/>
            </w:tcBorders>
            <w:shd w:val="clear" w:color="000000" w:fill="F2DBDB"/>
            <w:noWrap/>
            <w:vAlign w:val="center"/>
            <w:hideMark/>
          </w:tcPr>
          <w:p w14:paraId="35CFA676"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1 786</w:t>
            </w:r>
          </w:p>
        </w:tc>
        <w:tc>
          <w:tcPr>
            <w:tcW w:w="709" w:type="dxa"/>
            <w:tcBorders>
              <w:top w:val="nil"/>
              <w:left w:val="nil"/>
              <w:bottom w:val="nil"/>
              <w:right w:val="single" w:sz="8" w:space="0" w:color="auto"/>
            </w:tcBorders>
            <w:shd w:val="clear" w:color="000000" w:fill="F2DBDB"/>
            <w:noWrap/>
            <w:vAlign w:val="center"/>
            <w:hideMark/>
          </w:tcPr>
          <w:p w14:paraId="7A31C71E" w14:textId="77777777" w:rsidR="00A12895" w:rsidRPr="00A12895" w:rsidRDefault="00A12895" w:rsidP="000C12F5">
            <w:pPr>
              <w:keepNext/>
              <w:spacing w:after="0" w:line="240" w:lineRule="auto"/>
              <w:jc w:val="right"/>
              <w:rPr>
                <w:rFonts w:cs="Arial"/>
                <w:color w:val="000000"/>
                <w:sz w:val="16"/>
                <w:szCs w:val="16"/>
              </w:rPr>
            </w:pPr>
            <w:r w:rsidRPr="00A12895">
              <w:rPr>
                <w:rFonts w:cs="Arial"/>
                <w:color w:val="000000"/>
                <w:sz w:val="16"/>
                <w:szCs w:val="16"/>
              </w:rPr>
              <w:t>5,3</w:t>
            </w:r>
          </w:p>
        </w:tc>
        <w:tc>
          <w:tcPr>
            <w:tcW w:w="789" w:type="dxa"/>
            <w:tcBorders>
              <w:top w:val="nil"/>
              <w:left w:val="nil"/>
              <w:bottom w:val="nil"/>
              <w:right w:val="nil"/>
            </w:tcBorders>
            <w:shd w:val="clear" w:color="000000" w:fill="F2DBDB"/>
            <w:noWrap/>
            <w:vAlign w:val="center"/>
            <w:hideMark/>
          </w:tcPr>
          <w:p w14:paraId="62B0CA53"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22,1</w:t>
            </w:r>
          </w:p>
        </w:tc>
        <w:tc>
          <w:tcPr>
            <w:tcW w:w="708" w:type="dxa"/>
            <w:tcBorders>
              <w:top w:val="nil"/>
              <w:left w:val="nil"/>
              <w:bottom w:val="nil"/>
              <w:right w:val="single" w:sz="8" w:space="0" w:color="auto"/>
            </w:tcBorders>
            <w:shd w:val="clear" w:color="000000" w:fill="F2DBDB"/>
            <w:noWrap/>
            <w:vAlign w:val="center"/>
            <w:hideMark/>
          </w:tcPr>
          <w:p w14:paraId="334EB8E1" w14:textId="77777777" w:rsidR="00A12895" w:rsidRPr="00A12895" w:rsidRDefault="00A12895" w:rsidP="000C12F5">
            <w:pPr>
              <w:keepNext/>
              <w:spacing w:after="0" w:line="240" w:lineRule="auto"/>
              <w:jc w:val="right"/>
              <w:rPr>
                <w:rFonts w:cs="Arial"/>
                <w:i/>
                <w:iCs/>
                <w:color w:val="000000"/>
                <w:sz w:val="16"/>
                <w:szCs w:val="16"/>
              </w:rPr>
            </w:pPr>
            <w:r w:rsidRPr="00A12895">
              <w:rPr>
                <w:rFonts w:cs="Arial"/>
                <w:i/>
                <w:iCs/>
                <w:color w:val="000000"/>
                <w:sz w:val="16"/>
                <w:szCs w:val="16"/>
              </w:rPr>
              <w:t>11,1</w:t>
            </w:r>
          </w:p>
        </w:tc>
      </w:tr>
      <w:tr w:rsidR="00A12895" w:rsidRPr="00A12895" w14:paraId="0AACA9BC" w14:textId="77777777" w:rsidTr="00A12895">
        <w:trPr>
          <w:trHeight w:val="315"/>
        </w:trPr>
        <w:tc>
          <w:tcPr>
            <w:tcW w:w="1843" w:type="dxa"/>
            <w:tcBorders>
              <w:top w:val="nil"/>
              <w:left w:val="single" w:sz="8" w:space="0" w:color="auto"/>
              <w:bottom w:val="single" w:sz="8" w:space="0" w:color="auto"/>
              <w:right w:val="nil"/>
            </w:tcBorders>
            <w:shd w:val="clear" w:color="auto" w:fill="auto"/>
            <w:vAlign w:val="center"/>
            <w:hideMark/>
          </w:tcPr>
          <w:p w14:paraId="13654280" w14:textId="77777777" w:rsidR="00A12895" w:rsidRPr="00A12895" w:rsidRDefault="00A12895" w:rsidP="00A12895">
            <w:pPr>
              <w:spacing w:after="0" w:line="240" w:lineRule="auto"/>
              <w:ind w:firstLineChars="100" w:firstLine="160"/>
              <w:rPr>
                <w:rFonts w:cs="Arial"/>
                <w:color w:val="000000"/>
                <w:sz w:val="16"/>
                <w:szCs w:val="16"/>
              </w:rPr>
            </w:pPr>
            <w:r w:rsidRPr="00A12895">
              <w:rPr>
                <w:rFonts w:cs="Arial"/>
                <w:color w:val="000000"/>
                <w:sz w:val="16"/>
                <w:szCs w:val="16"/>
              </w:rPr>
              <w:t>Moravskoslezský kraj</w:t>
            </w:r>
          </w:p>
        </w:tc>
        <w:tc>
          <w:tcPr>
            <w:tcW w:w="629" w:type="dxa"/>
            <w:tcBorders>
              <w:top w:val="nil"/>
              <w:left w:val="single" w:sz="8" w:space="0" w:color="auto"/>
              <w:bottom w:val="single" w:sz="8" w:space="0" w:color="auto"/>
              <w:right w:val="nil"/>
            </w:tcBorders>
            <w:shd w:val="clear" w:color="auto" w:fill="auto"/>
            <w:noWrap/>
            <w:vAlign w:val="center"/>
            <w:hideMark/>
          </w:tcPr>
          <w:p w14:paraId="2EB4EA83" w14:textId="77777777" w:rsidR="00A12895" w:rsidRPr="00A12895" w:rsidRDefault="00A12895" w:rsidP="00A12895">
            <w:pPr>
              <w:spacing w:after="0" w:line="240" w:lineRule="auto"/>
              <w:jc w:val="right"/>
              <w:rPr>
                <w:rFonts w:cs="Arial"/>
                <w:color w:val="000000"/>
                <w:sz w:val="16"/>
                <w:szCs w:val="16"/>
              </w:rPr>
            </w:pPr>
            <w:r w:rsidRPr="00A12895">
              <w:rPr>
                <w:rFonts w:cs="Arial"/>
                <w:color w:val="000000"/>
                <w:sz w:val="16"/>
                <w:szCs w:val="16"/>
              </w:rPr>
              <w:t>466</w:t>
            </w:r>
          </w:p>
        </w:tc>
        <w:tc>
          <w:tcPr>
            <w:tcW w:w="709" w:type="dxa"/>
            <w:tcBorders>
              <w:top w:val="nil"/>
              <w:left w:val="nil"/>
              <w:bottom w:val="single" w:sz="8" w:space="0" w:color="auto"/>
              <w:right w:val="single" w:sz="8" w:space="0" w:color="auto"/>
            </w:tcBorders>
            <w:shd w:val="clear" w:color="auto" w:fill="auto"/>
            <w:noWrap/>
            <w:vAlign w:val="center"/>
            <w:hideMark/>
          </w:tcPr>
          <w:p w14:paraId="6D957E67" w14:textId="77777777" w:rsidR="00A12895" w:rsidRPr="00A12895" w:rsidRDefault="00A12895" w:rsidP="00A12895">
            <w:pPr>
              <w:spacing w:after="0" w:line="240" w:lineRule="auto"/>
              <w:jc w:val="right"/>
              <w:rPr>
                <w:rFonts w:cs="Arial"/>
                <w:color w:val="000000"/>
                <w:sz w:val="16"/>
                <w:szCs w:val="16"/>
              </w:rPr>
            </w:pPr>
            <w:r w:rsidRPr="00A12895">
              <w:rPr>
                <w:rFonts w:cs="Arial"/>
                <w:color w:val="000000"/>
                <w:sz w:val="16"/>
                <w:szCs w:val="16"/>
              </w:rPr>
              <w:t>8,7</w:t>
            </w:r>
          </w:p>
        </w:tc>
        <w:tc>
          <w:tcPr>
            <w:tcW w:w="850" w:type="dxa"/>
            <w:tcBorders>
              <w:top w:val="nil"/>
              <w:left w:val="nil"/>
              <w:bottom w:val="single" w:sz="8" w:space="0" w:color="auto"/>
              <w:right w:val="nil"/>
            </w:tcBorders>
            <w:shd w:val="clear" w:color="auto" w:fill="auto"/>
            <w:noWrap/>
            <w:vAlign w:val="center"/>
            <w:hideMark/>
          </w:tcPr>
          <w:p w14:paraId="1B1F14F4" w14:textId="77777777" w:rsidR="00A12895" w:rsidRPr="00A12895" w:rsidRDefault="00A12895" w:rsidP="00A12895">
            <w:pPr>
              <w:spacing w:after="0" w:line="240" w:lineRule="auto"/>
              <w:jc w:val="right"/>
              <w:rPr>
                <w:rFonts w:cs="Arial"/>
                <w:color w:val="000000"/>
                <w:sz w:val="16"/>
                <w:szCs w:val="16"/>
              </w:rPr>
            </w:pPr>
            <w:r w:rsidRPr="00A12895">
              <w:rPr>
                <w:rFonts w:cs="Arial"/>
                <w:color w:val="000000"/>
                <w:sz w:val="16"/>
                <w:szCs w:val="16"/>
              </w:rPr>
              <w:t>1 807</w:t>
            </w:r>
          </w:p>
        </w:tc>
        <w:tc>
          <w:tcPr>
            <w:tcW w:w="709" w:type="dxa"/>
            <w:tcBorders>
              <w:top w:val="nil"/>
              <w:left w:val="nil"/>
              <w:bottom w:val="single" w:sz="8" w:space="0" w:color="auto"/>
              <w:right w:val="single" w:sz="8" w:space="0" w:color="auto"/>
            </w:tcBorders>
            <w:shd w:val="clear" w:color="auto" w:fill="auto"/>
            <w:noWrap/>
            <w:vAlign w:val="center"/>
            <w:hideMark/>
          </w:tcPr>
          <w:p w14:paraId="12739EE6" w14:textId="77777777" w:rsidR="00A12895" w:rsidRPr="00A12895" w:rsidRDefault="00A12895" w:rsidP="00A12895">
            <w:pPr>
              <w:spacing w:after="0" w:line="240" w:lineRule="auto"/>
              <w:jc w:val="right"/>
              <w:rPr>
                <w:rFonts w:cs="Arial"/>
                <w:color w:val="000000"/>
                <w:sz w:val="16"/>
                <w:szCs w:val="16"/>
              </w:rPr>
            </w:pPr>
            <w:r w:rsidRPr="00A12895">
              <w:rPr>
                <w:rFonts w:cs="Arial"/>
                <w:color w:val="000000"/>
                <w:sz w:val="16"/>
                <w:szCs w:val="16"/>
              </w:rPr>
              <w:t>10,8</w:t>
            </w:r>
          </w:p>
        </w:tc>
        <w:tc>
          <w:tcPr>
            <w:tcW w:w="992" w:type="dxa"/>
            <w:tcBorders>
              <w:top w:val="nil"/>
              <w:left w:val="nil"/>
              <w:bottom w:val="single" w:sz="8" w:space="0" w:color="auto"/>
              <w:right w:val="nil"/>
            </w:tcBorders>
            <w:shd w:val="clear" w:color="auto" w:fill="auto"/>
            <w:noWrap/>
            <w:vAlign w:val="center"/>
            <w:hideMark/>
          </w:tcPr>
          <w:p w14:paraId="78A39141" w14:textId="77777777" w:rsidR="00A12895" w:rsidRPr="00A12895" w:rsidRDefault="00A12895" w:rsidP="00A12895">
            <w:pPr>
              <w:spacing w:after="0" w:line="240" w:lineRule="auto"/>
              <w:jc w:val="right"/>
              <w:rPr>
                <w:rFonts w:cs="Arial"/>
                <w:color w:val="000000"/>
                <w:sz w:val="16"/>
                <w:szCs w:val="16"/>
              </w:rPr>
            </w:pPr>
            <w:r w:rsidRPr="00A12895">
              <w:rPr>
                <w:rFonts w:cs="Arial"/>
                <w:color w:val="000000"/>
                <w:sz w:val="16"/>
                <w:szCs w:val="16"/>
              </w:rPr>
              <w:t>38 468</w:t>
            </w:r>
          </w:p>
        </w:tc>
        <w:tc>
          <w:tcPr>
            <w:tcW w:w="851" w:type="dxa"/>
            <w:tcBorders>
              <w:top w:val="nil"/>
              <w:left w:val="nil"/>
              <w:bottom w:val="single" w:sz="8" w:space="0" w:color="auto"/>
              <w:right w:val="single" w:sz="8" w:space="0" w:color="auto"/>
            </w:tcBorders>
            <w:shd w:val="clear" w:color="auto" w:fill="auto"/>
            <w:noWrap/>
            <w:vAlign w:val="center"/>
            <w:hideMark/>
          </w:tcPr>
          <w:p w14:paraId="36085131" w14:textId="77777777" w:rsidR="00A12895" w:rsidRPr="00A12895" w:rsidRDefault="00A12895" w:rsidP="00A12895">
            <w:pPr>
              <w:spacing w:after="0" w:line="240" w:lineRule="auto"/>
              <w:jc w:val="right"/>
              <w:rPr>
                <w:rFonts w:cs="Arial"/>
                <w:color w:val="000000"/>
                <w:sz w:val="16"/>
                <w:szCs w:val="16"/>
              </w:rPr>
            </w:pPr>
            <w:r w:rsidRPr="00A12895">
              <w:rPr>
                <w:rFonts w:cs="Arial"/>
                <w:color w:val="000000"/>
                <w:sz w:val="16"/>
                <w:szCs w:val="16"/>
              </w:rPr>
              <w:t>10,7</w:t>
            </w:r>
          </w:p>
        </w:tc>
        <w:tc>
          <w:tcPr>
            <w:tcW w:w="850" w:type="dxa"/>
            <w:tcBorders>
              <w:top w:val="nil"/>
              <w:left w:val="nil"/>
              <w:bottom w:val="single" w:sz="8" w:space="0" w:color="auto"/>
              <w:right w:val="nil"/>
            </w:tcBorders>
            <w:shd w:val="clear" w:color="auto" w:fill="auto"/>
            <w:noWrap/>
            <w:vAlign w:val="center"/>
            <w:hideMark/>
          </w:tcPr>
          <w:p w14:paraId="781F91E6" w14:textId="77777777" w:rsidR="00A12895" w:rsidRPr="00A12895" w:rsidRDefault="00A12895" w:rsidP="00A12895">
            <w:pPr>
              <w:spacing w:after="0" w:line="240" w:lineRule="auto"/>
              <w:jc w:val="right"/>
              <w:rPr>
                <w:rFonts w:cs="Arial"/>
                <w:color w:val="000000"/>
                <w:sz w:val="16"/>
                <w:szCs w:val="16"/>
              </w:rPr>
            </w:pPr>
            <w:r w:rsidRPr="00A12895">
              <w:rPr>
                <w:rFonts w:cs="Arial"/>
                <w:color w:val="000000"/>
                <w:sz w:val="16"/>
                <w:szCs w:val="16"/>
              </w:rPr>
              <w:t>3 620</w:t>
            </w:r>
          </w:p>
        </w:tc>
        <w:tc>
          <w:tcPr>
            <w:tcW w:w="709" w:type="dxa"/>
            <w:tcBorders>
              <w:top w:val="nil"/>
              <w:left w:val="nil"/>
              <w:bottom w:val="single" w:sz="8" w:space="0" w:color="auto"/>
              <w:right w:val="single" w:sz="8" w:space="0" w:color="auto"/>
            </w:tcBorders>
            <w:shd w:val="clear" w:color="auto" w:fill="auto"/>
            <w:noWrap/>
            <w:vAlign w:val="center"/>
            <w:hideMark/>
          </w:tcPr>
          <w:p w14:paraId="6E2D213C" w14:textId="77777777" w:rsidR="00A12895" w:rsidRPr="00A12895" w:rsidRDefault="00A12895" w:rsidP="00A12895">
            <w:pPr>
              <w:spacing w:after="0" w:line="240" w:lineRule="auto"/>
              <w:jc w:val="right"/>
              <w:rPr>
                <w:rFonts w:cs="Arial"/>
                <w:color w:val="000000"/>
                <w:sz w:val="16"/>
                <w:szCs w:val="16"/>
              </w:rPr>
            </w:pPr>
            <w:r w:rsidRPr="00A12895">
              <w:rPr>
                <w:rFonts w:cs="Arial"/>
                <w:color w:val="000000"/>
                <w:sz w:val="16"/>
                <w:szCs w:val="16"/>
              </w:rPr>
              <w:t>10,7</w:t>
            </w:r>
          </w:p>
        </w:tc>
        <w:tc>
          <w:tcPr>
            <w:tcW w:w="789" w:type="dxa"/>
            <w:tcBorders>
              <w:top w:val="nil"/>
              <w:left w:val="nil"/>
              <w:bottom w:val="single" w:sz="8" w:space="0" w:color="auto"/>
              <w:right w:val="nil"/>
            </w:tcBorders>
            <w:shd w:val="clear" w:color="auto" w:fill="auto"/>
            <w:noWrap/>
            <w:vAlign w:val="center"/>
            <w:hideMark/>
          </w:tcPr>
          <w:p w14:paraId="5460DE3A" w14:textId="77777777" w:rsidR="00A12895" w:rsidRPr="00A12895" w:rsidRDefault="00A12895" w:rsidP="00A12895">
            <w:pPr>
              <w:spacing w:after="0" w:line="240" w:lineRule="auto"/>
              <w:jc w:val="right"/>
              <w:rPr>
                <w:rFonts w:cs="Arial"/>
                <w:i/>
                <w:iCs/>
                <w:color w:val="000000"/>
                <w:sz w:val="16"/>
                <w:szCs w:val="16"/>
              </w:rPr>
            </w:pPr>
            <w:r w:rsidRPr="00A12895">
              <w:rPr>
                <w:rFonts w:cs="Arial"/>
                <w:i/>
                <w:iCs/>
                <w:color w:val="000000"/>
                <w:sz w:val="16"/>
                <w:szCs w:val="16"/>
              </w:rPr>
              <w:t>21,3</w:t>
            </w:r>
          </w:p>
        </w:tc>
        <w:tc>
          <w:tcPr>
            <w:tcW w:w="708" w:type="dxa"/>
            <w:tcBorders>
              <w:top w:val="nil"/>
              <w:left w:val="nil"/>
              <w:bottom w:val="single" w:sz="8" w:space="0" w:color="auto"/>
              <w:right w:val="single" w:sz="8" w:space="0" w:color="auto"/>
            </w:tcBorders>
            <w:shd w:val="clear" w:color="auto" w:fill="auto"/>
            <w:noWrap/>
            <w:vAlign w:val="center"/>
            <w:hideMark/>
          </w:tcPr>
          <w:p w14:paraId="233A3269" w14:textId="77777777" w:rsidR="00A12895" w:rsidRPr="00A12895" w:rsidRDefault="00A12895" w:rsidP="00A12895">
            <w:pPr>
              <w:spacing w:after="0" w:line="240" w:lineRule="auto"/>
              <w:jc w:val="right"/>
              <w:rPr>
                <w:rFonts w:cs="Arial"/>
                <w:i/>
                <w:iCs/>
                <w:color w:val="000000"/>
                <w:sz w:val="16"/>
                <w:szCs w:val="16"/>
              </w:rPr>
            </w:pPr>
            <w:r w:rsidRPr="00A12895">
              <w:rPr>
                <w:rFonts w:cs="Arial"/>
                <w:i/>
                <w:iCs/>
                <w:color w:val="000000"/>
                <w:sz w:val="16"/>
                <w:szCs w:val="16"/>
              </w:rPr>
              <w:t>10,6</w:t>
            </w:r>
          </w:p>
        </w:tc>
      </w:tr>
    </w:tbl>
    <w:p w14:paraId="6B0BDF30" w14:textId="21BF92D4" w:rsidR="00A67C12" w:rsidRDefault="00A67C12" w:rsidP="0055586A">
      <w:pPr>
        <w:spacing w:before="60" w:after="120" w:line="240" w:lineRule="auto"/>
        <w:jc w:val="both"/>
        <w:rPr>
          <w:rFonts w:cs="Arial"/>
          <w:sz w:val="18"/>
        </w:rPr>
      </w:pPr>
      <w:r w:rsidRPr="002F1BFB">
        <w:rPr>
          <w:rFonts w:cs="Arial"/>
          <w:sz w:val="18"/>
          <w:vertAlign w:val="superscript"/>
        </w:rPr>
        <w:t>1)</w:t>
      </w:r>
      <w:r w:rsidRPr="009E34FC">
        <w:rPr>
          <w:rFonts w:cs="Arial"/>
          <w:sz w:val="18"/>
        </w:rPr>
        <w:t xml:space="preserve"> přepočtení na plně zaměstnané</w:t>
      </w:r>
      <w:r w:rsidR="00354B7E" w:rsidRPr="00354B7E">
        <w:t xml:space="preserve"> </w:t>
      </w:r>
      <w:r w:rsidR="00354B7E">
        <w:t xml:space="preserve">                                                                              </w:t>
      </w:r>
      <w:r w:rsidR="00354B7E" w:rsidRPr="00354B7E">
        <w:rPr>
          <w:rFonts w:cs="Arial"/>
          <w:sz w:val="18"/>
        </w:rPr>
        <w:t>Zdroj: ČSÚ podle údajů MŠMT</w:t>
      </w:r>
    </w:p>
    <w:p w14:paraId="20BC3481" w14:textId="50506AED" w:rsidR="00A67C12" w:rsidRDefault="00046430" w:rsidP="0055586A">
      <w:pPr>
        <w:spacing w:before="240" w:after="120"/>
        <w:jc w:val="both"/>
        <w:rPr>
          <w:rFonts w:cs="Arial"/>
          <w:szCs w:val="20"/>
        </w:rPr>
      </w:pPr>
      <w:r>
        <w:rPr>
          <w:rFonts w:cs="Arial"/>
          <w:szCs w:val="20"/>
        </w:rPr>
        <w:t>N</w:t>
      </w:r>
      <w:r w:rsidR="00A67C12" w:rsidRPr="0000782B">
        <w:rPr>
          <w:rFonts w:cs="Arial"/>
          <w:szCs w:val="20"/>
        </w:rPr>
        <w:t xml:space="preserve">ejvyšší průměrný </w:t>
      </w:r>
      <w:r w:rsidR="00A67C12" w:rsidRPr="00046430">
        <w:rPr>
          <w:rFonts w:cs="Arial"/>
          <w:b/>
          <w:szCs w:val="20"/>
        </w:rPr>
        <w:t>počet dětí na školu</w:t>
      </w:r>
      <w:r w:rsidR="00A67C12" w:rsidRPr="0000782B">
        <w:rPr>
          <w:rFonts w:cs="Arial"/>
          <w:szCs w:val="20"/>
        </w:rPr>
        <w:t xml:space="preserve"> </w:t>
      </w:r>
      <w:r>
        <w:rPr>
          <w:rFonts w:cs="Arial"/>
          <w:szCs w:val="20"/>
        </w:rPr>
        <w:t xml:space="preserve">byl ve školním roce 2021/22 </w:t>
      </w:r>
      <w:r w:rsidR="00A67C12" w:rsidRPr="0000782B">
        <w:rPr>
          <w:rFonts w:cs="Arial"/>
          <w:szCs w:val="20"/>
        </w:rPr>
        <w:t>v</w:t>
      </w:r>
      <w:r w:rsidR="00E7272C">
        <w:rPr>
          <w:rFonts w:cs="Arial"/>
          <w:szCs w:val="20"/>
        </w:rPr>
        <w:t> </w:t>
      </w:r>
      <w:r w:rsidR="00A67C12" w:rsidRPr="0000782B">
        <w:rPr>
          <w:rFonts w:cs="Arial"/>
          <w:szCs w:val="20"/>
        </w:rPr>
        <w:t>Pra</w:t>
      </w:r>
      <w:r w:rsidR="00E7272C">
        <w:rPr>
          <w:rFonts w:cs="Arial"/>
          <w:szCs w:val="20"/>
        </w:rPr>
        <w:t>ze, tj.</w:t>
      </w:r>
      <w:r w:rsidR="00A67C12" w:rsidRPr="0000782B">
        <w:rPr>
          <w:rFonts w:cs="Arial"/>
          <w:szCs w:val="20"/>
        </w:rPr>
        <w:t xml:space="preserve"> </w:t>
      </w:r>
      <w:r>
        <w:rPr>
          <w:rFonts w:cs="Arial"/>
          <w:szCs w:val="20"/>
        </w:rPr>
        <w:t>97,9, a v kraji Moravskoslezském, tj. 82,5</w:t>
      </w:r>
      <w:r w:rsidR="00A67C12" w:rsidRPr="0000782B">
        <w:rPr>
          <w:rFonts w:cs="Arial"/>
          <w:szCs w:val="20"/>
        </w:rPr>
        <w:t>.</w:t>
      </w:r>
      <w:r>
        <w:rPr>
          <w:rFonts w:cs="Arial"/>
          <w:szCs w:val="20"/>
        </w:rPr>
        <w:t xml:space="preserve"> V ostatních krajích se tyto průměrné hodnoty pohybovaly od 56,2 dítěte na školu </w:t>
      </w:r>
      <w:r w:rsidR="00C674BA">
        <w:rPr>
          <w:rFonts w:cs="Arial"/>
          <w:szCs w:val="20"/>
        </w:rPr>
        <w:t xml:space="preserve">(v kraji Pardubickém) </w:t>
      </w:r>
      <w:r>
        <w:rPr>
          <w:rFonts w:cs="Arial"/>
          <w:szCs w:val="20"/>
        </w:rPr>
        <w:t>po 69,3 dítěte na školu</w:t>
      </w:r>
      <w:r w:rsidR="00C674BA">
        <w:rPr>
          <w:rFonts w:cs="Arial"/>
          <w:szCs w:val="20"/>
        </w:rPr>
        <w:t xml:space="preserve"> (v kraji Jihočeském)</w:t>
      </w:r>
      <w:r w:rsidR="00A67C12" w:rsidRPr="0000782B">
        <w:rPr>
          <w:rFonts w:cs="Arial"/>
          <w:szCs w:val="20"/>
        </w:rPr>
        <w:t xml:space="preserve">. Pokud jde o průměrný počet dětí ve třídě, tak </w:t>
      </w:r>
      <w:r w:rsidR="00F476BD">
        <w:rPr>
          <w:rFonts w:cs="Arial"/>
          <w:szCs w:val="20"/>
        </w:rPr>
        <w:t>těch bylo</w:t>
      </w:r>
      <w:r w:rsidR="00A67C12" w:rsidRPr="0000782B">
        <w:rPr>
          <w:rFonts w:cs="Arial"/>
          <w:szCs w:val="20"/>
        </w:rPr>
        <w:t xml:space="preserve"> </w:t>
      </w:r>
      <w:r w:rsidR="00C674BA">
        <w:rPr>
          <w:rFonts w:cs="Arial"/>
          <w:szCs w:val="20"/>
        </w:rPr>
        <w:t xml:space="preserve">nejvíce </w:t>
      </w:r>
      <w:r w:rsidR="00A67C12" w:rsidRPr="0000782B">
        <w:rPr>
          <w:rFonts w:cs="Arial"/>
          <w:szCs w:val="20"/>
        </w:rPr>
        <w:t>v</w:t>
      </w:r>
      <w:r w:rsidR="00C674BA">
        <w:rPr>
          <w:rFonts w:cs="Arial"/>
          <w:szCs w:val="20"/>
        </w:rPr>
        <w:t xml:space="preserve"> kraji</w:t>
      </w:r>
      <w:r>
        <w:rPr>
          <w:rFonts w:cs="Arial"/>
          <w:szCs w:val="20"/>
        </w:rPr>
        <w:t> </w:t>
      </w:r>
      <w:r w:rsidR="00A67C12" w:rsidRPr="0000782B">
        <w:rPr>
          <w:rFonts w:cs="Arial"/>
          <w:szCs w:val="20"/>
        </w:rPr>
        <w:t>Pardubickém</w:t>
      </w:r>
      <w:r w:rsidR="00C674BA">
        <w:rPr>
          <w:rFonts w:cs="Arial"/>
          <w:szCs w:val="20"/>
        </w:rPr>
        <w:t>, Zlínském</w:t>
      </w:r>
      <w:r>
        <w:rPr>
          <w:rFonts w:cs="Arial"/>
          <w:szCs w:val="20"/>
        </w:rPr>
        <w:t xml:space="preserve"> a </w:t>
      </w:r>
      <w:r w:rsidR="00C674BA">
        <w:rPr>
          <w:rFonts w:cs="Arial"/>
          <w:szCs w:val="20"/>
        </w:rPr>
        <w:t>v Praze</w:t>
      </w:r>
      <w:r>
        <w:rPr>
          <w:rFonts w:cs="Arial"/>
          <w:szCs w:val="20"/>
        </w:rPr>
        <w:t>, a sice</w:t>
      </w:r>
      <w:r w:rsidR="00A67C12" w:rsidRPr="0000782B">
        <w:rPr>
          <w:rFonts w:cs="Arial"/>
          <w:szCs w:val="20"/>
        </w:rPr>
        <w:t xml:space="preserve"> </w:t>
      </w:r>
      <w:r>
        <w:rPr>
          <w:rFonts w:cs="Arial"/>
          <w:szCs w:val="20"/>
        </w:rPr>
        <w:t xml:space="preserve">22,1. </w:t>
      </w:r>
      <w:r w:rsidR="00A67C12" w:rsidRPr="0000782B">
        <w:rPr>
          <w:rFonts w:cs="Arial"/>
          <w:szCs w:val="20"/>
        </w:rPr>
        <w:t>V tomto ukazateli však rozdíly mezi jednotlivými kraji nebyly nijak výrazné</w:t>
      </w:r>
      <w:r w:rsidR="00F476BD">
        <w:rPr>
          <w:rFonts w:cs="Arial"/>
          <w:szCs w:val="20"/>
        </w:rPr>
        <w:t xml:space="preserve">. Nejnižší </w:t>
      </w:r>
      <w:r w:rsidR="00A905FD">
        <w:rPr>
          <w:rFonts w:cs="Arial"/>
          <w:szCs w:val="20"/>
        </w:rPr>
        <w:t xml:space="preserve">průměrná </w:t>
      </w:r>
      <w:r w:rsidR="00F476BD">
        <w:rPr>
          <w:rFonts w:cs="Arial"/>
          <w:szCs w:val="20"/>
        </w:rPr>
        <w:t>hodnota byla</w:t>
      </w:r>
      <w:r w:rsidR="00A67C12">
        <w:rPr>
          <w:rFonts w:cs="Arial"/>
          <w:szCs w:val="20"/>
        </w:rPr>
        <w:t xml:space="preserve"> </w:t>
      </w:r>
      <w:r w:rsidR="00A905FD">
        <w:rPr>
          <w:rFonts w:cs="Arial"/>
          <w:szCs w:val="20"/>
        </w:rPr>
        <w:t>20,7</w:t>
      </w:r>
      <w:r w:rsidR="00F476BD">
        <w:rPr>
          <w:rFonts w:cs="Arial"/>
          <w:szCs w:val="20"/>
        </w:rPr>
        <w:t xml:space="preserve"> žáků </w:t>
      </w:r>
      <w:r w:rsidR="00A905FD">
        <w:rPr>
          <w:rFonts w:cs="Arial"/>
          <w:szCs w:val="20"/>
        </w:rPr>
        <w:t>na jednu třídu</w:t>
      </w:r>
      <w:r w:rsidR="00F476BD">
        <w:rPr>
          <w:rFonts w:cs="Arial"/>
          <w:szCs w:val="20"/>
        </w:rPr>
        <w:t xml:space="preserve"> a té</w:t>
      </w:r>
      <w:r w:rsidR="00A67C12">
        <w:rPr>
          <w:rFonts w:cs="Arial"/>
          <w:szCs w:val="20"/>
        </w:rPr>
        <w:t xml:space="preserve"> </w:t>
      </w:r>
      <w:r w:rsidR="00A67C12" w:rsidRPr="0000782B">
        <w:rPr>
          <w:rFonts w:cs="Arial"/>
          <w:szCs w:val="20"/>
        </w:rPr>
        <w:t xml:space="preserve">bylo dosaženo </w:t>
      </w:r>
      <w:r w:rsidR="00172128">
        <w:rPr>
          <w:rFonts w:cs="Arial"/>
          <w:szCs w:val="20"/>
        </w:rPr>
        <w:t xml:space="preserve">v </w:t>
      </w:r>
      <w:r w:rsidR="00F476BD">
        <w:rPr>
          <w:rFonts w:cs="Arial"/>
          <w:szCs w:val="20"/>
        </w:rPr>
        <w:t xml:space="preserve">kraji </w:t>
      </w:r>
      <w:r w:rsidR="00A905FD">
        <w:rPr>
          <w:rFonts w:cs="Arial"/>
          <w:szCs w:val="20"/>
        </w:rPr>
        <w:t>Ústeckém a na Vysočině.</w:t>
      </w:r>
      <w:r w:rsidR="00C674BA">
        <w:rPr>
          <w:rFonts w:cs="Arial"/>
          <w:szCs w:val="20"/>
        </w:rPr>
        <w:t xml:space="preserve"> Na jednoho učitele připadalo v průměru 10,7 dítěte. Nejvyšší byl tento poměr v kraji Zlínském (11,1) a nejnižší v kraji Ústeckém (10,2).</w:t>
      </w:r>
    </w:p>
    <w:p w14:paraId="0A7C9742" w14:textId="7A33D82A" w:rsidR="006E6395" w:rsidRDefault="00494CE2" w:rsidP="0055586A">
      <w:pPr>
        <w:spacing w:before="120" w:after="120"/>
        <w:jc w:val="both"/>
        <w:rPr>
          <w:rFonts w:cs="Arial"/>
          <w:szCs w:val="20"/>
        </w:rPr>
      </w:pPr>
      <w:r w:rsidRPr="00FB02C7">
        <w:rPr>
          <w:rFonts w:cs="Arial"/>
          <w:szCs w:val="20"/>
        </w:rPr>
        <w:t>P</w:t>
      </w:r>
      <w:r w:rsidR="00A67C12" w:rsidRPr="00FB02C7">
        <w:rPr>
          <w:rFonts w:cs="Arial"/>
          <w:szCs w:val="20"/>
        </w:rPr>
        <w:t>oč</w:t>
      </w:r>
      <w:r w:rsidRPr="00FB02C7">
        <w:rPr>
          <w:rFonts w:cs="Arial"/>
          <w:szCs w:val="20"/>
        </w:rPr>
        <w:t>et</w:t>
      </w:r>
      <w:r w:rsidR="00A67C12" w:rsidRPr="00FB02C7">
        <w:rPr>
          <w:rFonts w:cs="Arial"/>
          <w:szCs w:val="20"/>
        </w:rPr>
        <w:t xml:space="preserve"> tříd</w:t>
      </w:r>
      <w:r w:rsidR="00775DD3">
        <w:rPr>
          <w:rFonts w:cs="Arial"/>
          <w:szCs w:val="20"/>
        </w:rPr>
        <w:t xml:space="preserve"> i žáků mateřských škol</w:t>
      </w:r>
      <w:r w:rsidR="00A67C12" w:rsidRPr="00FB02C7">
        <w:rPr>
          <w:rFonts w:cs="Arial"/>
          <w:szCs w:val="20"/>
        </w:rPr>
        <w:t xml:space="preserve"> </w:t>
      </w:r>
      <w:r w:rsidRPr="00FB02C7">
        <w:rPr>
          <w:rFonts w:cs="Arial"/>
          <w:szCs w:val="20"/>
        </w:rPr>
        <w:t xml:space="preserve">v jednotlivých krajích a jejich vývoj </w:t>
      </w:r>
      <w:r w:rsidR="00775DD3">
        <w:rPr>
          <w:rFonts w:cs="Arial"/>
          <w:szCs w:val="20"/>
        </w:rPr>
        <w:t xml:space="preserve">v čase </w:t>
      </w:r>
      <w:r w:rsidRPr="00FB02C7">
        <w:rPr>
          <w:rFonts w:cs="Arial"/>
          <w:szCs w:val="20"/>
        </w:rPr>
        <w:t xml:space="preserve">může souviset mj. </w:t>
      </w:r>
      <w:r w:rsidR="00A67C12" w:rsidRPr="00FB02C7">
        <w:rPr>
          <w:rFonts w:cs="Arial"/>
          <w:szCs w:val="20"/>
        </w:rPr>
        <w:t>s </w:t>
      </w:r>
      <w:r w:rsidR="00A67C12" w:rsidRPr="00FB02C7">
        <w:rPr>
          <w:rFonts w:cs="Arial"/>
          <w:b/>
          <w:szCs w:val="20"/>
        </w:rPr>
        <w:t>demografickým vývojem počtu dětí</w:t>
      </w:r>
      <w:r w:rsidR="006E6395" w:rsidRPr="00FB02C7">
        <w:rPr>
          <w:rFonts w:cs="Arial"/>
          <w:b/>
          <w:szCs w:val="20"/>
        </w:rPr>
        <w:t xml:space="preserve"> ve věku 2</w:t>
      </w:r>
      <w:r w:rsidR="00A67C12" w:rsidRPr="00FB02C7">
        <w:rPr>
          <w:rFonts w:cs="Arial"/>
          <w:b/>
          <w:szCs w:val="20"/>
        </w:rPr>
        <w:t xml:space="preserve"> až 6 let</w:t>
      </w:r>
      <w:r w:rsidR="006E6395" w:rsidRPr="00FB02C7">
        <w:rPr>
          <w:rFonts w:cs="Arial"/>
          <w:b/>
          <w:szCs w:val="20"/>
        </w:rPr>
        <w:t xml:space="preserve">, tedy věku, kdy děti mohou docházet </w:t>
      </w:r>
      <w:r w:rsidR="006F07EA" w:rsidRPr="00FB02C7">
        <w:rPr>
          <w:rFonts w:cs="Arial"/>
          <w:b/>
          <w:szCs w:val="20"/>
        </w:rPr>
        <w:t>do školky</w:t>
      </w:r>
      <w:r w:rsidR="00A67C12" w:rsidRPr="00FB02C7">
        <w:rPr>
          <w:rFonts w:cs="Arial"/>
          <w:szCs w:val="20"/>
        </w:rPr>
        <w:t xml:space="preserve">. </w:t>
      </w:r>
      <w:r w:rsidRPr="00FB02C7">
        <w:rPr>
          <w:rFonts w:cs="Arial"/>
          <w:szCs w:val="20"/>
        </w:rPr>
        <w:t>Vztáhneme-li celkový počet dětí v mateřských školách k počtu dětí ve</w:t>
      </w:r>
      <w:r w:rsidR="006E6395" w:rsidRPr="00FB02C7">
        <w:rPr>
          <w:rFonts w:cs="Arial"/>
          <w:szCs w:val="20"/>
        </w:rPr>
        <w:t xml:space="preserve"> věku 2</w:t>
      </w:r>
      <w:r w:rsidRPr="00FB02C7">
        <w:rPr>
          <w:rFonts w:cs="Arial"/>
          <w:szCs w:val="20"/>
        </w:rPr>
        <w:t>-6 let</w:t>
      </w:r>
      <w:r w:rsidR="00474C68" w:rsidRPr="00FB02C7">
        <w:rPr>
          <w:rFonts w:cs="Arial"/>
          <w:szCs w:val="20"/>
        </w:rPr>
        <w:t xml:space="preserve">, pak </w:t>
      </w:r>
      <w:r w:rsidR="00FB02C7" w:rsidRPr="00FB02C7">
        <w:rPr>
          <w:rFonts w:cs="Arial"/>
          <w:szCs w:val="20"/>
        </w:rPr>
        <w:t xml:space="preserve">ve </w:t>
      </w:r>
      <w:r w:rsidR="002A15DC">
        <w:rPr>
          <w:rFonts w:cs="Arial"/>
          <w:szCs w:val="20"/>
        </w:rPr>
        <w:t>všech krajích došlo mezi školními roky 2011/12 a 2021/22</w:t>
      </w:r>
      <w:r w:rsidR="00FB02C7" w:rsidRPr="00FB02C7">
        <w:rPr>
          <w:rFonts w:cs="Arial"/>
          <w:szCs w:val="20"/>
        </w:rPr>
        <w:t xml:space="preserve"> k nárůstu tohoto podílu, n</w:t>
      </w:r>
      <w:r w:rsidR="002A15DC">
        <w:rPr>
          <w:rFonts w:cs="Arial"/>
          <w:szCs w:val="20"/>
        </w:rPr>
        <w:t>ejvíce v kraji Středočeském (o 7,4 procentního bodu</w:t>
      </w:r>
      <w:r w:rsidR="00FB02C7" w:rsidRPr="00FB02C7">
        <w:rPr>
          <w:rFonts w:cs="Arial"/>
          <w:szCs w:val="20"/>
        </w:rPr>
        <w:t xml:space="preserve">). V porovnání s tím za celou Českou republiku došlo k nárůstu o  </w:t>
      </w:r>
      <w:r w:rsidR="002A15DC">
        <w:rPr>
          <w:rFonts w:cs="Arial"/>
          <w:szCs w:val="20"/>
        </w:rPr>
        <w:t>3,2</w:t>
      </w:r>
      <w:r w:rsidR="00FB02C7" w:rsidRPr="00FB02C7">
        <w:rPr>
          <w:rFonts w:cs="Arial"/>
          <w:szCs w:val="20"/>
        </w:rPr>
        <w:t xml:space="preserve"> procentního bodu</w:t>
      </w:r>
      <w:r w:rsidR="002A15DC">
        <w:rPr>
          <w:rFonts w:cs="Arial"/>
          <w:szCs w:val="20"/>
        </w:rPr>
        <w:t xml:space="preserve"> a v kraji Pardubickém jen o 0,1 procentního bodu</w:t>
      </w:r>
      <w:r w:rsidR="00FB02C7" w:rsidRPr="00FB02C7">
        <w:rPr>
          <w:rFonts w:cs="Arial"/>
          <w:szCs w:val="20"/>
        </w:rPr>
        <w:t xml:space="preserve">. </w:t>
      </w:r>
      <w:r w:rsidR="002A15DC">
        <w:rPr>
          <w:rFonts w:cs="Arial"/>
          <w:szCs w:val="20"/>
        </w:rPr>
        <w:t xml:space="preserve">Pokud srovnáme jednotlivé kraje, pak </w:t>
      </w:r>
      <w:r w:rsidR="009C75AC">
        <w:rPr>
          <w:rFonts w:cs="Arial"/>
          <w:szCs w:val="20"/>
        </w:rPr>
        <w:t xml:space="preserve">nejvyšší podíl dětí ve věku 2-6 </w:t>
      </w:r>
      <w:r w:rsidR="002A15DC">
        <w:rPr>
          <w:rFonts w:cs="Arial"/>
          <w:szCs w:val="20"/>
        </w:rPr>
        <w:t>let chodí do školky v kraji Olomouckém (69 %) a nejnižší naopak v kraji Ústeckém (59,3 %</w:t>
      </w:r>
      <w:r w:rsidR="00C350BB">
        <w:rPr>
          <w:rFonts w:cs="Arial"/>
          <w:szCs w:val="20"/>
        </w:rPr>
        <w:t>)</w:t>
      </w:r>
      <w:r w:rsidR="002A15DC">
        <w:rPr>
          <w:rFonts w:cs="Arial"/>
          <w:szCs w:val="20"/>
        </w:rPr>
        <w:t xml:space="preserve"> a v Praze (60,9 %). </w:t>
      </w:r>
      <w:r w:rsidR="00C63203">
        <w:rPr>
          <w:rFonts w:cs="Arial"/>
          <w:szCs w:val="20"/>
        </w:rPr>
        <w:t>Zde je však dobré připomenout</w:t>
      </w:r>
      <w:r w:rsidR="002A15DC">
        <w:rPr>
          <w:rFonts w:cs="Arial"/>
          <w:szCs w:val="20"/>
        </w:rPr>
        <w:t xml:space="preserve">, že řada dětí zejména v Praze navštěvuje soukromé školky a dětské skupiny bez práva poskytování předškolní přípravy, které nejsou evidovány v rejstříku škol a nepodléhají statistickému zpracování. </w:t>
      </w:r>
      <w:r w:rsidR="00BB79B0">
        <w:rPr>
          <w:rFonts w:cs="Arial"/>
          <w:szCs w:val="20"/>
        </w:rPr>
        <w:t xml:space="preserve">Školkám v kraji Ústeckém, v Praze a kraji Karlovarském navíc </w:t>
      </w:r>
      <w:r w:rsidR="00C350BB">
        <w:rPr>
          <w:rFonts w:cs="Arial"/>
          <w:szCs w:val="20"/>
        </w:rPr>
        <w:t xml:space="preserve">kapacitně </w:t>
      </w:r>
      <w:r w:rsidR="00BB79B0">
        <w:rPr>
          <w:rFonts w:cs="Arial"/>
          <w:szCs w:val="20"/>
        </w:rPr>
        <w:t>„ulehčují“</w:t>
      </w:r>
      <w:r w:rsidR="00C350BB">
        <w:rPr>
          <w:rFonts w:cs="Arial"/>
          <w:szCs w:val="20"/>
        </w:rPr>
        <w:t xml:space="preserve"> přípravné třídy z</w:t>
      </w:r>
      <w:r w:rsidR="00BB79B0">
        <w:rPr>
          <w:rFonts w:cs="Arial"/>
          <w:szCs w:val="20"/>
        </w:rPr>
        <w:t xml:space="preserve">řízené při základních školách, které navštěvují děti s odkladem. Jak bude dále uvedeno, v těchto </w:t>
      </w:r>
      <w:r w:rsidR="00C350BB">
        <w:rPr>
          <w:rFonts w:cs="Arial"/>
          <w:szCs w:val="20"/>
        </w:rPr>
        <w:t>třech</w:t>
      </w:r>
      <w:r w:rsidR="00BB79B0">
        <w:rPr>
          <w:rFonts w:cs="Arial"/>
          <w:szCs w:val="20"/>
        </w:rPr>
        <w:t xml:space="preserve"> krajích pojmou třetinu dětí s</w:t>
      </w:r>
      <w:r w:rsidR="005E565A">
        <w:rPr>
          <w:rFonts w:cs="Arial"/>
          <w:szCs w:val="20"/>
        </w:rPr>
        <w:t> </w:t>
      </w:r>
      <w:r w:rsidR="00BB79B0">
        <w:rPr>
          <w:rFonts w:cs="Arial"/>
          <w:szCs w:val="20"/>
        </w:rPr>
        <w:t>odkladem</w:t>
      </w:r>
      <w:r w:rsidR="005E565A">
        <w:rPr>
          <w:rFonts w:cs="Arial"/>
          <w:szCs w:val="20"/>
        </w:rPr>
        <w:t>, v jiných krajích tento podíl činí</w:t>
      </w:r>
      <w:r w:rsidR="00BB79B0">
        <w:rPr>
          <w:rFonts w:cs="Arial"/>
          <w:szCs w:val="20"/>
        </w:rPr>
        <w:t xml:space="preserve"> 1,8 % až 17 % </w:t>
      </w:r>
      <w:r w:rsidR="00C350BB">
        <w:rPr>
          <w:rFonts w:cs="Arial"/>
          <w:szCs w:val="20"/>
        </w:rPr>
        <w:t>(viz graf 1.26)</w:t>
      </w:r>
      <w:r w:rsidR="00BB79B0">
        <w:rPr>
          <w:rFonts w:cs="Arial"/>
          <w:szCs w:val="20"/>
        </w:rPr>
        <w:t>.</w:t>
      </w:r>
    </w:p>
    <w:p w14:paraId="2191FDBA" w14:textId="0B19FF1F" w:rsidR="001A0A6E" w:rsidRDefault="001A0A6E" w:rsidP="00886FB3">
      <w:pPr>
        <w:keepNext/>
        <w:spacing w:after="120"/>
        <w:jc w:val="both"/>
        <w:rPr>
          <w:rFonts w:cs="Arial"/>
          <w:b/>
          <w:szCs w:val="20"/>
        </w:rPr>
      </w:pPr>
      <w:r w:rsidRPr="002E5300">
        <w:rPr>
          <w:rFonts w:cs="Arial"/>
          <w:b/>
          <w:szCs w:val="20"/>
        </w:rPr>
        <w:lastRenderedPageBreak/>
        <w:t>Graf 1.</w:t>
      </w:r>
      <w:r w:rsidR="00F51A59">
        <w:rPr>
          <w:rFonts w:cs="Arial"/>
          <w:b/>
          <w:szCs w:val="20"/>
        </w:rPr>
        <w:t>8</w:t>
      </w:r>
      <w:r w:rsidR="00474C68">
        <w:rPr>
          <w:rFonts w:cs="Arial"/>
          <w:b/>
          <w:szCs w:val="20"/>
        </w:rPr>
        <w:t xml:space="preserve"> </w:t>
      </w:r>
      <w:r>
        <w:rPr>
          <w:rFonts w:cs="Arial"/>
          <w:b/>
          <w:szCs w:val="20"/>
        </w:rPr>
        <w:t>Mateřské školy - poměr c</w:t>
      </w:r>
      <w:r w:rsidR="00F72E1C">
        <w:rPr>
          <w:rFonts w:cs="Arial"/>
          <w:b/>
          <w:szCs w:val="20"/>
        </w:rPr>
        <w:t>elkového počtu dětí</w:t>
      </w:r>
      <w:r w:rsidR="005465CB">
        <w:rPr>
          <w:rFonts w:cs="Arial"/>
          <w:b/>
          <w:szCs w:val="20"/>
        </w:rPr>
        <w:t xml:space="preserve"> v MŠ</w:t>
      </w:r>
      <w:r w:rsidR="00F72E1C">
        <w:rPr>
          <w:rFonts w:cs="Arial"/>
          <w:b/>
          <w:szCs w:val="20"/>
        </w:rPr>
        <w:t xml:space="preserve"> k populaci 2</w:t>
      </w:r>
      <w:r>
        <w:rPr>
          <w:rFonts w:cs="Arial"/>
          <w:b/>
          <w:szCs w:val="20"/>
        </w:rPr>
        <w:t>-6 let (v %</w:t>
      </w:r>
      <w:r w:rsidR="00294E81">
        <w:rPr>
          <w:rFonts w:cs="Arial"/>
          <w:b/>
          <w:szCs w:val="20"/>
        </w:rPr>
        <w:t xml:space="preserve"> dle kraje</w:t>
      </w:r>
      <w:r>
        <w:rPr>
          <w:rFonts w:cs="Arial"/>
          <w:b/>
          <w:szCs w:val="20"/>
        </w:rPr>
        <w:t>)</w:t>
      </w:r>
    </w:p>
    <w:p w14:paraId="3E9266AA" w14:textId="1320D563" w:rsidR="006E6395" w:rsidRPr="00FB02C7" w:rsidRDefault="002A15DC" w:rsidP="00FB02C7">
      <w:pPr>
        <w:keepNext/>
        <w:spacing w:after="120"/>
        <w:jc w:val="both"/>
        <w:rPr>
          <w:rFonts w:cs="Arial"/>
          <w:b/>
          <w:szCs w:val="20"/>
        </w:rPr>
      </w:pPr>
      <w:r>
        <w:rPr>
          <w:noProof/>
        </w:rPr>
        <w:drawing>
          <wp:inline distT="0" distB="0" distL="0" distR="0" wp14:anchorId="58C52D90" wp14:editId="3CADFE11">
            <wp:extent cx="6096000" cy="2981325"/>
            <wp:effectExtent l="0" t="0" r="0" b="9525"/>
            <wp:docPr id="74" name="Graf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DD4B1E4" w14:textId="0ED72CC2" w:rsidR="00781543" w:rsidRPr="009C1BF6" w:rsidRDefault="00FF7372" w:rsidP="009C1BF6">
      <w:pPr>
        <w:spacing w:after="120"/>
        <w:jc w:val="right"/>
        <w:rPr>
          <w:rFonts w:cs="Arial"/>
          <w:iCs/>
        </w:rPr>
      </w:pPr>
      <w:r w:rsidRPr="00FB02C7">
        <w:rPr>
          <w:rFonts w:cs="Arial"/>
          <w:sz w:val="18"/>
        </w:rPr>
        <w:t>Zdroj: ČSÚ</w:t>
      </w:r>
      <w:r w:rsidRPr="00FB02C7">
        <w:rPr>
          <w:rFonts w:cs="Arial"/>
          <w:noProof/>
        </w:rPr>
        <w:t xml:space="preserve"> </w:t>
      </w:r>
      <w:r w:rsidRPr="00FB02C7">
        <w:rPr>
          <w:rFonts w:cs="Arial"/>
          <w:sz w:val="18"/>
        </w:rPr>
        <w:t>podle údajů MŠMT</w:t>
      </w:r>
    </w:p>
    <w:p w14:paraId="61059830" w14:textId="07D1641D" w:rsidR="00A67C12" w:rsidRDefault="003E6406" w:rsidP="00474C68">
      <w:pPr>
        <w:spacing w:after="120"/>
        <w:jc w:val="both"/>
        <w:rPr>
          <w:rFonts w:cs="Arial"/>
          <w:szCs w:val="20"/>
        </w:rPr>
      </w:pPr>
      <w:r>
        <w:rPr>
          <w:rFonts w:cs="Arial"/>
          <w:szCs w:val="20"/>
        </w:rPr>
        <w:t>Jak již bylo zmíněno výše, n</w:t>
      </w:r>
      <w:r w:rsidR="00781543">
        <w:rPr>
          <w:rFonts w:cs="Arial"/>
          <w:szCs w:val="20"/>
        </w:rPr>
        <w:t>a</w:t>
      </w:r>
      <w:r w:rsidR="00F229CF" w:rsidRPr="006E6395">
        <w:rPr>
          <w:rFonts w:cs="Arial"/>
          <w:szCs w:val="20"/>
        </w:rPr>
        <w:t xml:space="preserve"> vývoj </w:t>
      </w:r>
      <w:r w:rsidR="00781543">
        <w:rPr>
          <w:rFonts w:cs="Arial"/>
          <w:szCs w:val="20"/>
        </w:rPr>
        <w:t xml:space="preserve">podílu dětí v mateřských školách </w:t>
      </w:r>
      <w:r w:rsidR="001A0A6E" w:rsidRPr="006E6395">
        <w:rPr>
          <w:rFonts w:cs="Arial"/>
          <w:szCs w:val="20"/>
        </w:rPr>
        <w:t xml:space="preserve">mohla </w:t>
      </w:r>
      <w:r w:rsidR="009E22C3">
        <w:rPr>
          <w:rFonts w:cs="Arial"/>
          <w:szCs w:val="20"/>
        </w:rPr>
        <w:t xml:space="preserve">mít vliv </w:t>
      </w:r>
      <w:r w:rsidR="003E544A" w:rsidRPr="006E6395">
        <w:rPr>
          <w:rFonts w:cs="Arial"/>
          <w:szCs w:val="20"/>
        </w:rPr>
        <w:t>mj</w:t>
      </w:r>
      <w:r w:rsidR="009E22C3">
        <w:rPr>
          <w:rFonts w:cs="Arial"/>
          <w:szCs w:val="20"/>
        </w:rPr>
        <w:t>.</w:t>
      </w:r>
      <w:r w:rsidR="001A0A6E" w:rsidRPr="006E6395">
        <w:rPr>
          <w:rFonts w:cs="Arial"/>
          <w:szCs w:val="20"/>
        </w:rPr>
        <w:t xml:space="preserve"> pandemie onemocnění </w:t>
      </w:r>
      <w:r w:rsidR="001C7D93">
        <w:rPr>
          <w:rFonts w:cs="Arial"/>
          <w:szCs w:val="20"/>
        </w:rPr>
        <w:t>covid</w:t>
      </w:r>
      <w:r>
        <w:rPr>
          <w:rFonts w:cs="Arial"/>
          <w:szCs w:val="20"/>
        </w:rPr>
        <w:t>-19</w:t>
      </w:r>
      <w:r w:rsidR="001A0A6E" w:rsidRPr="006E6395">
        <w:rPr>
          <w:rFonts w:cs="Arial"/>
          <w:szCs w:val="20"/>
        </w:rPr>
        <w:t xml:space="preserve">, kdy mnozí </w:t>
      </w:r>
      <w:r w:rsidR="003E544A" w:rsidRPr="006E6395">
        <w:rPr>
          <w:rFonts w:cs="Arial"/>
          <w:szCs w:val="20"/>
        </w:rPr>
        <w:t>rodiče dětí</w:t>
      </w:r>
      <w:r w:rsidR="001A0A6E" w:rsidRPr="006E6395">
        <w:rPr>
          <w:rFonts w:cs="Arial"/>
          <w:szCs w:val="20"/>
        </w:rPr>
        <w:t xml:space="preserve"> pracovali z domova a v </w:t>
      </w:r>
      <w:r w:rsidR="00241E94" w:rsidRPr="006E6395">
        <w:rPr>
          <w:rFonts w:cs="Arial"/>
          <w:szCs w:val="20"/>
        </w:rPr>
        <w:t xml:space="preserve">obavách z šíření nemoci </w:t>
      </w:r>
      <w:r w:rsidR="003E544A" w:rsidRPr="006E6395">
        <w:rPr>
          <w:rFonts w:cs="Arial"/>
          <w:szCs w:val="20"/>
        </w:rPr>
        <w:t>se mohli rozhodnout své dítě do školky nepřihlásit a nechat si jej ještě po dobu pandemie v domácí péči.</w:t>
      </w:r>
      <w:r w:rsidR="00F229CF" w:rsidRPr="006E6395">
        <w:rPr>
          <w:rFonts w:cs="Arial"/>
          <w:szCs w:val="20"/>
        </w:rPr>
        <w:t xml:space="preserve"> </w:t>
      </w:r>
      <w:r w:rsidR="003E544A" w:rsidRPr="006E6395">
        <w:rPr>
          <w:rFonts w:cs="Arial"/>
          <w:szCs w:val="20"/>
        </w:rPr>
        <w:t>Z</w:t>
      </w:r>
      <w:r w:rsidR="00241E94" w:rsidRPr="006E6395">
        <w:rPr>
          <w:rFonts w:cs="Arial"/>
          <w:szCs w:val="20"/>
        </w:rPr>
        <w:t>ejména je-li jeden z rodičů na rodičovské dovolené</w:t>
      </w:r>
      <w:r w:rsidR="00F229CF" w:rsidRPr="006E6395">
        <w:rPr>
          <w:rFonts w:cs="Arial"/>
          <w:szCs w:val="20"/>
        </w:rPr>
        <w:t xml:space="preserve"> s mladším sourozencem. </w:t>
      </w:r>
      <w:r w:rsidR="0069706C" w:rsidRPr="006E6395">
        <w:rPr>
          <w:rFonts w:cs="Arial"/>
          <w:szCs w:val="20"/>
        </w:rPr>
        <w:t>Vliv na rozhodování rodičů dětí</w:t>
      </w:r>
      <w:r w:rsidR="00A0237F" w:rsidRPr="006E6395">
        <w:rPr>
          <w:rFonts w:cs="Arial"/>
          <w:szCs w:val="20"/>
        </w:rPr>
        <w:t xml:space="preserve"> může </w:t>
      </w:r>
      <w:r w:rsidR="0069706C" w:rsidRPr="006E6395">
        <w:rPr>
          <w:rFonts w:cs="Arial"/>
          <w:szCs w:val="20"/>
        </w:rPr>
        <w:t>mít</w:t>
      </w:r>
      <w:r w:rsidR="00A0237F" w:rsidRPr="006E6395">
        <w:rPr>
          <w:rFonts w:cs="Arial"/>
          <w:szCs w:val="20"/>
        </w:rPr>
        <w:t xml:space="preserve"> i míra nezaměstnanosti v jednotlivýc</w:t>
      </w:r>
      <w:r w:rsidR="00241E94" w:rsidRPr="006E6395">
        <w:rPr>
          <w:rFonts w:cs="Arial"/>
          <w:szCs w:val="20"/>
        </w:rPr>
        <w:t>h krajích v době pandemie. Pro nezaměstnané</w:t>
      </w:r>
      <w:r w:rsidR="00A0237F" w:rsidRPr="006E6395">
        <w:rPr>
          <w:rFonts w:cs="Arial"/>
          <w:szCs w:val="20"/>
        </w:rPr>
        <w:t xml:space="preserve"> </w:t>
      </w:r>
      <w:r w:rsidR="00241E94" w:rsidRPr="006E6395">
        <w:rPr>
          <w:rFonts w:cs="Arial"/>
          <w:szCs w:val="20"/>
        </w:rPr>
        <w:t>může být snazší</w:t>
      </w:r>
      <w:r w:rsidR="00A0237F" w:rsidRPr="006E6395">
        <w:rPr>
          <w:rFonts w:cs="Arial"/>
          <w:szCs w:val="20"/>
        </w:rPr>
        <w:t xml:space="preserve"> dítě do školky nepřihlásit a </w:t>
      </w:r>
      <w:r w:rsidR="0069706C" w:rsidRPr="006E6395">
        <w:rPr>
          <w:rFonts w:cs="Arial"/>
          <w:szCs w:val="20"/>
        </w:rPr>
        <w:t>poskytovat mu celodenní péči</w:t>
      </w:r>
      <w:r w:rsidR="00781543">
        <w:rPr>
          <w:rFonts w:cs="Arial"/>
          <w:szCs w:val="20"/>
        </w:rPr>
        <w:t xml:space="preserve">, zejména vezmeme-li v potaz </w:t>
      </w:r>
      <w:r w:rsidR="00781543">
        <w:rPr>
          <w:rFonts w:cs="Arial"/>
        </w:rPr>
        <w:t>navýšení rodič</w:t>
      </w:r>
      <w:r w:rsidR="00D12ED9">
        <w:rPr>
          <w:rFonts w:cs="Arial"/>
        </w:rPr>
        <w:t xml:space="preserve">ovského příspěvku od ledna 2020. </w:t>
      </w:r>
      <w:r w:rsidR="00F51A59" w:rsidRPr="006E6395">
        <w:rPr>
          <w:rFonts w:cs="Arial"/>
          <w:szCs w:val="20"/>
        </w:rPr>
        <w:t>Graf 1.9</w:t>
      </w:r>
      <w:r w:rsidR="00A0237F" w:rsidRPr="006E6395">
        <w:rPr>
          <w:rFonts w:cs="Arial"/>
          <w:szCs w:val="20"/>
        </w:rPr>
        <w:t xml:space="preserve"> proto dále </w:t>
      </w:r>
      <w:r w:rsidR="00241E94" w:rsidRPr="006E6395">
        <w:rPr>
          <w:rFonts w:cs="Arial"/>
          <w:szCs w:val="20"/>
        </w:rPr>
        <w:t>ukazuje</w:t>
      </w:r>
      <w:r w:rsidR="00A0237F" w:rsidRPr="006E6395">
        <w:rPr>
          <w:rFonts w:cs="Arial"/>
          <w:szCs w:val="20"/>
        </w:rPr>
        <w:t xml:space="preserve"> poměr počtu dětí v mateřských šk</w:t>
      </w:r>
      <w:r w:rsidR="006E6395">
        <w:rPr>
          <w:rFonts w:cs="Arial"/>
          <w:szCs w:val="20"/>
        </w:rPr>
        <w:t>olách k počtu obyvatel ve věku 2</w:t>
      </w:r>
      <w:r w:rsidR="00A0237F" w:rsidRPr="006E6395">
        <w:rPr>
          <w:rFonts w:cs="Arial"/>
          <w:szCs w:val="20"/>
        </w:rPr>
        <w:t>-6 let v </w:t>
      </w:r>
      <w:r w:rsidR="00042719">
        <w:rPr>
          <w:rFonts w:cs="Arial"/>
          <w:szCs w:val="20"/>
        </w:rPr>
        <w:t>jednotlivých krajích ve školním roce</w:t>
      </w:r>
      <w:r w:rsidR="00A0237F" w:rsidRPr="006E6395">
        <w:rPr>
          <w:rFonts w:cs="Arial"/>
          <w:szCs w:val="20"/>
        </w:rPr>
        <w:t xml:space="preserve"> 2018/19, tedy v roce ještě nepoznamenaném </w:t>
      </w:r>
      <w:r w:rsidR="00241E94" w:rsidRPr="006E6395">
        <w:rPr>
          <w:rFonts w:cs="Arial"/>
          <w:szCs w:val="20"/>
        </w:rPr>
        <w:t>pandemií</w:t>
      </w:r>
      <w:r w:rsidR="00D12ED9">
        <w:rPr>
          <w:rFonts w:cs="Arial"/>
          <w:szCs w:val="20"/>
        </w:rPr>
        <w:t xml:space="preserve"> a výše uvedenými politickými patřeními</w:t>
      </w:r>
      <w:r w:rsidR="00241E94" w:rsidRPr="006E6395">
        <w:rPr>
          <w:rFonts w:cs="Arial"/>
          <w:szCs w:val="20"/>
        </w:rPr>
        <w:t xml:space="preserve">, a </w:t>
      </w:r>
      <w:r w:rsidR="00042719">
        <w:rPr>
          <w:rFonts w:cs="Arial"/>
          <w:szCs w:val="20"/>
        </w:rPr>
        <w:t xml:space="preserve">ve </w:t>
      </w:r>
      <w:r w:rsidR="00D12ED9">
        <w:rPr>
          <w:rFonts w:cs="Arial"/>
          <w:szCs w:val="20"/>
        </w:rPr>
        <w:t>školním roce 2021/22</w:t>
      </w:r>
      <w:r w:rsidR="00A0237F" w:rsidRPr="006E6395">
        <w:rPr>
          <w:rFonts w:cs="Arial"/>
          <w:szCs w:val="20"/>
        </w:rPr>
        <w:t>.</w:t>
      </w:r>
      <w:r w:rsidR="00EA64C7">
        <w:rPr>
          <w:rFonts w:cs="Arial"/>
          <w:szCs w:val="20"/>
        </w:rPr>
        <w:t xml:space="preserve">  </w:t>
      </w:r>
    </w:p>
    <w:p w14:paraId="687CE62C" w14:textId="3F67D0D9" w:rsidR="00F229CF" w:rsidRDefault="00A0237F" w:rsidP="00A0237F">
      <w:pPr>
        <w:spacing w:after="120"/>
        <w:jc w:val="both"/>
        <w:rPr>
          <w:rFonts w:cs="Arial"/>
          <w:b/>
          <w:szCs w:val="20"/>
        </w:rPr>
      </w:pPr>
      <w:r w:rsidRPr="002E5300">
        <w:rPr>
          <w:rFonts w:cs="Arial"/>
          <w:b/>
          <w:szCs w:val="20"/>
        </w:rPr>
        <w:t>Graf 1.</w:t>
      </w:r>
      <w:r w:rsidR="00F51A59">
        <w:rPr>
          <w:rFonts w:cs="Arial"/>
          <w:b/>
          <w:szCs w:val="20"/>
        </w:rPr>
        <w:t>9</w:t>
      </w:r>
      <w:r>
        <w:rPr>
          <w:rFonts w:cs="Arial"/>
          <w:b/>
          <w:szCs w:val="20"/>
        </w:rPr>
        <w:t xml:space="preserve"> Mateřské školy - poměr c</w:t>
      </w:r>
      <w:r w:rsidR="00F71565">
        <w:rPr>
          <w:rFonts w:cs="Arial"/>
          <w:b/>
          <w:szCs w:val="20"/>
        </w:rPr>
        <w:t xml:space="preserve">elkového počtu dětí </w:t>
      </w:r>
      <w:r w:rsidR="005465CB">
        <w:rPr>
          <w:rFonts w:cs="Arial"/>
          <w:b/>
          <w:szCs w:val="20"/>
        </w:rPr>
        <w:t xml:space="preserve">v MŠ </w:t>
      </w:r>
      <w:r w:rsidR="00F71565">
        <w:rPr>
          <w:rFonts w:cs="Arial"/>
          <w:b/>
          <w:szCs w:val="20"/>
        </w:rPr>
        <w:t>k populaci 2</w:t>
      </w:r>
      <w:r w:rsidR="00D12ED9">
        <w:rPr>
          <w:rFonts w:cs="Arial"/>
          <w:b/>
          <w:szCs w:val="20"/>
        </w:rPr>
        <w:t>-6 let (</w:t>
      </w:r>
      <w:r>
        <w:rPr>
          <w:rFonts w:cs="Arial"/>
          <w:b/>
          <w:szCs w:val="20"/>
        </w:rPr>
        <w:t>v %</w:t>
      </w:r>
      <w:r w:rsidR="00294E81">
        <w:rPr>
          <w:rFonts w:cs="Arial"/>
          <w:b/>
          <w:szCs w:val="20"/>
        </w:rPr>
        <w:t xml:space="preserve"> dle kraje</w:t>
      </w:r>
      <w:r>
        <w:rPr>
          <w:rFonts w:cs="Arial"/>
          <w:b/>
          <w:szCs w:val="20"/>
        </w:rPr>
        <w:t>)</w:t>
      </w:r>
    </w:p>
    <w:p w14:paraId="24F3C390" w14:textId="1D1BE2BB" w:rsidR="00A0237F" w:rsidRPr="00A0237F" w:rsidRDefault="00D12ED9" w:rsidP="00A0237F">
      <w:pPr>
        <w:spacing w:after="120"/>
        <w:jc w:val="both"/>
        <w:rPr>
          <w:rFonts w:cs="Arial"/>
          <w:b/>
          <w:szCs w:val="20"/>
        </w:rPr>
      </w:pPr>
      <w:r>
        <w:rPr>
          <w:noProof/>
        </w:rPr>
        <w:drawing>
          <wp:inline distT="0" distB="0" distL="0" distR="0" wp14:anchorId="0AEE89EA" wp14:editId="1CA50798">
            <wp:extent cx="6096000" cy="3276600"/>
            <wp:effectExtent l="0" t="0" r="0" b="0"/>
            <wp:docPr id="75" name="Graf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DC9D913" w14:textId="2433F3CB" w:rsidR="00CB6743" w:rsidRPr="00FB02C7" w:rsidRDefault="00CB6743" w:rsidP="00CB6743">
      <w:pPr>
        <w:spacing w:after="120"/>
        <w:jc w:val="right"/>
        <w:rPr>
          <w:rFonts w:cs="Arial"/>
          <w:iCs/>
        </w:rPr>
      </w:pPr>
      <w:r w:rsidRPr="00FB02C7">
        <w:rPr>
          <w:rFonts w:cs="Arial"/>
          <w:sz w:val="18"/>
        </w:rPr>
        <w:t>Zdroj: ČSÚ</w:t>
      </w:r>
      <w:r w:rsidRPr="00FB02C7">
        <w:rPr>
          <w:rFonts w:cs="Arial"/>
          <w:noProof/>
        </w:rPr>
        <w:t xml:space="preserve"> </w:t>
      </w:r>
      <w:r w:rsidRPr="00FB02C7">
        <w:rPr>
          <w:rFonts w:cs="Arial"/>
          <w:sz w:val="18"/>
        </w:rPr>
        <w:t>podle údajů MŠMT</w:t>
      </w:r>
    </w:p>
    <w:p w14:paraId="38E599FB" w14:textId="137C98B7" w:rsidR="00E72E53" w:rsidRDefault="00A0237F" w:rsidP="00E622A4">
      <w:pPr>
        <w:spacing w:after="120"/>
        <w:jc w:val="both"/>
        <w:rPr>
          <w:rFonts w:cs="Arial"/>
          <w:szCs w:val="20"/>
        </w:rPr>
      </w:pPr>
      <w:r w:rsidRPr="00014499">
        <w:rPr>
          <w:rFonts w:cs="Arial"/>
          <w:szCs w:val="20"/>
        </w:rPr>
        <w:lastRenderedPageBreak/>
        <w:t xml:space="preserve">Jak je patrné, </w:t>
      </w:r>
      <w:r w:rsidR="006E2ADF">
        <w:rPr>
          <w:rFonts w:cs="Arial"/>
          <w:szCs w:val="20"/>
        </w:rPr>
        <w:t>téměř ve všech krajích došlo v uplynulých třech školních rocích k poklesu podílu dětí ve věku 2-6 let v mateřských školách, ovšem s výjimkou Prahy, kde došlo k nárůstu o 1,1 procentního bodu, a S</w:t>
      </w:r>
      <w:r w:rsidR="00A16B2D">
        <w:rPr>
          <w:rFonts w:cs="Arial"/>
          <w:szCs w:val="20"/>
        </w:rPr>
        <w:t>t</w:t>
      </w:r>
      <w:r w:rsidR="006E2ADF">
        <w:rPr>
          <w:rFonts w:cs="Arial"/>
          <w:szCs w:val="20"/>
        </w:rPr>
        <w:t xml:space="preserve">ředočeského kraje, kde byl zaznamenán jen nepatrný nárůst </w:t>
      </w:r>
      <w:r w:rsidR="006E2ADF" w:rsidRPr="00A16B2D">
        <w:rPr>
          <w:rFonts w:cs="Arial"/>
          <w:szCs w:val="20"/>
        </w:rPr>
        <w:t>(</w:t>
      </w:r>
      <w:r w:rsidR="006F12D8">
        <w:rPr>
          <w:rFonts w:cs="Arial"/>
          <w:szCs w:val="20"/>
        </w:rPr>
        <w:t>o 0</w:t>
      </w:r>
      <w:r w:rsidR="00A16B2D" w:rsidRPr="00A16B2D">
        <w:rPr>
          <w:rFonts w:cs="Arial"/>
          <w:szCs w:val="20"/>
        </w:rPr>
        <w:t>,1 procentního bodu).</w:t>
      </w:r>
      <w:r w:rsidR="006E2ADF" w:rsidRPr="00A16B2D">
        <w:rPr>
          <w:rFonts w:cs="Arial"/>
          <w:szCs w:val="20"/>
        </w:rPr>
        <w:t xml:space="preserve"> </w:t>
      </w:r>
      <w:r w:rsidR="00A16B2D" w:rsidRPr="00A16B2D">
        <w:rPr>
          <w:rFonts w:cs="Arial"/>
          <w:szCs w:val="20"/>
        </w:rPr>
        <w:t xml:space="preserve"> </w:t>
      </w:r>
      <w:r w:rsidR="00E72E53">
        <w:rPr>
          <w:rFonts w:cs="Arial"/>
          <w:szCs w:val="20"/>
        </w:rPr>
        <w:t>Zde lze poznamenat, že za uplynulé tři školní roky došlo v Praze k nejvýraznějšímu poklesu dětí ve věku 2-6 let (o 3,4 %), následuje kraj Karlovarský (pokles o 3,1 %) a Ústecký (pokles o 1,7 %).</w:t>
      </w:r>
      <w:r w:rsidR="0088120C">
        <w:rPr>
          <w:rStyle w:val="Znakapoznpodarou"/>
          <w:rFonts w:cs="Arial"/>
          <w:szCs w:val="20"/>
        </w:rPr>
        <w:footnoteReference w:id="7"/>
      </w:r>
      <w:r w:rsidR="00E72E53">
        <w:rPr>
          <w:rFonts w:cs="Arial"/>
          <w:szCs w:val="20"/>
        </w:rPr>
        <w:t xml:space="preserve"> Ostatní kraje zaznamenaly nárůst obyvatel tohoto školkového věku, v nejvyšší míře kraj Jihomoravský (o 4,3 %). Zdá se tedy, že v Praze, kde je kapacita školek značně vytížena, mohlo být </w:t>
      </w:r>
      <w:r w:rsidR="008D6345">
        <w:rPr>
          <w:rFonts w:cs="Arial"/>
          <w:szCs w:val="20"/>
        </w:rPr>
        <w:t>díky populačnímu poklesu přijat vyšší podíl</w:t>
      </w:r>
      <w:r w:rsidR="00E72E53">
        <w:rPr>
          <w:rFonts w:cs="Arial"/>
          <w:szCs w:val="20"/>
        </w:rPr>
        <w:t xml:space="preserve"> dětí do školek s právem poskytování předškolní přípravy.</w:t>
      </w:r>
    </w:p>
    <w:p w14:paraId="4981A951" w14:textId="77777777" w:rsidR="00201203" w:rsidRDefault="00201203" w:rsidP="00A303E5">
      <w:pPr>
        <w:pStyle w:val="Nadpis2"/>
        <w:keepLines w:val="0"/>
        <w:spacing w:after="120"/>
      </w:pPr>
    </w:p>
    <w:p w14:paraId="2EAC5EEE" w14:textId="36046AE8" w:rsidR="00A67C12" w:rsidRPr="007D3898" w:rsidRDefault="00A67C12" w:rsidP="00A303E5">
      <w:pPr>
        <w:pStyle w:val="Nadpis2"/>
        <w:keepLines w:val="0"/>
        <w:spacing w:after="120"/>
        <w:rPr>
          <w:color w:val="FF0000"/>
          <w:sz w:val="24"/>
        </w:rPr>
      </w:pPr>
      <w:bookmarkStart w:id="3" w:name="_Toc112069067"/>
      <w:r>
        <w:t xml:space="preserve">1.2 </w:t>
      </w:r>
      <w:r w:rsidRPr="005D7F93">
        <w:t>Věkové složení dětí v mateřských školách</w:t>
      </w:r>
      <w:bookmarkEnd w:id="3"/>
    </w:p>
    <w:p w14:paraId="768F78B3" w14:textId="7E7D0EFC" w:rsidR="000456A5" w:rsidRDefault="005C7E65" w:rsidP="001603E4">
      <w:pPr>
        <w:pStyle w:val="Textkomente"/>
        <w:spacing w:line="288" w:lineRule="auto"/>
        <w:jc w:val="both"/>
        <w:rPr>
          <w:rFonts w:cs="Arial"/>
        </w:rPr>
      </w:pPr>
      <w:r>
        <w:rPr>
          <w:rFonts w:cs="Arial"/>
        </w:rPr>
        <w:t>Ve školách mají</w:t>
      </w:r>
      <w:r w:rsidR="00A67C12" w:rsidRPr="005D7F93">
        <w:rPr>
          <w:rFonts w:cs="Arial"/>
        </w:rPr>
        <w:t xml:space="preserve"> </w:t>
      </w:r>
      <w:r w:rsidR="00A67C12">
        <w:rPr>
          <w:rFonts w:cs="Arial"/>
        </w:rPr>
        <w:t xml:space="preserve">od školního roku 2013/14 </w:t>
      </w:r>
      <w:r w:rsidR="00A67C12" w:rsidRPr="005D7F93">
        <w:rPr>
          <w:rFonts w:cs="Arial"/>
        </w:rPr>
        <w:t>nej</w:t>
      </w:r>
      <w:r w:rsidR="00F26D00">
        <w:rPr>
          <w:rFonts w:cs="Arial"/>
        </w:rPr>
        <w:t>větší zastoupení 5leté děti s 29</w:t>
      </w:r>
      <w:r w:rsidR="00A67C12" w:rsidRPr="005D7F93">
        <w:rPr>
          <w:rFonts w:cs="Arial"/>
        </w:rPr>
        <w:t>,</w:t>
      </w:r>
      <w:r w:rsidR="000456A5">
        <w:rPr>
          <w:rFonts w:cs="Arial"/>
        </w:rPr>
        <w:t>8% podílem ve školním roce 2021</w:t>
      </w:r>
      <w:r w:rsidR="00A67C12" w:rsidRPr="005D7F93">
        <w:rPr>
          <w:rFonts w:cs="Arial"/>
        </w:rPr>
        <w:t>/</w:t>
      </w:r>
      <w:r w:rsidR="000456A5">
        <w:rPr>
          <w:rFonts w:cs="Arial"/>
        </w:rPr>
        <w:t>22</w:t>
      </w:r>
      <w:r w:rsidR="00A67C12" w:rsidRPr="005D7F93">
        <w:rPr>
          <w:rFonts w:cs="Arial"/>
        </w:rPr>
        <w:t xml:space="preserve">. </w:t>
      </w:r>
      <w:r w:rsidR="00A67C12">
        <w:rPr>
          <w:rFonts w:cs="Arial"/>
        </w:rPr>
        <w:t>Me</w:t>
      </w:r>
      <w:r w:rsidR="008111F7">
        <w:rPr>
          <w:rFonts w:cs="Arial"/>
        </w:rPr>
        <w:t>zi školními roky 2012/13 až 2017/18</w:t>
      </w:r>
      <w:r w:rsidR="00A67C12">
        <w:rPr>
          <w:rFonts w:cs="Arial"/>
        </w:rPr>
        <w:t xml:space="preserve"> rostl podíl </w:t>
      </w:r>
      <w:r w:rsidR="00A67C12" w:rsidRPr="00DD2F6B">
        <w:rPr>
          <w:rFonts w:cs="Arial"/>
          <w:b/>
        </w:rPr>
        <w:t xml:space="preserve">dětí </w:t>
      </w:r>
      <w:r w:rsidR="004B7D50">
        <w:rPr>
          <w:rFonts w:cs="Arial"/>
          <w:b/>
        </w:rPr>
        <w:t>v mateřských školkách mladších tří</w:t>
      </w:r>
      <w:r w:rsidR="00F5271A" w:rsidRPr="00DD2F6B">
        <w:rPr>
          <w:rFonts w:cs="Arial"/>
          <w:b/>
        </w:rPr>
        <w:t xml:space="preserve"> </w:t>
      </w:r>
      <w:r w:rsidR="00A67C12" w:rsidRPr="00DD2F6B">
        <w:rPr>
          <w:rFonts w:cs="Arial"/>
          <w:b/>
        </w:rPr>
        <w:t>let</w:t>
      </w:r>
      <w:r w:rsidR="00A67C12">
        <w:rPr>
          <w:rFonts w:cs="Arial"/>
        </w:rPr>
        <w:t xml:space="preserve">. Jejich </w:t>
      </w:r>
      <w:r w:rsidR="001E238F">
        <w:rPr>
          <w:rFonts w:cs="Arial"/>
        </w:rPr>
        <w:t xml:space="preserve">absolutní </w:t>
      </w:r>
      <w:r w:rsidR="00A67C12">
        <w:rPr>
          <w:rFonts w:cs="Arial"/>
        </w:rPr>
        <w:t xml:space="preserve">počet </w:t>
      </w:r>
      <w:r w:rsidR="001E238F">
        <w:rPr>
          <w:rFonts w:cs="Arial"/>
        </w:rPr>
        <w:t xml:space="preserve">se </w:t>
      </w:r>
      <w:r w:rsidR="00A67C12">
        <w:rPr>
          <w:rFonts w:cs="Arial"/>
        </w:rPr>
        <w:t>v</w:t>
      </w:r>
      <w:r w:rsidR="001E238F">
        <w:rPr>
          <w:rFonts w:cs="Arial"/>
        </w:rPr>
        <w:t xml:space="preserve"> tomto období </w:t>
      </w:r>
      <w:r w:rsidR="008111F7">
        <w:rPr>
          <w:rFonts w:cs="Arial"/>
        </w:rPr>
        <w:t xml:space="preserve">zvýšil </w:t>
      </w:r>
      <w:r w:rsidR="007E4968">
        <w:rPr>
          <w:rFonts w:cs="Arial"/>
        </w:rPr>
        <w:t>o </w:t>
      </w:r>
      <w:r w:rsidR="008111F7">
        <w:rPr>
          <w:rFonts w:cs="Arial"/>
        </w:rPr>
        <w:t>42,3 %</w:t>
      </w:r>
      <w:r w:rsidR="000456A5">
        <w:rPr>
          <w:rFonts w:cs="Arial"/>
        </w:rPr>
        <w:t>. V posledních třech</w:t>
      </w:r>
      <w:r w:rsidR="00F26D00">
        <w:rPr>
          <w:rFonts w:cs="Arial"/>
        </w:rPr>
        <w:t xml:space="preserve"> školních letech však jejich počet kl</w:t>
      </w:r>
      <w:r w:rsidR="000456A5">
        <w:rPr>
          <w:rFonts w:cs="Arial"/>
        </w:rPr>
        <w:t>esal a celkem se snížil</w:t>
      </w:r>
      <w:r w:rsidR="00F26D00">
        <w:rPr>
          <w:rFonts w:cs="Arial"/>
        </w:rPr>
        <w:t xml:space="preserve"> o </w:t>
      </w:r>
      <w:r w:rsidR="000456A5">
        <w:rPr>
          <w:rFonts w:cs="Arial"/>
        </w:rPr>
        <w:t>27,9 %</w:t>
      </w:r>
      <w:r w:rsidR="00F26D00">
        <w:rPr>
          <w:rFonts w:cs="Arial"/>
        </w:rPr>
        <w:t xml:space="preserve"> - </w:t>
      </w:r>
      <w:r w:rsidR="00A67C12">
        <w:rPr>
          <w:rFonts w:cs="Arial"/>
        </w:rPr>
        <w:t xml:space="preserve"> </w:t>
      </w:r>
      <w:r w:rsidR="00697750">
        <w:rPr>
          <w:rFonts w:cs="Arial"/>
        </w:rPr>
        <w:t xml:space="preserve">viz </w:t>
      </w:r>
      <w:r w:rsidR="00A67C12">
        <w:rPr>
          <w:rFonts w:cs="Arial"/>
        </w:rPr>
        <w:t>graf</w:t>
      </w:r>
      <w:r w:rsidR="0061139F">
        <w:rPr>
          <w:rFonts w:cs="Arial"/>
        </w:rPr>
        <w:t>y</w:t>
      </w:r>
      <w:r w:rsidR="0079254D">
        <w:rPr>
          <w:rFonts w:cs="Arial"/>
        </w:rPr>
        <w:t xml:space="preserve"> 1.10 a 1.11</w:t>
      </w:r>
      <w:r w:rsidR="00A67C12">
        <w:rPr>
          <w:rFonts w:cs="Arial"/>
        </w:rPr>
        <w:t>.</w:t>
      </w:r>
      <w:r w:rsidR="003D4408">
        <w:rPr>
          <w:rFonts w:cs="Arial"/>
        </w:rPr>
        <w:t xml:space="preserve"> </w:t>
      </w:r>
    </w:p>
    <w:p w14:paraId="34AAE493" w14:textId="000509E5" w:rsidR="00A67C12" w:rsidRDefault="00A67C12" w:rsidP="00A67C12">
      <w:pPr>
        <w:spacing w:after="120"/>
        <w:jc w:val="both"/>
        <w:rPr>
          <w:rFonts w:cs="Arial"/>
          <w:b/>
          <w:szCs w:val="20"/>
        </w:rPr>
      </w:pPr>
      <w:r w:rsidRPr="002E5300">
        <w:rPr>
          <w:rFonts w:cs="Arial"/>
          <w:b/>
          <w:szCs w:val="20"/>
        </w:rPr>
        <w:t>Graf 1</w:t>
      </w:r>
      <w:r w:rsidR="0079254D">
        <w:rPr>
          <w:rFonts w:cs="Arial"/>
          <w:b/>
          <w:szCs w:val="20"/>
        </w:rPr>
        <w:t>.10</w:t>
      </w:r>
      <w:r w:rsidRPr="002E5300">
        <w:rPr>
          <w:rFonts w:cs="Arial"/>
          <w:b/>
          <w:szCs w:val="20"/>
        </w:rPr>
        <w:t xml:space="preserve"> </w:t>
      </w:r>
      <w:r>
        <w:rPr>
          <w:rFonts w:cs="Arial"/>
          <w:b/>
          <w:szCs w:val="20"/>
        </w:rPr>
        <w:t>Děti v mateřských školách podle věku (v tis.)</w:t>
      </w:r>
    </w:p>
    <w:p w14:paraId="17A34ECB" w14:textId="71BDF916" w:rsidR="001B1027" w:rsidRDefault="00FA11D4" w:rsidP="00A67C12">
      <w:pPr>
        <w:spacing w:after="120"/>
        <w:jc w:val="both"/>
        <w:rPr>
          <w:rFonts w:cs="Arial"/>
          <w:b/>
          <w:szCs w:val="20"/>
        </w:rPr>
      </w:pPr>
      <w:r>
        <w:rPr>
          <w:noProof/>
        </w:rPr>
        <mc:AlternateContent>
          <mc:Choice Requires="wps">
            <w:drawing>
              <wp:anchor distT="0" distB="0" distL="114300" distR="114300" simplePos="0" relativeHeight="251667456" behindDoc="0" locked="0" layoutInCell="1" allowOverlap="1" wp14:anchorId="2009A8EC" wp14:editId="7057A4A3">
                <wp:simplePos x="0" y="0"/>
                <wp:positionH relativeFrom="margin">
                  <wp:align>left</wp:align>
                </wp:positionH>
                <wp:positionV relativeFrom="paragraph">
                  <wp:posOffset>3401695</wp:posOffset>
                </wp:positionV>
                <wp:extent cx="381000" cy="266700"/>
                <wp:effectExtent l="0" t="0" r="0" b="38100"/>
                <wp:wrapNone/>
                <wp:docPr id="77" name="Obdélník 77"/>
                <wp:cNvGraphicFramePr/>
                <a:graphic xmlns:a="http://schemas.openxmlformats.org/drawingml/2006/main">
                  <a:graphicData uri="http://schemas.microsoft.com/office/word/2010/wordprocessingShape">
                    <wps:wsp>
                      <wps:cNvSpPr/>
                      <wps:spPr>
                        <a:xfrm>
                          <a:off x="0" y="0"/>
                          <a:ext cx="381000" cy="26670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14:paraId="6A6EE0D8" w14:textId="57A81727" w:rsidR="00A0215E" w:rsidRPr="00FA11D4" w:rsidRDefault="00A0215E" w:rsidP="00FA11D4">
                            <w:pPr>
                              <w:jc w:val="center"/>
                              <w:rPr>
                                <w:color w:val="000000" w:themeColor="text1"/>
                                <w:sz w:val="16"/>
                                <w:szCs w:val="16"/>
                              </w:rPr>
                            </w:pPr>
                            <w:r w:rsidRPr="00FA11D4">
                              <w:rPr>
                                <w:color w:val="000000" w:themeColor="text1"/>
                                <w:sz w:val="16"/>
                                <w:szCs w:val="16"/>
                              </w:rPr>
                              <w:t>tis.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9A8EC" id="Obdélník 77" o:spid="_x0000_s1026" style="position:absolute;left:0;text-align:left;margin-left:0;margin-top:267.85pt;width:30pt;height:21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" filled="f" stroked="f">
                <v:shadow on="t" color="black" opacity="22937f" origin=",.5" offset="0,.63889mm"/>
                <v:textbox>
                  <w:txbxContent>
                    <w:p w14:paraId="6A6EE0D8" w14:textId="57A81727" w:rsidR="00A0215E" w:rsidRPr="00FA11D4" w:rsidRDefault="00A0215E" w:rsidP="00FA11D4">
                      <w:pPr>
                        <w:jc w:val="center"/>
                        <w:rPr>
                          <w:color w:val="000000" w:themeColor="text1"/>
                          <w:sz w:val="16"/>
                          <w:szCs w:val="16"/>
                        </w:rPr>
                      </w:pPr>
                      <w:r w:rsidRPr="00FA11D4">
                        <w:rPr>
                          <w:color w:val="000000" w:themeColor="text1"/>
                          <w:sz w:val="16"/>
                          <w:szCs w:val="16"/>
                        </w:rPr>
                        <w:t>tis.</w:t>
                      </w:r>
                    </w:p>
                  </w:txbxContent>
                </v:textbox>
                <w10:wrap anchorx="margin"/>
              </v:rect>
            </w:pict>
          </mc:Fallback>
        </mc:AlternateContent>
      </w:r>
      <w:r w:rsidR="004B7D50">
        <w:rPr>
          <w:noProof/>
        </w:rPr>
        <w:drawing>
          <wp:inline distT="0" distB="0" distL="0" distR="0" wp14:anchorId="234B0781" wp14:editId="08A82ADA">
            <wp:extent cx="6047740" cy="3771900"/>
            <wp:effectExtent l="0" t="0" r="10160" b="0"/>
            <wp:docPr id="112" name="Graf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E118B72" w14:textId="5F5B8675" w:rsidR="00FE478B" w:rsidRPr="00FE478B" w:rsidRDefault="00FE478B" w:rsidP="0061139F">
      <w:pPr>
        <w:spacing w:after="120"/>
        <w:jc w:val="right"/>
        <w:rPr>
          <w:rFonts w:cs="Arial"/>
          <w:iCs/>
        </w:rPr>
      </w:pPr>
      <w:r w:rsidRPr="00F94849">
        <w:rPr>
          <w:rFonts w:cs="Arial"/>
          <w:sz w:val="18"/>
        </w:rPr>
        <w:t>Zdroj: ČSÚ</w:t>
      </w:r>
      <w:r w:rsidRPr="00F94849">
        <w:rPr>
          <w:rFonts w:cs="Arial"/>
          <w:noProof/>
        </w:rPr>
        <w:t xml:space="preserve"> </w:t>
      </w:r>
      <w:r w:rsidRPr="00307699">
        <w:rPr>
          <w:rFonts w:cs="Arial"/>
          <w:sz w:val="18"/>
        </w:rPr>
        <w:t>podle údajů MŠMT</w:t>
      </w:r>
    </w:p>
    <w:p w14:paraId="37999072" w14:textId="390C50AA" w:rsidR="00AA2850" w:rsidRDefault="00AA2850" w:rsidP="00AA2850">
      <w:pPr>
        <w:keepNext/>
        <w:spacing w:after="120"/>
        <w:jc w:val="both"/>
        <w:rPr>
          <w:rFonts w:cs="Arial"/>
          <w:b/>
          <w:szCs w:val="20"/>
        </w:rPr>
      </w:pPr>
      <w:r w:rsidRPr="002E5300">
        <w:rPr>
          <w:rFonts w:cs="Arial"/>
          <w:b/>
          <w:szCs w:val="20"/>
        </w:rPr>
        <w:lastRenderedPageBreak/>
        <w:t>Graf 1</w:t>
      </w:r>
      <w:r w:rsidR="0079254D">
        <w:rPr>
          <w:rFonts w:cs="Arial"/>
          <w:b/>
          <w:szCs w:val="20"/>
        </w:rPr>
        <w:t>.11</w:t>
      </w:r>
      <w:r w:rsidRPr="002E5300">
        <w:rPr>
          <w:rFonts w:cs="Arial"/>
          <w:b/>
          <w:szCs w:val="20"/>
        </w:rPr>
        <w:t xml:space="preserve"> </w:t>
      </w:r>
      <w:r>
        <w:rPr>
          <w:rFonts w:cs="Arial"/>
          <w:b/>
          <w:szCs w:val="20"/>
        </w:rPr>
        <w:t>Děti v mateřských školách podle věku (v %)</w:t>
      </w:r>
    </w:p>
    <w:p w14:paraId="324C5B85" w14:textId="48E11A21" w:rsidR="004B7D50" w:rsidRDefault="00FA11D4" w:rsidP="00AA2850">
      <w:pPr>
        <w:keepNext/>
        <w:spacing w:after="120"/>
        <w:jc w:val="both"/>
        <w:rPr>
          <w:rFonts w:cs="Arial"/>
          <w:b/>
          <w:szCs w:val="20"/>
        </w:rPr>
      </w:pPr>
      <w:r>
        <w:rPr>
          <w:noProof/>
        </w:rPr>
        <w:drawing>
          <wp:inline distT="0" distB="0" distL="0" distR="0" wp14:anchorId="7B111875" wp14:editId="07A82401">
            <wp:extent cx="6029325" cy="3343275"/>
            <wp:effectExtent l="0" t="0" r="9525" b="9525"/>
            <wp:docPr id="73" name="Graf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0C36A12" w14:textId="48314370" w:rsidR="00A67C12" w:rsidRPr="00F94849" w:rsidRDefault="00A67C12" w:rsidP="00D12F18">
      <w:pPr>
        <w:spacing w:after="120"/>
        <w:jc w:val="right"/>
        <w:rPr>
          <w:rFonts w:cs="Arial"/>
          <w:iCs/>
        </w:rPr>
      </w:pPr>
      <w:r w:rsidRPr="00F94849">
        <w:rPr>
          <w:rFonts w:cs="Arial"/>
          <w:sz w:val="18"/>
        </w:rPr>
        <w:t>Zdroj: ČSÚ</w:t>
      </w:r>
      <w:r w:rsidRPr="00F94849">
        <w:rPr>
          <w:rFonts w:cs="Arial"/>
          <w:noProof/>
        </w:rPr>
        <w:t xml:space="preserve"> </w:t>
      </w:r>
      <w:r w:rsidRPr="00307699">
        <w:rPr>
          <w:rFonts w:cs="Arial"/>
          <w:sz w:val="18"/>
        </w:rPr>
        <w:t>podle údajů MŠMT</w:t>
      </w:r>
    </w:p>
    <w:p w14:paraId="2FFBC0E6" w14:textId="5A1D6613" w:rsidR="000456A5" w:rsidRPr="0099746B" w:rsidRDefault="000456A5" w:rsidP="000456A5">
      <w:pPr>
        <w:pStyle w:val="Textkomente"/>
        <w:spacing w:line="288" w:lineRule="auto"/>
        <w:jc w:val="both"/>
        <w:rPr>
          <w:rFonts w:cs="Arial"/>
        </w:rPr>
      </w:pPr>
      <w:r w:rsidRPr="0099746B">
        <w:rPr>
          <w:rFonts w:cs="Arial"/>
        </w:rPr>
        <w:t xml:space="preserve">Jak již bylo výše nastíněno, na pokles počtu dětí mladších tří let </w:t>
      </w:r>
      <w:r w:rsidR="009E22C3">
        <w:rPr>
          <w:rFonts w:cs="Arial"/>
        </w:rPr>
        <w:t xml:space="preserve">ve školkách </w:t>
      </w:r>
      <w:r w:rsidRPr="0099746B">
        <w:rPr>
          <w:rFonts w:cs="Arial"/>
        </w:rPr>
        <w:t xml:space="preserve">v posledních dvou školních rocích mohla mít vliv pandemie onemocnění covid-19, navýšení rodičovského příspěvku od ledna 2020, příp. též zrušení superhrubé mzdy a s tím spojené zvýšení čistých mezd. Mohly zde však sehrát úlohu též jiné faktory, </w:t>
      </w:r>
      <w:r w:rsidR="00236D42">
        <w:rPr>
          <w:rFonts w:cs="Arial"/>
        </w:rPr>
        <w:t xml:space="preserve">např. </w:t>
      </w:r>
      <w:r w:rsidR="00766E66">
        <w:rPr>
          <w:rFonts w:cs="Arial"/>
        </w:rPr>
        <w:t>převažující názor rodičů na prospěšnost</w:t>
      </w:r>
      <w:r w:rsidRPr="0099746B">
        <w:rPr>
          <w:rFonts w:cs="Arial"/>
        </w:rPr>
        <w:t xml:space="preserve"> umístění dítěte mladšího tří let do školky. Kromě setrvávání na rodičovské dovolené přitom mohli volit též jesle či alternativní zařízení, které není vedeno v rejstříku škol.</w:t>
      </w:r>
      <w:r>
        <w:rPr>
          <w:rFonts w:cs="Arial"/>
        </w:rPr>
        <w:t xml:space="preserve">  </w:t>
      </w:r>
      <w:r w:rsidRPr="00E60853">
        <w:rPr>
          <w:rFonts w:cs="Arial"/>
        </w:rPr>
        <w:t xml:space="preserve"> </w:t>
      </w:r>
    </w:p>
    <w:p w14:paraId="7BA8E90C" w14:textId="5AE72B1A" w:rsidR="00340799" w:rsidRDefault="0079254D" w:rsidP="00D64541">
      <w:pPr>
        <w:spacing w:after="120"/>
        <w:jc w:val="both"/>
        <w:rPr>
          <w:rFonts w:cs="Arial"/>
          <w:szCs w:val="20"/>
        </w:rPr>
      </w:pPr>
      <w:r>
        <w:rPr>
          <w:rFonts w:cs="Arial"/>
          <w:szCs w:val="20"/>
        </w:rPr>
        <w:t>Graf</w:t>
      </w:r>
      <w:r w:rsidR="00781971">
        <w:rPr>
          <w:rFonts w:cs="Arial"/>
          <w:szCs w:val="20"/>
        </w:rPr>
        <w:t>y</w:t>
      </w:r>
      <w:r>
        <w:rPr>
          <w:rFonts w:cs="Arial"/>
          <w:szCs w:val="20"/>
        </w:rPr>
        <w:t xml:space="preserve"> 1.10 a 1.11</w:t>
      </w:r>
      <w:r w:rsidR="00781971">
        <w:rPr>
          <w:rFonts w:cs="Arial"/>
          <w:szCs w:val="20"/>
        </w:rPr>
        <w:t xml:space="preserve"> znázorňují</w:t>
      </w:r>
      <w:r w:rsidR="00DD2F6B">
        <w:rPr>
          <w:rFonts w:cs="Arial"/>
          <w:szCs w:val="20"/>
        </w:rPr>
        <w:t xml:space="preserve"> též počet, resp. podíl žáků, kterým na počátku školního roku bylo </w:t>
      </w:r>
      <w:r w:rsidR="00DD2F6B" w:rsidRPr="00DD2F6B">
        <w:rPr>
          <w:rFonts w:cs="Arial"/>
          <w:b/>
          <w:szCs w:val="20"/>
        </w:rPr>
        <w:t>šest let a více</w:t>
      </w:r>
      <w:r w:rsidR="00DD2F6B">
        <w:rPr>
          <w:rFonts w:cs="Arial"/>
          <w:szCs w:val="20"/>
        </w:rPr>
        <w:t xml:space="preserve">. </w:t>
      </w:r>
      <w:r w:rsidR="00340799">
        <w:rPr>
          <w:rFonts w:cs="Arial"/>
          <w:szCs w:val="20"/>
        </w:rPr>
        <w:t>V roce 2021/22</w:t>
      </w:r>
      <w:r w:rsidR="00340799" w:rsidRPr="000421D8">
        <w:rPr>
          <w:rFonts w:cs="Arial"/>
          <w:szCs w:val="20"/>
        </w:rPr>
        <w:t xml:space="preserve"> bylo v mateřských školách šestiletých či starších dětí </w:t>
      </w:r>
      <w:r w:rsidR="00340799">
        <w:rPr>
          <w:rFonts w:cs="Arial"/>
          <w:szCs w:val="20"/>
        </w:rPr>
        <w:t>22</w:t>
      </w:r>
      <w:r w:rsidR="00766E66">
        <w:rPr>
          <w:rFonts w:cs="Arial"/>
          <w:szCs w:val="20"/>
        </w:rPr>
        <w:t> </w:t>
      </w:r>
      <w:r w:rsidR="00340799">
        <w:rPr>
          <w:rFonts w:cs="Arial"/>
          <w:szCs w:val="20"/>
        </w:rPr>
        <w:t>847</w:t>
      </w:r>
      <w:r w:rsidR="00766E66">
        <w:rPr>
          <w:rFonts w:cs="Arial"/>
          <w:szCs w:val="20"/>
        </w:rPr>
        <w:t>, z</w:t>
      </w:r>
      <w:r w:rsidR="00340799" w:rsidRPr="000421D8">
        <w:rPr>
          <w:rFonts w:cs="Arial"/>
          <w:szCs w:val="20"/>
        </w:rPr>
        <w:t> toho dětí ve věku 7 let a více bylo pouze 1</w:t>
      </w:r>
      <w:r w:rsidR="00340799">
        <w:rPr>
          <w:rFonts w:cs="Arial"/>
          <w:szCs w:val="20"/>
        </w:rPr>
        <w:t>23</w:t>
      </w:r>
      <w:r w:rsidR="00340799" w:rsidRPr="000421D8">
        <w:rPr>
          <w:rFonts w:cs="Arial"/>
          <w:szCs w:val="20"/>
        </w:rPr>
        <w:t xml:space="preserve">. </w:t>
      </w:r>
      <w:r w:rsidR="00766E66">
        <w:rPr>
          <w:rFonts w:cs="Arial"/>
          <w:szCs w:val="20"/>
        </w:rPr>
        <w:t>D</w:t>
      </w:r>
      <w:r w:rsidR="00DD2F6B">
        <w:rPr>
          <w:rFonts w:cs="Arial"/>
          <w:szCs w:val="20"/>
        </w:rPr>
        <w:t>ěti</w:t>
      </w:r>
      <w:r w:rsidR="00766E66">
        <w:rPr>
          <w:rFonts w:cs="Arial"/>
          <w:szCs w:val="20"/>
        </w:rPr>
        <w:t xml:space="preserve"> ve věku 6 let a více k 31. 8.</w:t>
      </w:r>
      <w:r w:rsidR="00DD2F6B">
        <w:rPr>
          <w:rFonts w:cs="Arial"/>
          <w:szCs w:val="20"/>
        </w:rPr>
        <w:t xml:space="preserve"> by již dle zákona mohly navštěvovat základní školy a </w:t>
      </w:r>
      <w:r w:rsidR="00340799">
        <w:rPr>
          <w:rFonts w:cs="Arial"/>
          <w:szCs w:val="20"/>
        </w:rPr>
        <w:t>jedná se tedy o děti s </w:t>
      </w:r>
      <w:r w:rsidR="00DD2F6B" w:rsidRPr="00DF5F62">
        <w:rPr>
          <w:rFonts w:cs="Arial"/>
          <w:szCs w:val="20"/>
        </w:rPr>
        <w:t>odloženou povinnou školní docházkou</w:t>
      </w:r>
      <w:r w:rsidR="0088120C">
        <w:rPr>
          <w:rStyle w:val="Znakapoznpodarou"/>
          <w:rFonts w:cs="Arial"/>
          <w:szCs w:val="20"/>
        </w:rPr>
        <w:footnoteReference w:id="8"/>
      </w:r>
      <w:r w:rsidR="00DD2F6B">
        <w:rPr>
          <w:rFonts w:cs="Arial"/>
          <w:szCs w:val="20"/>
        </w:rPr>
        <w:t xml:space="preserve">. </w:t>
      </w:r>
      <w:r w:rsidR="00A67C12" w:rsidRPr="00DF5F62">
        <w:rPr>
          <w:rFonts w:cs="Arial"/>
          <w:szCs w:val="20"/>
        </w:rPr>
        <w:t xml:space="preserve">Procentuální zastoupení </w:t>
      </w:r>
      <w:r w:rsidR="00DD2F6B" w:rsidRPr="00DD2F6B">
        <w:rPr>
          <w:rFonts w:cs="Arial"/>
          <w:szCs w:val="20"/>
        </w:rPr>
        <w:t>těchto dětí</w:t>
      </w:r>
      <w:r w:rsidR="00A67C12" w:rsidRPr="00DF5F62">
        <w:rPr>
          <w:rFonts w:cs="Arial"/>
          <w:szCs w:val="20"/>
        </w:rPr>
        <w:t xml:space="preserve"> se </w:t>
      </w:r>
      <w:r w:rsidR="000512A3">
        <w:rPr>
          <w:rFonts w:cs="Arial"/>
          <w:szCs w:val="20"/>
        </w:rPr>
        <w:t>od školního roku 2012/13 do školního roku 2020/21 pohybovalo</w:t>
      </w:r>
      <w:r w:rsidR="00A67C12">
        <w:rPr>
          <w:rFonts w:cs="Arial"/>
          <w:szCs w:val="20"/>
        </w:rPr>
        <w:t xml:space="preserve"> tě</w:t>
      </w:r>
      <w:r w:rsidR="00287C53">
        <w:rPr>
          <w:rFonts w:cs="Arial"/>
          <w:szCs w:val="20"/>
        </w:rPr>
        <w:t>sně pod hranicí 6 %</w:t>
      </w:r>
      <w:r w:rsidR="000512A3">
        <w:rPr>
          <w:rFonts w:cs="Arial"/>
          <w:szCs w:val="20"/>
        </w:rPr>
        <w:t>, v posledním školním roce však stouplo na 6,3 %</w:t>
      </w:r>
      <w:r w:rsidR="00287C53">
        <w:rPr>
          <w:rFonts w:cs="Arial"/>
          <w:szCs w:val="20"/>
        </w:rPr>
        <w:t xml:space="preserve">. </w:t>
      </w:r>
      <w:r w:rsidR="000512A3">
        <w:rPr>
          <w:rFonts w:cs="Arial"/>
          <w:szCs w:val="20"/>
        </w:rPr>
        <w:t>Jak jsme zmínili v </w:t>
      </w:r>
      <w:r w:rsidR="000512A3" w:rsidRPr="000512A3">
        <w:rPr>
          <w:rFonts w:cs="Arial"/>
          <w:szCs w:val="20"/>
        </w:rPr>
        <w:t xml:space="preserve">publikaci v předchozím roce, odborníci </w:t>
      </w:r>
      <w:r w:rsidR="000421D8">
        <w:rPr>
          <w:rFonts w:cs="Arial"/>
          <w:szCs w:val="20"/>
        </w:rPr>
        <w:t xml:space="preserve">se </w:t>
      </w:r>
      <w:r w:rsidR="000512A3" w:rsidRPr="000512A3">
        <w:rPr>
          <w:rFonts w:cs="Arial"/>
          <w:szCs w:val="20"/>
        </w:rPr>
        <w:t>shodují, že se odklady nadužívají a snaží se je snížit na přijatelnou úroveň. V období propuknutí pandemie covid-19 jim však jejich snahy mařila obava rodičů z uzavírání škol.</w:t>
      </w:r>
      <w:r w:rsidR="00340799">
        <w:rPr>
          <w:rFonts w:cs="Arial"/>
          <w:szCs w:val="20"/>
        </w:rPr>
        <w:t xml:space="preserve"> Namísto přestupu do 1. třídy základní školy tak častěji pro dítě žádali o odklad.</w:t>
      </w:r>
      <w:r w:rsidR="000512A3">
        <w:rPr>
          <w:rFonts w:cs="Arial"/>
          <w:szCs w:val="20"/>
        </w:rPr>
        <w:t xml:space="preserve"> Je také možné, že vyšší nemocnost a uzavírání školek v době pandemie mohly být důvodem, že se nepodařilo některé děti včas na školu připravit.</w:t>
      </w:r>
      <w:r w:rsidR="00B85002">
        <w:rPr>
          <w:rFonts w:cs="Arial"/>
          <w:szCs w:val="20"/>
        </w:rPr>
        <w:t xml:space="preserve"> </w:t>
      </w:r>
    </w:p>
    <w:p w14:paraId="278473CD" w14:textId="29459E75" w:rsidR="00B85002" w:rsidRDefault="0079254D" w:rsidP="008576E9">
      <w:pPr>
        <w:spacing w:after="120"/>
        <w:jc w:val="both"/>
        <w:rPr>
          <w:rFonts w:cs="Arial"/>
          <w:szCs w:val="20"/>
        </w:rPr>
      </w:pPr>
      <w:r>
        <w:rPr>
          <w:rFonts w:cs="Arial"/>
          <w:szCs w:val="20"/>
        </w:rPr>
        <w:t>Graf 1.12</w:t>
      </w:r>
      <w:r w:rsidR="00B85002" w:rsidRPr="00611862">
        <w:rPr>
          <w:rFonts w:cs="Arial"/>
          <w:szCs w:val="20"/>
        </w:rPr>
        <w:t xml:space="preserve"> uvádí</w:t>
      </w:r>
      <w:r w:rsidR="00B85002">
        <w:rPr>
          <w:rFonts w:cs="Arial"/>
          <w:szCs w:val="20"/>
        </w:rPr>
        <w:t xml:space="preserve"> podíl dětí v mateřských školách (včetně cizinců</w:t>
      </w:r>
      <w:r w:rsidR="00B85002">
        <w:rPr>
          <w:rStyle w:val="Znakapoznpodarou"/>
          <w:rFonts w:cs="Arial"/>
          <w:szCs w:val="20"/>
        </w:rPr>
        <w:footnoteReference w:id="9"/>
      </w:r>
      <w:r w:rsidR="00B85002">
        <w:rPr>
          <w:rFonts w:cs="Arial"/>
          <w:szCs w:val="20"/>
        </w:rPr>
        <w:t>)</w:t>
      </w:r>
      <w:r w:rsidR="008E6D38">
        <w:rPr>
          <w:rFonts w:cs="Arial"/>
          <w:szCs w:val="20"/>
        </w:rPr>
        <w:t xml:space="preserve"> ve věku 6 let</w:t>
      </w:r>
      <w:r w:rsidR="004277D2">
        <w:rPr>
          <w:rFonts w:cs="Arial"/>
          <w:szCs w:val="20"/>
        </w:rPr>
        <w:t xml:space="preserve"> k </w:t>
      </w:r>
      <w:r w:rsidR="002777BE">
        <w:rPr>
          <w:rFonts w:cs="Arial"/>
          <w:szCs w:val="20"/>
        </w:rPr>
        <w:t>3</w:t>
      </w:r>
      <w:r w:rsidR="004277D2">
        <w:rPr>
          <w:rFonts w:cs="Arial"/>
          <w:szCs w:val="20"/>
        </w:rPr>
        <w:t>1</w:t>
      </w:r>
      <w:r w:rsidR="002777BE">
        <w:rPr>
          <w:rFonts w:cs="Arial"/>
          <w:szCs w:val="20"/>
        </w:rPr>
        <w:t>. srpnu</w:t>
      </w:r>
      <w:r w:rsidR="00B85002">
        <w:rPr>
          <w:rFonts w:cs="Arial"/>
          <w:szCs w:val="20"/>
        </w:rPr>
        <w:t xml:space="preserve"> daného roku z celkové populace obyvatel ČR ve věku 6 let k 1. 7. daného r</w:t>
      </w:r>
      <w:r w:rsidR="008576E9">
        <w:rPr>
          <w:rFonts w:cs="Arial"/>
          <w:szCs w:val="20"/>
        </w:rPr>
        <w:t>oku. Jak je patrné, od roku 2011 do roku 2014 tento podíl klesal, a sice z 21,2 % až na 16,8 %. Pak se do roku 2019 postupně zvýšil na 19,3 %, v roce 2020 poklesl na 18,9 % a v roce 2021 naopak zvýšil na 20,5 %.</w:t>
      </w:r>
      <w:r w:rsidR="00B85002">
        <w:rPr>
          <w:rFonts w:cs="Arial"/>
          <w:szCs w:val="20"/>
        </w:rPr>
        <w:t xml:space="preserve"> </w:t>
      </w:r>
    </w:p>
    <w:p w14:paraId="5892EEB5" w14:textId="39227AE4" w:rsidR="00B85002" w:rsidRDefault="0079254D" w:rsidP="001B267B">
      <w:pPr>
        <w:keepNext/>
        <w:spacing w:after="120"/>
        <w:jc w:val="both"/>
        <w:rPr>
          <w:rFonts w:cs="Arial"/>
          <w:b/>
          <w:szCs w:val="20"/>
        </w:rPr>
      </w:pPr>
      <w:r>
        <w:rPr>
          <w:rFonts w:cs="Arial"/>
          <w:b/>
          <w:szCs w:val="20"/>
        </w:rPr>
        <w:lastRenderedPageBreak/>
        <w:t>Graf 1.12</w:t>
      </w:r>
      <w:r w:rsidR="00B85002" w:rsidRPr="00340799">
        <w:rPr>
          <w:rFonts w:cs="Arial"/>
          <w:b/>
          <w:szCs w:val="20"/>
        </w:rPr>
        <w:t xml:space="preserve"> Podíl dětí v mateřských školách </w:t>
      </w:r>
      <w:r w:rsidR="008E6D38">
        <w:rPr>
          <w:rFonts w:cs="Arial"/>
          <w:b/>
          <w:szCs w:val="20"/>
        </w:rPr>
        <w:t xml:space="preserve">ve věku 6 let </w:t>
      </w:r>
      <w:r w:rsidR="002777BE">
        <w:rPr>
          <w:rFonts w:cs="Arial"/>
          <w:b/>
          <w:szCs w:val="20"/>
        </w:rPr>
        <w:t>k 31. srpnu</w:t>
      </w:r>
      <w:r w:rsidR="00B85002" w:rsidRPr="00340799">
        <w:rPr>
          <w:rFonts w:cs="Arial"/>
          <w:b/>
          <w:szCs w:val="20"/>
        </w:rPr>
        <w:t xml:space="preserve"> z celkové populace obyvatel ČR ve věku 6 let k 1. </w:t>
      </w:r>
      <w:r w:rsidR="00350828" w:rsidRPr="00340799">
        <w:rPr>
          <w:rFonts w:cs="Arial"/>
          <w:b/>
          <w:szCs w:val="20"/>
        </w:rPr>
        <w:t>červenci</w:t>
      </w:r>
      <w:r w:rsidR="00B85002" w:rsidRPr="00340799">
        <w:rPr>
          <w:rFonts w:cs="Arial"/>
          <w:b/>
          <w:szCs w:val="20"/>
        </w:rPr>
        <w:t xml:space="preserve"> </w:t>
      </w:r>
    </w:p>
    <w:p w14:paraId="76E1F8E3" w14:textId="6967D25E" w:rsidR="0099746B" w:rsidRPr="008576E9" w:rsidRDefault="008576E9" w:rsidP="00D64541">
      <w:pPr>
        <w:spacing w:after="120"/>
        <w:jc w:val="both"/>
        <w:rPr>
          <w:rFonts w:cs="Arial"/>
          <w:b/>
          <w:szCs w:val="20"/>
        </w:rPr>
      </w:pPr>
      <w:r>
        <w:rPr>
          <w:noProof/>
        </w:rPr>
        <w:drawing>
          <wp:inline distT="0" distB="0" distL="0" distR="0" wp14:anchorId="40FAB59E" wp14:editId="22FCF866">
            <wp:extent cx="6162675" cy="1562100"/>
            <wp:effectExtent l="0" t="0" r="9525" b="0"/>
            <wp:docPr id="85" name="Graf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4A84C84" w14:textId="2081A198" w:rsidR="00D56EB1" w:rsidRDefault="00D56EB1" w:rsidP="0006559B">
      <w:pPr>
        <w:spacing w:after="120"/>
        <w:jc w:val="right"/>
        <w:rPr>
          <w:rFonts w:cs="Arial"/>
          <w:sz w:val="18"/>
        </w:rPr>
      </w:pPr>
      <w:r w:rsidRPr="00F94849">
        <w:rPr>
          <w:rFonts w:cs="Arial"/>
          <w:sz w:val="18"/>
        </w:rPr>
        <w:t xml:space="preserve">Zdroj: </w:t>
      </w:r>
      <w:r>
        <w:rPr>
          <w:rFonts w:cs="Arial"/>
          <w:sz w:val="18"/>
        </w:rPr>
        <w:t xml:space="preserve">MŠMT a </w:t>
      </w:r>
      <w:r w:rsidRPr="00F94849">
        <w:rPr>
          <w:rFonts w:cs="Arial"/>
          <w:sz w:val="18"/>
        </w:rPr>
        <w:t>ČSÚ</w:t>
      </w:r>
    </w:p>
    <w:p w14:paraId="58607663" w14:textId="042FEB14" w:rsidR="00543A02" w:rsidRPr="00091D15" w:rsidRDefault="0006559B" w:rsidP="00543A02">
      <w:pPr>
        <w:spacing w:after="120"/>
        <w:jc w:val="both"/>
        <w:rPr>
          <w:rFonts w:cs="Arial"/>
          <w:iCs/>
        </w:rPr>
      </w:pPr>
      <w:r>
        <w:rPr>
          <w:rFonts w:cs="Arial"/>
          <w:szCs w:val="20"/>
        </w:rPr>
        <w:t xml:space="preserve">Od roku 2018 do roku 2021 se přitom zvyšoval i počet žáků přípravných tříd, tedy žáků s odkladem, kteří si přípravnou třídu zvolili jako alternativu setrvání v mateřských školách. </w:t>
      </w:r>
      <w:r w:rsidR="0079254D">
        <w:rPr>
          <w:rFonts w:cs="Arial"/>
          <w:szCs w:val="20"/>
        </w:rPr>
        <w:t>Graf 1.13</w:t>
      </w:r>
      <w:r w:rsidR="00543A02">
        <w:rPr>
          <w:rFonts w:cs="Arial"/>
          <w:szCs w:val="20"/>
        </w:rPr>
        <w:t xml:space="preserve"> proto pro doplnění uvádí, jaký podíl dětí dvouletých, tříletých, čtyřletých a pět</w:t>
      </w:r>
      <w:r w:rsidR="00812A2E">
        <w:rPr>
          <w:rFonts w:cs="Arial"/>
          <w:szCs w:val="20"/>
        </w:rPr>
        <w:t>iletých docházel v uplynulých šes</w:t>
      </w:r>
      <w:r w:rsidR="00543A02">
        <w:rPr>
          <w:rFonts w:cs="Arial"/>
          <w:szCs w:val="20"/>
        </w:rPr>
        <w:t>ti školních rocích do předškolního vzdělávání (ať již do mateřské školy, přípravné třídy základní školy či přípravného stupně základní školy speciální</w:t>
      </w:r>
      <w:r w:rsidR="00543A02">
        <w:rPr>
          <w:rStyle w:val="Znakapoznpodarou"/>
          <w:rFonts w:cs="Arial"/>
          <w:szCs w:val="20"/>
        </w:rPr>
        <w:footnoteReference w:id="10"/>
      </w:r>
      <w:r w:rsidR="00543A02">
        <w:rPr>
          <w:rFonts w:cs="Arial"/>
          <w:szCs w:val="20"/>
        </w:rPr>
        <w:t xml:space="preserve">). Jedná se o věk platný před zahájením </w:t>
      </w:r>
      <w:r w:rsidR="00543A02" w:rsidRPr="000F08DE">
        <w:rPr>
          <w:rFonts w:cs="Arial"/>
          <w:szCs w:val="20"/>
        </w:rPr>
        <w:t>uvedeného školního roku, u </w:t>
      </w:r>
      <w:r w:rsidR="004F1B02" w:rsidRPr="000F08DE">
        <w:rPr>
          <w:rFonts w:cs="Arial"/>
          <w:szCs w:val="20"/>
        </w:rPr>
        <w:t>dětí ve škol</w:t>
      </w:r>
      <w:r w:rsidR="00211611">
        <w:rPr>
          <w:rFonts w:cs="Arial"/>
          <w:szCs w:val="20"/>
        </w:rPr>
        <w:t>k</w:t>
      </w:r>
      <w:r w:rsidR="004F1B02" w:rsidRPr="000F08DE">
        <w:rPr>
          <w:rFonts w:cs="Arial"/>
          <w:szCs w:val="20"/>
        </w:rPr>
        <w:t>ách či školách</w:t>
      </w:r>
      <w:r w:rsidR="000F08DE" w:rsidRPr="000F08DE">
        <w:rPr>
          <w:rFonts w:cs="Arial"/>
          <w:szCs w:val="20"/>
        </w:rPr>
        <w:t xml:space="preserve"> k 31.8, u populace k 1. červenci</w:t>
      </w:r>
      <w:r w:rsidR="00543A02" w:rsidRPr="000F08DE">
        <w:rPr>
          <w:rFonts w:cs="Arial"/>
          <w:szCs w:val="20"/>
        </w:rPr>
        <w:t xml:space="preserve">. Podíly jsou tedy orientační, neboť část populace dětí uvedeného věku oslaví během letních prázdnin další narozeniny a přehoupnou se do starší věkové skupiny. </w:t>
      </w:r>
      <w:r w:rsidR="000F08DE" w:rsidRPr="000F08DE">
        <w:rPr>
          <w:rFonts w:cs="Arial"/>
          <w:szCs w:val="20"/>
        </w:rPr>
        <w:t xml:space="preserve">Navíc je třeba vzít v úvahu, že do populace ČR nejsou zahrnuti cizinci bez trvalého pobytu v ČR, kteří také mohou navštěvovat mateřské školy. </w:t>
      </w:r>
      <w:r w:rsidR="00543A02" w:rsidRPr="000F08DE">
        <w:rPr>
          <w:rFonts w:cs="Arial"/>
          <w:szCs w:val="20"/>
        </w:rPr>
        <w:t>Přesto je</w:t>
      </w:r>
      <w:r w:rsidR="00082393">
        <w:rPr>
          <w:rFonts w:cs="Arial"/>
          <w:szCs w:val="20"/>
        </w:rPr>
        <w:t xml:space="preserve"> možné konstatovat, že do předškolního vzdělávání</w:t>
      </w:r>
      <w:r w:rsidR="00543A02" w:rsidRPr="000F08DE">
        <w:rPr>
          <w:rFonts w:cs="Arial"/>
          <w:szCs w:val="20"/>
        </w:rPr>
        <w:t xml:space="preserve"> na začátku školního roku nastupuje naprostá většina dětí ve věku 4-5 let a více než čtyři pětiny</w:t>
      </w:r>
      <w:r w:rsidR="00543A02">
        <w:rPr>
          <w:rFonts w:cs="Arial"/>
          <w:szCs w:val="20"/>
        </w:rPr>
        <w:t xml:space="preserve"> z dětí tříletých</w:t>
      </w:r>
      <w:r w:rsidR="00543A02">
        <w:rPr>
          <w:rStyle w:val="Znakapoznpodarou"/>
          <w:rFonts w:cs="Arial"/>
          <w:szCs w:val="20"/>
        </w:rPr>
        <w:footnoteReference w:id="11"/>
      </w:r>
      <w:r w:rsidR="00543A02">
        <w:rPr>
          <w:rFonts w:cs="Arial"/>
          <w:szCs w:val="20"/>
        </w:rPr>
        <w:t xml:space="preserve">. Je také patrné, že zatímco podíl dvouletých dětí ve školkách s právem poskytování předškolní přípravy má od roku 2018 tendenci se snižovat, podíl šestiletých dětí v předškolním vzdělávání se během posledních pěti let zvýšil z necelé pětiny na necelou čtvrtinu. </w:t>
      </w:r>
      <w:r w:rsidR="00543A02" w:rsidRPr="00091D15">
        <w:rPr>
          <w:rFonts w:cs="Arial"/>
          <w:szCs w:val="20"/>
        </w:rPr>
        <w:t xml:space="preserve"> </w:t>
      </w:r>
    </w:p>
    <w:p w14:paraId="68473BEA" w14:textId="158AC967" w:rsidR="00543A02" w:rsidRDefault="0079254D" w:rsidP="00543A02">
      <w:pPr>
        <w:keepNext/>
        <w:spacing w:after="120"/>
        <w:jc w:val="both"/>
        <w:rPr>
          <w:rFonts w:cs="Arial"/>
          <w:b/>
          <w:szCs w:val="20"/>
        </w:rPr>
      </w:pPr>
      <w:r>
        <w:rPr>
          <w:rFonts w:cs="Arial"/>
          <w:b/>
          <w:szCs w:val="20"/>
        </w:rPr>
        <w:t>Graf 1.13</w:t>
      </w:r>
      <w:r w:rsidR="00543A02" w:rsidRPr="00091D15">
        <w:rPr>
          <w:rFonts w:cs="Arial"/>
          <w:b/>
          <w:szCs w:val="20"/>
        </w:rPr>
        <w:t xml:space="preserve"> Podíl populace uvedených věkových skupin navštěvující předškolní vzdělávání</w:t>
      </w:r>
    </w:p>
    <w:p w14:paraId="0FD25E92" w14:textId="3306BC8A" w:rsidR="00543A02" w:rsidRPr="00B26D77" w:rsidRDefault="00812A2E" w:rsidP="00543A02">
      <w:pPr>
        <w:keepNext/>
        <w:spacing w:after="120"/>
        <w:jc w:val="both"/>
        <w:rPr>
          <w:rFonts w:cs="Arial"/>
          <w:b/>
          <w:szCs w:val="20"/>
        </w:rPr>
      </w:pPr>
      <w:r>
        <w:rPr>
          <w:noProof/>
        </w:rPr>
        <w:drawing>
          <wp:inline distT="0" distB="0" distL="0" distR="0" wp14:anchorId="757FA2F4" wp14:editId="1ECB6745">
            <wp:extent cx="6120130" cy="2647950"/>
            <wp:effectExtent l="0" t="0" r="13970" b="0"/>
            <wp:docPr id="50" name="Graf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6661597" w14:textId="22D1485B" w:rsidR="00543A02" w:rsidRPr="004F1B02" w:rsidRDefault="00543A02" w:rsidP="004F1B02">
      <w:pPr>
        <w:spacing w:after="120"/>
        <w:jc w:val="right"/>
        <w:rPr>
          <w:rFonts w:cs="Arial"/>
          <w:iCs/>
        </w:rPr>
      </w:pPr>
      <w:r w:rsidRPr="00F94849">
        <w:rPr>
          <w:rFonts w:cs="Arial"/>
          <w:sz w:val="18"/>
        </w:rPr>
        <w:t>Zdroj: ČSÚ</w:t>
      </w:r>
      <w:r w:rsidRPr="00F94849">
        <w:rPr>
          <w:rFonts w:cs="Arial"/>
          <w:noProof/>
        </w:rPr>
        <w:t xml:space="preserve"> </w:t>
      </w:r>
      <w:r w:rsidRPr="00307699">
        <w:rPr>
          <w:rFonts w:cs="Arial"/>
          <w:sz w:val="18"/>
        </w:rPr>
        <w:t>podle údajů MŠMT</w:t>
      </w:r>
    </w:p>
    <w:p w14:paraId="24CF4B47" w14:textId="396212DE" w:rsidR="00A67C12" w:rsidRPr="009B45BE" w:rsidRDefault="00611862" w:rsidP="00D64541">
      <w:pPr>
        <w:spacing w:after="120"/>
        <w:jc w:val="both"/>
        <w:rPr>
          <w:rFonts w:cs="Arial"/>
          <w:szCs w:val="20"/>
        </w:rPr>
      </w:pPr>
      <w:r w:rsidRPr="00611862">
        <w:rPr>
          <w:rFonts w:cs="Arial"/>
          <w:szCs w:val="20"/>
        </w:rPr>
        <w:lastRenderedPageBreak/>
        <w:t>Graf 1.</w:t>
      </w:r>
      <w:r w:rsidR="000564AE">
        <w:rPr>
          <w:rFonts w:cs="Arial"/>
          <w:szCs w:val="20"/>
        </w:rPr>
        <w:t>14</w:t>
      </w:r>
      <w:r w:rsidR="00DD2F6B">
        <w:rPr>
          <w:rFonts w:cs="Arial"/>
          <w:szCs w:val="20"/>
        </w:rPr>
        <w:t xml:space="preserve"> znázorňuje </w:t>
      </w:r>
      <w:r w:rsidR="00DD2F6B" w:rsidRPr="00DD2F6B">
        <w:rPr>
          <w:rFonts w:cs="Arial"/>
          <w:b/>
          <w:szCs w:val="20"/>
        </w:rPr>
        <w:t>věkové složení chlapců a dívek</w:t>
      </w:r>
      <w:r w:rsidR="00DD2F6B">
        <w:rPr>
          <w:rFonts w:cs="Arial"/>
          <w:szCs w:val="20"/>
        </w:rPr>
        <w:t xml:space="preserve"> navštěvujících mateřské školy. Zde je zřejmé, že p</w:t>
      </w:r>
      <w:r w:rsidR="00A67C12" w:rsidRPr="00485633">
        <w:rPr>
          <w:rFonts w:cs="Arial"/>
          <w:szCs w:val="20"/>
        </w:rPr>
        <w:t xml:space="preserve">odíl </w:t>
      </w:r>
      <w:r w:rsidR="00DD2F6B">
        <w:rPr>
          <w:rFonts w:cs="Arial"/>
          <w:szCs w:val="20"/>
        </w:rPr>
        <w:t>dívek</w:t>
      </w:r>
      <w:r w:rsidR="00A67C12" w:rsidRPr="009B45BE">
        <w:rPr>
          <w:rFonts w:cs="Arial"/>
          <w:szCs w:val="20"/>
        </w:rPr>
        <w:t xml:space="preserve"> </w:t>
      </w:r>
      <w:r w:rsidR="00A67C12" w:rsidRPr="00DD2F6B">
        <w:rPr>
          <w:rFonts w:cs="Arial"/>
          <w:szCs w:val="20"/>
        </w:rPr>
        <w:t>mladších tří let</w:t>
      </w:r>
      <w:r w:rsidR="00A67C12" w:rsidRPr="009B45BE">
        <w:rPr>
          <w:rFonts w:cs="Arial"/>
          <w:szCs w:val="20"/>
        </w:rPr>
        <w:t xml:space="preserve"> z</w:t>
      </w:r>
      <w:r w:rsidR="007E4968">
        <w:rPr>
          <w:rFonts w:cs="Arial"/>
          <w:szCs w:val="20"/>
        </w:rPr>
        <w:t>e všech</w:t>
      </w:r>
      <w:r w:rsidR="00A67C12" w:rsidRPr="009B45BE">
        <w:rPr>
          <w:rFonts w:cs="Arial"/>
          <w:szCs w:val="20"/>
        </w:rPr>
        <w:t> </w:t>
      </w:r>
      <w:r w:rsidR="00DD2F6B">
        <w:rPr>
          <w:rFonts w:cs="Arial"/>
          <w:szCs w:val="20"/>
        </w:rPr>
        <w:t>dívek</w:t>
      </w:r>
      <w:r w:rsidR="00A67C12" w:rsidRPr="009B45BE">
        <w:rPr>
          <w:rFonts w:cs="Arial"/>
          <w:szCs w:val="20"/>
        </w:rPr>
        <w:t xml:space="preserve"> navštěvujících mateřské školy byl </w:t>
      </w:r>
      <w:r w:rsidR="00A67C12">
        <w:rPr>
          <w:rFonts w:cs="Arial"/>
          <w:szCs w:val="20"/>
        </w:rPr>
        <w:t xml:space="preserve">o jeden procentní bod vyšší </w:t>
      </w:r>
      <w:r w:rsidR="00341E22">
        <w:rPr>
          <w:rFonts w:cs="Arial"/>
          <w:szCs w:val="20"/>
        </w:rPr>
        <w:t>(9,6</w:t>
      </w:r>
      <w:r w:rsidR="00A67C12" w:rsidRPr="009B45BE">
        <w:rPr>
          <w:rFonts w:cs="Arial"/>
          <w:szCs w:val="20"/>
        </w:rPr>
        <w:t> %)</w:t>
      </w:r>
      <w:r w:rsidR="00DD2F6B">
        <w:rPr>
          <w:rFonts w:cs="Arial"/>
          <w:szCs w:val="20"/>
        </w:rPr>
        <w:t>, než jak tomu bylo</w:t>
      </w:r>
      <w:r w:rsidR="00A67C12" w:rsidRPr="009B45BE">
        <w:rPr>
          <w:rFonts w:cs="Arial"/>
          <w:szCs w:val="20"/>
        </w:rPr>
        <w:t xml:space="preserve"> </w:t>
      </w:r>
      <w:r w:rsidR="00A67C12">
        <w:rPr>
          <w:rFonts w:cs="Arial"/>
          <w:szCs w:val="20"/>
        </w:rPr>
        <w:t xml:space="preserve">u chlapců </w:t>
      </w:r>
      <w:r w:rsidR="00DD2F6B">
        <w:rPr>
          <w:rFonts w:cs="Arial"/>
          <w:szCs w:val="20"/>
        </w:rPr>
        <w:t xml:space="preserve">této věkové skupiny </w:t>
      </w:r>
      <w:r w:rsidR="00341E22">
        <w:rPr>
          <w:rFonts w:cs="Arial"/>
          <w:szCs w:val="20"/>
        </w:rPr>
        <w:t>(8,6</w:t>
      </w:r>
      <w:r w:rsidR="00A67C12" w:rsidRPr="009B45BE">
        <w:rPr>
          <w:rFonts w:cs="Arial"/>
          <w:szCs w:val="20"/>
        </w:rPr>
        <w:t xml:space="preserve"> %). </w:t>
      </w:r>
      <w:r w:rsidR="005F425D">
        <w:rPr>
          <w:rFonts w:cs="Arial"/>
          <w:szCs w:val="20"/>
        </w:rPr>
        <w:t>Šesti</w:t>
      </w:r>
      <w:r w:rsidR="00A67C12" w:rsidRPr="009B45BE">
        <w:rPr>
          <w:rFonts w:cs="Arial"/>
          <w:szCs w:val="20"/>
        </w:rPr>
        <w:t>letých a starších</w:t>
      </w:r>
      <w:r w:rsidR="00A67C12">
        <w:rPr>
          <w:rFonts w:cs="Arial"/>
          <w:szCs w:val="20"/>
        </w:rPr>
        <w:t xml:space="preserve"> </w:t>
      </w:r>
      <w:r w:rsidR="004F6FD4">
        <w:rPr>
          <w:rFonts w:cs="Arial"/>
          <w:szCs w:val="20"/>
        </w:rPr>
        <w:t xml:space="preserve">dívek </w:t>
      </w:r>
      <w:r w:rsidR="00341E22">
        <w:rPr>
          <w:rFonts w:cs="Arial"/>
          <w:szCs w:val="20"/>
        </w:rPr>
        <w:t>bylo</w:t>
      </w:r>
      <w:r w:rsidR="005F425D">
        <w:rPr>
          <w:rFonts w:cs="Arial"/>
          <w:szCs w:val="20"/>
        </w:rPr>
        <w:t xml:space="preserve"> v mateřských školách </w:t>
      </w:r>
      <w:r w:rsidR="00341E22">
        <w:rPr>
          <w:rFonts w:cs="Arial"/>
          <w:szCs w:val="20"/>
        </w:rPr>
        <w:t>4,7</w:t>
      </w:r>
      <w:r w:rsidR="00A67C12">
        <w:rPr>
          <w:rFonts w:cs="Arial"/>
          <w:szCs w:val="20"/>
        </w:rPr>
        <w:t xml:space="preserve"> %, </w:t>
      </w:r>
      <w:r w:rsidR="005F425D">
        <w:rPr>
          <w:rFonts w:cs="Arial"/>
          <w:szCs w:val="20"/>
        </w:rPr>
        <w:t xml:space="preserve">což je </w:t>
      </w:r>
      <w:r w:rsidR="00A67C12">
        <w:rPr>
          <w:rFonts w:cs="Arial"/>
          <w:szCs w:val="20"/>
        </w:rPr>
        <w:t>o</w:t>
      </w:r>
      <w:r w:rsidR="00B375FB">
        <w:rPr>
          <w:rFonts w:cs="Arial"/>
          <w:szCs w:val="20"/>
        </w:rPr>
        <w:t> </w:t>
      </w:r>
      <w:r w:rsidR="00A67C12">
        <w:rPr>
          <w:rFonts w:cs="Arial"/>
          <w:szCs w:val="20"/>
        </w:rPr>
        <w:t>tři procentní body méně než v případě chlapců</w:t>
      </w:r>
      <w:r w:rsidR="00341E22">
        <w:rPr>
          <w:rFonts w:cs="Arial"/>
          <w:szCs w:val="20"/>
        </w:rPr>
        <w:t xml:space="preserve"> (7,9</w:t>
      </w:r>
      <w:r w:rsidR="004F6FD4">
        <w:rPr>
          <w:rFonts w:cs="Arial"/>
          <w:szCs w:val="20"/>
        </w:rPr>
        <w:t> %)</w:t>
      </w:r>
      <w:r w:rsidR="00A67C12" w:rsidRPr="009B45BE">
        <w:rPr>
          <w:rFonts w:cs="Arial"/>
          <w:szCs w:val="20"/>
        </w:rPr>
        <w:t>.</w:t>
      </w:r>
      <w:r w:rsidR="00A67C12">
        <w:rPr>
          <w:rFonts w:cs="Arial"/>
          <w:szCs w:val="20"/>
        </w:rPr>
        <w:t xml:space="preserve"> </w:t>
      </w:r>
      <w:r w:rsidR="00341E22">
        <w:rPr>
          <w:rFonts w:cs="Arial"/>
          <w:szCs w:val="20"/>
        </w:rPr>
        <w:t>Č</w:t>
      </w:r>
      <w:r w:rsidR="00A67C12" w:rsidRPr="00DF5F62">
        <w:rPr>
          <w:rFonts w:cs="Arial"/>
          <w:szCs w:val="20"/>
        </w:rPr>
        <w:t xml:space="preserve">astěji </w:t>
      </w:r>
      <w:r w:rsidR="009F420E">
        <w:rPr>
          <w:rFonts w:cs="Arial"/>
          <w:szCs w:val="20"/>
        </w:rPr>
        <w:t xml:space="preserve">tak </w:t>
      </w:r>
      <w:r w:rsidR="00A67C12" w:rsidRPr="00DF5F62">
        <w:rPr>
          <w:rFonts w:cs="Arial"/>
          <w:szCs w:val="20"/>
        </w:rPr>
        <w:t xml:space="preserve">zůstávají ve školkách i po dosažení </w:t>
      </w:r>
      <w:r w:rsidR="00A67C12">
        <w:rPr>
          <w:rFonts w:cs="Arial"/>
          <w:szCs w:val="20"/>
        </w:rPr>
        <w:t>6</w:t>
      </w:r>
      <w:r w:rsidR="00F5271A">
        <w:rPr>
          <w:rFonts w:cs="Arial"/>
          <w:szCs w:val="20"/>
        </w:rPr>
        <w:t xml:space="preserve"> </w:t>
      </w:r>
      <w:r w:rsidR="00A67C12">
        <w:rPr>
          <w:rFonts w:cs="Arial"/>
          <w:szCs w:val="20"/>
        </w:rPr>
        <w:t xml:space="preserve">let </w:t>
      </w:r>
      <w:r w:rsidR="00A67C12" w:rsidRPr="00DF5F62">
        <w:rPr>
          <w:rFonts w:cs="Arial"/>
          <w:szCs w:val="20"/>
        </w:rPr>
        <w:t>chlapci než dívky.</w:t>
      </w:r>
      <w:r w:rsidR="00C21B0F" w:rsidRPr="00C21B0F">
        <w:rPr>
          <w:rFonts w:cs="Arial"/>
          <w:szCs w:val="20"/>
        </w:rPr>
        <w:t xml:space="preserve"> Svůj vliv přitom sehrávají též diagnostické metody či nastavené hranice, které se zdají být vhodnější pro dívky</w:t>
      </w:r>
      <w:r w:rsidR="009C1924">
        <w:rPr>
          <w:rFonts w:cs="Arial"/>
          <w:szCs w:val="20"/>
        </w:rPr>
        <w:t>, které v předškolním věku dospívají rychleji než chlapci</w:t>
      </w:r>
      <w:r w:rsidR="00C21B0F">
        <w:rPr>
          <w:sz w:val="18"/>
          <w:szCs w:val="18"/>
        </w:rPr>
        <w:t>.</w:t>
      </w:r>
      <w:r w:rsidR="00065051">
        <w:rPr>
          <w:rStyle w:val="Znakapoznpodarou"/>
          <w:rFonts w:cs="Arial"/>
          <w:szCs w:val="20"/>
        </w:rPr>
        <w:footnoteReference w:id="12"/>
      </w:r>
    </w:p>
    <w:p w14:paraId="3F8796DE" w14:textId="28C1E835" w:rsidR="00A67C12" w:rsidRDefault="00864CB6" w:rsidP="00A67C12">
      <w:pPr>
        <w:keepNext/>
        <w:spacing w:after="120" w:line="240" w:lineRule="auto"/>
        <w:rPr>
          <w:b/>
        </w:rPr>
      </w:pPr>
      <w:r>
        <w:rPr>
          <w:b/>
        </w:rPr>
        <w:t>Graf</w:t>
      </w:r>
      <w:r w:rsidR="00A67C12" w:rsidRPr="00DA4E61">
        <w:rPr>
          <w:b/>
        </w:rPr>
        <w:t xml:space="preserve"> </w:t>
      </w:r>
      <w:r w:rsidR="00F51A59">
        <w:rPr>
          <w:b/>
        </w:rPr>
        <w:t>1.1</w:t>
      </w:r>
      <w:r w:rsidR="000564AE">
        <w:rPr>
          <w:b/>
        </w:rPr>
        <w:t>4</w:t>
      </w:r>
      <w:r w:rsidR="00A67C12" w:rsidRPr="00DA4E61">
        <w:rPr>
          <w:b/>
        </w:rPr>
        <w:t xml:space="preserve"> </w:t>
      </w:r>
      <w:r w:rsidR="00A67C12">
        <w:rPr>
          <w:b/>
        </w:rPr>
        <w:t>V</w:t>
      </w:r>
      <w:r w:rsidR="00A67C12" w:rsidRPr="00DA4E61">
        <w:rPr>
          <w:b/>
        </w:rPr>
        <w:t>ěkov</w:t>
      </w:r>
      <w:r w:rsidR="00ED76BB">
        <w:rPr>
          <w:b/>
        </w:rPr>
        <w:t>é</w:t>
      </w:r>
      <w:r w:rsidR="00A67C12" w:rsidRPr="00DA4E61">
        <w:rPr>
          <w:b/>
        </w:rPr>
        <w:t xml:space="preserve"> </w:t>
      </w:r>
      <w:r w:rsidR="00A67C12">
        <w:rPr>
          <w:b/>
        </w:rPr>
        <w:t xml:space="preserve">složení </w:t>
      </w:r>
      <w:r w:rsidR="00B224C2">
        <w:rPr>
          <w:b/>
        </w:rPr>
        <w:t>dětí v mateřských školách v dělení na dív</w:t>
      </w:r>
      <w:r w:rsidR="00A67C12">
        <w:rPr>
          <w:b/>
        </w:rPr>
        <w:t>k</w:t>
      </w:r>
      <w:r w:rsidR="00B224C2">
        <w:rPr>
          <w:b/>
        </w:rPr>
        <w:t>y</w:t>
      </w:r>
      <w:r w:rsidR="00A67C12">
        <w:rPr>
          <w:b/>
        </w:rPr>
        <w:t xml:space="preserve"> a ch</w:t>
      </w:r>
      <w:r w:rsidR="00B224C2">
        <w:rPr>
          <w:b/>
        </w:rPr>
        <w:t>lapce</w:t>
      </w:r>
      <w:r w:rsidR="0088047D">
        <w:rPr>
          <w:b/>
        </w:rPr>
        <w:t xml:space="preserve"> (2021/22</w:t>
      </w:r>
      <w:r w:rsidR="00A67C12">
        <w:rPr>
          <w:b/>
        </w:rPr>
        <w:t>)</w:t>
      </w:r>
    </w:p>
    <w:p w14:paraId="4F50C24D" w14:textId="10BAF70F" w:rsidR="004F6FD4" w:rsidRPr="00DA4E61" w:rsidRDefault="000421D8" w:rsidP="00A67C12">
      <w:pPr>
        <w:keepNext/>
        <w:spacing w:after="120" w:line="240" w:lineRule="auto"/>
        <w:rPr>
          <w:b/>
        </w:rPr>
      </w:pPr>
      <w:r>
        <w:rPr>
          <w:noProof/>
        </w:rPr>
        <w:drawing>
          <wp:inline distT="0" distB="0" distL="0" distR="0" wp14:anchorId="6DBF90AA" wp14:editId="63C03F27">
            <wp:extent cx="6120130" cy="1304925"/>
            <wp:effectExtent l="0" t="0" r="13970" b="9525"/>
            <wp:docPr id="114" name="Graf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9E8C92D" w14:textId="586DAB4E" w:rsidR="00A67C12" w:rsidRPr="00F94849" w:rsidRDefault="00A67C12" w:rsidP="004F6FD4">
      <w:pPr>
        <w:spacing w:after="120"/>
        <w:jc w:val="right"/>
        <w:rPr>
          <w:rFonts w:cs="Arial"/>
          <w:iCs/>
        </w:rPr>
      </w:pPr>
      <w:r w:rsidRPr="00F94849">
        <w:rPr>
          <w:rFonts w:cs="Arial"/>
          <w:sz w:val="18"/>
        </w:rPr>
        <w:t>Zdroj: ČSÚ</w:t>
      </w:r>
      <w:r w:rsidRPr="00F94849">
        <w:rPr>
          <w:rFonts w:cs="Arial"/>
          <w:noProof/>
        </w:rPr>
        <w:t xml:space="preserve"> </w:t>
      </w:r>
      <w:r w:rsidRPr="00307699">
        <w:rPr>
          <w:rFonts w:cs="Arial"/>
          <w:sz w:val="18"/>
        </w:rPr>
        <w:t>podle údajů MŠMT</w:t>
      </w:r>
    </w:p>
    <w:p w14:paraId="327A9492" w14:textId="26880EF1" w:rsidR="00A67C12" w:rsidRPr="00DF5F62" w:rsidRDefault="00A67C12" w:rsidP="00D64541">
      <w:pPr>
        <w:spacing w:after="120"/>
        <w:jc w:val="both"/>
        <w:rPr>
          <w:rFonts w:cs="Arial"/>
          <w:szCs w:val="20"/>
        </w:rPr>
      </w:pPr>
      <w:r w:rsidRPr="00DF5F62">
        <w:rPr>
          <w:rFonts w:cs="Arial"/>
          <w:szCs w:val="20"/>
        </w:rPr>
        <w:t xml:space="preserve">Podíváme-li se na školy v dělení </w:t>
      </w:r>
      <w:r w:rsidRPr="00DF5F62">
        <w:rPr>
          <w:rFonts w:cs="Arial"/>
          <w:b/>
          <w:szCs w:val="20"/>
        </w:rPr>
        <w:t>dle zřizovatele</w:t>
      </w:r>
      <w:r w:rsidRPr="00DF5F62">
        <w:rPr>
          <w:rFonts w:cs="Arial"/>
          <w:szCs w:val="20"/>
        </w:rPr>
        <w:t>, můžeme konstatovat, že ve škol</w:t>
      </w:r>
      <w:r w:rsidR="001D00F3">
        <w:rPr>
          <w:rFonts w:cs="Arial"/>
          <w:szCs w:val="20"/>
        </w:rPr>
        <w:t>ách soukromého zřizovat</w:t>
      </w:r>
      <w:r w:rsidR="005C2C7C">
        <w:rPr>
          <w:rFonts w:cs="Arial"/>
          <w:szCs w:val="20"/>
        </w:rPr>
        <w:t>ele tvořily ve školním roce 2021/22</w:t>
      </w:r>
      <w:r w:rsidRPr="00DF5F62">
        <w:rPr>
          <w:rFonts w:cs="Arial"/>
          <w:szCs w:val="20"/>
        </w:rPr>
        <w:t xml:space="preserve"> ze všec</w:t>
      </w:r>
      <w:r w:rsidR="006E2B19">
        <w:rPr>
          <w:rFonts w:cs="Arial"/>
          <w:szCs w:val="20"/>
        </w:rPr>
        <w:t xml:space="preserve">h dětí téměř pětinu děti mladší </w:t>
      </w:r>
      <w:r w:rsidR="00227766">
        <w:rPr>
          <w:rFonts w:cs="Arial"/>
          <w:szCs w:val="20"/>
        </w:rPr>
        <w:t>tří</w:t>
      </w:r>
      <w:r w:rsidR="00F5271A">
        <w:rPr>
          <w:rFonts w:cs="Arial"/>
          <w:szCs w:val="20"/>
        </w:rPr>
        <w:t xml:space="preserve"> </w:t>
      </w:r>
      <w:r w:rsidRPr="00DF5F62">
        <w:rPr>
          <w:rFonts w:cs="Arial"/>
          <w:szCs w:val="20"/>
        </w:rPr>
        <w:t>let</w:t>
      </w:r>
      <w:r w:rsidR="005C2C7C">
        <w:rPr>
          <w:rFonts w:cs="Arial"/>
          <w:szCs w:val="20"/>
        </w:rPr>
        <w:t xml:space="preserve"> (18,1</w:t>
      </w:r>
      <w:r w:rsidR="00C15656">
        <w:rPr>
          <w:rFonts w:cs="Arial"/>
          <w:szCs w:val="20"/>
        </w:rPr>
        <w:t> %)</w:t>
      </w:r>
      <w:r w:rsidRPr="00DF5F62">
        <w:rPr>
          <w:rFonts w:cs="Arial"/>
          <w:szCs w:val="20"/>
        </w:rPr>
        <w:t>. Oproti tomu ve veřejných a</w:t>
      </w:r>
      <w:r w:rsidR="001D00F3">
        <w:rPr>
          <w:rFonts w:cs="Arial"/>
          <w:szCs w:val="20"/>
        </w:rPr>
        <w:t xml:space="preserve"> církevních školách byl</w:t>
      </w:r>
      <w:r w:rsidRPr="00DF5F62">
        <w:rPr>
          <w:rFonts w:cs="Arial"/>
          <w:szCs w:val="20"/>
        </w:rPr>
        <w:t xml:space="preserve"> tento podíl zhruba desetinový. Mezi dětmi </w:t>
      </w:r>
      <w:r w:rsidR="007E4968">
        <w:rPr>
          <w:rFonts w:cs="Arial"/>
          <w:szCs w:val="20"/>
        </w:rPr>
        <w:t xml:space="preserve">docházejícími do </w:t>
      </w:r>
      <w:r w:rsidR="001D00F3">
        <w:rPr>
          <w:rFonts w:cs="Arial"/>
          <w:szCs w:val="20"/>
        </w:rPr>
        <w:t>církevních škol byl pak o </w:t>
      </w:r>
      <w:r w:rsidRPr="00DF5F62">
        <w:rPr>
          <w:rFonts w:cs="Arial"/>
          <w:szCs w:val="20"/>
        </w:rPr>
        <w:t>něco vyšší</w:t>
      </w:r>
      <w:r w:rsidR="00C15656">
        <w:rPr>
          <w:rFonts w:cs="Arial"/>
          <w:szCs w:val="20"/>
        </w:rPr>
        <w:t xml:space="preserve"> podíl šestiletých a starších (</w:t>
      </w:r>
      <w:r w:rsidR="005C2C7C">
        <w:rPr>
          <w:rFonts w:cs="Arial"/>
          <w:szCs w:val="20"/>
        </w:rPr>
        <w:t>7,4</w:t>
      </w:r>
      <w:r w:rsidRPr="00DF5F62">
        <w:rPr>
          <w:rFonts w:cs="Arial"/>
          <w:szCs w:val="20"/>
        </w:rPr>
        <w:t> %) než ve školách soukromých (</w:t>
      </w:r>
      <w:r w:rsidR="005C2C7C">
        <w:rPr>
          <w:rFonts w:cs="Arial"/>
          <w:szCs w:val="20"/>
        </w:rPr>
        <w:t>4,6</w:t>
      </w:r>
      <w:r>
        <w:rPr>
          <w:rFonts w:cs="Arial"/>
          <w:szCs w:val="20"/>
        </w:rPr>
        <w:t> </w:t>
      </w:r>
      <w:r w:rsidR="005C2C7C">
        <w:rPr>
          <w:rFonts w:cs="Arial"/>
          <w:szCs w:val="20"/>
        </w:rPr>
        <w:t>%) a veřejných (6,4</w:t>
      </w:r>
      <w:r>
        <w:rPr>
          <w:rFonts w:cs="Arial"/>
          <w:szCs w:val="20"/>
        </w:rPr>
        <w:t> </w:t>
      </w:r>
      <w:r w:rsidRPr="00DF5F62">
        <w:rPr>
          <w:rFonts w:cs="Arial"/>
          <w:szCs w:val="20"/>
        </w:rPr>
        <w:t>%)</w:t>
      </w:r>
      <w:r w:rsidR="00F51A59">
        <w:rPr>
          <w:rFonts w:cs="Arial"/>
          <w:szCs w:val="20"/>
        </w:rPr>
        <w:t xml:space="preserve"> – viz graf 1.1</w:t>
      </w:r>
      <w:r w:rsidR="000564AE">
        <w:rPr>
          <w:rFonts w:cs="Arial"/>
          <w:szCs w:val="20"/>
        </w:rPr>
        <w:t>5</w:t>
      </w:r>
      <w:r w:rsidR="001D7FE0">
        <w:rPr>
          <w:rFonts w:cs="Arial"/>
          <w:szCs w:val="20"/>
        </w:rPr>
        <w:t>. Dodejme, že rozdíl mezi zřizovateli najdeme i</w:t>
      </w:r>
      <w:r w:rsidR="006E4EA1">
        <w:rPr>
          <w:rFonts w:cs="Arial"/>
          <w:szCs w:val="20"/>
        </w:rPr>
        <w:t xml:space="preserve"> v případě, že sledujeme podíl šesti</w:t>
      </w:r>
      <w:r w:rsidR="001D7FE0">
        <w:rPr>
          <w:rFonts w:cs="Arial"/>
          <w:szCs w:val="20"/>
        </w:rPr>
        <w:t xml:space="preserve">letých a starších dětí z dětí ve věku tři a více let navštěvujících mateřskou </w:t>
      </w:r>
      <w:r w:rsidR="005C2C7C">
        <w:rPr>
          <w:rFonts w:cs="Arial"/>
          <w:szCs w:val="20"/>
        </w:rPr>
        <w:t>školu. U veřejných škol činí 7,5 %, u soukromých 6,0 % a u církevních 8</w:t>
      </w:r>
      <w:r w:rsidR="001D7FE0">
        <w:rPr>
          <w:rFonts w:cs="Arial"/>
          <w:szCs w:val="20"/>
        </w:rPr>
        <w:t>,9 %. Není tak daný pouze rozdílným zastoupením dětí mladších tří let ve školkách těchto tří druhů zřizovatelů.</w:t>
      </w:r>
    </w:p>
    <w:p w14:paraId="23A27AFC" w14:textId="4036091C" w:rsidR="00A67C12" w:rsidRDefault="00864CB6" w:rsidP="00A67C12">
      <w:pPr>
        <w:keepNext/>
        <w:spacing w:after="120" w:line="240" w:lineRule="auto"/>
        <w:rPr>
          <w:b/>
        </w:rPr>
      </w:pPr>
      <w:r>
        <w:rPr>
          <w:b/>
        </w:rPr>
        <w:t>Graf</w:t>
      </w:r>
      <w:r w:rsidR="00A67C12" w:rsidRPr="00DA4E61">
        <w:rPr>
          <w:b/>
        </w:rPr>
        <w:t xml:space="preserve"> </w:t>
      </w:r>
      <w:r w:rsidR="00F51A59">
        <w:rPr>
          <w:b/>
        </w:rPr>
        <w:t>1.1</w:t>
      </w:r>
      <w:r w:rsidR="000564AE">
        <w:rPr>
          <w:b/>
        </w:rPr>
        <w:t>5</w:t>
      </w:r>
      <w:r w:rsidR="00A67C12" w:rsidRPr="00DA4E61">
        <w:rPr>
          <w:b/>
        </w:rPr>
        <w:t xml:space="preserve"> </w:t>
      </w:r>
      <w:r w:rsidR="00A67C12">
        <w:rPr>
          <w:b/>
        </w:rPr>
        <w:t>V</w:t>
      </w:r>
      <w:r w:rsidR="00A67C12" w:rsidRPr="00DA4E61">
        <w:rPr>
          <w:b/>
        </w:rPr>
        <w:t>ěkov</w:t>
      </w:r>
      <w:r w:rsidR="00ED76BB">
        <w:rPr>
          <w:b/>
        </w:rPr>
        <w:t>é</w:t>
      </w:r>
      <w:r w:rsidR="00A67C12" w:rsidRPr="00DA4E61">
        <w:rPr>
          <w:b/>
        </w:rPr>
        <w:t xml:space="preserve"> </w:t>
      </w:r>
      <w:r w:rsidR="00A67C12">
        <w:rPr>
          <w:b/>
        </w:rPr>
        <w:t>složení dětí v mateřských školác</w:t>
      </w:r>
      <w:r w:rsidR="005C2C7C">
        <w:rPr>
          <w:b/>
        </w:rPr>
        <w:t>h podle jejich zřizovatele (2021/22</w:t>
      </w:r>
      <w:r w:rsidR="00A67C12">
        <w:rPr>
          <w:b/>
        </w:rPr>
        <w:t>)</w:t>
      </w:r>
    </w:p>
    <w:p w14:paraId="36952FF9" w14:textId="2B2C5919" w:rsidR="0088047D" w:rsidRDefault="0088047D" w:rsidP="00A67C12">
      <w:pPr>
        <w:keepNext/>
        <w:spacing w:after="120" w:line="240" w:lineRule="auto"/>
        <w:rPr>
          <w:b/>
        </w:rPr>
      </w:pPr>
      <w:r w:rsidRPr="004F1B02">
        <w:rPr>
          <w:noProof/>
          <w:color w:val="E36C0A" w:themeColor="accent6" w:themeShade="BF"/>
        </w:rPr>
        <w:drawing>
          <wp:inline distT="0" distB="0" distL="0" distR="0" wp14:anchorId="5F62CEC0" wp14:editId="05E8EE68">
            <wp:extent cx="6047740" cy="1666875"/>
            <wp:effectExtent l="0" t="0" r="10160" b="9525"/>
            <wp:docPr id="115" name="Graf 1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AC67316" w14:textId="50955135" w:rsidR="001D7FE0" w:rsidRPr="001D7FE0" w:rsidRDefault="00A67C12" w:rsidP="001D7FE0">
      <w:pPr>
        <w:spacing w:after="120"/>
        <w:jc w:val="right"/>
        <w:rPr>
          <w:rFonts w:cs="Arial"/>
          <w:iCs/>
        </w:rPr>
      </w:pPr>
      <w:r w:rsidRPr="00F94849">
        <w:rPr>
          <w:rFonts w:cs="Arial"/>
          <w:sz w:val="18"/>
        </w:rPr>
        <w:t>Zdroj: ČSÚ</w:t>
      </w:r>
      <w:r w:rsidRPr="00F94849">
        <w:rPr>
          <w:rFonts w:cs="Arial"/>
          <w:noProof/>
        </w:rPr>
        <w:t xml:space="preserve"> </w:t>
      </w:r>
      <w:r w:rsidR="001D7FE0">
        <w:rPr>
          <w:rFonts w:cs="Arial"/>
          <w:sz w:val="18"/>
        </w:rPr>
        <w:t>podle údajů MŠM</w:t>
      </w:r>
      <w:r w:rsidR="00D56EB1">
        <w:rPr>
          <w:rFonts w:cs="Arial"/>
          <w:sz w:val="18"/>
        </w:rPr>
        <w:t>T</w:t>
      </w:r>
    </w:p>
    <w:p w14:paraId="6F6C3373" w14:textId="1273918A" w:rsidR="00A67C12" w:rsidRPr="001312FF" w:rsidRDefault="008026EB" w:rsidP="00D64541">
      <w:pPr>
        <w:spacing w:after="120"/>
        <w:jc w:val="both"/>
        <w:rPr>
          <w:rFonts w:cs="Arial"/>
          <w:szCs w:val="20"/>
        </w:rPr>
      </w:pPr>
      <w:r w:rsidRPr="00AF7377">
        <w:rPr>
          <w:rFonts w:cs="Arial"/>
          <w:szCs w:val="20"/>
        </w:rPr>
        <w:t xml:space="preserve">Poměrně značné rozdíly </w:t>
      </w:r>
      <w:r w:rsidR="001D7FE0" w:rsidRPr="00AF7377">
        <w:rPr>
          <w:rFonts w:cs="Arial"/>
          <w:szCs w:val="20"/>
        </w:rPr>
        <w:t xml:space="preserve">ve věkovém složení dětí mateřských škol </w:t>
      </w:r>
      <w:r w:rsidRPr="00AF7377">
        <w:rPr>
          <w:rFonts w:cs="Arial"/>
          <w:szCs w:val="20"/>
        </w:rPr>
        <w:t xml:space="preserve">najdeme </w:t>
      </w:r>
      <w:r w:rsidR="001D7FE0" w:rsidRPr="00AF7377">
        <w:rPr>
          <w:rFonts w:cs="Arial"/>
          <w:szCs w:val="20"/>
        </w:rPr>
        <w:t xml:space="preserve">též </w:t>
      </w:r>
      <w:r w:rsidRPr="00AF7377">
        <w:rPr>
          <w:rFonts w:cs="Arial"/>
          <w:szCs w:val="20"/>
        </w:rPr>
        <w:t>v dělení dle</w:t>
      </w:r>
      <w:r w:rsidR="00A67C12" w:rsidRPr="00AF7377">
        <w:rPr>
          <w:rFonts w:cs="Arial"/>
          <w:szCs w:val="20"/>
        </w:rPr>
        <w:t xml:space="preserve"> </w:t>
      </w:r>
      <w:r w:rsidR="00A67C12" w:rsidRPr="00AF7377">
        <w:rPr>
          <w:rFonts w:cs="Arial"/>
          <w:b/>
          <w:szCs w:val="20"/>
        </w:rPr>
        <w:t>krajů</w:t>
      </w:r>
      <w:r w:rsidR="00A67C12" w:rsidRPr="00AF7377">
        <w:rPr>
          <w:rFonts w:cs="Arial"/>
          <w:szCs w:val="20"/>
        </w:rPr>
        <w:t xml:space="preserve">. </w:t>
      </w:r>
      <w:r w:rsidR="00567BF8">
        <w:rPr>
          <w:rFonts w:cs="Arial"/>
          <w:szCs w:val="20"/>
        </w:rPr>
        <w:t>N</w:t>
      </w:r>
      <w:r w:rsidR="007E4968" w:rsidRPr="00AF7377">
        <w:rPr>
          <w:rFonts w:cs="Arial"/>
          <w:szCs w:val="20"/>
        </w:rPr>
        <w:t>ejvyš</w:t>
      </w:r>
      <w:r w:rsidR="00485633" w:rsidRPr="00AF7377">
        <w:rPr>
          <w:rFonts w:cs="Arial"/>
          <w:szCs w:val="20"/>
        </w:rPr>
        <w:t>ší</w:t>
      </w:r>
      <w:r w:rsidR="00F07B5F" w:rsidRPr="00AF7377">
        <w:rPr>
          <w:rFonts w:cs="Arial"/>
          <w:szCs w:val="20"/>
        </w:rPr>
        <w:t xml:space="preserve"> podíl dětí mladších 3 let </w:t>
      </w:r>
      <w:r w:rsidR="00567BF8">
        <w:rPr>
          <w:rFonts w:cs="Arial"/>
          <w:szCs w:val="20"/>
        </w:rPr>
        <w:t xml:space="preserve">(více než 11 %) </w:t>
      </w:r>
      <w:r w:rsidR="00A67C12" w:rsidRPr="00AF7377">
        <w:rPr>
          <w:rFonts w:cs="Arial"/>
          <w:szCs w:val="20"/>
        </w:rPr>
        <w:t>byl mezi dětmi v mateřských školách v</w:t>
      </w:r>
      <w:r w:rsidR="00567BF8">
        <w:rPr>
          <w:rFonts w:cs="Arial"/>
          <w:szCs w:val="20"/>
        </w:rPr>
        <w:t> kraji Karlovarském</w:t>
      </w:r>
      <w:r w:rsidR="004C171D">
        <w:rPr>
          <w:rFonts w:cs="Arial"/>
          <w:szCs w:val="20"/>
        </w:rPr>
        <w:t>,</w:t>
      </w:r>
      <w:r w:rsidR="00567BF8">
        <w:rPr>
          <w:rFonts w:cs="Arial"/>
          <w:szCs w:val="20"/>
        </w:rPr>
        <w:t xml:space="preserve"> Olomouckém a  Jihočeském. Nejmenší byl naopak v kraji Středočeském a Plzeňském (</w:t>
      </w:r>
      <w:r w:rsidR="00671A24">
        <w:rPr>
          <w:rFonts w:cs="Arial"/>
          <w:szCs w:val="20"/>
        </w:rPr>
        <w:t xml:space="preserve">shodně </w:t>
      </w:r>
      <w:r w:rsidR="00567BF8">
        <w:rPr>
          <w:rFonts w:cs="Arial"/>
          <w:szCs w:val="20"/>
        </w:rPr>
        <w:t xml:space="preserve">7,1 %). </w:t>
      </w:r>
      <w:r w:rsidR="00485633">
        <w:rPr>
          <w:rFonts w:cs="Arial"/>
          <w:szCs w:val="20"/>
        </w:rPr>
        <w:t>Nejvyššího podílu šestiletých a starších dětí v mateřských školác</w:t>
      </w:r>
      <w:r w:rsidR="00567BF8">
        <w:rPr>
          <w:rFonts w:cs="Arial"/>
          <w:szCs w:val="20"/>
        </w:rPr>
        <w:t xml:space="preserve">h </w:t>
      </w:r>
      <w:r w:rsidR="004C171D">
        <w:rPr>
          <w:rFonts w:cs="Arial"/>
          <w:szCs w:val="20"/>
        </w:rPr>
        <w:t xml:space="preserve">(více než 7 %) </w:t>
      </w:r>
      <w:r w:rsidR="00567BF8">
        <w:rPr>
          <w:rFonts w:cs="Arial"/>
          <w:szCs w:val="20"/>
        </w:rPr>
        <w:t>dosáhl kraj Královéhradecký, Olomoucký, Zlínsk</w:t>
      </w:r>
      <w:r w:rsidR="004C171D">
        <w:rPr>
          <w:rFonts w:cs="Arial"/>
          <w:szCs w:val="20"/>
        </w:rPr>
        <w:t>ý</w:t>
      </w:r>
      <w:r w:rsidR="00567BF8">
        <w:rPr>
          <w:rFonts w:cs="Arial"/>
          <w:szCs w:val="20"/>
        </w:rPr>
        <w:t xml:space="preserve"> a Jihočeský</w:t>
      </w:r>
      <w:r w:rsidR="00485633">
        <w:rPr>
          <w:rFonts w:cs="Arial"/>
          <w:szCs w:val="20"/>
        </w:rPr>
        <w:t xml:space="preserve">. </w:t>
      </w:r>
      <w:r w:rsidR="00A67C12" w:rsidRPr="001312FF">
        <w:rPr>
          <w:rFonts w:cs="Arial"/>
          <w:szCs w:val="20"/>
        </w:rPr>
        <w:t xml:space="preserve"> Naopak v Praze byl mezi dětmi v mateřských školách ze všech krajů nejmenší podíl </w:t>
      </w:r>
      <w:r w:rsidR="007E4968">
        <w:rPr>
          <w:rFonts w:cs="Arial"/>
          <w:szCs w:val="20"/>
        </w:rPr>
        <w:t xml:space="preserve">dětí </w:t>
      </w:r>
      <w:r w:rsidR="00A67C12" w:rsidRPr="001312FF">
        <w:rPr>
          <w:rFonts w:cs="Arial"/>
          <w:szCs w:val="20"/>
        </w:rPr>
        <w:t>6letých a</w:t>
      </w:r>
      <w:r w:rsidR="00B375FB">
        <w:rPr>
          <w:rFonts w:cs="Arial"/>
          <w:szCs w:val="20"/>
        </w:rPr>
        <w:t> </w:t>
      </w:r>
      <w:r w:rsidR="00567BF8">
        <w:rPr>
          <w:rFonts w:cs="Arial"/>
          <w:szCs w:val="20"/>
        </w:rPr>
        <w:t>starších (5</w:t>
      </w:r>
      <w:r w:rsidR="00A67C12" w:rsidRPr="001312FF">
        <w:rPr>
          <w:rFonts w:cs="Arial"/>
          <w:szCs w:val="20"/>
        </w:rPr>
        <w:t> %)</w:t>
      </w:r>
      <w:r w:rsidR="00567BF8">
        <w:rPr>
          <w:rFonts w:cs="Arial"/>
          <w:szCs w:val="20"/>
        </w:rPr>
        <w:t xml:space="preserve"> </w:t>
      </w:r>
      <w:r w:rsidR="00485633">
        <w:rPr>
          <w:rFonts w:cs="Arial"/>
          <w:szCs w:val="20"/>
        </w:rPr>
        <w:t xml:space="preserve">- </w:t>
      </w:r>
      <w:r w:rsidR="00A67C12">
        <w:rPr>
          <w:rFonts w:cs="Arial"/>
          <w:szCs w:val="20"/>
        </w:rPr>
        <w:t xml:space="preserve"> </w:t>
      </w:r>
      <w:r w:rsidR="00A67C12" w:rsidRPr="001312FF">
        <w:rPr>
          <w:rFonts w:cs="Arial"/>
          <w:szCs w:val="20"/>
        </w:rPr>
        <w:t>viz graf 1.</w:t>
      </w:r>
      <w:r w:rsidR="00F51A59">
        <w:rPr>
          <w:rFonts w:cs="Arial"/>
          <w:szCs w:val="20"/>
        </w:rPr>
        <w:t>1</w:t>
      </w:r>
      <w:r w:rsidR="000564AE">
        <w:rPr>
          <w:rFonts w:cs="Arial"/>
          <w:szCs w:val="20"/>
        </w:rPr>
        <w:t>6</w:t>
      </w:r>
      <w:r w:rsidR="00A67C12" w:rsidRPr="001312FF">
        <w:rPr>
          <w:rFonts w:cs="Arial"/>
          <w:szCs w:val="20"/>
        </w:rPr>
        <w:t>.</w:t>
      </w:r>
      <w:r w:rsidR="00644E4F">
        <w:rPr>
          <w:rFonts w:cs="Arial"/>
          <w:szCs w:val="20"/>
        </w:rPr>
        <w:t xml:space="preserve"> </w:t>
      </w:r>
    </w:p>
    <w:p w14:paraId="24FEAC34" w14:textId="53F401EB" w:rsidR="00A67C12" w:rsidRDefault="00A67C12" w:rsidP="00A67C12">
      <w:pPr>
        <w:keepNext/>
        <w:spacing w:after="120" w:line="240" w:lineRule="auto"/>
        <w:rPr>
          <w:b/>
        </w:rPr>
      </w:pPr>
      <w:r w:rsidRPr="00DA4E61">
        <w:rPr>
          <w:b/>
        </w:rPr>
        <w:lastRenderedPageBreak/>
        <w:t xml:space="preserve">Graf </w:t>
      </w:r>
      <w:r w:rsidR="00F51A59">
        <w:rPr>
          <w:b/>
        </w:rPr>
        <w:t>1.1</w:t>
      </w:r>
      <w:r w:rsidR="000564AE">
        <w:rPr>
          <w:b/>
        </w:rPr>
        <w:t>6</w:t>
      </w:r>
      <w:r w:rsidRPr="00DA4E61">
        <w:rPr>
          <w:b/>
        </w:rPr>
        <w:t xml:space="preserve"> </w:t>
      </w:r>
      <w:r>
        <w:rPr>
          <w:b/>
        </w:rPr>
        <w:t>V</w:t>
      </w:r>
      <w:r w:rsidRPr="00DA4E61">
        <w:rPr>
          <w:b/>
        </w:rPr>
        <w:t>ěkov</w:t>
      </w:r>
      <w:r w:rsidR="00ED76BB">
        <w:rPr>
          <w:b/>
        </w:rPr>
        <w:t>é</w:t>
      </w:r>
      <w:r w:rsidRPr="00DA4E61">
        <w:rPr>
          <w:b/>
        </w:rPr>
        <w:t xml:space="preserve"> </w:t>
      </w:r>
      <w:r>
        <w:rPr>
          <w:b/>
        </w:rPr>
        <w:t>složení dětí v mateřských škol</w:t>
      </w:r>
      <w:r w:rsidR="00C15656">
        <w:rPr>
          <w:b/>
        </w:rPr>
        <w:t xml:space="preserve">ách </w:t>
      </w:r>
      <w:r w:rsidR="00482D4C">
        <w:rPr>
          <w:b/>
        </w:rPr>
        <w:t>dle sídla školy</w:t>
      </w:r>
      <w:r w:rsidR="00D55B06">
        <w:rPr>
          <w:b/>
        </w:rPr>
        <w:t xml:space="preserve"> (2021/22</w:t>
      </w:r>
      <w:r>
        <w:rPr>
          <w:b/>
        </w:rPr>
        <w:t>)</w:t>
      </w:r>
    </w:p>
    <w:p w14:paraId="248B582D" w14:textId="7B1F5A60" w:rsidR="00D55B06" w:rsidRDefault="00567BF8" w:rsidP="00A67C12">
      <w:pPr>
        <w:keepNext/>
        <w:spacing w:after="120" w:line="240" w:lineRule="auto"/>
        <w:rPr>
          <w:b/>
        </w:rPr>
      </w:pPr>
      <w:r>
        <w:rPr>
          <w:noProof/>
        </w:rPr>
        <w:drawing>
          <wp:inline distT="0" distB="0" distL="0" distR="0" wp14:anchorId="29462A50" wp14:editId="7959E0FF">
            <wp:extent cx="6200775" cy="4410075"/>
            <wp:effectExtent l="0" t="0" r="9525" b="9525"/>
            <wp:docPr id="38" name="Graf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479140E" w14:textId="2BC94B72" w:rsidR="00A67C12" w:rsidRDefault="00A67C12" w:rsidP="00485633">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40A2917F" w14:textId="77777777" w:rsidR="00B04AE7" w:rsidRDefault="00B04AE7" w:rsidP="00B04AE7">
      <w:pPr>
        <w:pStyle w:val="Nadpis2"/>
        <w:keepNext w:val="0"/>
        <w:keepLines w:val="0"/>
      </w:pPr>
    </w:p>
    <w:p w14:paraId="5DF10AA4" w14:textId="5724FA48" w:rsidR="00A67C12" w:rsidRPr="007D3898" w:rsidRDefault="00A67C12" w:rsidP="00150D28">
      <w:pPr>
        <w:pStyle w:val="Nadpis2"/>
        <w:keepLines w:val="0"/>
        <w:rPr>
          <w:color w:val="FF0000"/>
          <w:sz w:val="24"/>
        </w:rPr>
      </w:pPr>
      <w:bookmarkStart w:id="4" w:name="_Toc112069068"/>
      <w:r>
        <w:t>1.</w:t>
      </w:r>
      <w:r w:rsidR="00D64541">
        <w:t>3</w:t>
      </w:r>
      <w:r>
        <w:t xml:space="preserve"> Děti s cizím státním občanstvím </w:t>
      </w:r>
      <w:r w:rsidRPr="005D7F93">
        <w:t>v mateřských školách</w:t>
      </w:r>
      <w:bookmarkEnd w:id="4"/>
    </w:p>
    <w:p w14:paraId="03322F31" w14:textId="43312F8D" w:rsidR="00A67C12" w:rsidRPr="00CC0304" w:rsidRDefault="00A67C12" w:rsidP="00B04AE7">
      <w:pPr>
        <w:spacing w:before="240" w:after="120"/>
        <w:jc w:val="both"/>
        <w:rPr>
          <w:rFonts w:cs="Arial"/>
          <w:szCs w:val="20"/>
        </w:rPr>
      </w:pPr>
      <w:r w:rsidRPr="00CC0304">
        <w:rPr>
          <w:rFonts w:cs="Arial"/>
          <w:szCs w:val="20"/>
        </w:rPr>
        <w:t xml:space="preserve">Vzhledem k tomu, že i na děti cizinců, kteří pobývají na území České republiky, se vztahuje povinná školní docházka, je důležitá také jejich předškolní příprava. U dětí s odlišným mateřským jazykem </w:t>
      </w:r>
      <w:r w:rsidR="00737BFF">
        <w:rPr>
          <w:rFonts w:cs="Arial"/>
          <w:szCs w:val="20"/>
        </w:rPr>
        <w:t>může být</w:t>
      </w:r>
      <w:r w:rsidRPr="00CC0304">
        <w:rPr>
          <w:rFonts w:cs="Arial"/>
          <w:szCs w:val="20"/>
        </w:rPr>
        <w:t xml:space="preserve"> </w:t>
      </w:r>
      <w:r w:rsidR="00737BFF">
        <w:rPr>
          <w:rFonts w:cs="Arial"/>
          <w:szCs w:val="20"/>
        </w:rPr>
        <w:t xml:space="preserve">navíc </w:t>
      </w:r>
      <w:r w:rsidRPr="00CC0304">
        <w:rPr>
          <w:rFonts w:cs="Arial"/>
          <w:szCs w:val="20"/>
        </w:rPr>
        <w:t xml:space="preserve">pobyt v mateřské škole prvním setkáním s českým jazykovým prostředím. </w:t>
      </w:r>
      <w:r w:rsidR="007B5543">
        <w:rPr>
          <w:rFonts w:cs="Arial"/>
          <w:szCs w:val="20"/>
        </w:rPr>
        <w:t xml:space="preserve">U těchto dětí se tedy jedná o </w:t>
      </w:r>
      <w:r w:rsidR="007B5543">
        <w:t xml:space="preserve">velmi žádoucí formu přípravy na povinnou školní docházku, neboť snižuje jazykovou a kulturní bariéru. </w:t>
      </w:r>
    </w:p>
    <w:p w14:paraId="1345D72C" w14:textId="7475B3DA" w:rsidR="008C61BA" w:rsidRDefault="008C61BA" w:rsidP="00A67C12">
      <w:pPr>
        <w:spacing w:after="120"/>
        <w:jc w:val="both"/>
        <w:rPr>
          <w:rFonts w:cs="Arial"/>
          <w:szCs w:val="20"/>
        </w:rPr>
      </w:pPr>
      <w:r>
        <w:rPr>
          <w:rFonts w:cs="Arial"/>
          <w:szCs w:val="20"/>
        </w:rPr>
        <w:t xml:space="preserve">Počet cizinců, stejně jako další data o žácích mateřských škol, jsou vykazována k 30. září daného školního roku. Zde je třeba upozornit, že v průběhu školního roku 2021/22 Česká republika přijala do škol děti ukrajinských uprchlíků, které ve statistikách za daný školní rok zahrnuty nejsou. </w:t>
      </w:r>
    </w:p>
    <w:p w14:paraId="374916B6" w14:textId="17F77FF2" w:rsidR="00A67C12" w:rsidRPr="00CC0304" w:rsidRDefault="00A67C12" w:rsidP="00A67C12">
      <w:pPr>
        <w:spacing w:after="120"/>
        <w:jc w:val="both"/>
        <w:rPr>
          <w:rFonts w:cs="Arial"/>
          <w:szCs w:val="20"/>
        </w:rPr>
      </w:pPr>
      <w:r w:rsidRPr="00CC0304">
        <w:rPr>
          <w:rFonts w:cs="Arial"/>
          <w:szCs w:val="20"/>
        </w:rPr>
        <w:t>Počet dětí s </w:t>
      </w:r>
      <w:r w:rsidRPr="00CC0304">
        <w:rPr>
          <w:rFonts w:cs="Arial"/>
          <w:b/>
          <w:szCs w:val="20"/>
        </w:rPr>
        <w:t>cizím státním občanstvím</w:t>
      </w:r>
      <w:r w:rsidRPr="00CC0304">
        <w:rPr>
          <w:rFonts w:cs="Arial"/>
          <w:szCs w:val="20"/>
        </w:rPr>
        <w:t xml:space="preserve"> </w:t>
      </w:r>
      <w:r w:rsidR="008C61BA">
        <w:rPr>
          <w:rFonts w:cs="Arial"/>
          <w:szCs w:val="20"/>
        </w:rPr>
        <w:t>byl k 30.</w:t>
      </w:r>
      <w:r w:rsidR="00844D3B">
        <w:rPr>
          <w:rFonts w:cs="Arial"/>
          <w:szCs w:val="20"/>
        </w:rPr>
        <w:t> </w:t>
      </w:r>
      <w:r w:rsidR="008C61BA">
        <w:rPr>
          <w:rFonts w:cs="Arial"/>
          <w:szCs w:val="20"/>
        </w:rPr>
        <w:t>9.</w:t>
      </w:r>
      <w:r w:rsidR="00844D3B">
        <w:rPr>
          <w:rFonts w:cs="Arial"/>
          <w:szCs w:val="20"/>
        </w:rPr>
        <w:t> </w:t>
      </w:r>
      <w:r w:rsidR="008C61BA">
        <w:rPr>
          <w:rFonts w:cs="Arial"/>
          <w:szCs w:val="20"/>
        </w:rPr>
        <w:t>2021</w:t>
      </w:r>
      <w:r w:rsidRPr="00CC0304">
        <w:rPr>
          <w:rFonts w:cs="Arial"/>
          <w:szCs w:val="20"/>
        </w:rPr>
        <w:t xml:space="preserve"> v mateřských školách </w:t>
      </w:r>
      <w:r w:rsidR="00A81F47">
        <w:rPr>
          <w:rFonts w:cs="Arial"/>
          <w:szCs w:val="20"/>
        </w:rPr>
        <w:t>2,6krát vyšší než před deseti lety</w:t>
      </w:r>
      <w:r w:rsidRPr="00CC0304">
        <w:rPr>
          <w:rFonts w:cs="Arial"/>
          <w:szCs w:val="20"/>
        </w:rPr>
        <w:t xml:space="preserve"> – z</w:t>
      </w:r>
      <w:r w:rsidR="00D251CD">
        <w:rPr>
          <w:rFonts w:cs="Arial"/>
          <w:szCs w:val="20"/>
        </w:rPr>
        <w:t>e</w:t>
      </w:r>
      <w:r w:rsidR="004864B7">
        <w:rPr>
          <w:rFonts w:cs="Arial"/>
          <w:szCs w:val="20"/>
        </w:rPr>
        <w:t> </w:t>
      </w:r>
      <w:r w:rsidR="00D251CD">
        <w:rPr>
          <w:rFonts w:cs="Arial"/>
          <w:szCs w:val="20"/>
        </w:rPr>
        <w:t>4 </w:t>
      </w:r>
      <w:r w:rsidR="00A81F47">
        <w:rPr>
          <w:rFonts w:cs="Arial"/>
          <w:szCs w:val="20"/>
        </w:rPr>
        <w:t>714</w:t>
      </w:r>
      <w:r w:rsidRPr="00CC0304">
        <w:rPr>
          <w:rFonts w:cs="Arial"/>
          <w:szCs w:val="20"/>
        </w:rPr>
        <w:t xml:space="preserve"> ve školním roce 200</w:t>
      </w:r>
      <w:r w:rsidR="00A81F47">
        <w:rPr>
          <w:rFonts w:cs="Arial"/>
          <w:szCs w:val="20"/>
        </w:rPr>
        <w:t>11</w:t>
      </w:r>
      <w:r w:rsidRPr="00CC0304">
        <w:rPr>
          <w:rFonts w:cs="Arial"/>
          <w:szCs w:val="20"/>
        </w:rPr>
        <w:t>/</w:t>
      </w:r>
      <w:r w:rsidR="00A81F47">
        <w:rPr>
          <w:rFonts w:cs="Arial"/>
          <w:szCs w:val="20"/>
        </w:rPr>
        <w:t>12 se zvýšil</w:t>
      </w:r>
      <w:r w:rsidRPr="00CC0304">
        <w:rPr>
          <w:rFonts w:cs="Arial"/>
          <w:szCs w:val="20"/>
        </w:rPr>
        <w:t xml:space="preserve"> na </w:t>
      </w:r>
      <w:r w:rsidR="00A81F47">
        <w:rPr>
          <w:rFonts w:cs="Arial"/>
          <w:szCs w:val="20"/>
        </w:rPr>
        <w:t>12 103 ve školním roce 2021</w:t>
      </w:r>
      <w:r w:rsidRPr="00CC0304">
        <w:rPr>
          <w:rFonts w:cs="Arial"/>
          <w:szCs w:val="20"/>
        </w:rPr>
        <w:t>/</w:t>
      </w:r>
      <w:r w:rsidR="00A81F47">
        <w:rPr>
          <w:rFonts w:cs="Arial"/>
          <w:szCs w:val="20"/>
        </w:rPr>
        <w:t>22</w:t>
      </w:r>
      <w:r w:rsidRPr="00CC0304">
        <w:rPr>
          <w:rFonts w:cs="Arial"/>
          <w:szCs w:val="20"/>
        </w:rPr>
        <w:t xml:space="preserve">. </w:t>
      </w:r>
      <w:r w:rsidR="00D251CD">
        <w:rPr>
          <w:rFonts w:cs="Arial"/>
          <w:szCs w:val="20"/>
        </w:rPr>
        <w:t xml:space="preserve">Až do školního roku 2019/20 trvale stoupal, </w:t>
      </w:r>
      <w:r w:rsidR="00A81F47">
        <w:rPr>
          <w:rFonts w:cs="Arial"/>
          <w:szCs w:val="20"/>
        </w:rPr>
        <w:t>poté</w:t>
      </w:r>
      <w:r w:rsidR="00D251CD">
        <w:rPr>
          <w:rFonts w:cs="Arial"/>
          <w:szCs w:val="20"/>
        </w:rPr>
        <w:t xml:space="preserve"> mírně poklesl</w:t>
      </w:r>
      <w:r w:rsidR="00A81F47">
        <w:rPr>
          <w:rFonts w:cs="Arial"/>
          <w:szCs w:val="20"/>
        </w:rPr>
        <w:t xml:space="preserve"> (možná vlivem pandemie covid-19 a opatření s ní spojených). Ve školním roce 2021/22 </w:t>
      </w:r>
      <w:r w:rsidR="008C61BA">
        <w:rPr>
          <w:rFonts w:cs="Arial"/>
          <w:szCs w:val="20"/>
        </w:rPr>
        <w:t xml:space="preserve">se </w:t>
      </w:r>
      <w:r w:rsidR="00A81F47">
        <w:rPr>
          <w:rFonts w:cs="Arial"/>
          <w:szCs w:val="20"/>
        </w:rPr>
        <w:t xml:space="preserve">již </w:t>
      </w:r>
      <w:r w:rsidR="008C61BA">
        <w:rPr>
          <w:rFonts w:cs="Arial"/>
          <w:szCs w:val="20"/>
        </w:rPr>
        <w:t>počet cizinců znovu zvýšil</w:t>
      </w:r>
      <w:r w:rsidR="00A81F47">
        <w:rPr>
          <w:rFonts w:cs="Arial"/>
          <w:szCs w:val="20"/>
        </w:rPr>
        <w:t>, a sice o 2 %</w:t>
      </w:r>
      <w:r w:rsidR="00D251CD">
        <w:rPr>
          <w:rFonts w:cs="Arial"/>
          <w:szCs w:val="20"/>
        </w:rPr>
        <w:t>. Podíl dětí cizího státního občanství ze všec</w:t>
      </w:r>
      <w:r w:rsidR="007C4476">
        <w:rPr>
          <w:rFonts w:cs="Arial"/>
          <w:szCs w:val="20"/>
        </w:rPr>
        <w:t xml:space="preserve">h dětí v mateřských školách činil </w:t>
      </w:r>
      <w:r w:rsidR="00A81F47">
        <w:rPr>
          <w:rFonts w:cs="Arial"/>
          <w:szCs w:val="20"/>
        </w:rPr>
        <w:t>ve školním roce 2021/22 celkem</w:t>
      </w:r>
      <w:r w:rsidR="00D251CD">
        <w:rPr>
          <w:rFonts w:cs="Arial"/>
          <w:szCs w:val="20"/>
        </w:rPr>
        <w:t xml:space="preserve"> </w:t>
      </w:r>
      <w:r w:rsidR="004F1B02">
        <w:rPr>
          <w:rFonts w:cs="Arial"/>
          <w:szCs w:val="20"/>
        </w:rPr>
        <w:t>3,4</w:t>
      </w:r>
      <w:r w:rsidR="00D251CD">
        <w:rPr>
          <w:rFonts w:cs="Arial"/>
          <w:szCs w:val="20"/>
        </w:rPr>
        <w:t> %. P</w:t>
      </w:r>
      <w:r>
        <w:rPr>
          <w:rFonts w:cs="Arial"/>
          <w:szCs w:val="20"/>
        </w:rPr>
        <w:t>řed deseti lety</w:t>
      </w:r>
      <w:r w:rsidR="007C4476">
        <w:rPr>
          <w:rFonts w:cs="Arial"/>
          <w:szCs w:val="20"/>
        </w:rPr>
        <w:t xml:space="preserve"> </w:t>
      </w:r>
      <w:r w:rsidR="00D96DD0">
        <w:rPr>
          <w:rFonts w:cs="Arial"/>
          <w:szCs w:val="20"/>
        </w:rPr>
        <w:t>přitom</w:t>
      </w:r>
      <w:r w:rsidR="007C4476">
        <w:rPr>
          <w:rFonts w:cs="Arial"/>
          <w:szCs w:val="20"/>
        </w:rPr>
        <w:t xml:space="preserve"> tvořily</w:t>
      </w:r>
      <w:r w:rsidR="00D251CD">
        <w:rPr>
          <w:rFonts w:cs="Arial"/>
          <w:szCs w:val="20"/>
        </w:rPr>
        <w:t xml:space="preserve"> děti c</w:t>
      </w:r>
      <w:r w:rsidR="00A81F47">
        <w:rPr>
          <w:rFonts w:cs="Arial"/>
          <w:szCs w:val="20"/>
        </w:rPr>
        <w:t>izího státního občanství jen 1,4</w:t>
      </w:r>
      <w:r w:rsidR="00D251CD">
        <w:rPr>
          <w:rFonts w:cs="Arial"/>
          <w:szCs w:val="20"/>
        </w:rPr>
        <w:t>% podíl</w:t>
      </w:r>
      <w:r w:rsidR="004864B7">
        <w:rPr>
          <w:rFonts w:cs="Arial"/>
          <w:szCs w:val="20"/>
        </w:rPr>
        <w:t>.</w:t>
      </w:r>
      <w:r w:rsidRPr="00CC0304">
        <w:rPr>
          <w:rFonts w:cs="Arial"/>
          <w:szCs w:val="20"/>
        </w:rPr>
        <w:t xml:space="preserve"> </w:t>
      </w:r>
    </w:p>
    <w:p w14:paraId="09F90888" w14:textId="2B718850" w:rsidR="00A67C12" w:rsidRDefault="00A67C12" w:rsidP="006D5470">
      <w:pPr>
        <w:keepNext/>
        <w:spacing w:after="120"/>
        <w:jc w:val="both"/>
        <w:rPr>
          <w:rFonts w:cs="Arial"/>
          <w:b/>
          <w:szCs w:val="20"/>
        </w:rPr>
      </w:pPr>
      <w:r w:rsidRPr="002E5300">
        <w:rPr>
          <w:rFonts w:cs="Arial"/>
          <w:b/>
          <w:szCs w:val="20"/>
        </w:rPr>
        <w:lastRenderedPageBreak/>
        <w:t>Graf 1</w:t>
      </w:r>
      <w:r w:rsidR="00150D28">
        <w:rPr>
          <w:rFonts w:cs="Arial"/>
          <w:b/>
          <w:szCs w:val="20"/>
        </w:rPr>
        <w:t>.1</w:t>
      </w:r>
      <w:r w:rsidR="000564AE">
        <w:rPr>
          <w:rFonts w:cs="Arial"/>
          <w:b/>
          <w:szCs w:val="20"/>
        </w:rPr>
        <w:t>7</w:t>
      </w:r>
      <w:r w:rsidRPr="002E5300">
        <w:rPr>
          <w:rFonts w:cs="Arial"/>
          <w:b/>
          <w:szCs w:val="20"/>
        </w:rPr>
        <w:t xml:space="preserve"> </w:t>
      </w:r>
      <w:r>
        <w:rPr>
          <w:rFonts w:cs="Arial"/>
          <w:b/>
          <w:szCs w:val="20"/>
        </w:rPr>
        <w:t>Děti s cizím státním občanstvím v mateřských školách</w:t>
      </w:r>
    </w:p>
    <w:p w14:paraId="31C90DAB" w14:textId="688F9CB8" w:rsidR="00A67C12" w:rsidRPr="00D251CD" w:rsidRDefault="006D5470" w:rsidP="006D5470">
      <w:pPr>
        <w:keepNext/>
        <w:spacing w:after="120"/>
        <w:jc w:val="both"/>
        <w:rPr>
          <w:rFonts w:cs="Arial"/>
          <w:b/>
          <w:szCs w:val="20"/>
        </w:rPr>
      </w:pPr>
      <w:r>
        <w:rPr>
          <w:noProof/>
        </w:rPr>
        <w:drawing>
          <wp:inline distT="0" distB="0" distL="0" distR="0" wp14:anchorId="0917995F" wp14:editId="197C7471">
            <wp:extent cx="6011545" cy="2133600"/>
            <wp:effectExtent l="0" t="0" r="8255" b="0"/>
            <wp:docPr id="4" name="Graf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91E1ECF" w14:textId="77777777" w:rsidR="00A67C12" w:rsidRDefault="00A67C12" w:rsidP="00D251CD">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63909BD3" w14:textId="4823B94E" w:rsidR="00A67C12" w:rsidRDefault="00A67C12" w:rsidP="00D64541">
      <w:pPr>
        <w:spacing w:after="120"/>
        <w:jc w:val="both"/>
        <w:rPr>
          <w:rFonts w:cs="Arial"/>
          <w:szCs w:val="20"/>
        </w:rPr>
      </w:pPr>
      <w:r>
        <w:rPr>
          <w:rFonts w:cs="Arial"/>
          <w:szCs w:val="20"/>
        </w:rPr>
        <w:t xml:space="preserve">Dlouhodobě je nejvyšší podíl cizinců v mateřských školách </w:t>
      </w:r>
      <w:r w:rsidRPr="00DA491A">
        <w:rPr>
          <w:rFonts w:cs="Arial"/>
          <w:b/>
          <w:szCs w:val="20"/>
        </w:rPr>
        <w:t>v Praze</w:t>
      </w:r>
      <w:r w:rsidR="00920B74">
        <w:rPr>
          <w:rFonts w:cs="Arial"/>
          <w:szCs w:val="20"/>
        </w:rPr>
        <w:t xml:space="preserve">. </w:t>
      </w:r>
      <w:r w:rsidR="002A0636">
        <w:rPr>
          <w:rFonts w:cs="Arial"/>
          <w:szCs w:val="20"/>
        </w:rPr>
        <w:t>K 30.</w:t>
      </w:r>
      <w:r w:rsidR="004F1B02">
        <w:rPr>
          <w:rFonts w:cs="Arial"/>
          <w:szCs w:val="20"/>
        </w:rPr>
        <w:t> </w:t>
      </w:r>
      <w:r w:rsidR="002A0636">
        <w:rPr>
          <w:rFonts w:cs="Arial"/>
          <w:szCs w:val="20"/>
        </w:rPr>
        <w:t>9.</w:t>
      </w:r>
      <w:r w:rsidR="004F1B02">
        <w:rPr>
          <w:rFonts w:cs="Arial"/>
          <w:szCs w:val="20"/>
        </w:rPr>
        <w:t> </w:t>
      </w:r>
      <w:r w:rsidR="002A0636">
        <w:rPr>
          <w:rFonts w:cs="Arial"/>
          <w:szCs w:val="20"/>
        </w:rPr>
        <w:t>2021</w:t>
      </w:r>
      <w:r>
        <w:rPr>
          <w:rFonts w:cs="Arial"/>
          <w:szCs w:val="20"/>
        </w:rPr>
        <w:t xml:space="preserve"> </w:t>
      </w:r>
      <w:r w:rsidR="00920B74">
        <w:rPr>
          <w:rFonts w:cs="Arial"/>
          <w:szCs w:val="20"/>
        </w:rPr>
        <w:t>jich bylo 11,5</w:t>
      </w:r>
      <w:r w:rsidR="00D0291B">
        <w:rPr>
          <w:rFonts w:cs="Arial"/>
          <w:szCs w:val="20"/>
        </w:rPr>
        <w:t> %, což je téměř třikrát vyšší podíl</w:t>
      </w:r>
      <w:r w:rsidR="004F1B02">
        <w:rPr>
          <w:rFonts w:cs="Arial"/>
          <w:szCs w:val="20"/>
        </w:rPr>
        <w:t>,</w:t>
      </w:r>
      <w:r w:rsidR="00130ABD">
        <w:rPr>
          <w:rFonts w:cs="Arial"/>
          <w:szCs w:val="20"/>
        </w:rPr>
        <w:t xml:space="preserve"> než je průměr za celou Českou republiku</w:t>
      </w:r>
      <w:r w:rsidR="00920B74">
        <w:rPr>
          <w:rFonts w:cs="Arial"/>
          <w:szCs w:val="20"/>
        </w:rPr>
        <w:t xml:space="preserve"> (3,4 %)</w:t>
      </w:r>
      <w:r>
        <w:rPr>
          <w:rFonts w:cs="Arial"/>
          <w:szCs w:val="20"/>
        </w:rPr>
        <w:t xml:space="preserve">. S </w:t>
      </w:r>
      <w:r w:rsidRPr="00CC0304">
        <w:rPr>
          <w:rFonts w:cs="Arial"/>
          <w:szCs w:val="20"/>
        </w:rPr>
        <w:t xml:space="preserve">velkým odstupem pak </w:t>
      </w:r>
      <w:r w:rsidR="00130ABD">
        <w:rPr>
          <w:rFonts w:cs="Arial"/>
          <w:szCs w:val="20"/>
        </w:rPr>
        <w:t>následoval</w:t>
      </w:r>
      <w:r>
        <w:rPr>
          <w:rFonts w:cs="Arial"/>
          <w:szCs w:val="20"/>
        </w:rPr>
        <w:t xml:space="preserve"> </w:t>
      </w:r>
      <w:r w:rsidR="00920B74">
        <w:rPr>
          <w:rFonts w:cs="Arial"/>
          <w:szCs w:val="20"/>
        </w:rPr>
        <w:t>kraj Karlovarský (4,7</w:t>
      </w:r>
      <w:r w:rsidRPr="00CC0304">
        <w:rPr>
          <w:rFonts w:cs="Arial"/>
          <w:szCs w:val="20"/>
        </w:rPr>
        <w:t> %) a Plzeňský (</w:t>
      </w:r>
      <w:r w:rsidR="00920B74">
        <w:rPr>
          <w:rFonts w:cs="Arial"/>
          <w:szCs w:val="20"/>
        </w:rPr>
        <w:t>4,4</w:t>
      </w:r>
      <w:r w:rsidRPr="00CC0304">
        <w:rPr>
          <w:rFonts w:cs="Arial"/>
          <w:szCs w:val="20"/>
        </w:rPr>
        <w:t> %). Naopak nejmenší podíl dětí cizí státní příslušnosti v mateřských škol</w:t>
      </w:r>
      <w:r w:rsidR="00920B74">
        <w:rPr>
          <w:rFonts w:cs="Arial"/>
          <w:szCs w:val="20"/>
        </w:rPr>
        <w:t>ách zaznamenal kraj Zlínský (0,9 %) a Moravskoslezský (0,9 %)</w:t>
      </w:r>
      <w:r w:rsidRPr="00CC0304">
        <w:rPr>
          <w:rFonts w:cs="Arial"/>
          <w:szCs w:val="20"/>
        </w:rPr>
        <w:t xml:space="preserve">. V ostatních krajích se podíl takových dětí pohyboval mezi 1 % a </w:t>
      </w:r>
      <w:r w:rsidR="00920B74">
        <w:rPr>
          <w:rFonts w:cs="Arial"/>
          <w:szCs w:val="20"/>
        </w:rPr>
        <w:t>4</w:t>
      </w:r>
      <w:r w:rsidRPr="00CC0304">
        <w:rPr>
          <w:rFonts w:cs="Arial"/>
          <w:szCs w:val="20"/>
        </w:rPr>
        <w:t> % - viz graf 1.</w:t>
      </w:r>
      <w:r w:rsidR="00150D28">
        <w:rPr>
          <w:rFonts w:cs="Arial"/>
          <w:szCs w:val="20"/>
        </w:rPr>
        <w:t>1</w:t>
      </w:r>
      <w:r w:rsidR="000564AE">
        <w:rPr>
          <w:rFonts w:cs="Arial"/>
          <w:szCs w:val="20"/>
        </w:rPr>
        <w:t>8</w:t>
      </w:r>
      <w:r w:rsidRPr="00CC0304">
        <w:rPr>
          <w:rFonts w:cs="Arial"/>
          <w:szCs w:val="20"/>
        </w:rPr>
        <w:t xml:space="preserve">. </w:t>
      </w:r>
    </w:p>
    <w:p w14:paraId="3DB6E96F" w14:textId="7C85B9BE" w:rsidR="00A67C12" w:rsidRDefault="00A67C12" w:rsidP="00A67C12">
      <w:pPr>
        <w:spacing w:after="120"/>
        <w:jc w:val="both"/>
        <w:rPr>
          <w:rFonts w:cs="Arial"/>
          <w:b/>
          <w:spacing w:val="-6"/>
          <w:szCs w:val="20"/>
        </w:rPr>
      </w:pPr>
      <w:r w:rsidRPr="002E5300">
        <w:rPr>
          <w:rFonts w:cs="Arial"/>
          <w:b/>
          <w:szCs w:val="20"/>
        </w:rPr>
        <w:t>Graf 1</w:t>
      </w:r>
      <w:r w:rsidR="00150D28">
        <w:rPr>
          <w:rFonts w:cs="Arial"/>
          <w:b/>
          <w:szCs w:val="20"/>
        </w:rPr>
        <w:t>.1</w:t>
      </w:r>
      <w:r w:rsidR="000564AE">
        <w:rPr>
          <w:rFonts w:cs="Arial"/>
          <w:b/>
          <w:szCs w:val="20"/>
        </w:rPr>
        <w:t>8</w:t>
      </w:r>
      <w:r w:rsidRPr="002E5300">
        <w:rPr>
          <w:rFonts w:cs="Arial"/>
          <w:b/>
          <w:szCs w:val="20"/>
        </w:rPr>
        <w:t xml:space="preserve"> </w:t>
      </w:r>
      <w:r w:rsidRPr="00D71E27">
        <w:rPr>
          <w:rFonts w:cs="Arial"/>
          <w:b/>
          <w:spacing w:val="-6"/>
          <w:szCs w:val="20"/>
        </w:rPr>
        <w:t xml:space="preserve">Podíl dětí s cizím státním občanstvím v mateřských školách </w:t>
      </w:r>
      <w:r>
        <w:rPr>
          <w:rFonts w:cs="Arial"/>
          <w:b/>
          <w:spacing w:val="-6"/>
          <w:szCs w:val="20"/>
        </w:rPr>
        <w:t>v</w:t>
      </w:r>
      <w:r w:rsidR="00D0291B">
        <w:rPr>
          <w:rFonts w:cs="Arial"/>
          <w:b/>
          <w:spacing w:val="-6"/>
          <w:szCs w:val="20"/>
        </w:rPr>
        <w:t xml:space="preserve"> jednotlivých</w:t>
      </w:r>
      <w:r>
        <w:rPr>
          <w:rFonts w:cs="Arial"/>
          <w:b/>
          <w:spacing w:val="-6"/>
          <w:szCs w:val="20"/>
        </w:rPr>
        <w:t> krajích ČR</w:t>
      </w:r>
      <w:r w:rsidR="00920B74">
        <w:rPr>
          <w:rFonts w:cs="Arial"/>
          <w:b/>
          <w:spacing w:val="-6"/>
          <w:szCs w:val="20"/>
        </w:rPr>
        <w:t xml:space="preserve"> (2021/22</w:t>
      </w:r>
      <w:r w:rsidRPr="00D71E27">
        <w:rPr>
          <w:rFonts w:cs="Arial"/>
          <w:b/>
          <w:spacing w:val="-6"/>
          <w:szCs w:val="20"/>
        </w:rPr>
        <w:t>)</w:t>
      </w:r>
    </w:p>
    <w:p w14:paraId="5EAB7CC2" w14:textId="7B2FFF53" w:rsidR="00130ABD" w:rsidRPr="00D71E27" w:rsidRDefault="00920B74" w:rsidP="00A67C12">
      <w:pPr>
        <w:spacing w:after="120"/>
        <w:jc w:val="both"/>
        <w:rPr>
          <w:rFonts w:cs="Arial"/>
          <w:b/>
          <w:spacing w:val="-6"/>
          <w:szCs w:val="20"/>
        </w:rPr>
      </w:pPr>
      <w:r>
        <w:rPr>
          <w:noProof/>
        </w:rPr>
        <w:drawing>
          <wp:inline distT="0" distB="0" distL="0" distR="0" wp14:anchorId="54FA6DFD" wp14:editId="2C867B88">
            <wp:extent cx="6083935" cy="2362200"/>
            <wp:effectExtent l="0" t="0" r="12065" b="0"/>
            <wp:docPr id="5" name="Graf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B3A9547" w14:textId="60159ADD" w:rsidR="00A67C12" w:rsidRDefault="00A67C12" w:rsidP="00130ABD">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644A5A52" w14:textId="79023C27" w:rsidR="004864B7" w:rsidRDefault="004864B7" w:rsidP="004864B7">
      <w:pPr>
        <w:spacing w:after="120"/>
        <w:jc w:val="both"/>
        <w:rPr>
          <w:rFonts w:cs="Arial"/>
          <w:szCs w:val="20"/>
        </w:rPr>
      </w:pPr>
      <w:r>
        <w:rPr>
          <w:rFonts w:cs="Arial"/>
          <w:szCs w:val="20"/>
        </w:rPr>
        <w:t xml:space="preserve">V členění podle </w:t>
      </w:r>
      <w:r w:rsidRPr="00952008">
        <w:rPr>
          <w:rFonts w:cs="Arial"/>
          <w:b/>
          <w:szCs w:val="20"/>
        </w:rPr>
        <w:t>zřizovatele</w:t>
      </w:r>
      <w:r w:rsidR="00920B74">
        <w:rPr>
          <w:rFonts w:cs="Arial"/>
          <w:szCs w:val="20"/>
        </w:rPr>
        <w:t xml:space="preserve"> dosáhl ve školním roce 2021/22</w:t>
      </w:r>
      <w:r>
        <w:rPr>
          <w:rFonts w:cs="Arial"/>
          <w:szCs w:val="20"/>
        </w:rPr>
        <w:t xml:space="preserve"> </w:t>
      </w:r>
      <w:r w:rsidR="002A0636">
        <w:rPr>
          <w:rFonts w:cs="Arial"/>
          <w:szCs w:val="20"/>
        </w:rPr>
        <w:t>k 30.</w:t>
      </w:r>
      <w:r w:rsidR="00844D3B">
        <w:t> </w:t>
      </w:r>
      <w:r w:rsidR="00D0291B">
        <w:rPr>
          <w:rFonts w:cs="Arial"/>
          <w:szCs w:val="20"/>
        </w:rPr>
        <w:t>září</w:t>
      </w:r>
      <w:r w:rsidR="002A0636">
        <w:rPr>
          <w:rFonts w:cs="Arial"/>
          <w:szCs w:val="20"/>
        </w:rPr>
        <w:t xml:space="preserve"> </w:t>
      </w:r>
      <w:r>
        <w:rPr>
          <w:rFonts w:cs="Arial"/>
          <w:szCs w:val="20"/>
        </w:rPr>
        <w:t>podíl dětí s cizím stá</w:t>
      </w:r>
      <w:r w:rsidR="000413F5">
        <w:rPr>
          <w:rFonts w:cs="Arial"/>
          <w:szCs w:val="20"/>
        </w:rPr>
        <w:t>tním občanstvím nejvyšší hodnoty</w:t>
      </w:r>
      <w:r>
        <w:rPr>
          <w:rFonts w:cs="Arial"/>
          <w:szCs w:val="20"/>
        </w:rPr>
        <w:t xml:space="preserve"> v soukromých mateřských školách (</w:t>
      </w:r>
      <w:r w:rsidR="006D4462">
        <w:rPr>
          <w:rFonts w:cs="Arial"/>
          <w:szCs w:val="20"/>
        </w:rPr>
        <w:t>7,2</w:t>
      </w:r>
      <w:r>
        <w:rPr>
          <w:rFonts w:cs="Arial"/>
          <w:szCs w:val="20"/>
        </w:rPr>
        <w:t xml:space="preserve"> %). </w:t>
      </w:r>
      <w:r w:rsidR="006D4462">
        <w:rPr>
          <w:rFonts w:cs="Arial"/>
          <w:szCs w:val="20"/>
        </w:rPr>
        <w:t>V církevních školách to bylo 6,1</w:t>
      </w:r>
      <w:r w:rsidR="001C0E7F">
        <w:rPr>
          <w:rFonts w:cs="Arial"/>
          <w:szCs w:val="20"/>
        </w:rPr>
        <w:t> % a nejméně (3,2</w:t>
      </w:r>
      <w:r>
        <w:rPr>
          <w:rFonts w:cs="Arial"/>
          <w:szCs w:val="20"/>
        </w:rPr>
        <w:t xml:space="preserve"> %) v mateřských školách, jejichž zřizovatelem je obec, kraj nebo MŠMT. </w:t>
      </w:r>
    </w:p>
    <w:p w14:paraId="50D78A82" w14:textId="29F8A7E7" w:rsidR="001C0E7F" w:rsidRDefault="001C0E7F" w:rsidP="00D0291B">
      <w:pPr>
        <w:keepNext/>
        <w:spacing w:after="120"/>
        <w:jc w:val="both"/>
        <w:rPr>
          <w:rFonts w:cs="Arial"/>
          <w:b/>
          <w:szCs w:val="20"/>
        </w:rPr>
      </w:pPr>
      <w:r w:rsidRPr="00FF3C6B">
        <w:rPr>
          <w:rFonts w:cs="Arial"/>
          <w:b/>
          <w:szCs w:val="20"/>
        </w:rPr>
        <w:t>Tab. 1.</w:t>
      </w:r>
      <w:r>
        <w:rPr>
          <w:rFonts w:cs="Arial"/>
          <w:b/>
          <w:szCs w:val="20"/>
        </w:rPr>
        <w:t>3</w:t>
      </w:r>
      <w:r w:rsidRPr="00FF3C6B">
        <w:rPr>
          <w:rFonts w:cs="Arial"/>
          <w:b/>
          <w:szCs w:val="20"/>
        </w:rPr>
        <w:t xml:space="preserve"> </w:t>
      </w:r>
      <w:r>
        <w:rPr>
          <w:rFonts w:cs="Arial"/>
          <w:b/>
          <w:szCs w:val="20"/>
        </w:rPr>
        <w:t>C</w:t>
      </w:r>
      <w:r w:rsidRPr="00BA6D11">
        <w:rPr>
          <w:rFonts w:cs="Arial"/>
          <w:b/>
          <w:szCs w:val="20"/>
        </w:rPr>
        <w:t xml:space="preserve">izinci v mateřských školách podle </w:t>
      </w:r>
      <w:r w:rsidR="00920B74">
        <w:rPr>
          <w:rFonts w:cs="Arial"/>
          <w:b/>
          <w:szCs w:val="20"/>
        </w:rPr>
        <w:t>zřizovatele (2021/22</w:t>
      </w:r>
      <w:r>
        <w:rPr>
          <w:rFonts w:cs="Arial"/>
          <w:b/>
          <w:szCs w:val="20"/>
        </w:rPr>
        <w:t>)</w:t>
      </w:r>
    </w:p>
    <w:tbl>
      <w:tblPr>
        <w:tblW w:w="7821" w:type="dxa"/>
        <w:tblInd w:w="-10" w:type="dxa"/>
        <w:tblCellMar>
          <w:left w:w="70" w:type="dxa"/>
          <w:right w:w="70" w:type="dxa"/>
        </w:tblCellMar>
        <w:tblLook w:val="04A0" w:firstRow="1" w:lastRow="0" w:firstColumn="1" w:lastColumn="0" w:noHBand="0" w:noVBand="1"/>
      </w:tblPr>
      <w:tblGrid>
        <w:gridCol w:w="1380"/>
        <w:gridCol w:w="1600"/>
        <w:gridCol w:w="1840"/>
        <w:gridCol w:w="1661"/>
        <w:gridCol w:w="1340"/>
      </w:tblGrid>
      <w:tr w:rsidR="00920B74" w:rsidRPr="00920B74" w14:paraId="05828327" w14:textId="77777777" w:rsidTr="00920B74">
        <w:trPr>
          <w:trHeight w:val="315"/>
        </w:trPr>
        <w:tc>
          <w:tcPr>
            <w:tcW w:w="1380" w:type="dxa"/>
            <w:vMerge w:val="restart"/>
            <w:tcBorders>
              <w:top w:val="single" w:sz="8" w:space="0" w:color="auto"/>
              <w:left w:val="single" w:sz="8" w:space="0" w:color="auto"/>
              <w:bottom w:val="single" w:sz="8" w:space="0" w:color="000000"/>
              <w:right w:val="single" w:sz="8" w:space="0" w:color="auto"/>
            </w:tcBorders>
            <w:shd w:val="clear" w:color="000000" w:fill="C00000"/>
            <w:noWrap/>
            <w:vAlign w:val="center"/>
            <w:hideMark/>
          </w:tcPr>
          <w:p w14:paraId="2A2FBC0C" w14:textId="77777777" w:rsidR="00920B74" w:rsidRPr="00920B74" w:rsidRDefault="00920B74" w:rsidP="00D0291B">
            <w:pPr>
              <w:keepNext/>
              <w:spacing w:after="0" w:line="240" w:lineRule="auto"/>
              <w:jc w:val="center"/>
              <w:rPr>
                <w:rFonts w:cs="Arial"/>
                <w:b/>
                <w:bCs/>
                <w:color w:val="FFFFFF"/>
                <w:sz w:val="18"/>
                <w:szCs w:val="18"/>
              </w:rPr>
            </w:pPr>
            <w:r w:rsidRPr="00920B74">
              <w:rPr>
                <w:rFonts w:cs="Arial"/>
                <w:b/>
                <w:bCs/>
                <w:color w:val="FFFFFF" w:themeColor="background1"/>
                <w:sz w:val="18"/>
                <w:szCs w:val="18"/>
              </w:rPr>
              <w:t> zřizovatel</w:t>
            </w:r>
          </w:p>
        </w:tc>
        <w:tc>
          <w:tcPr>
            <w:tcW w:w="1600" w:type="dxa"/>
            <w:vMerge w:val="restart"/>
            <w:tcBorders>
              <w:top w:val="single" w:sz="8" w:space="0" w:color="auto"/>
              <w:left w:val="single" w:sz="8" w:space="0" w:color="auto"/>
              <w:bottom w:val="single" w:sz="8" w:space="0" w:color="000000"/>
              <w:right w:val="single" w:sz="8" w:space="0" w:color="auto"/>
            </w:tcBorders>
            <w:shd w:val="clear" w:color="000000" w:fill="C00000"/>
            <w:noWrap/>
            <w:vAlign w:val="center"/>
            <w:hideMark/>
          </w:tcPr>
          <w:p w14:paraId="044DD069" w14:textId="77777777" w:rsidR="00920B74" w:rsidRPr="00920B74" w:rsidRDefault="00920B74" w:rsidP="00D0291B">
            <w:pPr>
              <w:keepNext/>
              <w:spacing w:after="0" w:line="240" w:lineRule="auto"/>
              <w:jc w:val="center"/>
              <w:rPr>
                <w:rFonts w:cs="Arial"/>
                <w:b/>
                <w:bCs/>
                <w:color w:val="FFFFFF"/>
                <w:sz w:val="18"/>
                <w:szCs w:val="18"/>
              </w:rPr>
            </w:pPr>
            <w:r w:rsidRPr="00920B74">
              <w:rPr>
                <w:rFonts w:cs="Arial"/>
                <w:b/>
                <w:bCs/>
                <w:color w:val="FFFFFF" w:themeColor="background1"/>
                <w:sz w:val="18"/>
                <w:szCs w:val="18"/>
              </w:rPr>
              <w:t>děti v MŠ celkem</w:t>
            </w:r>
          </w:p>
        </w:tc>
        <w:tc>
          <w:tcPr>
            <w:tcW w:w="3501" w:type="dxa"/>
            <w:gridSpan w:val="2"/>
            <w:tcBorders>
              <w:top w:val="single" w:sz="8" w:space="0" w:color="auto"/>
              <w:left w:val="nil"/>
              <w:bottom w:val="single" w:sz="8" w:space="0" w:color="auto"/>
              <w:right w:val="single" w:sz="8" w:space="0" w:color="000000"/>
            </w:tcBorders>
            <w:shd w:val="clear" w:color="000000" w:fill="C00000"/>
            <w:noWrap/>
            <w:vAlign w:val="center"/>
            <w:hideMark/>
          </w:tcPr>
          <w:p w14:paraId="3840FA87" w14:textId="77777777" w:rsidR="00920B74" w:rsidRPr="00920B74" w:rsidRDefault="00920B74" w:rsidP="00D0291B">
            <w:pPr>
              <w:keepNext/>
              <w:spacing w:after="0" w:line="240" w:lineRule="auto"/>
              <w:jc w:val="center"/>
              <w:rPr>
                <w:rFonts w:cs="Arial"/>
                <w:b/>
                <w:bCs/>
                <w:color w:val="FFFFFF"/>
                <w:sz w:val="18"/>
                <w:szCs w:val="18"/>
              </w:rPr>
            </w:pPr>
            <w:r w:rsidRPr="00920B74">
              <w:rPr>
                <w:rFonts w:cs="Arial"/>
                <w:b/>
                <w:bCs/>
                <w:color w:val="FFFFFF" w:themeColor="background1"/>
                <w:sz w:val="18"/>
                <w:szCs w:val="18"/>
              </w:rPr>
              <w:t>v tom dle státního občanství</w:t>
            </w:r>
          </w:p>
        </w:tc>
        <w:tc>
          <w:tcPr>
            <w:tcW w:w="1340" w:type="dxa"/>
            <w:vMerge w:val="restart"/>
            <w:tcBorders>
              <w:top w:val="single" w:sz="8" w:space="0" w:color="auto"/>
              <w:left w:val="single" w:sz="8" w:space="0" w:color="auto"/>
              <w:bottom w:val="single" w:sz="8" w:space="0" w:color="000000"/>
              <w:right w:val="single" w:sz="8" w:space="0" w:color="auto"/>
            </w:tcBorders>
            <w:shd w:val="clear" w:color="000000" w:fill="C00000"/>
            <w:vAlign w:val="center"/>
            <w:hideMark/>
          </w:tcPr>
          <w:p w14:paraId="2FD7D13B" w14:textId="77777777" w:rsidR="00920B74" w:rsidRPr="00920B74" w:rsidRDefault="00920B74" w:rsidP="00D0291B">
            <w:pPr>
              <w:keepNext/>
              <w:spacing w:after="0" w:line="240" w:lineRule="auto"/>
              <w:jc w:val="center"/>
              <w:rPr>
                <w:rFonts w:cs="Arial"/>
                <w:b/>
                <w:bCs/>
                <w:color w:val="FFFFFF"/>
                <w:sz w:val="18"/>
                <w:szCs w:val="18"/>
              </w:rPr>
            </w:pPr>
            <w:r w:rsidRPr="00920B74">
              <w:rPr>
                <w:rFonts w:cs="Arial"/>
                <w:b/>
                <w:bCs/>
                <w:color w:val="FFFFFF" w:themeColor="background1"/>
                <w:sz w:val="18"/>
                <w:szCs w:val="18"/>
              </w:rPr>
              <w:t>podíl cizinců</w:t>
            </w:r>
          </w:p>
        </w:tc>
      </w:tr>
      <w:tr w:rsidR="00920B74" w:rsidRPr="00920B74" w14:paraId="507FF55F" w14:textId="77777777" w:rsidTr="00920B74">
        <w:trPr>
          <w:trHeight w:val="315"/>
        </w:trPr>
        <w:tc>
          <w:tcPr>
            <w:tcW w:w="1380" w:type="dxa"/>
            <w:vMerge/>
            <w:tcBorders>
              <w:top w:val="single" w:sz="8" w:space="0" w:color="auto"/>
              <w:left w:val="single" w:sz="8" w:space="0" w:color="auto"/>
              <w:bottom w:val="single" w:sz="8" w:space="0" w:color="000000"/>
              <w:right w:val="single" w:sz="8" w:space="0" w:color="auto"/>
            </w:tcBorders>
            <w:vAlign w:val="center"/>
            <w:hideMark/>
          </w:tcPr>
          <w:p w14:paraId="7AEE23EA" w14:textId="77777777" w:rsidR="00920B74" w:rsidRPr="00920B74" w:rsidRDefault="00920B74" w:rsidP="00D0291B">
            <w:pPr>
              <w:keepNext/>
              <w:spacing w:after="0" w:line="240" w:lineRule="auto"/>
              <w:rPr>
                <w:rFonts w:cs="Arial"/>
                <w:b/>
                <w:bCs/>
                <w:color w:val="FFFFFF"/>
                <w:sz w:val="18"/>
                <w:szCs w:val="18"/>
              </w:rPr>
            </w:pPr>
          </w:p>
        </w:tc>
        <w:tc>
          <w:tcPr>
            <w:tcW w:w="1600" w:type="dxa"/>
            <w:vMerge/>
            <w:tcBorders>
              <w:top w:val="single" w:sz="8" w:space="0" w:color="auto"/>
              <w:left w:val="single" w:sz="8" w:space="0" w:color="auto"/>
              <w:bottom w:val="single" w:sz="8" w:space="0" w:color="000000"/>
              <w:right w:val="single" w:sz="8" w:space="0" w:color="auto"/>
            </w:tcBorders>
            <w:vAlign w:val="center"/>
            <w:hideMark/>
          </w:tcPr>
          <w:p w14:paraId="1CE4C36B" w14:textId="77777777" w:rsidR="00920B74" w:rsidRPr="00920B74" w:rsidRDefault="00920B74" w:rsidP="00D0291B">
            <w:pPr>
              <w:keepNext/>
              <w:spacing w:after="0" w:line="240" w:lineRule="auto"/>
              <w:rPr>
                <w:rFonts w:cs="Arial"/>
                <w:b/>
                <w:bCs/>
                <w:color w:val="FFFFFF"/>
                <w:sz w:val="18"/>
                <w:szCs w:val="18"/>
              </w:rPr>
            </w:pPr>
          </w:p>
        </w:tc>
        <w:tc>
          <w:tcPr>
            <w:tcW w:w="1840" w:type="dxa"/>
            <w:tcBorders>
              <w:top w:val="nil"/>
              <w:left w:val="nil"/>
              <w:bottom w:val="single" w:sz="8" w:space="0" w:color="auto"/>
              <w:right w:val="single" w:sz="8" w:space="0" w:color="auto"/>
            </w:tcBorders>
            <w:shd w:val="clear" w:color="000000" w:fill="FABF8F"/>
            <w:noWrap/>
            <w:vAlign w:val="center"/>
            <w:hideMark/>
          </w:tcPr>
          <w:p w14:paraId="0F2999A5" w14:textId="77777777" w:rsidR="00920B74" w:rsidRPr="00920B74" w:rsidRDefault="00920B74" w:rsidP="00D0291B">
            <w:pPr>
              <w:keepNext/>
              <w:spacing w:after="0" w:line="240" w:lineRule="auto"/>
              <w:jc w:val="center"/>
              <w:rPr>
                <w:rFonts w:cs="Arial"/>
                <w:b/>
                <w:bCs/>
                <w:color w:val="000000"/>
                <w:sz w:val="18"/>
                <w:szCs w:val="18"/>
              </w:rPr>
            </w:pPr>
            <w:r w:rsidRPr="00920B74">
              <w:rPr>
                <w:rFonts w:cs="Arial"/>
                <w:b/>
                <w:bCs/>
                <w:color w:val="000000"/>
                <w:sz w:val="18"/>
                <w:szCs w:val="18"/>
              </w:rPr>
              <w:t>Česká republika</w:t>
            </w:r>
          </w:p>
        </w:tc>
        <w:tc>
          <w:tcPr>
            <w:tcW w:w="1661" w:type="dxa"/>
            <w:tcBorders>
              <w:top w:val="nil"/>
              <w:left w:val="nil"/>
              <w:bottom w:val="single" w:sz="8" w:space="0" w:color="auto"/>
              <w:right w:val="single" w:sz="8" w:space="0" w:color="auto"/>
            </w:tcBorders>
            <w:shd w:val="clear" w:color="000000" w:fill="FABF8F"/>
            <w:noWrap/>
            <w:vAlign w:val="center"/>
            <w:hideMark/>
          </w:tcPr>
          <w:p w14:paraId="49F80424" w14:textId="77777777" w:rsidR="00920B74" w:rsidRPr="00920B74" w:rsidRDefault="00920B74" w:rsidP="00D0291B">
            <w:pPr>
              <w:keepNext/>
              <w:spacing w:after="0" w:line="240" w:lineRule="auto"/>
              <w:jc w:val="center"/>
              <w:rPr>
                <w:rFonts w:cs="Arial"/>
                <w:b/>
                <w:bCs/>
                <w:color w:val="000000"/>
                <w:sz w:val="18"/>
                <w:szCs w:val="18"/>
              </w:rPr>
            </w:pPr>
            <w:r w:rsidRPr="00920B74">
              <w:rPr>
                <w:rFonts w:cs="Arial"/>
                <w:b/>
                <w:bCs/>
                <w:color w:val="000000"/>
                <w:sz w:val="18"/>
                <w:szCs w:val="18"/>
              </w:rPr>
              <w:t>jiné</w:t>
            </w:r>
          </w:p>
        </w:tc>
        <w:tc>
          <w:tcPr>
            <w:tcW w:w="1340" w:type="dxa"/>
            <w:vMerge/>
            <w:tcBorders>
              <w:top w:val="single" w:sz="8" w:space="0" w:color="auto"/>
              <w:left w:val="single" w:sz="8" w:space="0" w:color="auto"/>
              <w:bottom w:val="single" w:sz="8" w:space="0" w:color="000000"/>
              <w:right w:val="single" w:sz="8" w:space="0" w:color="auto"/>
            </w:tcBorders>
            <w:vAlign w:val="center"/>
            <w:hideMark/>
          </w:tcPr>
          <w:p w14:paraId="4AC3B191" w14:textId="77777777" w:rsidR="00920B74" w:rsidRPr="00920B74" w:rsidRDefault="00920B74" w:rsidP="00D0291B">
            <w:pPr>
              <w:keepNext/>
              <w:spacing w:after="0" w:line="240" w:lineRule="auto"/>
              <w:rPr>
                <w:rFonts w:cs="Arial"/>
                <w:b/>
                <w:bCs/>
                <w:color w:val="FFFFFF"/>
                <w:sz w:val="18"/>
                <w:szCs w:val="18"/>
              </w:rPr>
            </w:pPr>
          </w:p>
        </w:tc>
      </w:tr>
      <w:tr w:rsidR="00920B74" w:rsidRPr="00920B74" w14:paraId="1FE0A0F6" w14:textId="77777777" w:rsidTr="00920B74">
        <w:trPr>
          <w:trHeight w:val="315"/>
        </w:trPr>
        <w:tc>
          <w:tcPr>
            <w:tcW w:w="1380" w:type="dxa"/>
            <w:tcBorders>
              <w:top w:val="nil"/>
              <w:left w:val="single" w:sz="8" w:space="0" w:color="auto"/>
              <w:bottom w:val="single" w:sz="8" w:space="0" w:color="auto"/>
              <w:right w:val="single" w:sz="8" w:space="0" w:color="auto"/>
            </w:tcBorders>
            <w:shd w:val="clear" w:color="auto" w:fill="auto"/>
            <w:noWrap/>
            <w:vAlign w:val="center"/>
            <w:hideMark/>
          </w:tcPr>
          <w:p w14:paraId="57F5145A" w14:textId="77777777" w:rsidR="00920B74" w:rsidRPr="00920B74" w:rsidRDefault="00920B74" w:rsidP="00D0291B">
            <w:pPr>
              <w:keepNext/>
              <w:spacing w:after="0" w:line="240" w:lineRule="auto"/>
              <w:rPr>
                <w:rFonts w:cs="Arial"/>
                <w:color w:val="000000"/>
                <w:sz w:val="18"/>
                <w:szCs w:val="18"/>
              </w:rPr>
            </w:pPr>
            <w:r w:rsidRPr="00920B74">
              <w:rPr>
                <w:rFonts w:cs="Arial"/>
                <w:color w:val="000000"/>
                <w:sz w:val="18"/>
                <w:szCs w:val="18"/>
              </w:rPr>
              <w:t>veřejný</w:t>
            </w:r>
          </w:p>
        </w:tc>
        <w:tc>
          <w:tcPr>
            <w:tcW w:w="1600" w:type="dxa"/>
            <w:tcBorders>
              <w:top w:val="nil"/>
              <w:left w:val="nil"/>
              <w:bottom w:val="single" w:sz="8" w:space="0" w:color="auto"/>
              <w:right w:val="single" w:sz="8" w:space="0" w:color="auto"/>
            </w:tcBorders>
            <w:shd w:val="clear" w:color="auto" w:fill="auto"/>
            <w:noWrap/>
            <w:vAlign w:val="center"/>
            <w:hideMark/>
          </w:tcPr>
          <w:p w14:paraId="701AAE8A" w14:textId="77777777" w:rsidR="00920B74" w:rsidRPr="00920B74" w:rsidRDefault="00920B74" w:rsidP="00D0291B">
            <w:pPr>
              <w:keepNext/>
              <w:spacing w:after="0" w:line="240" w:lineRule="auto"/>
              <w:jc w:val="right"/>
              <w:rPr>
                <w:rFonts w:cs="Arial"/>
                <w:color w:val="000000"/>
                <w:sz w:val="18"/>
                <w:szCs w:val="18"/>
              </w:rPr>
            </w:pPr>
            <w:r w:rsidRPr="00920B74">
              <w:rPr>
                <w:rFonts w:cs="Arial"/>
                <w:color w:val="000000"/>
                <w:sz w:val="18"/>
                <w:szCs w:val="18"/>
              </w:rPr>
              <w:t>344 529</w:t>
            </w:r>
          </w:p>
        </w:tc>
        <w:tc>
          <w:tcPr>
            <w:tcW w:w="1840" w:type="dxa"/>
            <w:tcBorders>
              <w:top w:val="nil"/>
              <w:left w:val="nil"/>
              <w:bottom w:val="single" w:sz="8" w:space="0" w:color="auto"/>
              <w:right w:val="single" w:sz="8" w:space="0" w:color="auto"/>
            </w:tcBorders>
            <w:shd w:val="clear" w:color="auto" w:fill="auto"/>
            <w:noWrap/>
            <w:vAlign w:val="center"/>
            <w:hideMark/>
          </w:tcPr>
          <w:p w14:paraId="4AA6C8E9" w14:textId="77777777" w:rsidR="00920B74" w:rsidRPr="00920B74" w:rsidRDefault="00920B74" w:rsidP="00D0291B">
            <w:pPr>
              <w:keepNext/>
              <w:spacing w:after="0" w:line="240" w:lineRule="auto"/>
              <w:jc w:val="right"/>
              <w:rPr>
                <w:rFonts w:cs="Arial"/>
                <w:color w:val="000000"/>
                <w:sz w:val="18"/>
                <w:szCs w:val="18"/>
              </w:rPr>
            </w:pPr>
            <w:r w:rsidRPr="00920B74">
              <w:rPr>
                <w:rFonts w:cs="Arial"/>
                <w:color w:val="000000"/>
                <w:sz w:val="18"/>
                <w:szCs w:val="18"/>
              </w:rPr>
              <w:t>333 555</w:t>
            </w:r>
          </w:p>
        </w:tc>
        <w:tc>
          <w:tcPr>
            <w:tcW w:w="1661" w:type="dxa"/>
            <w:tcBorders>
              <w:top w:val="nil"/>
              <w:left w:val="nil"/>
              <w:bottom w:val="single" w:sz="8" w:space="0" w:color="auto"/>
              <w:right w:val="single" w:sz="8" w:space="0" w:color="auto"/>
            </w:tcBorders>
            <w:shd w:val="clear" w:color="auto" w:fill="auto"/>
            <w:noWrap/>
            <w:vAlign w:val="center"/>
            <w:hideMark/>
          </w:tcPr>
          <w:p w14:paraId="7B767852" w14:textId="77777777" w:rsidR="00920B74" w:rsidRPr="00920B74" w:rsidRDefault="00920B74" w:rsidP="00D0291B">
            <w:pPr>
              <w:keepNext/>
              <w:spacing w:after="0" w:line="240" w:lineRule="auto"/>
              <w:jc w:val="right"/>
              <w:rPr>
                <w:rFonts w:cs="Arial"/>
                <w:color w:val="000000"/>
                <w:sz w:val="18"/>
                <w:szCs w:val="18"/>
              </w:rPr>
            </w:pPr>
            <w:r w:rsidRPr="00920B74">
              <w:rPr>
                <w:rFonts w:cs="Arial"/>
                <w:color w:val="000000"/>
                <w:sz w:val="18"/>
                <w:szCs w:val="18"/>
              </w:rPr>
              <w:t>10 974</w:t>
            </w:r>
          </w:p>
        </w:tc>
        <w:tc>
          <w:tcPr>
            <w:tcW w:w="1340" w:type="dxa"/>
            <w:tcBorders>
              <w:top w:val="nil"/>
              <w:left w:val="nil"/>
              <w:bottom w:val="single" w:sz="8" w:space="0" w:color="auto"/>
              <w:right w:val="single" w:sz="8" w:space="0" w:color="auto"/>
            </w:tcBorders>
            <w:shd w:val="clear" w:color="auto" w:fill="auto"/>
            <w:noWrap/>
            <w:vAlign w:val="center"/>
            <w:hideMark/>
          </w:tcPr>
          <w:p w14:paraId="0AF2CE4A" w14:textId="48DAE123" w:rsidR="00920B74" w:rsidRPr="00920B74" w:rsidRDefault="006D4462" w:rsidP="00D0291B">
            <w:pPr>
              <w:keepNext/>
              <w:spacing w:after="0" w:line="240" w:lineRule="auto"/>
              <w:jc w:val="right"/>
              <w:rPr>
                <w:rFonts w:cs="Arial"/>
                <w:color w:val="000000"/>
                <w:sz w:val="18"/>
                <w:szCs w:val="18"/>
              </w:rPr>
            </w:pPr>
            <w:r>
              <w:rPr>
                <w:rFonts w:cs="Arial"/>
                <w:color w:val="000000"/>
                <w:sz w:val="18"/>
                <w:szCs w:val="18"/>
              </w:rPr>
              <w:t>3,2 </w:t>
            </w:r>
            <w:r w:rsidR="00920B74" w:rsidRPr="00920B74">
              <w:rPr>
                <w:rFonts w:cs="Arial"/>
                <w:color w:val="000000"/>
                <w:sz w:val="18"/>
                <w:szCs w:val="18"/>
              </w:rPr>
              <w:t>%</w:t>
            </w:r>
          </w:p>
        </w:tc>
      </w:tr>
      <w:tr w:rsidR="00920B74" w:rsidRPr="00920B74" w14:paraId="437F7277" w14:textId="77777777" w:rsidTr="00920B74">
        <w:trPr>
          <w:trHeight w:val="315"/>
        </w:trPr>
        <w:tc>
          <w:tcPr>
            <w:tcW w:w="1380" w:type="dxa"/>
            <w:tcBorders>
              <w:top w:val="nil"/>
              <w:left w:val="single" w:sz="8" w:space="0" w:color="auto"/>
              <w:bottom w:val="single" w:sz="8" w:space="0" w:color="auto"/>
              <w:right w:val="single" w:sz="8" w:space="0" w:color="auto"/>
            </w:tcBorders>
            <w:shd w:val="clear" w:color="auto" w:fill="auto"/>
            <w:noWrap/>
            <w:vAlign w:val="center"/>
            <w:hideMark/>
          </w:tcPr>
          <w:p w14:paraId="078BBA10" w14:textId="77777777" w:rsidR="00920B74" w:rsidRPr="00920B74" w:rsidRDefault="00920B74" w:rsidP="00D0291B">
            <w:pPr>
              <w:keepNext/>
              <w:spacing w:after="0" w:line="240" w:lineRule="auto"/>
              <w:rPr>
                <w:rFonts w:cs="Arial"/>
                <w:color w:val="000000"/>
                <w:sz w:val="18"/>
                <w:szCs w:val="18"/>
              </w:rPr>
            </w:pPr>
            <w:r w:rsidRPr="00920B74">
              <w:rPr>
                <w:rFonts w:cs="Arial"/>
                <w:color w:val="000000"/>
                <w:sz w:val="18"/>
                <w:szCs w:val="18"/>
              </w:rPr>
              <w:t>soukromý</w:t>
            </w:r>
          </w:p>
        </w:tc>
        <w:tc>
          <w:tcPr>
            <w:tcW w:w="1600" w:type="dxa"/>
            <w:tcBorders>
              <w:top w:val="nil"/>
              <w:left w:val="nil"/>
              <w:bottom w:val="single" w:sz="8" w:space="0" w:color="auto"/>
              <w:right w:val="single" w:sz="8" w:space="0" w:color="auto"/>
            </w:tcBorders>
            <w:shd w:val="clear" w:color="auto" w:fill="auto"/>
            <w:noWrap/>
            <w:vAlign w:val="center"/>
            <w:hideMark/>
          </w:tcPr>
          <w:p w14:paraId="166DB03D" w14:textId="77777777" w:rsidR="00920B74" w:rsidRPr="00920B74" w:rsidRDefault="00920B74" w:rsidP="00D0291B">
            <w:pPr>
              <w:keepNext/>
              <w:spacing w:after="0" w:line="240" w:lineRule="auto"/>
              <w:jc w:val="right"/>
              <w:rPr>
                <w:rFonts w:cs="Arial"/>
                <w:color w:val="000000"/>
                <w:sz w:val="18"/>
                <w:szCs w:val="18"/>
              </w:rPr>
            </w:pPr>
            <w:r w:rsidRPr="00920B74">
              <w:rPr>
                <w:rFonts w:cs="Arial"/>
                <w:color w:val="000000"/>
                <w:sz w:val="18"/>
                <w:szCs w:val="18"/>
              </w:rPr>
              <w:t>13 917</w:t>
            </w:r>
          </w:p>
        </w:tc>
        <w:tc>
          <w:tcPr>
            <w:tcW w:w="1840" w:type="dxa"/>
            <w:tcBorders>
              <w:top w:val="nil"/>
              <w:left w:val="nil"/>
              <w:bottom w:val="single" w:sz="8" w:space="0" w:color="auto"/>
              <w:right w:val="single" w:sz="8" w:space="0" w:color="auto"/>
            </w:tcBorders>
            <w:shd w:val="clear" w:color="auto" w:fill="auto"/>
            <w:noWrap/>
            <w:vAlign w:val="center"/>
            <w:hideMark/>
          </w:tcPr>
          <w:p w14:paraId="090EBF06" w14:textId="77777777" w:rsidR="00920B74" w:rsidRPr="00920B74" w:rsidRDefault="00920B74" w:rsidP="00D0291B">
            <w:pPr>
              <w:keepNext/>
              <w:spacing w:after="0" w:line="240" w:lineRule="auto"/>
              <w:jc w:val="right"/>
              <w:rPr>
                <w:rFonts w:cs="Arial"/>
                <w:color w:val="000000"/>
                <w:sz w:val="18"/>
                <w:szCs w:val="18"/>
              </w:rPr>
            </w:pPr>
            <w:r w:rsidRPr="00920B74">
              <w:rPr>
                <w:rFonts w:cs="Arial"/>
                <w:color w:val="000000"/>
                <w:sz w:val="18"/>
                <w:szCs w:val="18"/>
              </w:rPr>
              <w:t>12 912</w:t>
            </w:r>
          </w:p>
        </w:tc>
        <w:tc>
          <w:tcPr>
            <w:tcW w:w="1661" w:type="dxa"/>
            <w:tcBorders>
              <w:top w:val="nil"/>
              <w:left w:val="nil"/>
              <w:bottom w:val="single" w:sz="8" w:space="0" w:color="auto"/>
              <w:right w:val="single" w:sz="8" w:space="0" w:color="auto"/>
            </w:tcBorders>
            <w:shd w:val="clear" w:color="auto" w:fill="auto"/>
            <w:noWrap/>
            <w:vAlign w:val="center"/>
            <w:hideMark/>
          </w:tcPr>
          <w:p w14:paraId="15C2F8C3" w14:textId="77777777" w:rsidR="00920B74" w:rsidRPr="00920B74" w:rsidRDefault="00920B74" w:rsidP="00D0291B">
            <w:pPr>
              <w:keepNext/>
              <w:spacing w:after="0" w:line="240" w:lineRule="auto"/>
              <w:jc w:val="right"/>
              <w:rPr>
                <w:rFonts w:cs="Arial"/>
                <w:color w:val="000000"/>
                <w:sz w:val="18"/>
                <w:szCs w:val="18"/>
              </w:rPr>
            </w:pPr>
            <w:r w:rsidRPr="00920B74">
              <w:rPr>
                <w:rFonts w:cs="Arial"/>
                <w:color w:val="000000"/>
                <w:sz w:val="18"/>
                <w:szCs w:val="18"/>
              </w:rPr>
              <w:t>1005</w:t>
            </w:r>
          </w:p>
        </w:tc>
        <w:tc>
          <w:tcPr>
            <w:tcW w:w="1340" w:type="dxa"/>
            <w:tcBorders>
              <w:top w:val="nil"/>
              <w:left w:val="nil"/>
              <w:bottom w:val="single" w:sz="8" w:space="0" w:color="auto"/>
              <w:right w:val="single" w:sz="8" w:space="0" w:color="auto"/>
            </w:tcBorders>
            <w:shd w:val="clear" w:color="auto" w:fill="auto"/>
            <w:noWrap/>
            <w:vAlign w:val="center"/>
            <w:hideMark/>
          </w:tcPr>
          <w:p w14:paraId="73CE116D" w14:textId="43C31B1A" w:rsidR="00920B74" w:rsidRPr="00920B74" w:rsidRDefault="006D4462" w:rsidP="00D0291B">
            <w:pPr>
              <w:keepNext/>
              <w:spacing w:after="0" w:line="240" w:lineRule="auto"/>
              <w:jc w:val="right"/>
              <w:rPr>
                <w:rFonts w:cs="Arial"/>
                <w:color w:val="000000"/>
                <w:sz w:val="18"/>
                <w:szCs w:val="18"/>
              </w:rPr>
            </w:pPr>
            <w:r>
              <w:rPr>
                <w:rFonts w:cs="Arial"/>
                <w:color w:val="000000"/>
                <w:sz w:val="18"/>
                <w:szCs w:val="18"/>
              </w:rPr>
              <w:t>7,2 </w:t>
            </w:r>
            <w:r w:rsidR="00920B74" w:rsidRPr="00920B74">
              <w:rPr>
                <w:rFonts w:cs="Arial"/>
                <w:color w:val="000000"/>
                <w:sz w:val="18"/>
                <w:szCs w:val="18"/>
              </w:rPr>
              <w:t>%</w:t>
            </w:r>
          </w:p>
        </w:tc>
      </w:tr>
      <w:tr w:rsidR="00920B74" w:rsidRPr="00920B74" w14:paraId="26C8FF80" w14:textId="77777777" w:rsidTr="00920B74">
        <w:trPr>
          <w:trHeight w:val="315"/>
        </w:trPr>
        <w:tc>
          <w:tcPr>
            <w:tcW w:w="1380" w:type="dxa"/>
            <w:tcBorders>
              <w:top w:val="nil"/>
              <w:left w:val="single" w:sz="8" w:space="0" w:color="auto"/>
              <w:bottom w:val="single" w:sz="8" w:space="0" w:color="auto"/>
              <w:right w:val="single" w:sz="8" w:space="0" w:color="auto"/>
            </w:tcBorders>
            <w:shd w:val="clear" w:color="auto" w:fill="auto"/>
            <w:noWrap/>
            <w:vAlign w:val="center"/>
            <w:hideMark/>
          </w:tcPr>
          <w:p w14:paraId="0B57206A" w14:textId="77777777" w:rsidR="00920B74" w:rsidRPr="00920B74" w:rsidRDefault="00920B74" w:rsidP="00920B74">
            <w:pPr>
              <w:spacing w:after="0" w:line="240" w:lineRule="auto"/>
              <w:rPr>
                <w:rFonts w:cs="Arial"/>
                <w:color w:val="000000"/>
                <w:sz w:val="18"/>
                <w:szCs w:val="18"/>
              </w:rPr>
            </w:pPr>
            <w:r w:rsidRPr="00920B74">
              <w:rPr>
                <w:rFonts w:cs="Arial"/>
                <w:color w:val="000000"/>
                <w:sz w:val="18"/>
                <w:szCs w:val="18"/>
              </w:rPr>
              <w:t>církevní</w:t>
            </w:r>
          </w:p>
        </w:tc>
        <w:tc>
          <w:tcPr>
            <w:tcW w:w="1600" w:type="dxa"/>
            <w:tcBorders>
              <w:top w:val="nil"/>
              <w:left w:val="nil"/>
              <w:bottom w:val="single" w:sz="8" w:space="0" w:color="auto"/>
              <w:right w:val="single" w:sz="8" w:space="0" w:color="auto"/>
            </w:tcBorders>
            <w:shd w:val="clear" w:color="auto" w:fill="auto"/>
            <w:noWrap/>
            <w:vAlign w:val="center"/>
            <w:hideMark/>
          </w:tcPr>
          <w:p w14:paraId="28834C8A" w14:textId="77777777" w:rsidR="00920B74" w:rsidRPr="00920B74" w:rsidRDefault="00920B74" w:rsidP="00920B74">
            <w:pPr>
              <w:spacing w:after="0" w:line="240" w:lineRule="auto"/>
              <w:jc w:val="right"/>
              <w:rPr>
                <w:rFonts w:cs="Arial"/>
                <w:color w:val="000000"/>
                <w:sz w:val="18"/>
                <w:szCs w:val="18"/>
              </w:rPr>
            </w:pPr>
            <w:r w:rsidRPr="00920B74">
              <w:rPr>
                <w:rFonts w:cs="Arial"/>
                <w:color w:val="000000"/>
                <w:sz w:val="18"/>
                <w:szCs w:val="18"/>
              </w:rPr>
              <w:t>2 044</w:t>
            </w:r>
          </w:p>
        </w:tc>
        <w:tc>
          <w:tcPr>
            <w:tcW w:w="1840" w:type="dxa"/>
            <w:tcBorders>
              <w:top w:val="nil"/>
              <w:left w:val="nil"/>
              <w:bottom w:val="single" w:sz="8" w:space="0" w:color="auto"/>
              <w:right w:val="single" w:sz="8" w:space="0" w:color="auto"/>
            </w:tcBorders>
            <w:shd w:val="clear" w:color="auto" w:fill="auto"/>
            <w:noWrap/>
            <w:vAlign w:val="center"/>
            <w:hideMark/>
          </w:tcPr>
          <w:p w14:paraId="501C0F4A" w14:textId="77777777" w:rsidR="00920B74" w:rsidRPr="00920B74" w:rsidRDefault="00920B74" w:rsidP="00920B74">
            <w:pPr>
              <w:spacing w:after="0" w:line="240" w:lineRule="auto"/>
              <w:jc w:val="right"/>
              <w:rPr>
                <w:rFonts w:cs="Arial"/>
                <w:color w:val="000000"/>
                <w:sz w:val="18"/>
                <w:szCs w:val="18"/>
              </w:rPr>
            </w:pPr>
            <w:r w:rsidRPr="00920B74">
              <w:rPr>
                <w:rFonts w:cs="Arial"/>
                <w:color w:val="000000"/>
                <w:sz w:val="18"/>
                <w:szCs w:val="18"/>
              </w:rPr>
              <w:t>1 920</w:t>
            </w:r>
          </w:p>
        </w:tc>
        <w:tc>
          <w:tcPr>
            <w:tcW w:w="1661" w:type="dxa"/>
            <w:tcBorders>
              <w:top w:val="nil"/>
              <w:left w:val="nil"/>
              <w:bottom w:val="single" w:sz="8" w:space="0" w:color="auto"/>
              <w:right w:val="single" w:sz="8" w:space="0" w:color="auto"/>
            </w:tcBorders>
            <w:shd w:val="clear" w:color="auto" w:fill="auto"/>
            <w:noWrap/>
            <w:vAlign w:val="center"/>
            <w:hideMark/>
          </w:tcPr>
          <w:p w14:paraId="5F837CD2" w14:textId="77777777" w:rsidR="00920B74" w:rsidRPr="00920B74" w:rsidRDefault="00920B74" w:rsidP="00920B74">
            <w:pPr>
              <w:spacing w:after="0" w:line="240" w:lineRule="auto"/>
              <w:jc w:val="right"/>
              <w:rPr>
                <w:rFonts w:cs="Arial"/>
                <w:color w:val="000000"/>
                <w:sz w:val="18"/>
                <w:szCs w:val="18"/>
              </w:rPr>
            </w:pPr>
            <w:r w:rsidRPr="00920B74">
              <w:rPr>
                <w:rFonts w:cs="Arial"/>
                <w:color w:val="000000"/>
                <w:sz w:val="18"/>
                <w:szCs w:val="18"/>
              </w:rPr>
              <w:t>124</w:t>
            </w:r>
          </w:p>
        </w:tc>
        <w:tc>
          <w:tcPr>
            <w:tcW w:w="1340" w:type="dxa"/>
            <w:tcBorders>
              <w:top w:val="nil"/>
              <w:left w:val="nil"/>
              <w:bottom w:val="single" w:sz="8" w:space="0" w:color="auto"/>
              <w:right w:val="single" w:sz="8" w:space="0" w:color="auto"/>
            </w:tcBorders>
            <w:shd w:val="clear" w:color="auto" w:fill="auto"/>
            <w:noWrap/>
            <w:vAlign w:val="center"/>
            <w:hideMark/>
          </w:tcPr>
          <w:p w14:paraId="5258768E" w14:textId="3DA42F9A" w:rsidR="00920B74" w:rsidRPr="00920B74" w:rsidRDefault="006D4462" w:rsidP="00920B74">
            <w:pPr>
              <w:spacing w:after="0" w:line="240" w:lineRule="auto"/>
              <w:jc w:val="right"/>
              <w:rPr>
                <w:rFonts w:cs="Arial"/>
                <w:color w:val="000000"/>
                <w:sz w:val="18"/>
                <w:szCs w:val="18"/>
              </w:rPr>
            </w:pPr>
            <w:r>
              <w:rPr>
                <w:rFonts w:cs="Arial"/>
                <w:color w:val="000000"/>
                <w:sz w:val="18"/>
                <w:szCs w:val="18"/>
              </w:rPr>
              <w:t>6,1 </w:t>
            </w:r>
            <w:r w:rsidR="00920B74" w:rsidRPr="00920B74">
              <w:rPr>
                <w:rFonts w:cs="Arial"/>
                <w:color w:val="000000"/>
                <w:sz w:val="18"/>
                <w:szCs w:val="18"/>
              </w:rPr>
              <w:t>%</w:t>
            </w:r>
          </w:p>
        </w:tc>
      </w:tr>
    </w:tbl>
    <w:p w14:paraId="5AD41D9A" w14:textId="3FF2EFAE" w:rsidR="001C0E7F" w:rsidRPr="00CB6743" w:rsidRDefault="00CB6743" w:rsidP="00920B74">
      <w:pPr>
        <w:spacing w:after="120"/>
        <w:jc w:val="right"/>
        <w:rPr>
          <w:rFonts w:cs="Arial"/>
          <w:sz w:val="18"/>
        </w:rPr>
      </w:pPr>
      <w:r>
        <w:rPr>
          <w:rFonts w:cs="Arial"/>
          <w:sz w:val="18"/>
        </w:rPr>
        <w:t xml:space="preserve">          </w:t>
      </w:r>
      <w:r w:rsidRPr="00F94849">
        <w:rPr>
          <w:rFonts w:cs="Arial"/>
          <w:sz w:val="18"/>
        </w:rPr>
        <w:t>Zdroj: ČSÚ</w:t>
      </w:r>
      <w:r w:rsidRPr="00F94849">
        <w:rPr>
          <w:rFonts w:cs="Arial"/>
          <w:noProof/>
        </w:rPr>
        <w:t xml:space="preserve"> </w:t>
      </w:r>
      <w:r w:rsidRPr="00307699">
        <w:rPr>
          <w:rFonts w:cs="Arial"/>
          <w:sz w:val="18"/>
        </w:rPr>
        <w:t>podle údajů MŠMT</w:t>
      </w:r>
    </w:p>
    <w:p w14:paraId="6CAB9145" w14:textId="5865010F" w:rsidR="00A67C12" w:rsidRDefault="00A67C12" w:rsidP="00D64541">
      <w:pPr>
        <w:spacing w:after="120"/>
        <w:jc w:val="both"/>
        <w:rPr>
          <w:rFonts w:cs="Arial"/>
          <w:szCs w:val="20"/>
        </w:rPr>
      </w:pPr>
      <w:r>
        <w:rPr>
          <w:rFonts w:cs="Arial"/>
          <w:szCs w:val="20"/>
        </w:rPr>
        <w:lastRenderedPageBreak/>
        <w:t xml:space="preserve">Mezi dětmi v mateřských školách s jiným než českým státním občanstvím dlouhodobě převažují na prvních třech místech </w:t>
      </w:r>
      <w:r w:rsidR="009C58D3">
        <w:rPr>
          <w:rFonts w:cs="Arial"/>
          <w:b/>
          <w:szCs w:val="20"/>
        </w:rPr>
        <w:t>Ukrajinci, Vietnamci a Slováci</w:t>
      </w:r>
      <w:r w:rsidR="001C7478">
        <w:rPr>
          <w:rFonts w:cs="Arial"/>
          <w:b/>
          <w:szCs w:val="20"/>
        </w:rPr>
        <w:t xml:space="preserve"> </w:t>
      </w:r>
      <w:r w:rsidR="001C7478" w:rsidRPr="001C7478">
        <w:rPr>
          <w:rFonts w:cs="Arial"/>
          <w:szCs w:val="20"/>
        </w:rPr>
        <w:t>(</w:t>
      </w:r>
      <w:r w:rsidR="001C7478">
        <w:rPr>
          <w:rFonts w:cs="Arial"/>
          <w:szCs w:val="20"/>
        </w:rPr>
        <w:t>dohromady tvořili</w:t>
      </w:r>
      <w:r w:rsidR="001C7478" w:rsidRPr="001C7478">
        <w:rPr>
          <w:rFonts w:cs="Arial"/>
          <w:szCs w:val="20"/>
        </w:rPr>
        <w:t xml:space="preserve"> v uplynulém školním roce téměř dvě třetiny všech cizinců)</w:t>
      </w:r>
      <w:r w:rsidR="00D0291B">
        <w:rPr>
          <w:rFonts w:cs="Arial"/>
          <w:szCs w:val="20"/>
        </w:rPr>
        <w:t>. K 30.</w:t>
      </w:r>
      <w:r w:rsidR="00E337FB">
        <w:rPr>
          <w:rFonts w:cs="Arial"/>
          <w:szCs w:val="20"/>
        </w:rPr>
        <w:t> </w:t>
      </w:r>
      <w:r w:rsidR="00D0291B">
        <w:rPr>
          <w:rFonts w:cs="Arial"/>
          <w:szCs w:val="20"/>
        </w:rPr>
        <w:t>září 2021</w:t>
      </w:r>
      <w:r>
        <w:rPr>
          <w:rFonts w:cs="Arial"/>
          <w:szCs w:val="20"/>
        </w:rPr>
        <w:t xml:space="preserve"> bylo mezi dětmi s cizí státní příslušností v mateřských školách </w:t>
      </w:r>
      <w:r w:rsidR="00DA0972">
        <w:rPr>
          <w:rFonts w:cs="Arial"/>
          <w:szCs w:val="20"/>
        </w:rPr>
        <w:t xml:space="preserve">v ČR </w:t>
      </w:r>
      <w:r>
        <w:rPr>
          <w:rFonts w:cs="Arial"/>
          <w:szCs w:val="20"/>
        </w:rPr>
        <w:t>nejvíce d</w:t>
      </w:r>
      <w:r w:rsidR="008C61BA">
        <w:rPr>
          <w:rFonts w:cs="Arial"/>
          <w:szCs w:val="20"/>
        </w:rPr>
        <w:t>ětí ukrajinského občanství (25,2</w:t>
      </w:r>
      <w:r w:rsidR="002B5656">
        <w:rPr>
          <w:rFonts w:cs="Arial"/>
          <w:szCs w:val="20"/>
        </w:rPr>
        <w:t xml:space="preserve"> %; </w:t>
      </w:r>
      <w:r w:rsidR="008C61BA">
        <w:rPr>
          <w:rFonts w:cs="Arial"/>
          <w:szCs w:val="20"/>
        </w:rPr>
        <w:t>3 053</w:t>
      </w:r>
      <w:r>
        <w:rPr>
          <w:rFonts w:cs="Arial"/>
          <w:szCs w:val="20"/>
        </w:rPr>
        <w:t xml:space="preserve"> dětí). </w:t>
      </w:r>
      <w:r w:rsidR="008C61BA">
        <w:rPr>
          <w:rFonts w:cs="Arial"/>
          <w:szCs w:val="20"/>
        </w:rPr>
        <w:t xml:space="preserve">Vzhledem k politické situaci lze </w:t>
      </w:r>
      <w:r w:rsidR="00D0291B">
        <w:rPr>
          <w:rFonts w:cs="Arial"/>
          <w:szCs w:val="20"/>
        </w:rPr>
        <w:t xml:space="preserve">navíc </w:t>
      </w:r>
      <w:r w:rsidR="008C61BA">
        <w:rPr>
          <w:rFonts w:cs="Arial"/>
          <w:szCs w:val="20"/>
        </w:rPr>
        <w:t xml:space="preserve">předpokládat, že se jejich počet (a tudíž i podíl) v průběhu roku zvýšil. </w:t>
      </w:r>
      <w:r w:rsidR="00D0291B">
        <w:rPr>
          <w:rFonts w:cs="Arial"/>
          <w:szCs w:val="20"/>
        </w:rPr>
        <w:t>Ještě d</w:t>
      </w:r>
      <w:r>
        <w:rPr>
          <w:rFonts w:cs="Arial"/>
          <w:szCs w:val="20"/>
        </w:rPr>
        <w:t xml:space="preserve">o školního roku 2018/19 </w:t>
      </w:r>
      <w:r w:rsidR="00D0291B">
        <w:rPr>
          <w:rFonts w:cs="Arial"/>
          <w:szCs w:val="20"/>
        </w:rPr>
        <w:t xml:space="preserve">však </w:t>
      </w:r>
      <w:r w:rsidR="00DA0972">
        <w:rPr>
          <w:rFonts w:cs="Arial"/>
          <w:szCs w:val="20"/>
        </w:rPr>
        <w:t xml:space="preserve">mezi </w:t>
      </w:r>
      <w:r w:rsidR="00D0291B">
        <w:rPr>
          <w:rFonts w:cs="Arial"/>
          <w:szCs w:val="20"/>
        </w:rPr>
        <w:t xml:space="preserve">cizinci převažovaly děti </w:t>
      </w:r>
      <w:r>
        <w:rPr>
          <w:rFonts w:cs="Arial"/>
          <w:szCs w:val="20"/>
        </w:rPr>
        <w:t xml:space="preserve">s vietnamským občanstvím. </w:t>
      </w:r>
      <w:r w:rsidR="002B5656">
        <w:rPr>
          <w:rFonts w:cs="Arial"/>
          <w:szCs w:val="20"/>
        </w:rPr>
        <w:t xml:space="preserve">Absolutní počty </w:t>
      </w:r>
      <w:r w:rsidRPr="007A2DDE">
        <w:rPr>
          <w:rFonts w:cs="Arial"/>
          <w:szCs w:val="20"/>
        </w:rPr>
        <w:t xml:space="preserve">dětí </w:t>
      </w:r>
      <w:r w:rsidR="002B5656">
        <w:rPr>
          <w:rFonts w:cs="Arial"/>
          <w:szCs w:val="20"/>
        </w:rPr>
        <w:t xml:space="preserve">s nejčastěji se </w:t>
      </w:r>
      <w:r w:rsidR="00DA0972">
        <w:rPr>
          <w:rFonts w:cs="Arial"/>
          <w:szCs w:val="20"/>
        </w:rPr>
        <w:t xml:space="preserve">vyskytujícím státním občanstvím, tj. </w:t>
      </w:r>
      <w:r w:rsidR="002A0636">
        <w:rPr>
          <w:rFonts w:cs="Arial"/>
          <w:szCs w:val="20"/>
        </w:rPr>
        <w:t>s více než 100 příslušní</w:t>
      </w:r>
      <w:r w:rsidR="007F0B36">
        <w:rPr>
          <w:rFonts w:cs="Arial"/>
          <w:szCs w:val="20"/>
        </w:rPr>
        <w:t>ky</w:t>
      </w:r>
      <w:r w:rsidR="00DA0972">
        <w:rPr>
          <w:rFonts w:cs="Arial"/>
          <w:szCs w:val="20"/>
        </w:rPr>
        <w:t xml:space="preserve"> na našich mateřských školách,</w:t>
      </w:r>
      <w:r w:rsidR="00864CB6">
        <w:rPr>
          <w:rFonts w:cs="Arial"/>
          <w:szCs w:val="20"/>
        </w:rPr>
        <w:t xml:space="preserve"> uvádí tabulka</w:t>
      </w:r>
      <w:r w:rsidR="002A0636">
        <w:rPr>
          <w:rFonts w:cs="Arial"/>
          <w:szCs w:val="20"/>
        </w:rPr>
        <w:t> </w:t>
      </w:r>
      <w:r w:rsidRPr="007A2DDE">
        <w:rPr>
          <w:rFonts w:cs="Arial"/>
          <w:szCs w:val="20"/>
        </w:rPr>
        <w:t>1.</w:t>
      </w:r>
      <w:r w:rsidR="002B5656">
        <w:rPr>
          <w:rFonts w:cs="Arial"/>
          <w:szCs w:val="20"/>
        </w:rPr>
        <w:t>4</w:t>
      </w:r>
      <w:r w:rsidRPr="007A2DDE">
        <w:rPr>
          <w:rFonts w:cs="Arial"/>
          <w:szCs w:val="20"/>
        </w:rPr>
        <w:t>.</w:t>
      </w:r>
      <w:r w:rsidR="009C58D3">
        <w:rPr>
          <w:rFonts w:cs="Arial"/>
          <w:szCs w:val="20"/>
        </w:rPr>
        <w:t xml:space="preserve"> Kromě údajů za školní rok 2021/22 jsou zde uvedeny informace i </w:t>
      </w:r>
      <w:r>
        <w:rPr>
          <w:rFonts w:cs="Arial"/>
          <w:szCs w:val="20"/>
        </w:rPr>
        <w:t>za vybrané předchozí školní roky</w:t>
      </w:r>
      <w:r w:rsidR="009C58D3">
        <w:rPr>
          <w:rFonts w:cs="Arial"/>
          <w:szCs w:val="20"/>
        </w:rPr>
        <w:t xml:space="preserve"> (tj. před pěti a deseti lety)</w:t>
      </w:r>
      <w:r>
        <w:rPr>
          <w:rFonts w:cs="Arial"/>
          <w:szCs w:val="20"/>
        </w:rPr>
        <w:t xml:space="preserve">.  </w:t>
      </w:r>
    </w:p>
    <w:p w14:paraId="0CF0F4FD" w14:textId="55BB4691" w:rsidR="00A67C12" w:rsidRDefault="00A67C12" w:rsidP="0056647F">
      <w:pPr>
        <w:keepNext/>
        <w:spacing w:after="120"/>
        <w:jc w:val="both"/>
        <w:rPr>
          <w:rFonts w:cs="Arial"/>
          <w:b/>
          <w:szCs w:val="20"/>
        </w:rPr>
      </w:pPr>
      <w:r w:rsidRPr="0067425E">
        <w:rPr>
          <w:rFonts w:cs="Arial"/>
          <w:b/>
          <w:szCs w:val="20"/>
        </w:rPr>
        <w:t>Tab. 1.</w:t>
      </w:r>
      <w:r w:rsidR="002E5226" w:rsidRPr="0067425E">
        <w:rPr>
          <w:rFonts w:cs="Arial"/>
          <w:b/>
          <w:szCs w:val="20"/>
        </w:rPr>
        <w:t>4</w:t>
      </w:r>
      <w:r w:rsidRPr="0067425E">
        <w:rPr>
          <w:rFonts w:cs="Arial"/>
          <w:b/>
          <w:szCs w:val="20"/>
        </w:rPr>
        <w:t xml:space="preserve"> </w:t>
      </w:r>
      <w:r w:rsidR="00ED76BB" w:rsidRPr="0067425E">
        <w:rPr>
          <w:rFonts w:cs="Arial"/>
          <w:b/>
          <w:szCs w:val="20"/>
        </w:rPr>
        <w:t>C</w:t>
      </w:r>
      <w:r w:rsidRPr="0067425E">
        <w:rPr>
          <w:rFonts w:cs="Arial"/>
          <w:b/>
          <w:szCs w:val="20"/>
        </w:rPr>
        <w:t>izinci v mateřských školách podle státního občanství</w:t>
      </w:r>
    </w:p>
    <w:tbl>
      <w:tblPr>
        <w:tblW w:w="9628" w:type="dxa"/>
        <w:tblInd w:w="-10" w:type="dxa"/>
        <w:tblCellMar>
          <w:left w:w="70" w:type="dxa"/>
          <w:right w:w="70" w:type="dxa"/>
        </w:tblCellMar>
        <w:tblLook w:val="04A0" w:firstRow="1" w:lastRow="0" w:firstColumn="1" w:lastColumn="0" w:noHBand="0" w:noVBand="1"/>
      </w:tblPr>
      <w:tblGrid>
        <w:gridCol w:w="2503"/>
        <w:gridCol w:w="1032"/>
        <w:gridCol w:w="1106"/>
        <w:gridCol w:w="1170"/>
        <w:gridCol w:w="1323"/>
        <w:gridCol w:w="1230"/>
        <w:gridCol w:w="1264"/>
      </w:tblGrid>
      <w:tr w:rsidR="00DA0972" w:rsidRPr="00DA0972" w14:paraId="653828F4" w14:textId="77777777" w:rsidTr="00DA0972">
        <w:trPr>
          <w:trHeight w:val="315"/>
        </w:trPr>
        <w:tc>
          <w:tcPr>
            <w:tcW w:w="2503" w:type="dxa"/>
            <w:vMerge w:val="restart"/>
            <w:tcBorders>
              <w:top w:val="single" w:sz="8" w:space="0" w:color="auto"/>
              <w:left w:val="single" w:sz="8" w:space="0" w:color="auto"/>
              <w:bottom w:val="single" w:sz="8" w:space="0" w:color="000000"/>
              <w:right w:val="single" w:sz="8" w:space="0" w:color="auto"/>
            </w:tcBorders>
            <w:shd w:val="clear" w:color="000000" w:fill="C00000"/>
            <w:vAlign w:val="center"/>
            <w:hideMark/>
          </w:tcPr>
          <w:p w14:paraId="7C264A3B" w14:textId="77777777" w:rsidR="00DA0972" w:rsidRPr="00DA0972" w:rsidRDefault="00DA0972" w:rsidP="00DA0972">
            <w:pPr>
              <w:spacing w:after="0" w:line="240" w:lineRule="auto"/>
              <w:jc w:val="center"/>
              <w:rPr>
                <w:rFonts w:cs="Arial"/>
                <w:color w:val="FFFFFF"/>
                <w:sz w:val="16"/>
                <w:szCs w:val="16"/>
              </w:rPr>
            </w:pPr>
            <w:r w:rsidRPr="00DA0972">
              <w:rPr>
                <w:rFonts w:cs="Arial"/>
                <w:color w:val="FFFFFF"/>
                <w:sz w:val="16"/>
                <w:szCs w:val="16"/>
                <w:lang w:val="en-US"/>
              </w:rPr>
              <w:t> </w:t>
            </w:r>
          </w:p>
        </w:tc>
        <w:tc>
          <w:tcPr>
            <w:tcW w:w="2138" w:type="dxa"/>
            <w:gridSpan w:val="2"/>
            <w:tcBorders>
              <w:top w:val="single" w:sz="8" w:space="0" w:color="auto"/>
              <w:left w:val="nil"/>
              <w:bottom w:val="single" w:sz="8" w:space="0" w:color="auto"/>
              <w:right w:val="single" w:sz="8" w:space="0" w:color="000000"/>
            </w:tcBorders>
            <w:shd w:val="clear" w:color="000000" w:fill="C00000"/>
            <w:vAlign w:val="center"/>
            <w:hideMark/>
          </w:tcPr>
          <w:p w14:paraId="63FAA627" w14:textId="77777777" w:rsidR="00DA0972" w:rsidRPr="00DA0972" w:rsidRDefault="00DA0972" w:rsidP="00DA0972">
            <w:pPr>
              <w:spacing w:after="0" w:line="240" w:lineRule="auto"/>
              <w:jc w:val="center"/>
              <w:rPr>
                <w:rFonts w:cs="Arial"/>
                <w:b/>
                <w:bCs/>
                <w:color w:val="FFFFFF"/>
                <w:sz w:val="16"/>
                <w:szCs w:val="16"/>
              </w:rPr>
            </w:pPr>
            <w:r w:rsidRPr="00DA0972">
              <w:rPr>
                <w:rFonts w:cs="Arial"/>
                <w:b/>
                <w:bCs/>
                <w:color w:val="FFFFFF"/>
                <w:sz w:val="16"/>
                <w:szCs w:val="16"/>
                <w:lang w:val="en-US"/>
              </w:rPr>
              <w:t>2011/12</w:t>
            </w:r>
          </w:p>
        </w:tc>
        <w:tc>
          <w:tcPr>
            <w:tcW w:w="2493" w:type="dxa"/>
            <w:gridSpan w:val="2"/>
            <w:tcBorders>
              <w:top w:val="single" w:sz="8" w:space="0" w:color="auto"/>
              <w:left w:val="nil"/>
              <w:bottom w:val="single" w:sz="8" w:space="0" w:color="auto"/>
              <w:right w:val="single" w:sz="8" w:space="0" w:color="000000"/>
            </w:tcBorders>
            <w:shd w:val="clear" w:color="000000" w:fill="C00000"/>
            <w:vAlign w:val="center"/>
            <w:hideMark/>
          </w:tcPr>
          <w:p w14:paraId="21C51597" w14:textId="77777777" w:rsidR="00DA0972" w:rsidRPr="00DA0972" w:rsidRDefault="00DA0972" w:rsidP="00DA0972">
            <w:pPr>
              <w:spacing w:after="0" w:line="240" w:lineRule="auto"/>
              <w:jc w:val="center"/>
              <w:rPr>
                <w:rFonts w:cs="Arial"/>
                <w:b/>
                <w:bCs/>
                <w:color w:val="FFFFFF"/>
                <w:sz w:val="16"/>
                <w:szCs w:val="16"/>
              </w:rPr>
            </w:pPr>
            <w:r w:rsidRPr="00DA0972">
              <w:rPr>
                <w:rFonts w:cs="Arial"/>
                <w:b/>
                <w:bCs/>
                <w:color w:val="FFFFFF"/>
                <w:sz w:val="16"/>
                <w:szCs w:val="16"/>
                <w:lang w:val="en-US"/>
              </w:rPr>
              <w:t>2016/17</w:t>
            </w:r>
          </w:p>
        </w:tc>
        <w:tc>
          <w:tcPr>
            <w:tcW w:w="2494" w:type="dxa"/>
            <w:gridSpan w:val="2"/>
            <w:tcBorders>
              <w:top w:val="single" w:sz="8" w:space="0" w:color="auto"/>
              <w:left w:val="nil"/>
              <w:bottom w:val="single" w:sz="8" w:space="0" w:color="auto"/>
              <w:right w:val="single" w:sz="8" w:space="0" w:color="000000"/>
            </w:tcBorders>
            <w:shd w:val="clear" w:color="000000" w:fill="C00000"/>
            <w:vAlign w:val="center"/>
            <w:hideMark/>
          </w:tcPr>
          <w:p w14:paraId="20D9F928" w14:textId="77777777" w:rsidR="00DA0972" w:rsidRPr="00DA0972" w:rsidRDefault="00DA0972" w:rsidP="00DA0972">
            <w:pPr>
              <w:spacing w:after="0" w:line="240" w:lineRule="auto"/>
              <w:jc w:val="center"/>
              <w:rPr>
                <w:rFonts w:cs="Arial"/>
                <w:b/>
                <w:bCs/>
                <w:color w:val="FFFFFF"/>
                <w:sz w:val="16"/>
                <w:szCs w:val="16"/>
              </w:rPr>
            </w:pPr>
            <w:r w:rsidRPr="00DA0972">
              <w:rPr>
                <w:rFonts w:cs="Arial"/>
                <w:b/>
                <w:bCs/>
                <w:color w:val="FFFFFF"/>
                <w:sz w:val="16"/>
                <w:szCs w:val="16"/>
                <w:lang w:val="en-US"/>
              </w:rPr>
              <w:t>2021/22</w:t>
            </w:r>
          </w:p>
        </w:tc>
      </w:tr>
      <w:tr w:rsidR="00DA0972" w:rsidRPr="00DA0972" w14:paraId="3E66536D" w14:textId="77777777" w:rsidTr="00DA0972">
        <w:trPr>
          <w:trHeight w:val="315"/>
        </w:trPr>
        <w:tc>
          <w:tcPr>
            <w:tcW w:w="2503" w:type="dxa"/>
            <w:vMerge/>
            <w:tcBorders>
              <w:top w:val="single" w:sz="8" w:space="0" w:color="auto"/>
              <w:left w:val="single" w:sz="8" w:space="0" w:color="auto"/>
              <w:bottom w:val="single" w:sz="8" w:space="0" w:color="000000"/>
              <w:right w:val="single" w:sz="8" w:space="0" w:color="auto"/>
            </w:tcBorders>
            <w:vAlign w:val="center"/>
            <w:hideMark/>
          </w:tcPr>
          <w:p w14:paraId="36880609" w14:textId="77777777" w:rsidR="00DA0972" w:rsidRPr="00DA0972" w:rsidRDefault="00DA0972" w:rsidP="00DA0972">
            <w:pPr>
              <w:spacing w:after="0" w:line="240" w:lineRule="auto"/>
              <w:rPr>
                <w:rFonts w:cs="Arial"/>
                <w:color w:val="FFFFFF"/>
                <w:sz w:val="16"/>
                <w:szCs w:val="16"/>
              </w:rPr>
            </w:pPr>
          </w:p>
        </w:tc>
        <w:tc>
          <w:tcPr>
            <w:tcW w:w="1032" w:type="dxa"/>
            <w:tcBorders>
              <w:top w:val="nil"/>
              <w:left w:val="nil"/>
              <w:bottom w:val="single" w:sz="8" w:space="0" w:color="auto"/>
              <w:right w:val="single" w:sz="8" w:space="0" w:color="auto"/>
            </w:tcBorders>
            <w:shd w:val="clear" w:color="000000" w:fill="FABF8F"/>
            <w:noWrap/>
            <w:vAlign w:val="center"/>
            <w:hideMark/>
          </w:tcPr>
          <w:p w14:paraId="1B5C689B" w14:textId="77777777" w:rsidR="00DA0972" w:rsidRPr="00DA0972" w:rsidRDefault="00DA0972" w:rsidP="00DA0972">
            <w:pPr>
              <w:spacing w:after="0" w:line="240" w:lineRule="auto"/>
              <w:jc w:val="center"/>
              <w:rPr>
                <w:rFonts w:cs="Arial"/>
                <w:color w:val="000000"/>
                <w:sz w:val="16"/>
                <w:szCs w:val="16"/>
              </w:rPr>
            </w:pPr>
            <w:r w:rsidRPr="00DA0972">
              <w:rPr>
                <w:rFonts w:cs="Arial"/>
                <w:color w:val="000000"/>
                <w:sz w:val="16"/>
                <w:szCs w:val="16"/>
                <w:lang w:val="en-US"/>
              </w:rPr>
              <w:t>Abs.</w:t>
            </w:r>
          </w:p>
        </w:tc>
        <w:tc>
          <w:tcPr>
            <w:tcW w:w="1106" w:type="dxa"/>
            <w:tcBorders>
              <w:top w:val="nil"/>
              <w:left w:val="nil"/>
              <w:bottom w:val="single" w:sz="8" w:space="0" w:color="auto"/>
              <w:right w:val="single" w:sz="8" w:space="0" w:color="auto"/>
            </w:tcBorders>
            <w:shd w:val="clear" w:color="000000" w:fill="FABF8F"/>
            <w:noWrap/>
            <w:vAlign w:val="center"/>
            <w:hideMark/>
          </w:tcPr>
          <w:p w14:paraId="4325B3E9" w14:textId="77777777" w:rsidR="00DA0972" w:rsidRPr="00DA0972" w:rsidRDefault="00DA0972" w:rsidP="00DA0972">
            <w:pPr>
              <w:spacing w:after="0" w:line="240" w:lineRule="auto"/>
              <w:jc w:val="center"/>
              <w:rPr>
                <w:rFonts w:cs="Arial"/>
                <w:color w:val="000000"/>
                <w:sz w:val="16"/>
                <w:szCs w:val="16"/>
              </w:rPr>
            </w:pPr>
            <w:r w:rsidRPr="00DA0972">
              <w:rPr>
                <w:rFonts w:cs="Arial"/>
                <w:color w:val="000000"/>
                <w:sz w:val="16"/>
                <w:szCs w:val="16"/>
                <w:lang w:val="en-US"/>
              </w:rPr>
              <w:t>%</w:t>
            </w:r>
          </w:p>
        </w:tc>
        <w:tc>
          <w:tcPr>
            <w:tcW w:w="1170" w:type="dxa"/>
            <w:tcBorders>
              <w:top w:val="nil"/>
              <w:left w:val="nil"/>
              <w:bottom w:val="single" w:sz="8" w:space="0" w:color="auto"/>
              <w:right w:val="single" w:sz="8" w:space="0" w:color="auto"/>
            </w:tcBorders>
            <w:shd w:val="clear" w:color="000000" w:fill="FABF8F"/>
            <w:noWrap/>
            <w:vAlign w:val="center"/>
            <w:hideMark/>
          </w:tcPr>
          <w:p w14:paraId="1873D4ED" w14:textId="77777777" w:rsidR="00DA0972" w:rsidRPr="00DA0972" w:rsidRDefault="00DA0972" w:rsidP="00DA0972">
            <w:pPr>
              <w:spacing w:after="0" w:line="240" w:lineRule="auto"/>
              <w:jc w:val="center"/>
              <w:rPr>
                <w:rFonts w:cs="Arial"/>
                <w:color w:val="000000"/>
                <w:sz w:val="16"/>
                <w:szCs w:val="16"/>
              </w:rPr>
            </w:pPr>
            <w:r w:rsidRPr="00DA0972">
              <w:rPr>
                <w:rFonts w:cs="Arial"/>
                <w:color w:val="000000"/>
                <w:sz w:val="16"/>
                <w:szCs w:val="16"/>
                <w:lang w:val="en-US"/>
              </w:rPr>
              <w:t>Abs.</w:t>
            </w:r>
          </w:p>
        </w:tc>
        <w:tc>
          <w:tcPr>
            <w:tcW w:w="1323" w:type="dxa"/>
            <w:tcBorders>
              <w:top w:val="nil"/>
              <w:left w:val="nil"/>
              <w:bottom w:val="single" w:sz="8" w:space="0" w:color="auto"/>
              <w:right w:val="single" w:sz="8" w:space="0" w:color="auto"/>
            </w:tcBorders>
            <w:shd w:val="clear" w:color="000000" w:fill="FABF8F"/>
            <w:noWrap/>
            <w:vAlign w:val="center"/>
            <w:hideMark/>
          </w:tcPr>
          <w:p w14:paraId="2EBC556D" w14:textId="77777777" w:rsidR="00DA0972" w:rsidRPr="00DA0972" w:rsidRDefault="00DA0972" w:rsidP="00DA0972">
            <w:pPr>
              <w:spacing w:after="0" w:line="240" w:lineRule="auto"/>
              <w:jc w:val="center"/>
              <w:rPr>
                <w:rFonts w:cs="Arial"/>
                <w:color w:val="000000"/>
                <w:sz w:val="16"/>
                <w:szCs w:val="16"/>
              </w:rPr>
            </w:pPr>
            <w:r w:rsidRPr="00DA0972">
              <w:rPr>
                <w:rFonts w:cs="Arial"/>
                <w:color w:val="000000"/>
                <w:sz w:val="16"/>
                <w:szCs w:val="16"/>
                <w:lang w:val="en-US"/>
              </w:rPr>
              <w:t>%</w:t>
            </w:r>
          </w:p>
        </w:tc>
        <w:tc>
          <w:tcPr>
            <w:tcW w:w="1230" w:type="dxa"/>
            <w:tcBorders>
              <w:top w:val="nil"/>
              <w:left w:val="nil"/>
              <w:bottom w:val="single" w:sz="8" w:space="0" w:color="auto"/>
              <w:right w:val="single" w:sz="8" w:space="0" w:color="auto"/>
            </w:tcBorders>
            <w:shd w:val="clear" w:color="000000" w:fill="FABF8F"/>
            <w:noWrap/>
            <w:vAlign w:val="center"/>
            <w:hideMark/>
          </w:tcPr>
          <w:p w14:paraId="0A25FB76" w14:textId="77777777" w:rsidR="00DA0972" w:rsidRPr="00DA0972" w:rsidRDefault="00DA0972" w:rsidP="00DA0972">
            <w:pPr>
              <w:spacing w:after="0" w:line="240" w:lineRule="auto"/>
              <w:jc w:val="center"/>
              <w:rPr>
                <w:rFonts w:cs="Arial"/>
                <w:color w:val="000000"/>
                <w:sz w:val="16"/>
                <w:szCs w:val="16"/>
              </w:rPr>
            </w:pPr>
            <w:r w:rsidRPr="00DA0972">
              <w:rPr>
                <w:rFonts w:cs="Arial"/>
                <w:color w:val="000000"/>
                <w:sz w:val="16"/>
                <w:szCs w:val="16"/>
                <w:lang w:val="en-US"/>
              </w:rPr>
              <w:t>Abs.</w:t>
            </w:r>
          </w:p>
        </w:tc>
        <w:tc>
          <w:tcPr>
            <w:tcW w:w="1264" w:type="dxa"/>
            <w:tcBorders>
              <w:top w:val="nil"/>
              <w:left w:val="nil"/>
              <w:bottom w:val="single" w:sz="8" w:space="0" w:color="auto"/>
              <w:right w:val="single" w:sz="8" w:space="0" w:color="auto"/>
            </w:tcBorders>
            <w:shd w:val="clear" w:color="000000" w:fill="FABF8F"/>
            <w:noWrap/>
            <w:vAlign w:val="center"/>
            <w:hideMark/>
          </w:tcPr>
          <w:p w14:paraId="6E2C8E91" w14:textId="77777777" w:rsidR="00DA0972" w:rsidRPr="00DA0972" w:rsidRDefault="00DA0972" w:rsidP="00DA0972">
            <w:pPr>
              <w:spacing w:after="0" w:line="240" w:lineRule="auto"/>
              <w:jc w:val="center"/>
              <w:rPr>
                <w:rFonts w:cs="Arial"/>
                <w:color w:val="000000"/>
                <w:sz w:val="16"/>
                <w:szCs w:val="16"/>
              </w:rPr>
            </w:pPr>
            <w:r w:rsidRPr="00DA0972">
              <w:rPr>
                <w:rFonts w:cs="Arial"/>
                <w:color w:val="000000"/>
                <w:sz w:val="16"/>
                <w:szCs w:val="16"/>
                <w:lang w:val="en-US"/>
              </w:rPr>
              <w:t>%</w:t>
            </w:r>
          </w:p>
        </w:tc>
      </w:tr>
      <w:tr w:rsidR="00DA0972" w:rsidRPr="00DA0972" w14:paraId="6540ABFA" w14:textId="77777777" w:rsidTr="00DA0972">
        <w:trPr>
          <w:trHeight w:hRule="exact" w:val="300"/>
        </w:trPr>
        <w:tc>
          <w:tcPr>
            <w:tcW w:w="2503" w:type="dxa"/>
            <w:tcBorders>
              <w:top w:val="nil"/>
              <w:left w:val="single" w:sz="8" w:space="0" w:color="auto"/>
              <w:bottom w:val="nil"/>
              <w:right w:val="nil"/>
            </w:tcBorders>
            <w:shd w:val="clear" w:color="auto" w:fill="auto"/>
            <w:vAlign w:val="center"/>
            <w:hideMark/>
          </w:tcPr>
          <w:p w14:paraId="769B5516" w14:textId="77777777" w:rsidR="00DA0972" w:rsidRPr="00DA0972" w:rsidRDefault="00DA0972" w:rsidP="00DA0972">
            <w:pPr>
              <w:spacing w:after="0" w:line="240" w:lineRule="auto"/>
              <w:ind w:firstLineChars="100" w:firstLine="180"/>
              <w:rPr>
                <w:rFonts w:cs="Arial"/>
                <w:b/>
                <w:bCs/>
                <w:color w:val="000000"/>
                <w:sz w:val="18"/>
                <w:szCs w:val="18"/>
              </w:rPr>
            </w:pPr>
            <w:r w:rsidRPr="00DA0972">
              <w:rPr>
                <w:rFonts w:cs="Arial"/>
                <w:b/>
                <w:bCs/>
                <w:color w:val="000000"/>
                <w:sz w:val="18"/>
                <w:szCs w:val="18"/>
              </w:rPr>
              <w:t>Celkem</w:t>
            </w:r>
          </w:p>
        </w:tc>
        <w:tc>
          <w:tcPr>
            <w:tcW w:w="1032" w:type="dxa"/>
            <w:tcBorders>
              <w:top w:val="nil"/>
              <w:left w:val="single" w:sz="8" w:space="0" w:color="auto"/>
              <w:bottom w:val="nil"/>
              <w:right w:val="nil"/>
            </w:tcBorders>
            <w:shd w:val="clear" w:color="auto" w:fill="auto"/>
            <w:noWrap/>
            <w:vAlign w:val="center"/>
            <w:hideMark/>
          </w:tcPr>
          <w:p w14:paraId="401C1AB0" w14:textId="77777777" w:rsidR="00DA0972" w:rsidRPr="00DA0972" w:rsidRDefault="00DA0972" w:rsidP="00DA0972">
            <w:pPr>
              <w:spacing w:after="0" w:line="240" w:lineRule="auto"/>
              <w:jc w:val="right"/>
              <w:rPr>
                <w:rFonts w:cs="Arial"/>
                <w:b/>
                <w:bCs/>
                <w:color w:val="000000"/>
                <w:sz w:val="18"/>
                <w:szCs w:val="18"/>
              </w:rPr>
            </w:pPr>
            <w:r w:rsidRPr="00DA0972">
              <w:rPr>
                <w:rFonts w:cs="Arial"/>
                <w:b/>
                <w:bCs/>
                <w:color w:val="000000"/>
                <w:sz w:val="18"/>
                <w:szCs w:val="18"/>
              </w:rPr>
              <w:t>4 714</w:t>
            </w:r>
          </w:p>
        </w:tc>
        <w:tc>
          <w:tcPr>
            <w:tcW w:w="1106" w:type="dxa"/>
            <w:tcBorders>
              <w:top w:val="nil"/>
              <w:left w:val="nil"/>
              <w:bottom w:val="nil"/>
              <w:right w:val="single" w:sz="8" w:space="0" w:color="auto"/>
            </w:tcBorders>
            <w:shd w:val="clear" w:color="auto" w:fill="auto"/>
            <w:noWrap/>
            <w:vAlign w:val="center"/>
            <w:hideMark/>
          </w:tcPr>
          <w:p w14:paraId="1138A8C8" w14:textId="12C066DB" w:rsidR="00DA0972" w:rsidRPr="00DA0972" w:rsidRDefault="00DA0972" w:rsidP="00DA0972">
            <w:pPr>
              <w:spacing w:after="0" w:line="240" w:lineRule="auto"/>
              <w:jc w:val="right"/>
              <w:rPr>
                <w:rFonts w:cs="Arial"/>
                <w:b/>
                <w:bCs/>
                <w:color w:val="000000"/>
                <w:sz w:val="18"/>
                <w:szCs w:val="18"/>
              </w:rPr>
            </w:pPr>
            <w:r>
              <w:rPr>
                <w:rFonts w:cs="Arial"/>
                <w:b/>
                <w:bCs/>
                <w:color w:val="000000"/>
                <w:sz w:val="18"/>
                <w:szCs w:val="18"/>
                <w:lang w:val="en-US"/>
              </w:rPr>
              <w:t>100 %</w:t>
            </w:r>
          </w:p>
        </w:tc>
        <w:tc>
          <w:tcPr>
            <w:tcW w:w="1170" w:type="dxa"/>
            <w:tcBorders>
              <w:top w:val="nil"/>
              <w:left w:val="nil"/>
              <w:bottom w:val="nil"/>
              <w:right w:val="nil"/>
            </w:tcBorders>
            <w:shd w:val="clear" w:color="auto" w:fill="auto"/>
            <w:noWrap/>
            <w:vAlign w:val="center"/>
            <w:hideMark/>
          </w:tcPr>
          <w:p w14:paraId="45AFC823" w14:textId="77777777" w:rsidR="00DA0972" w:rsidRPr="00DA0972" w:rsidRDefault="00DA0972" w:rsidP="00DA0972">
            <w:pPr>
              <w:spacing w:after="0" w:line="240" w:lineRule="auto"/>
              <w:jc w:val="right"/>
              <w:rPr>
                <w:rFonts w:cs="Arial"/>
                <w:b/>
                <w:bCs/>
                <w:color w:val="000000"/>
                <w:sz w:val="18"/>
                <w:szCs w:val="18"/>
              </w:rPr>
            </w:pPr>
            <w:r w:rsidRPr="00DA0972">
              <w:rPr>
                <w:rFonts w:cs="Arial"/>
                <w:b/>
                <w:bCs/>
                <w:color w:val="000000"/>
                <w:sz w:val="18"/>
                <w:szCs w:val="18"/>
              </w:rPr>
              <w:t>9 494</w:t>
            </w:r>
          </w:p>
        </w:tc>
        <w:tc>
          <w:tcPr>
            <w:tcW w:w="1323" w:type="dxa"/>
            <w:tcBorders>
              <w:top w:val="nil"/>
              <w:left w:val="nil"/>
              <w:bottom w:val="nil"/>
              <w:right w:val="single" w:sz="8" w:space="0" w:color="auto"/>
            </w:tcBorders>
            <w:shd w:val="clear" w:color="auto" w:fill="auto"/>
            <w:noWrap/>
            <w:vAlign w:val="center"/>
            <w:hideMark/>
          </w:tcPr>
          <w:p w14:paraId="039DCB7F" w14:textId="1015309A" w:rsidR="00DA0972" w:rsidRPr="00DA0972" w:rsidRDefault="00DA0972" w:rsidP="00DA0972">
            <w:pPr>
              <w:spacing w:after="0" w:line="240" w:lineRule="auto"/>
              <w:jc w:val="right"/>
              <w:rPr>
                <w:rFonts w:cs="Arial"/>
                <w:b/>
                <w:bCs/>
                <w:color w:val="000000"/>
                <w:sz w:val="18"/>
                <w:szCs w:val="18"/>
              </w:rPr>
            </w:pPr>
            <w:r>
              <w:rPr>
                <w:rFonts w:cs="Arial"/>
                <w:b/>
                <w:bCs/>
                <w:color w:val="000000"/>
                <w:sz w:val="18"/>
                <w:szCs w:val="18"/>
                <w:lang w:val="en-US"/>
              </w:rPr>
              <w:t>100 %</w:t>
            </w:r>
          </w:p>
        </w:tc>
        <w:tc>
          <w:tcPr>
            <w:tcW w:w="1230" w:type="dxa"/>
            <w:tcBorders>
              <w:top w:val="nil"/>
              <w:left w:val="nil"/>
              <w:bottom w:val="nil"/>
              <w:right w:val="nil"/>
            </w:tcBorders>
            <w:shd w:val="clear" w:color="auto" w:fill="auto"/>
            <w:noWrap/>
            <w:vAlign w:val="center"/>
            <w:hideMark/>
          </w:tcPr>
          <w:p w14:paraId="57948660" w14:textId="77777777" w:rsidR="00DA0972" w:rsidRPr="00DA0972" w:rsidRDefault="00DA0972" w:rsidP="00DA0972">
            <w:pPr>
              <w:spacing w:after="0" w:line="240" w:lineRule="auto"/>
              <w:jc w:val="right"/>
              <w:rPr>
                <w:rFonts w:cs="Arial"/>
                <w:b/>
                <w:bCs/>
                <w:color w:val="000000"/>
                <w:sz w:val="18"/>
                <w:szCs w:val="18"/>
              </w:rPr>
            </w:pPr>
            <w:r w:rsidRPr="00DA0972">
              <w:rPr>
                <w:rFonts w:cs="Arial"/>
                <w:b/>
                <w:bCs/>
                <w:color w:val="000000"/>
                <w:sz w:val="18"/>
                <w:szCs w:val="18"/>
              </w:rPr>
              <w:t>12 103</w:t>
            </w:r>
          </w:p>
        </w:tc>
        <w:tc>
          <w:tcPr>
            <w:tcW w:w="1264" w:type="dxa"/>
            <w:tcBorders>
              <w:top w:val="nil"/>
              <w:left w:val="nil"/>
              <w:bottom w:val="nil"/>
              <w:right w:val="single" w:sz="8" w:space="0" w:color="auto"/>
            </w:tcBorders>
            <w:shd w:val="clear" w:color="auto" w:fill="auto"/>
            <w:noWrap/>
            <w:vAlign w:val="center"/>
            <w:hideMark/>
          </w:tcPr>
          <w:p w14:paraId="77F3F666" w14:textId="5D5DBAD1" w:rsidR="00DA0972" w:rsidRPr="00DA0972" w:rsidRDefault="00DA0972" w:rsidP="00DA0972">
            <w:pPr>
              <w:spacing w:after="0" w:line="240" w:lineRule="auto"/>
              <w:jc w:val="right"/>
              <w:rPr>
                <w:rFonts w:cs="Arial"/>
                <w:b/>
                <w:bCs/>
                <w:color w:val="000000"/>
                <w:sz w:val="18"/>
                <w:szCs w:val="18"/>
              </w:rPr>
            </w:pPr>
            <w:r>
              <w:rPr>
                <w:rFonts w:cs="Arial"/>
                <w:b/>
                <w:bCs/>
                <w:color w:val="000000"/>
                <w:sz w:val="18"/>
                <w:szCs w:val="18"/>
                <w:lang w:val="en-US"/>
              </w:rPr>
              <w:t>100 %</w:t>
            </w:r>
          </w:p>
        </w:tc>
      </w:tr>
      <w:tr w:rsidR="00DA0972" w:rsidRPr="00DA0972" w14:paraId="7926B255" w14:textId="77777777" w:rsidTr="00DA0972">
        <w:trPr>
          <w:trHeight w:hRule="exact" w:val="300"/>
        </w:trPr>
        <w:tc>
          <w:tcPr>
            <w:tcW w:w="2503" w:type="dxa"/>
            <w:tcBorders>
              <w:top w:val="nil"/>
              <w:left w:val="single" w:sz="8" w:space="0" w:color="auto"/>
              <w:bottom w:val="nil"/>
              <w:right w:val="nil"/>
            </w:tcBorders>
            <w:shd w:val="clear" w:color="auto" w:fill="auto"/>
            <w:vAlign w:val="center"/>
            <w:hideMark/>
          </w:tcPr>
          <w:p w14:paraId="7D1278A6" w14:textId="77777777" w:rsidR="00DA0972" w:rsidRPr="00DA0972" w:rsidRDefault="00DA0972" w:rsidP="00DA0972">
            <w:pPr>
              <w:spacing w:after="0" w:line="240" w:lineRule="auto"/>
              <w:ind w:firstLineChars="200" w:firstLine="360"/>
              <w:rPr>
                <w:rFonts w:cs="Arial"/>
                <w:color w:val="000000"/>
                <w:sz w:val="18"/>
                <w:szCs w:val="18"/>
              </w:rPr>
            </w:pPr>
            <w:r w:rsidRPr="00DA0972">
              <w:rPr>
                <w:rFonts w:cs="Arial"/>
                <w:color w:val="000000"/>
                <w:sz w:val="18"/>
                <w:szCs w:val="18"/>
              </w:rPr>
              <w:t>občané EU (mimo ČR)</w:t>
            </w:r>
          </w:p>
        </w:tc>
        <w:tc>
          <w:tcPr>
            <w:tcW w:w="1032" w:type="dxa"/>
            <w:tcBorders>
              <w:top w:val="nil"/>
              <w:left w:val="single" w:sz="8" w:space="0" w:color="auto"/>
              <w:bottom w:val="nil"/>
              <w:right w:val="nil"/>
            </w:tcBorders>
            <w:shd w:val="clear" w:color="auto" w:fill="auto"/>
            <w:noWrap/>
            <w:vAlign w:val="center"/>
            <w:hideMark/>
          </w:tcPr>
          <w:p w14:paraId="48AB688C" w14:textId="77777777" w:rsidR="00DA0972" w:rsidRPr="00DA0972" w:rsidRDefault="00DA0972" w:rsidP="00DA0972">
            <w:pPr>
              <w:spacing w:after="0" w:line="240" w:lineRule="auto"/>
              <w:jc w:val="right"/>
              <w:rPr>
                <w:rFonts w:cs="Arial"/>
                <w:b/>
                <w:bCs/>
                <w:color w:val="000000"/>
                <w:sz w:val="18"/>
                <w:szCs w:val="18"/>
              </w:rPr>
            </w:pPr>
            <w:r w:rsidRPr="00DA0972">
              <w:rPr>
                <w:rFonts w:cs="Arial"/>
                <w:b/>
                <w:bCs/>
                <w:color w:val="000000"/>
                <w:sz w:val="18"/>
                <w:szCs w:val="18"/>
              </w:rPr>
              <w:t>1 189</w:t>
            </w:r>
          </w:p>
        </w:tc>
        <w:tc>
          <w:tcPr>
            <w:tcW w:w="1106" w:type="dxa"/>
            <w:tcBorders>
              <w:top w:val="nil"/>
              <w:left w:val="nil"/>
              <w:bottom w:val="nil"/>
              <w:right w:val="single" w:sz="8" w:space="0" w:color="auto"/>
            </w:tcBorders>
            <w:shd w:val="clear" w:color="auto" w:fill="auto"/>
            <w:noWrap/>
            <w:vAlign w:val="center"/>
            <w:hideMark/>
          </w:tcPr>
          <w:p w14:paraId="72D6A098" w14:textId="1E850E51"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25,2</w:t>
            </w:r>
            <w:r>
              <w:rPr>
                <w:rFonts w:cs="Arial"/>
                <w:color w:val="000000"/>
                <w:sz w:val="18"/>
                <w:szCs w:val="18"/>
              </w:rPr>
              <w:t xml:space="preserve"> %</w:t>
            </w:r>
          </w:p>
        </w:tc>
        <w:tc>
          <w:tcPr>
            <w:tcW w:w="1170" w:type="dxa"/>
            <w:tcBorders>
              <w:top w:val="nil"/>
              <w:left w:val="nil"/>
              <w:bottom w:val="nil"/>
              <w:right w:val="nil"/>
            </w:tcBorders>
            <w:shd w:val="clear" w:color="auto" w:fill="auto"/>
            <w:noWrap/>
            <w:vAlign w:val="center"/>
            <w:hideMark/>
          </w:tcPr>
          <w:p w14:paraId="2EDBC9FA" w14:textId="77777777" w:rsidR="00DA0972" w:rsidRPr="00DA0972" w:rsidRDefault="00DA0972" w:rsidP="00DA0972">
            <w:pPr>
              <w:spacing w:after="0" w:line="240" w:lineRule="auto"/>
              <w:jc w:val="right"/>
              <w:rPr>
                <w:rFonts w:cs="Arial"/>
                <w:b/>
                <w:bCs/>
                <w:color w:val="000000"/>
                <w:sz w:val="18"/>
                <w:szCs w:val="18"/>
              </w:rPr>
            </w:pPr>
            <w:r w:rsidRPr="00DA0972">
              <w:rPr>
                <w:rFonts w:cs="Arial"/>
                <w:b/>
                <w:bCs/>
                <w:color w:val="000000"/>
                <w:sz w:val="18"/>
                <w:szCs w:val="18"/>
              </w:rPr>
              <w:t>2 712</w:t>
            </w:r>
          </w:p>
        </w:tc>
        <w:tc>
          <w:tcPr>
            <w:tcW w:w="1323" w:type="dxa"/>
            <w:tcBorders>
              <w:top w:val="nil"/>
              <w:left w:val="nil"/>
              <w:bottom w:val="nil"/>
              <w:right w:val="single" w:sz="8" w:space="0" w:color="auto"/>
            </w:tcBorders>
            <w:shd w:val="clear" w:color="auto" w:fill="auto"/>
            <w:noWrap/>
            <w:vAlign w:val="center"/>
            <w:hideMark/>
          </w:tcPr>
          <w:p w14:paraId="40E03EE2" w14:textId="73ACB16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28,6</w:t>
            </w:r>
            <w:r>
              <w:rPr>
                <w:rFonts w:cs="Arial"/>
                <w:color w:val="000000"/>
                <w:sz w:val="18"/>
                <w:szCs w:val="18"/>
              </w:rPr>
              <w:t xml:space="preserve"> %</w:t>
            </w:r>
          </w:p>
        </w:tc>
        <w:tc>
          <w:tcPr>
            <w:tcW w:w="1230" w:type="dxa"/>
            <w:tcBorders>
              <w:top w:val="nil"/>
              <w:left w:val="nil"/>
              <w:bottom w:val="nil"/>
              <w:right w:val="nil"/>
            </w:tcBorders>
            <w:shd w:val="clear" w:color="auto" w:fill="auto"/>
            <w:noWrap/>
            <w:vAlign w:val="center"/>
            <w:hideMark/>
          </w:tcPr>
          <w:p w14:paraId="75D92D61" w14:textId="77777777" w:rsidR="00DA0972" w:rsidRPr="00DA0972" w:rsidRDefault="00DA0972" w:rsidP="00DA0972">
            <w:pPr>
              <w:spacing w:after="0" w:line="240" w:lineRule="auto"/>
              <w:jc w:val="right"/>
              <w:rPr>
                <w:rFonts w:cs="Arial"/>
                <w:b/>
                <w:bCs/>
                <w:color w:val="000000"/>
                <w:sz w:val="18"/>
                <w:szCs w:val="18"/>
              </w:rPr>
            </w:pPr>
            <w:r w:rsidRPr="00DA0972">
              <w:rPr>
                <w:rFonts w:cs="Arial"/>
                <w:b/>
                <w:bCs/>
                <w:color w:val="000000"/>
                <w:sz w:val="18"/>
                <w:szCs w:val="18"/>
              </w:rPr>
              <w:t>3 673</w:t>
            </w:r>
          </w:p>
        </w:tc>
        <w:tc>
          <w:tcPr>
            <w:tcW w:w="1264" w:type="dxa"/>
            <w:tcBorders>
              <w:top w:val="nil"/>
              <w:left w:val="nil"/>
              <w:bottom w:val="nil"/>
              <w:right w:val="single" w:sz="8" w:space="0" w:color="auto"/>
            </w:tcBorders>
            <w:shd w:val="clear" w:color="auto" w:fill="auto"/>
            <w:noWrap/>
            <w:vAlign w:val="center"/>
            <w:hideMark/>
          </w:tcPr>
          <w:p w14:paraId="27AED4CE" w14:textId="63ED4911"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30,4</w:t>
            </w:r>
            <w:r>
              <w:rPr>
                <w:rFonts w:cs="Arial"/>
                <w:color w:val="000000"/>
                <w:sz w:val="18"/>
                <w:szCs w:val="18"/>
              </w:rPr>
              <w:t xml:space="preserve"> %</w:t>
            </w:r>
          </w:p>
        </w:tc>
      </w:tr>
      <w:tr w:rsidR="00DA0972" w:rsidRPr="00DA0972" w14:paraId="37AA8521" w14:textId="77777777" w:rsidTr="00DA0972">
        <w:trPr>
          <w:trHeight w:val="315"/>
        </w:trPr>
        <w:tc>
          <w:tcPr>
            <w:tcW w:w="2503" w:type="dxa"/>
            <w:tcBorders>
              <w:top w:val="nil"/>
              <w:left w:val="single" w:sz="8" w:space="0" w:color="auto"/>
              <w:bottom w:val="single" w:sz="8" w:space="0" w:color="auto"/>
              <w:right w:val="nil"/>
            </w:tcBorders>
            <w:shd w:val="clear" w:color="auto" w:fill="auto"/>
            <w:vAlign w:val="center"/>
            <w:hideMark/>
          </w:tcPr>
          <w:p w14:paraId="5C945C5D" w14:textId="77777777" w:rsidR="00DA0972" w:rsidRPr="00DA0972" w:rsidRDefault="00DA0972" w:rsidP="00DA0972">
            <w:pPr>
              <w:spacing w:after="0" w:line="240" w:lineRule="auto"/>
              <w:ind w:firstLineChars="200" w:firstLine="360"/>
              <w:rPr>
                <w:rFonts w:cs="Arial"/>
                <w:color w:val="000000"/>
                <w:sz w:val="18"/>
                <w:szCs w:val="18"/>
              </w:rPr>
            </w:pPr>
            <w:r w:rsidRPr="00DA0972">
              <w:rPr>
                <w:rFonts w:cs="Arial"/>
                <w:color w:val="000000"/>
                <w:sz w:val="18"/>
                <w:szCs w:val="18"/>
              </w:rPr>
              <w:t xml:space="preserve">občané ostatních států </w:t>
            </w:r>
          </w:p>
        </w:tc>
        <w:tc>
          <w:tcPr>
            <w:tcW w:w="1032" w:type="dxa"/>
            <w:tcBorders>
              <w:top w:val="nil"/>
              <w:left w:val="single" w:sz="8" w:space="0" w:color="auto"/>
              <w:bottom w:val="single" w:sz="8" w:space="0" w:color="auto"/>
              <w:right w:val="nil"/>
            </w:tcBorders>
            <w:shd w:val="clear" w:color="auto" w:fill="auto"/>
            <w:noWrap/>
            <w:vAlign w:val="center"/>
            <w:hideMark/>
          </w:tcPr>
          <w:p w14:paraId="42A854CB" w14:textId="77777777" w:rsidR="00DA0972" w:rsidRPr="00DA0972" w:rsidRDefault="00DA0972" w:rsidP="00DA0972">
            <w:pPr>
              <w:spacing w:after="0" w:line="240" w:lineRule="auto"/>
              <w:jc w:val="right"/>
              <w:rPr>
                <w:rFonts w:cs="Arial"/>
                <w:b/>
                <w:bCs/>
                <w:color w:val="000000"/>
                <w:sz w:val="18"/>
                <w:szCs w:val="18"/>
              </w:rPr>
            </w:pPr>
            <w:r w:rsidRPr="00DA0972">
              <w:rPr>
                <w:rFonts w:cs="Arial"/>
                <w:b/>
                <w:bCs/>
                <w:color w:val="000000"/>
                <w:sz w:val="18"/>
                <w:szCs w:val="18"/>
                <w:lang w:val="en-US"/>
              </w:rPr>
              <w:t>3 525</w:t>
            </w:r>
          </w:p>
        </w:tc>
        <w:tc>
          <w:tcPr>
            <w:tcW w:w="1106" w:type="dxa"/>
            <w:tcBorders>
              <w:top w:val="nil"/>
              <w:left w:val="nil"/>
              <w:bottom w:val="single" w:sz="8" w:space="0" w:color="auto"/>
              <w:right w:val="single" w:sz="8" w:space="0" w:color="auto"/>
            </w:tcBorders>
            <w:shd w:val="clear" w:color="auto" w:fill="auto"/>
            <w:noWrap/>
            <w:vAlign w:val="center"/>
            <w:hideMark/>
          </w:tcPr>
          <w:p w14:paraId="4EC9D6FF" w14:textId="53112A73"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74,8</w:t>
            </w:r>
            <w:r>
              <w:rPr>
                <w:rFonts w:cs="Arial"/>
                <w:color w:val="000000"/>
                <w:sz w:val="18"/>
                <w:szCs w:val="18"/>
              </w:rPr>
              <w:t xml:space="preserve"> %</w:t>
            </w:r>
          </w:p>
        </w:tc>
        <w:tc>
          <w:tcPr>
            <w:tcW w:w="1170" w:type="dxa"/>
            <w:tcBorders>
              <w:top w:val="nil"/>
              <w:left w:val="nil"/>
              <w:bottom w:val="single" w:sz="8" w:space="0" w:color="auto"/>
              <w:right w:val="nil"/>
            </w:tcBorders>
            <w:shd w:val="clear" w:color="auto" w:fill="auto"/>
            <w:noWrap/>
            <w:vAlign w:val="center"/>
            <w:hideMark/>
          </w:tcPr>
          <w:p w14:paraId="3049DA04" w14:textId="77777777" w:rsidR="00DA0972" w:rsidRPr="00DA0972" w:rsidRDefault="00DA0972" w:rsidP="00DA0972">
            <w:pPr>
              <w:spacing w:after="0" w:line="240" w:lineRule="auto"/>
              <w:jc w:val="right"/>
              <w:rPr>
                <w:rFonts w:cs="Arial"/>
                <w:b/>
                <w:bCs/>
                <w:color w:val="000000"/>
                <w:sz w:val="18"/>
                <w:szCs w:val="18"/>
              </w:rPr>
            </w:pPr>
            <w:r w:rsidRPr="00DA0972">
              <w:rPr>
                <w:rFonts w:cs="Arial"/>
                <w:b/>
                <w:bCs/>
                <w:color w:val="000000"/>
                <w:sz w:val="18"/>
                <w:szCs w:val="18"/>
                <w:lang w:val="en-US"/>
              </w:rPr>
              <w:t>6 782</w:t>
            </w:r>
          </w:p>
        </w:tc>
        <w:tc>
          <w:tcPr>
            <w:tcW w:w="1323" w:type="dxa"/>
            <w:tcBorders>
              <w:top w:val="nil"/>
              <w:left w:val="nil"/>
              <w:bottom w:val="single" w:sz="8" w:space="0" w:color="auto"/>
              <w:right w:val="single" w:sz="8" w:space="0" w:color="auto"/>
            </w:tcBorders>
            <w:shd w:val="clear" w:color="auto" w:fill="auto"/>
            <w:noWrap/>
            <w:vAlign w:val="center"/>
            <w:hideMark/>
          </w:tcPr>
          <w:p w14:paraId="1C3D9C14" w14:textId="2EDB907F"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71,4</w:t>
            </w:r>
            <w:r>
              <w:rPr>
                <w:rFonts w:cs="Arial"/>
                <w:color w:val="000000"/>
                <w:sz w:val="18"/>
                <w:szCs w:val="18"/>
              </w:rPr>
              <w:t xml:space="preserve"> %</w:t>
            </w:r>
          </w:p>
        </w:tc>
        <w:tc>
          <w:tcPr>
            <w:tcW w:w="1230" w:type="dxa"/>
            <w:tcBorders>
              <w:top w:val="nil"/>
              <w:left w:val="nil"/>
              <w:bottom w:val="single" w:sz="8" w:space="0" w:color="auto"/>
              <w:right w:val="nil"/>
            </w:tcBorders>
            <w:shd w:val="clear" w:color="auto" w:fill="auto"/>
            <w:noWrap/>
            <w:vAlign w:val="center"/>
            <w:hideMark/>
          </w:tcPr>
          <w:p w14:paraId="02996FD4" w14:textId="77777777" w:rsidR="00DA0972" w:rsidRPr="00DA0972" w:rsidRDefault="00DA0972" w:rsidP="00DA0972">
            <w:pPr>
              <w:spacing w:after="0" w:line="240" w:lineRule="auto"/>
              <w:jc w:val="right"/>
              <w:rPr>
                <w:rFonts w:cs="Arial"/>
                <w:b/>
                <w:bCs/>
                <w:color w:val="000000"/>
                <w:sz w:val="18"/>
                <w:szCs w:val="18"/>
              </w:rPr>
            </w:pPr>
            <w:r w:rsidRPr="00DA0972">
              <w:rPr>
                <w:rFonts w:cs="Arial"/>
                <w:b/>
                <w:bCs/>
                <w:color w:val="000000"/>
                <w:sz w:val="18"/>
                <w:szCs w:val="18"/>
              </w:rPr>
              <w:t>8 430</w:t>
            </w:r>
          </w:p>
        </w:tc>
        <w:tc>
          <w:tcPr>
            <w:tcW w:w="1264" w:type="dxa"/>
            <w:tcBorders>
              <w:top w:val="nil"/>
              <w:left w:val="nil"/>
              <w:bottom w:val="single" w:sz="8" w:space="0" w:color="auto"/>
              <w:right w:val="single" w:sz="8" w:space="0" w:color="auto"/>
            </w:tcBorders>
            <w:shd w:val="clear" w:color="auto" w:fill="auto"/>
            <w:noWrap/>
            <w:vAlign w:val="center"/>
            <w:hideMark/>
          </w:tcPr>
          <w:p w14:paraId="5363D335" w14:textId="73CF73E9"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69,7</w:t>
            </w:r>
            <w:r>
              <w:rPr>
                <w:rFonts w:cs="Arial"/>
                <w:color w:val="000000"/>
                <w:sz w:val="18"/>
                <w:szCs w:val="18"/>
              </w:rPr>
              <w:t>%</w:t>
            </w:r>
          </w:p>
        </w:tc>
      </w:tr>
      <w:tr w:rsidR="00DA0972" w:rsidRPr="00DA0972" w14:paraId="02D6E561" w14:textId="77777777" w:rsidTr="00DA0972">
        <w:trPr>
          <w:trHeight w:val="300"/>
        </w:trPr>
        <w:tc>
          <w:tcPr>
            <w:tcW w:w="2503" w:type="dxa"/>
            <w:tcBorders>
              <w:top w:val="nil"/>
              <w:left w:val="single" w:sz="8" w:space="0" w:color="auto"/>
              <w:bottom w:val="nil"/>
              <w:right w:val="single" w:sz="8" w:space="0" w:color="auto"/>
            </w:tcBorders>
            <w:shd w:val="clear" w:color="000000" w:fill="FCE4D6"/>
            <w:noWrap/>
            <w:vAlign w:val="center"/>
            <w:hideMark/>
          </w:tcPr>
          <w:p w14:paraId="23C20A8C" w14:textId="77777777" w:rsidR="00DA0972" w:rsidRPr="00DA0972" w:rsidRDefault="00DA0972" w:rsidP="00DA0972">
            <w:pPr>
              <w:spacing w:after="0" w:line="240" w:lineRule="auto"/>
              <w:ind w:firstLineChars="100" w:firstLine="180"/>
              <w:rPr>
                <w:rFonts w:cs="Arial"/>
                <w:b/>
                <w:bCs/>
                <w:i/>
                <w:iCs/>
                <w:color w:val="000000"/>
                <w:sz w:val="18"/>
                <w:szCs w:val="18"/>
              </w:rPr>
            </w:pPr>
            <w:r w:rsidRPr="00DA0972">
              <w:rPr>
                <w:rFonts w:cs="Arial"/>
                <w:b/>
                <w:bCs/>
                <w:i/>
                <w:iCs/>
                <w:color w:val="000000"/>
                <w:sz w:val="18"/>
                <w:szCs w:val="18"/>
              </w:rPr>
              <w:t>Občané zemí:</w:t>
            </w:r>
          </w:p>
        </w:tc>
        <w:tc>
          <w:tcPr>
            <w:tcW w:w="1032" w:type="dxa"/>
            <w:tcBorders>
              <w:top w:val="nil"/>
              <w:left w:val="nil"/>
              <w:bottom w:val="nil"/>
              <w:right w:val="nil"/>
            </w:tcBorders>
            <w:shd w:val="clear" w:color="000000" w:fill="FCE4D6"/>
            <w:noWrap/>
            <w:vAlign w:val="center"/>
            <w:hideMark/>
          </w:tcPr>
          <w:p w14:paraId="661B623E" w14:textId="77777777" w:rsidR="00DA0972" w:rsidRPr="00DA0972" w:rsidRDefault="00DA0972" w:rsidP="00DA0972">
            <w:pPr>
              <w:spacing w:after="0" w:line="240" w:lineRule="auto"/>
              <w:rPr>
                <w:rFonts w:cs="Arial"/>
                <w:b/>
                <w:bCs/>
                <w:i/>
                <w:iCs/>
                <w:color w:val="000000"/>
                <w:sz w:val="18"/>
                <w:szCs w:val="18"/>
              </w:rPr>
            </w:pPr>
            <w:r w:rsidRPr="00DA0972">
              <w:rPr>
                <w:rFonts w:cs="Arial"/>
                <w:b/>
                <w:bCs/>
                <w:i/>
                <w:iCs/>
                <w:color w:val="000000"/>
                <w:sz w:val="18"/>
                <w:szCs w:val="18"/>
                <w:lang w:val="en-US"/>
              </w:rPr>
              <w:t> </w:t>
            </w:r>
          </w:p>
        </w:tc>
        <w:tc>
          <w:tcPr>
            <w:tcW w:w="1106" w:type="dxa"/>
            <w:tcBorders>
              <w:top w:val="nil"/>
              <w:left w:val="nil"/>
              <w:bottom w:val="nil"/>
              <w:right w:val="single" w:sz="8" w:space="0" w:color="auto"/>
            </w:tcBorders>
            <w:shd w:val="clear" w:color="000000" w:fill="FCE4D6"/>
            <w:noWrap/>
            <w:vAlign w:val="center"/>
            <w:hideMark/>
          </w:tcPr>
          <w:p w14:paraId="4394C601" w14:textId="77777777" w:rsidR="00DA0972" w:rsidRPr="00DA0972" w:rsidRDefault="00DA0972" w:rsidP="00DA0972">
            <w:pPr>
              <w:spacing w:after="0" w:line="240" w:lineRule="auto"/>
              <w:jc w:val="right"/>
              <w:rPr>
                <w:rFonts w:cs="Arial"/>
                <w:b/>
                <w:bCs/>
                <w:color w:val="000000"/>
                <w:sz w:val="18"/>
                <w:szCs w:val="18"/>
              </w:rPr>
            </w:pPr>
            <w:r w:rsidRPr="00DA0972">
              <w:rPr>
                <w:rFonts w:cs="Arial"/>
                <w:b/>
                <w:bCs/>
                <w:color w:val="000000"/>
                <w:sz w:val="18"/>
                <w:szCs w:val="18"/>
              </w:rPr>
              <w:t> </w:t>
            </w:r>
          </w:p>
        </w:tc>
        <w:tc>
          <w:tcPr>
            <w:tcW w:w="1170" w:type="dxa"/>
            <w:tcBorders>
              <w:top w:val="nil"/>
              <w:left w:val="nil"/>
              <w:bottom w:val="nil"/>
              <w:right w:val="nil"/>
            </w:tcBorders>
            <w:shd w:val="clear" w:color="000000" w:fill="FCE4D6"/>
            <w:noWrap/>
            <w:vAlign w:val="center"/>
            <w:hideMark/>
          </w:tcPr>
          <w:p w14:paraId="3D7CFA44" w14:textId="77777777" w:rsidR="00DA0972" w:rsidRPr="00DA0972" w:rsidRDefault="00DA0972" w:rsidP="00DA0972">
            <w:pPr>
              <w:spacing w:after="0" w:line="240" w:lineRule="auto"/>
              <w:rPr>
                <w:rFonts w:cs="Arial"/>
                <w:b/>
                <w:bCs/>
                <w:i/>
                <w:iCs/>
                <w:color w:val="000000"/>
                <w:sz w:val="18"/>
                <w:szCs w:val="18"/>
              </w:rPr>
            </w:pPr>
            <w:r w:rsidRPr="00DA0972">
              <w:rPr>
                <w:rFonts w:cs="Arial"/>
                <w:b/>
                <w:bCs/>
                <w:i/>
                <w:iCs/>
                <w:color w:val="000000"/>
                <w:sz w:val="18"/>
                <w:szCs w:val="18"/>
                <w:lang w:val="en-US"/>
              </w:rPr>
              <w:t> </w:t>
            </w:r>
          </w:p>
        </w:tc>
        <w:tc>
          <w:tcPr>
            <w:tcW w:w="1323" w:type="dxa"/>
            <w:tcBorders>
              <w:top w:val="nil"/>
              <w:left w:val="nil"/>
              <w:bottom w:val="nil"/>
              <w:right w:val="single" w:sz="8" w:space="0" w:color="auto"/>
            </w:tcBorders>
            <w:shd w:val="clear" w:color="000000" w:fill="FCE4D6"/>
            <w:noWrap/>
            <w:vAlign w:val="center"/>
            <w:hideMark/>
          </w:tcPr>
          <w:p w14:paraId="7E99DDBD" w14:textId="77777777" w:rsidR="00DA0972" w:rsidRPr="00DA0972" w:rsidRDefault="00DA0972" w:rsidP="00DA0972">
            <w:pPr>
              <w:spacing w:after="0" w:line="240" w:lineRule="auto"/>
              <w:jc w:val="right"/>
              <w:rPr>
                <w:rFonts w:cs="Arial"/>
                <w:b/>
                <w:bCs/>
                <w:color w:val="000000"/>
                <w:sz w:val="18"/>
                <w:szCs w:val="18"/>
              </w:rPr>
            </w:pPr>
            <w:r w:rsidRPr="00DA0972">
              <w:rPr>
                <w:rFonts w:cs="Arial"/>
                <w:b/>
                <w:bCs/>
                <w:color w:val="000000"/>
                <w:sz w:val="18"/>
                <w:szCs w:val="18"/>
              </w:rPr>
              <w:t> </w:t>
            </w:r>
          </w:p>
        </w:tc>
        <w:tc>
          <w:tcPr>
            <w:tcW w:w="1230" w:type="dxa"/>
            <w:tcBorders>
              <w:top w:val="nil"/>
              <w:left w:val="nil"/>
              <w:bottom w:val="nil"/>
              <w:right w:val="nil"/>
            </w:tcBorders>
            <w:shd w:val="clear" w:color="000000" w:fill="FCE4D6"/>
            <w:noWrap/>
            <w:vAlign w:val="center"/>
            <w:hideMark/>
          </w:tcPr>
          <w:p w14:paraId="6FDC9019" w14:textId="77777777" w:rsidR="00DA0972" w:rsidRPr="00DA0972" w:rsidRDefault="00DA0972" w:rsidP="00DA0972">
            <w:pPr>
              <w:spacing w:after="0" w:line="240" w:lineRule="auto"/>
              <w:rPr>
                <w:rFonts w:cs="Arial"/>
                <w:b/>
                <w:bCs/>
                <w:i/>
                <w:iCs/>
                <w:color w:val="000000"/>
                <w:sz w:val="18"/>
                <w:szCs w:val="18"/>
              </w:rPr>
            </w:pPr>
            <w:r w:rsidRPr="00DA0972">
              <w:rPr>
                <w:rFonts w:cs="Arial"/>
                <w:b/>
                <w:bCs/>
                <w:i/>
                <w:iCs/>
                <w:color w:val="000000"/>
                <w:sz w:val="18"/>
                <w:szCs w:val="18"/>
                <w:lang w:val="en-US"/>
              </w:rPr>
              <w:t> </w:t>
            </w:r>
          </w:p>
        </w:tc>
        <w:tc>
          <w:tcPr>
            <w:tcW w:w="1264" w:type="dxa"/>
            <w:tcBorders>
              <w:top w:val="nil"/>
              <w:left w:val="nil"/>
              <w:bottom w:val="nil"/>
              <w:right w:val="single" w:sz="8" w:space="0" w:color="auto"/>
            </w:tcBorders>
            <w:shd w:val="clear" w:color="000000" w:fill="FCE4D6"/>
            <w:noWrap/>
            <w:vAlign w:val="center"/>
            <w:hideMark/>
          </w:tcPr>
          <w:p w14:paraId="7B90F368" w14:textId="77777777" w:rsidR="00DA0972" w:rsidRPr="00DA0972" w:rsidRDefault="00DA0972" w:rsidP="00DA0972">
            <w:pPr>
              <w:spacing w:after="0" w:line="240" w:lineRule="auto"/>
              <w:jc w:val="right"/>
              <w:rPr>
                <w:rFonts w:cs="Arial"/>
                <w:b/>
                <w:bCs/>
                <w:color w:val="000000"/>
                <w:sz w:val="18"/>
                <w:szCs w:val="18"/>
              </w:rPr>
            </w:pPr>
            <w:r w:rsidRPr="00DA0972">
              <w:rPr>
                <w:rFonts w:cs="Arial"/>
                <w:b/>
                <w:bCs/>
                <w:color w:val="000000"/>
                <w:sz w:val="18"/>
                <w:szCs w:val="18"/>
              </w:rPr>
              <w:t> </w:t>
            </w:r>
          </w:p>
        </w:tc>
      </w:tr>
      <w:tr w:rsidR="00DA0972" w:rsidRPr="00DA0972" w14:paraId="5409B857" w14:textId="77777777" w:rsidTr="00DA0972">
        <w:trPr>
          <w:trHeight w:val="300"/>
        </w:trPr>
        <w:tc>
          <w:tcPr>
            <w:tcW w:w="2503" w:type="dxa"/>
            <w:tcBorders>
              <w:top w:val="nil"/>
              <w:left w:val="single" w:sz="8" w:space="0" w:color="auto"/>
              <w:bottom w:val="nil"/>
              <w:right w:val="single" w:sz="8" w:space="0" w:color="auto"/>
            </w:tcBorders>
            <w:shd w:val="clear" w:color="auto" w:fill="auto"/>
            <w:vAlign w:val="center"/>
            <w:hideMark/>
          </w:tcPr>
          <w:p w14:paraId="092A72D0" w14:textId="77777777" w:rsidR="00DA0972" w:rsidRPr="00DA0972" w:rsidRDefault="00DA0972" w:rsidP="00DA0972">
            <w:pPr>
              <w:spacing w:after="0" w:line="240" w:lineRule="auto"/>
              <w:ind w:firstLineChars="200" w:firstLine="360"/>
              <w:rPr>
                <w:rFonts w:cs="Arial"/>
                <w:color w:val="000000"/>
                <w:sz w:val="18"/>
                <w:szCs w:val="18"/>
              </w:rPr>
            </w:pPr>
            <w:r w:rsidRPr="00DA0972">
              <w:rPr>
                <w:rFonts w:cs="Arial"/>
                <w:color w:val="000000"/>
                <w:sz w:val="18"/>
                <w:szCs w:val="18"/>
              </w:rPr>
              <w:t>Ukrajina</w:t>
            </w:r>
          </w:p>
        </w:tc>
        <w:tc>
          <w:tcPr>
            <w:tcW w:w="1032" w:type="dxa"/>
            <w:tcBorders>
              <w:top w:val="nil"/>
              <w:left w:val="nil"/>
              <w:bottom w:val="nil"/>
              <w:right w:val="nil"/>
            </w:tcBorders>
            <w:shd w:val="clear" w:color="auto" w:fill="auto"/>
            <w:noWrap/>
            <w:vAlign w:val="center"/>
            <w:hideMark/>
          </w:tcPr>
          <w:p w14:paraId="3C834E5C"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1089</w:t>
            </w:r>
          </w:p>
        </w:tc>
        <w:tc>
          <w:tcPr>
            <w:tcW w:w="1106" w:type="dxa"/>
            <w:tcBorders>
              <w:top w:val="nil"/>
              <w:left w:val="nil"/>
              <w:bottom w:val="nil"/>
              <w:right w:val="single" w:sz="8" w:space="0" w:color="auto"/>
            </w:tcBorders>
            <w:shd w:val="clear" w:color="auto" w:fill="auto"/>
            <w:noWrap/>
            <w:vAlign w:val="center"/>
            <w:hideMark/>
          </w:tcPr>
          <w:p w14:paraId="1462041E" w14:textId="3D28EC19"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23,1</w:t>
            </w:r>
            <w:r>
              <w:rPr>
                <w:rFonts w:cs="Arial"/>
                <w:color w:val="000000"/>
                <w:sz w:val="18"/>
                <w:szCs w:val="18"/>
              </w:rPr>
              <w:t xml:space="preserve"> %</w:t>
            </w:r>
          </w:p>
        </w:tc>
        <w:tc>
          <w:tcPr>
            <w:tcW w:w="1170" w:type="dxa"/>
            <w:tcBorders>
              <w:top w:val="nil"/>
              <w:left w:val="nil"/>
              <w:bottom w:val="nil"/>
              <w:right w:val="nil"/>
            </w:tcBorders>
            <w:shd w:val="clear" w:color="auto" w:fill="auto"/>
            <w:noWrap/>
            <w:vAlign w:val="center"/>
            <w:hideMark/>
          </w:tcPr>
          <w:p w14:paraId="0F44C240"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2 254</w:t>
            </w:r>
          </w:p>
        </w:tc>
        <w:tc>
          <w:tcPr>
            <w:tcW w:w="1323" w:type="dxa"/>
            <w:tcBorders>
              <w:top w:val="nil"/>
              <w:left w:val="nil"/>
              <w:bottom w:val="nil"/>
              <w:right w:val="single" w:sz="8" w:space="0" w:color="auto"/>
            </w:tcBorders>
            <w:shd w:val="clear" w:color="auto" w:fill="auto"/>
            <w:noWrap/>
            <w:vAlign w:val="center"/>
            <w:hideMark/>
          </w:tcPr>
          <w:p w14:paraId="5BDCD270" w14:textId="40E42A54"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23,7</w:t>
            </w:r>
            <w:r>
              <w:rPr>
                <w:rFonts w:cs="Arial"/>
                <w:color w:val="000000"/>
                <w:sz w:val="18"/>
                <w:szCs w:val="18"/>
              </w:rPr>
              <w:t xml:space="preserve"> %</w:t>
            </w:r>
          </w:p>
        </w:tc>
        <w:tc>
          <w:tcPr>
            <w:tcW w:w="1230" w:type="dxa"/>
            <w:tcBorders>
              <w:top w:val="nil"/>
              <w:left w:val="nil"/>
              <w:bottom w:val="nil"/>
              <w:right w:val="nil"/>
            </w:tcBorders>
            <w:shd w:val="clear" w:color="auto" w:fill="auto"/>
            <w:noWrap/>
            <w:vAlign w:val="center"/>
            <w:hideMark/>
          </w:tcPr>
          <w:p w14:paraId="4181ED93"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3 053</w:t>
            </w:r>
          </w:p>
        </w:tc>
        <w:tc>
          <w:tcPr>
            <w:tcW w:w="1264" w:type="dxa"/>
            <w:tcBorders>
              <w:top w:val="nil"/>
              <w:left w:val="nil"/>
              <w:bottom w:val="nil"/>
              <w:right w:val="single" w:sz="8" w:space="0" w:color="auto"/>
            </w:tcBorders>
            <w:shd w:val="clear" w:color="auto" w:fill="auto"/>
            <w:noWrap/>
            <w:vAlign w:val="center"/>
            <w:hideMark/>
          </w:tcPr>
          <w:p w14:paraId="308406E8" w14:textId="1CDCF663"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25,2</w:t>
            </w:r>
            <w:r>
              <w:rPr>
                <w:rFonts w:cs="Arial"/>
                <w:color w:val="000000"/>
                <w:sz w:val="18"/>
                <w:szCs w:val="18"/>
              </w:rPr>
              <w:t xml:space="preserve"> %</w:t>
            </w:r>
          </w:p>
        </w:tc>
      </w:tr>
      <w:tr w:rsidR="00DA0972" w:rsidRPr="00DA0972" w14:paraId="27B4A180" w14:textId="77777777" w:rsidTr="00DA0972">
        <w:trPr>
          <w:trHeight w:val="300"/>
        </w:trPr>
        <w:tc>
          <w:tcPr>
            <w:tcW w:w="2503" w:type="dxa"/>
            <w:tcBorders>
              <w:top w:val="nil"/>
              <w:left w:val="single" w:sz="8" w:space="0" w:color="auto"/>
              <w:bottom w:val="nil"/>
              <w:right w:val="single" w:sz="8" w:space="0" w:color="auto"/>
            </w:tcBorders>
            <w:shd w:val="clear" w:color="auto" w:fill="auto"/>
            <w:vAlign w:val="center"/>
            <w:hideMark/>
          </w:tcPr>
          <w:p w14:paraId="13F1B514" w14:textId="77777777" w:rsidR="00DA0972" w:rsidRPr="00DA0972" w:rsidRDefault="00DA0972" w:rsidP="00DA0972">
            <w:pPr>
              <w:spacing w:after="0" w:line="240" w:lineRule="auto"/>
              <w:ind w:firstLineChars="200" w:firstLine="360"/>
              <w:rPr>
                <w:rFonts w:cs="Arial"/>
                <w:color w:val="000000"/>
                <w:sz w:val="18"/>
                <w:szCs w:val="18"/>
              </w:rPr>
            </w:pPr>
            <w:r w:rsidRPr="00DA0972">
              <w:rPr>
                <w:rFonts w:cs="Arial"/>
                <w:color w:val="000000"/>
                <w:sz w:val="18"/>
                <w:szCs w:val="18"/>
              </w:rPr>
              <w:t>Vietnam</w:t>
            </w:r>
          </w:p>
        </w:tc>
        <w:tc>
          <w:tcPr>
            <w:tcW w:w="1032" w:type="dxa"/>
            <w:tcBorders>
              <w:top w:val="nil"/>
              <w:left w:val="nil"/>
              <w:bottom w:val="nil"/>
              <w:right w:val="nil"/>
            </w:tcBorders>
            <w:shd w:val="clear" w:color="auto" w:fill="auto"/>
            <w:noWrap/>
            <w:vAlign w:val="center"/>
            <w:hideMark/>
          </w:tcPr>
          <w:p w14:paraId="3ABC8114"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1 298</w:t>
            </w:r>
          </w:p>
        </w:tc>
        <w:tc>
          <w:tcPr>
            <w:tcW w:w="1106" w:type="dxa"/>
            <w:tcBorders>
              <w:top w:val="nil"/>
              <w:left w:val="nil"/>
              <w:bottom w:val="nil"/>
              <w:right w:val="single" w:sz="8" w:space="0" w:color="auto"/>
            </w:tcBorders>
            <w:shd w:val="clear" w:color="auto" w:fill="auto"/>
            <w:noWrap/>
            <w:vAlign w:val="center"/>
            <w:hideMark/>
          </w:tcPr>
          <w:p w14:paraId="6CB0BAAC" w14:textId="6C836C79"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27,5</w:t>
            </w:r>
            <w:r>
              <w:rPr>
                <w:rFonts w:cs="Arial"/>
                <w:color w:val="000000"/>
                <w:sz w:val="18"/>
                <w:szCs w:val="18"/>
              </w:rPr>
              <w:t xml:space="preserve"> %</w:t>
            </w:r>
          </w:p>
        </w:tc>
        <w:tc>
          <w:tcPr>
            <w:tcW w:w="1170" w:type="dxa"/>
            <w:tcBorders>
              <w:top w:val="nil"/>
              <w:left w:val="nil"/>
              <w:bottom w:val="nil"/>
              <w:right w:val="nil"/>
            </w:tcBorders>
            <w:shd w:val="clear" w:color="auto" w:fill="auto"/>
            <w:noWrap/>
            <w:vAlign w:val="center"/>
            <w:hideMark/>
          </w:tcPr>
          <w:p w14:paraId="52F65397"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2 552</w:t>
            </w:r>
          </w:p>
        </w:tc>
        <w:tc>
          <w:tcPr>
            <w:tcW w:w="1323" w:type="dxa"/>
            <w:tcBorders>
              <w:top w:val="nil"/>
              <w:left w:val="nil"/>
              <w:bottom w:val="nil"/>
              <w:right w:val="single" w:sz="8" w:space="0" w:color="auto"/>
            </w:tcBorders>
            <w:shd w:val="clear" w:color="auto" w:fill="auto"/>
            <w:noWrap/>
            <w:vAlign w:val="center"/>
            <w:hideMark/>
          </w:tcPr>
          <w:p w14:paraId="4EF1B27A" w14:textId="6326484F"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26,9</w:t>
            </w:r>
            <w:r>
              <w:rPr>
                <w:rFonts w:cs="Arial"/>
                <w:color w:val="000000"/>
                <w:sz w:val="18"/>
                <w:szCs w:val="18"/>
              </w:rPr>
              <w:t xml:space="preserve"> %</w:t>
            </w:r>
          </w:p>
        </w:tc>
        <w:tc>
          <w:tcPr>
            <w:tcW w:w="1230" w:type="dxa"/>
            <w:tcBorders>
              <w:top w:val="nil"/>
              <w:left w:val="nil"/>
              <w:bottom w:val="nil"/>
              <w:right w:val="nil"/>
            </w:tcBorders>
            <w:shd w:val="clear" w:color="auto" w:fill="auto"/>
            <w:noWrap/>
            <w:vAlign w:val="center"/>
            <w:hideMark/>
          </w:tcPr>
          <w:p w14:paraId="2958DE5E"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2 753</w:t>
            </w:r>
          </w:p>
        </w:tc>
        <w:tc>
          <w:tcPr>
            <w:tcW w:w="1264" w:type="dxa"/>
            <w:tcBorders>
              <w:top w:val="nil"/>
              <w:left w:val="nil"/>
              <w:bottom w:val="nil"/>
              <w:right w:val="single" w:sz="8" w:space="0" w:color="auto"/>
            </w:tcBorders>
            <w:shd w:val="clear" w:color="auto" w:fill="auto"/>
            <w:noWrap/>
            <w:vAlign w:val="center"/>
            <w:hideMark/>
          </w:tcPr>
          <w:p w14:paraId="51579324" w14:textId="06F1168A"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22,8</w:t>
            </w:r>
            <w:r>
              <w:rPr>
                <w:rFonts w:cs="Arial"/>
                <w:color w:val="000000"/>
                <w:sz w:val="18"/>
                <w:szCs w:val="18"/>
              </w:rPr>
              <w:t xml:space="preserve"> %</w:t>
            </w:r>
          </w:p>
        </w:tc>
      </w:tr>
      <w:tr w:rsidR="00DA0972" w:rsidRPr="00DA0972" w14:paraId="4735D930" w14:textId="77777777" w:rsidTr="00DA0972">
        <w:trPr>
          <w:trHeight w:val="300"/>
        </w:trPr>
        <w:tc>
          <w:tcPr>
            <w:tcW w:w="2503" w:type="dxa"/>
            <w:tcBorders>
              <w:top w:val="nil"/>
              <w:left w:val="single" w:sz="8" w:space="0" w:color="auto"/>
              <w:bottom w:val="nil"/>
              <w:right w:val="single" w:sz="8" w:space="0" w:color="auto"/>
            </w:tcBorders>
            <w:shd w:val="clear" w:color="auto" w:fill="auto"/>
            <w:vAlign w:val="center"/>
            <w:hideMark/>
          </w:tcPr>
          <w:p w14:paraId="57A461AC" w14:textId="77777777" w:rsidR="00DA0972" w:rsidRPr="00DA0972" w:rsidRDefault="00DA0972" w:rsidP="00DA0972">
            <w:pPr>
              <w:spacing w:after="0" w:line="240" w:lineRule="auto"/>
              <w:ind w:firstLineChars="200" w:firstLine="360"/>
              <w:rPr>
                <w:rFonts w:cs="Arial"/>
                <w:color w:val="000000"/>
                <w:sz w:val="18"/>
                <w:szCs w:val="18"/>
              </w:rPr>
            </w:pPr>
            <w:r w:rsidRPr="00DA0972">
              <w:rPr>
                <w:rFonts w:cs="Arial"/>
                <w:color w:val="000000"/>
                <w:sz w:val="18"/>
                <w:szCs w:val="18"/>
              </w:rPr>
              <w:t>Slovensko</w:t>
            </w:r>
          </w:p>
        </w:tc>
        <w:tc>
          <w:tcPr>
            <w:tcW w:w="1032" w:type="dxa"/>
            <w:tcBorders>
              <w:top w:val="nil"/>
              <w:left w:val="nil"/>
              <w:bottom w:val="nil"/>
              <w:right w:val="nil"/>
            </w:tcBorders>
            <w:shd w:val="clear" w:color="auto" w:fill="auto"/>
            <w:noWrap/>
            <w:vAlign w:val="center"/>
            <w:hideMark/>
          </w:tcPr>
          <w:p w14:paraId="5843E9D6"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786</w:t>
            </w:r>
          </w:p>
        </w:tc>
        <w:tc>
          <w:tcPr>
            <w:tcW w:w="1106" w:type="dxa"/>
            <w:tcBorders>
              <w:top w:val="nil"/>
              <w:left w:val="nil"/>
              <w:bottom w:val="nil"/>
              <w:right w:val="single" w:sz="8" w:space="0" w:color="auto"/>
            </w:tcBorders>
            <w:shd w:val="clear" w:color="auto" w:fill="auto"/>
            <w:noWrap/>
            <w:vAlign w:val="center"/>
            <w:hideMark/>
          </w:tcPr>
          <w:p w14:paraId="406E953A" w14:textId="624D3DB3"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16,7</w:t>
            </w:r>
            <w:r>
              <w:rPr>
                <w:rFonts w:cs="Arial"/>
                <w:color w:val="000000"/>
                <w:sz w:val="18"/>
                <w:szCs w:val="18"/>
              </w:rPr>
              <w:t xml:space="preserve"> %</w:t>
            </w:r>
          </w:p>
        </w:tc>
        <w:tc>
          <w:tcPr>
            <w:tcW w:w="1170" w:type="dxa"/>
            <w:tcBorders>
              <w:top w:val="nil"/>
              <w:left w:val="nil"/>
              <w:bottom w:val="nil"/>
              <w:right w:val="nil"/>
            </w:tcBorders>
            <w:shd w:val="clear" w:color="auto" w:fill="auto"/>
            <w:noWrap/>
            <w:vAlign w:val="center"/>
            <w:hideMark/>
          </w:tcPr>
          <w:p w14:paraId="6D5FADC8"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1 722</w:t>
            </w:r>
          </w:p>
        </w:tc>
        <w:tc>
          <w:tcPr>
            <w:tcW w:w="1323" w:type="dxa"/>
            <w:tcBorders>
              <w:top w:val="nil"/>
              <w:left w:val="nil"/>
              <w:bottom w:val="nil"/>
              <w:right w:val="single" w:sz="8" w:space="0" w:color="auto"/>
            </w:tcBorders>
            <w:shd w:val="clear" w:color="auto" w:fill="auto"/>
            <w:noWrap/>
            <w:vAlign w:val="center"/>
            <w:hideMark/>
          </w:tcPr>
          <w:p w14:paraId="0A9AB816" w14:textId="7634ABA9"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18,1</w:t>
            </w:r>
            <w:r>
              <w:rPr>
                <w:rFonts w:cs="Arial"/>
                <w:color w:val="000000"/>
                <w:sz w:val="18"/>
                <w:szCs w:val="18"/>
              </w:rPr>
              <w:t xml:space="preserve"> %</w:t>
            </w:r>
          </w:p>
        </w:tc>
        <w:tc>
          <w:tcPr>
            <w:tcW w:w="1230" w:type="dxa"/>
            <w:tcBorders>
              <w:top w:val="nil"/>
              <w:left w:val="nil"/>
              <w:bottom w:val="nil"/>
              <w:right w:val="nil"/>
            </w:tcBorders>
            <w:shd w:val="clear" w:color="auto" w:fill="auto"/>
            <w:noWrap/>
            <w:vAlign w:val="center"/>
            <w:hideMark/>
          </w:tcPr>
          <w:p w14:paraId="6C94E328"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2 197</w:t>
            </w:r>
          </w:p>
        </w:tc>
        <w:tc>
          <w:tcPr>
            <w:tcW w:w="1264" w:type="dxa"/>
            <w:tcBorders>
              <w:top w:val="nil"/>
              <w:left w:val="nil"/>
              <w:bottom w:val="nil"/>
              <w:right w:val="single" w:sz="8" w:space="0" w:color="auto"/>
            </w:tcBorders>
            <w:shd w:val="clear" w:color="auto" w:fill="auto"/>
            <w:noWrap/>
            <w:vAlign w:val="center"/>
            <w:hideMark/>
          </w:tcPr>
          <w:p w14:paraId="26DB5418" w14:textId="0C870281"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18,2</w:t>
            </w:r>
            <w:r>
              <w:rPr>
                <w:rFonts w:cs="Arial"/>
                <w:color w:val="000000"/>
                <w:sz w:val="18"/>
                <w:szCs w:val="18"/>
              </w:rPr>
              <w:t xml:space="preserve"> %</w:t>
            </w:r>
          </w:p>
        </w:tc>
      </w:tr>
      <w:tr w:rsidR="00DA0972" w:rsidRPr="00DA0972" w14:paraId="4881B609" w14:textId="77777777" w:rsidTr="00DA0972">
        <w:trPr>
          <w:trHeight w:val="300"/>
        </w:trPr>
        <w:tc>
          <w:tcPr>
            <w:tcW w:w="2503" w:type="dxa"/>
            <w:tcBorders>
              <w:top w:val="nil"/>
              <w:left w:val="single" w:sz="8" w:space="0" w:color="auto"/>
              <w:bottom w:val="nil"/>
              <w:right w:val="single" w:sz="8" w:space="0" w:color="auto"/>
            </w:tcBorders>
            <w:shd w:val="clear" w:color="auto" w:fill="auto"/>
            <w:vAlign w:val="center"/>
            <w:hideMark/>
          </w:tcPr>
          <w:p w14:paraId="77D9D050" w14:textId="77777777" w:rsidR="00DA0972" w:rsidRPr="00DA0972" w:rsidRDefault="00DA0972" w:rsidP="00DA0972">
            <w:pPr>
              <w:spacing w:after="0" w:line="240" w:lineRule="auto"/>
              <w:ind w:firstLineChars="200" w:firstLine="360"/>
              <w:rPr>
                <w:rFonts w:cs="Arial"/>
                <w:color w:val="000000"/>
                <w:sz w:val="18"/>
                <w:szCs w:val="18"/>
              </w:rPr>
            </w:pPr>
            <w:r w:rsidRPr="00DA0972">
              <w:rPr>
                <w:rFonts w:cs="Arial"/>
                <w:color w:val="000000"/>
                <w:sz w:val="18"/>
                <w:szCs w:val="18"/>
              </w:rPr>
              <w:t>Rusko</w:t>
            </w:r>
          </w:p>
        </w:tc>
        <w:tc>
          <w:tcPr>
            <w:tcW w:w="1032" w:type="dxa"/>
            <w:tcBorders>
              <w:top w:val="nil"/>
              <w:left w:val="nil"/>
              <w:bottom w:val="nil"/>
              <w:right w:val="nil"/>
            </w:tcBorders>
            <w:shd w:val="clear" w:color="auto" w:fill="auto"/>
            <w:noWrap/>
            <w:vAlign w:val="center"/>
            <w:hideMark/>
          </w:tcPr>
          <w:p w14:paraId="7A199102"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353</w:t>
            </w:r>
          </w:p>
        </w:tc>
        <w:tc>
          <w:tcPr>
            <w:tcW w:w="1106" w:type="dxa"/>
            <w:tcBorders>
              <w:top w:val="nil"/>
              <w:left w:val="nil"/>
              <w:bottom w:val="nil"/>
              <w:right w:val="single" w:sz="8" w:space="0" w:color="auto"/>
            </w:tcBorders>
            <w:shd w:val="clear" w:color="auto" w:fill="auto"/>
            <w:noWrap/>
            <w:vAlign w:val="center"/>
            <w:hideMark/>
          </w:tcPr>
          <w:p w14:paraId="41DCF4FC" w14:textId="141F5723"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7,5</w:t>
            </w:r>
            <w:r>
              <w:rPr>
                <w:rFonts w:cs="Arial"/>
                <w:color w:val="000000"/>
                <w:sz w:val="18"/>
                <w:szCs w:val="18"/>
              </w:rPr>
              <w:t xml:space="preserve"> %</w:t>
            </w:r>
          </w:p>
        </w:tc>
        <w:tc>
          <w:tcPr>
            <w:tcW w:w="1170" w:type="dxa"/>
            <w:tcBorders>
              <w:top w:val="nil"/>
              <w:left w:val="nil"/>
              <w:bottom w:val="nil"/>
              <w:right w:val="nil"/>
            </w:tcBorders>
            <w:shd w:val="clear" w:color="auto" w:fill="auto"/>
            <w:noWrap/>
            <w:vAlign w:val="center"/>
            <w:hideMark/>
          </w:tcPr>
          <w:p w14:paraId="54AF39BE"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587</w:t>
            </w:r>
          </w:p>
        </w:tc>
        <w:tc>
          <w:tcPr>
            <w:tcW w:w="1323" w:type="dxa"/>
            <w:tcBorders>
              <w:top w:val="nil"/>
              <w:left w:val="nil"/>
              <w:bottom w:val="nil"/>
              <w:right w:val="single" w:sz="8" w:space="0" w:color="auto"/>
            </w:tcBorders>
            <w:shd w:val="clear" w:color="auto" w:fill="auto"/>
            <w:noWrap/>
            <w:vAlign w:val="center"/>
            <w:hideMark/>
          </w:tcPr>
          <w:p w14:paraId="614711D4" w14:textId="1D45E655"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6,2</w:t>
            </w:r>
            <w:r>
              <w:rPr>
                <w:rFonts w:cs="Arial"/>
                <w:color w:val="000000"/>
                <w:sz w:val="18"/>
                <w:szCs w:val="18"/>
              </w:rPr>
              <w:t xml:space="preserve"> %</w:t>
            </w:r>
          </w:p>
        </w:tc>
        <w:tc>
          <w:tcPr>
            <w:tcW w:w="1230" w:type="dxa"/>
            <w:tcBorders>
              <w:top w:val="nil"/>
              <w:left w:val="nil"/>
              <w:bottom w:val="nil"/>
              <w:right w:val="nil"/>
            </w:tcBorders>
            <w:shd w:val="clear" w:color="auto" w:fill="auto"/>
            <w:noWrap/>
            <w:vAlign w:val="center"/>
            <w:hideMark/>
          </w:tcPr>
          <w:p w14:paraId="7E83C9C1"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777</w:t>
            </w:r>
          </w:p>
        </w:tc>
        <w:tc>
          <w:tcPr>
            <w:tcW w:w="1264" w:type="dxa"/>
            <w:tcBorders>
              <w:top w:val="nil"/>
              <w:left w:val="nil"/>
              <w:bottom w:val="nil"/>
              <w:right w:val="single" w:sz="8" w:space="0" w:color="auto"/>
            </w:tcBorders>
            <w:shd w:val="clear" w:color="auto" w:fill="auto"/>
            <w:noWrap/>
            <w:vAlign w:val="center"/>
            <w:hideMark/>
          </w:tcPr>
          <w:p w14:paraId="20DFE5DB" w14:textId="006DC929"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6,4</w:t>
            </w:r>
            <w:r>
              <w:rPr>
                <w:rFonts w:cs="Arial"/>
                <w:color w:val="000000"/>
                <w:sz w:val="18"/>
                <w:szCs w:val="18"/>
              </w:rPr>
              <w:t xml:space="preserve"> %</w:t>
            </w:r>
          </w:p>
        </w:tc>
      </w:tr>
      <w:tr w:rsidR="00DA0972" w:rsidRPr="00DA0972" w14:paraId="5956D815" w14:textId="77777777" w:rsidTr="00DA0972">
        <w:trPr>
          <w:trHeight w:val="300"/>
        </w:trPr>
        <w:tc>
          <w:tcPr>
            <w:tcW w:w="2503" w:type="dxa"/>
            <w:tcBorders>
              <w:top w:val="nil"/>
              <w:left w:val="single" w:sz="8" w:space="0" w:color="auto"/>
              <w:bottom w:val="nil"/>
              <w:right w:val="single" w:sz="8" w:space="0" w:color="auto"/>
            </w:tcBorders>
            <w:shd w:val="clear" w:color="auto" w:fill="auto"/>
            <w:vAlign w:val="center"/>
            <w:hideMark/>
          </w:tcPr>
          <w:p w14:paraId="333148F1" w14:textId="77777777" w:rsidR="00DA0972" w:rsidRPr="00DA0972" w:rsidRDefault="00DA0972" w:rsidP="00DA0972">
            <w:pPr>
              <w:spacing w:after="0" w:line="240" w:lineRule="auto"/>
              <w:ind w:firstLineChars="200" w:firstLine="360"/>
              <w:rPr>
                <w:rFonts w:cs="Arial"/>
                <w:color w:val="000000"/>
                <w:sz w:val="18"/>
                <w:szCs w:val="18"/>
              </w:rPr>
            </w:pPr>
            <w:r w:rsidRPr="00DA0972">
              <w:rPr>
                <w:rFonts w:cs="Arial"/>
                <w:color w:val="000000"/>
                <w:sz w:val="18"/>
                <w:szCs w:val="18"/>
              </w:rPr>
              <w:t>Mongolsko</w:t>
            </w:r>
          </w:p>
        </w:tc>
        <w:tc>
          <w:tcPr>
            <w:tcW w:w="1032" w:type="dxa"/>
            <w:tcBorders>
              <w:top w:val="nil"/>
              <w:left w:val="nil"/>
              <w:bottom w:val="nil"/>
              <w:right w:val="nil"/>
            </w:tcBorders>
            <w:shd w:val="clear" w:color="auto" w:fill="auto"/>
            <w:noWrap/>
            <w:vAlign w:val="center"/>
            <w:hideMark/>
          </w:tcPr>
          <w:p w14:paraId="04C81EF2"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122</w:t>
            </w:r>
          </w:p>
        </w:tc>
        <w:tc>
          <w:tcPr>
            <w:tcW w:w="1106" w:type="dxa"/>
            <w:tcBorders>
              <w:top w:val="nil"/>
              <w:left w:val="nil"/>
              <w:bottom w:val="nil"/>
              <w:right w:val="single" w:sz="8" w:space="0" w:color="auto"/>
            </w:tcBorders>
            <w:shd w:val="clear" w:color="auto" w:fill="auto"/>
            <w:noWrap/>
            <w:vAlign w:val="center"/>
            <w:hideMark/>
          </w:tcPr>
          <w:p w14:paraId="0C57D1C8" w14:textId="59E51FF0"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2,6</w:t>
            </w:r>
            <w:r>
              <w:rPr>
                <w:rFonts w:cs="Arial"/>
                <w:color w:val="000000"/>
                <w:sz w:val="18"/>
                <w:szCs w:val="18"/>
              </w:rPr>
              <w:t xml:space="preserve"> %</w:t>
            </w:r>
          </w:p>
        </w:tc>
        <w:tc>
          <w:tcPr>
            <w:tcW w:w="1170" w:type="dxa"/>
            <w:tcBorders>
              <w:top w:val="nil"/>
              <w:left w:val="nil"/>
              <w:bottom w:val="nil"/>
              <w:right w:val="nil"/>
            </w:tcBorders>
            <w:shd w:val="clear" w:color="auto" w:fill="auto"/>
            <w:noWrap/>
            <w:vAlign w:val="center"/>
            <w:hideMark/>
          </w:tcPr>
          <w:p w14:paraId="20178B0C"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273</w:t>
            </w:r>
          </w:p>
        </w:tc>
        <w:tc>
          <w:tcPr>
            <w:tcW w:w="1323" w:type="dxa"/>
            <w:tcBorders>
              <w:top w:val="nil"/>
              <w:left w:val="nil"/>
              <w:bottom w:val="nil"/>
              <w:right w:val="single" w:sz="8" w:space="0" w:color="auto"/>
            </w:tcBorders>
            <w:shd w:val="clear" w:color="auto" w:fill="auto"/>
            <w:noWrap/>
            <w:vAlign w:val="center"/>
            <w:hideMark/>
          </w:tcPr>
          <w:p w14:paraId="423E1756" w14:textId="332B3903"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2,9</w:t>
            </w:r>
            <w:r>
              <w:rPr>
                <w:rFonts w:cs="Arial"/>
                <w:color w:val="000000"/>
                <w:sz w:val="18"/>
                <w:szCs w:val="18"/>
              </w:rPr>
              <w:t xml:space="preserve"> %</w:t>
            </w:r>
          </w:p>
        </w:tc>
        <w:tc>
          <w:tcPr>
            <w:tcW w:w="1230" w:type="dxa"/>
            <w:tcBorders>
              <w:top w:val="nil"/>
              <w:left w:val="nil"/>
              <w:bottom w:val="nil"/>
              <w:right w:val="nil"/>
            </w:tcBorders>
            <w:shd w:val="clear" w:color="auto" w:fill="auto"/>
            <w:noWrap/>
            <w:vAlign w:val="center"/>
            <w:hideMark/>
          </w:tcPr>
          <w:p w14:paraId="63121F1F"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417</w:t>
            </w:r>
          </w:p>
        </w:tc>
        <w:tc>
          <w:tcPr>
            <w:tcW w:w="1264" w:type="dxa"/>
            <w:tcBorders>
              <w:top w:val="nil"/>
              <w:left w:val="nil"/>
              <w:bottom w:val="nil"/>
              <w:right w:val="single" w:sz="8" w:space="0" w:color="auto"/>
            </w:tcBorders>
            <w:shd w:val="clear" w:color="auto" w:fill="auto"/>
            <w:noWrap/>
            <w:vAlign w:val="center"/>
            <w:hideMark/>
          </w:tcPr>
          <w:p w14:paraId="4940E325" w14:textId="2A141F4C"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3,5</w:t>
            </w:r>
            <w:r>
              <w:rPr>
                <w:rFonts w:cs="Arial"/>
                <w:color w:val="000000"/>
                <w:sz w:val="18"/>
                <w:szCs w:val="18"/>
              </w:rPr>
              <w:t xml:space="preserve"> %</w:t>
            </w:r>
          </w:p>
        </w:tc>
      </w:tr>
      <w:tr w:rsidR="00DA0972" w:rsidRPr="00DA0972" w14:paraId="16ED55B3" w14:textId="77777777" w:rsidTr="00DA0972">
        <w:trPr>
          <w:trHeight w:val="300"/>
        </w:trPr>
        <w:tc>
          <w:tcPr>
            <w:tcW w:w="2503" w:type="dxa"/>
            <w:tcBorders>
              <w:top w:val="nil"/>
              <w:left w:val="single" w:sz="8" w:space="0" w:color="auto"/>
              <w:bottom w:val="nil"/>
              <w:right w:val="single" w:sz="8" w:space="0" w:color="auto"/>
            </w:tcBorders>
            <w:shd w:val="clear" w:color="auto" w:fill="auto"/>
            <w:vAlign w:val="center"/>
            <w:hideMark/>
          </w:tcPr>
          <w:p w14:paraId="73AC8F11" w14:textId="77777777" w:rsidR="00DA0972" w:rsidRPr="00DA0972" w:rsidRDefault="00DA0972" w:rsidP="00DA0972">
            <w:pPr>
              <w:spacing w:after="0" w:line="240" w:lineRule="auto"/>
              <w:ind w:firstLineChars="200" w:firstLine="360"/>
              <w:rPr>
                <w:rFonts w:cs="Arial"/>
                <w:color w:val="000000"/>
                <w:sz w:val="18"/>
                <w:szCs w:val="18"/>
              </w:rPr>
            </w:pPr>
            <w:r w:rsidRPr="00DA0972">
              <w:rPr>
                <w:rFonts w:cs="Arial"/>
                <w:color w:val="000000"/>
                <w:sz w:val="18"/>
                <w:szCs w:val="18"/>
              </w:rPr>
              <w:t>Rumunsko</w:t>
            </w:r>
          </w:p>
        </w:tc>
        <w:tc>
          <w:tcPr>
            <w:tcW w:w="1032" w:type="dxa"/>
            <w:tcBorders>
              <w:top w:val="nil"/>
              <w:left w:val="nil"/>
              <w:bottom w:val="nil"/>
              <w:right w:val="nil"/>
            </w:tcBorders>
            <w:shd w:val="clear" w:color="auto" w:fill="auto"/>
            <w:noWrap/>
            <w:vAlign w:val="center"/>
            <w:hideMark/>
          </w:tcPr>
          <w:p w14:paraId="3DF97F87"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64</w:t>
            </w:r>
          </w:p>
        </w:tc>
        <w:tc>
          <w:tcPr>
            <w:tcW w:w="1106" w:type="dxa"/>
            <w:tcBorders>
              <w:top w:val="nil"/>
              <w:left w:val="nil"/>
              <w:bottom w:val="nil"/>
              <w:right w:val="single" w:sz="8" w:space="0" w:color="auto"/>
            </w:tcBorders>
            <w:shd w:val="clear" w:color="auto" w:fill="auto"/>
            <w:noWrap/>
            <w:vAlign w:val="center"/>
            <w:hideMark/>
          </w:tcPr>
          <w:p w14:paraId="279E3DBA" w14:textId="4B2F4485"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1,4</w:t>
            </w:r>
            <w:r>
              <w:rPr>
                <w:rFonts w:cs="Arial"/>
                <w:color w:val="000000"/>
                <w:sz w:val="18"/>
                <w:szCs w:val="18"/>
              </w:rPr>
              <w:t xml:space="preserve"> %</w:t>
            </w:r>
          </w:p>
        </w:tc>
        <w:tc>
          <w:tcPr>
            <w:tcW w:w="1170" w:type="dxa"/>
            <w:tcBorders>
              <w:top w:val="nil"/>
              <w:left w:val="nil"/>
              <w:bottom w:val="nil"/>
              <w:right w:val="nil"/>
            </w:tcBorders>
            <w:shd w:val="clear" w:color="auto" w:fill="auto"/>
            <w:noWrap/>
            <w:vAlign w:val="center"/>
            <w:hideMark/>
          </w:tcPr>
          <w:p w14:paraId="7CB2E0AF"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194</w:t>
            </w:r>
          </w:p>
        </w:tc>
        <w:tc>
          <w:tcPr>
            <w:tcW w:w="1323" w:type="dxa"/>
            <w:tcBorders>
              <w:top w:val="nil"/>
              <w:left w:val="nil"/>
              <w:bottom w:val="nil"/>
              <w:right w:val="single" w:sz="8" w:space="0" w:color="auto"/>
            </w:tcBorders>
            <w:shd w:val="clear" w:color="auto" w:fill="auto"/>
            <w:noWrap/>
            <w:vAlign w:val="center"/>
            <w:hideMark/>
          </w:tcPr>
          <w:p w14:paraId="75628ACA" w14:textId="23733F64"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2,0</w:t>
            </w:r>
            <w:r>
              <w:rPr>
                <w:rFonts w:cs="Arial"/>
                <w:color w:val="000000"/>
                <w:sz w:val="18"/>
                <w:szCs w:val="18"/>
              </w:rPr>
              <w:t xml:space="preserve"> %</w:t>
            </w:r>
          </w:p>
        </w:tc>
        <w:tc>
          <w:tcPr>
            <w:tcW w:w="1230" w:type="dxa"/>
            <w:tcBorders>
              <w:top w:val="nil"/>
              <w:left w:val="nil"/>
              <w:bottom w:val="nil"/>
              <w:right w:val="nil"/>
            </w:tcBorders>
            <w:shd w:val="clear" w:color="auto" w:fill="auto"/>
            <w:noWrap/>
            <w:vAlign w:val="center"/>
            <w:hideMark/>
          </w:tcPr>
          <w:p w14:paraId="607352E7"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376</w:t>
            </w:r>
          </w:p>
        </w:tc>
        <w:tc>
          <w:tcPr>
            <w:tcW w:w="1264" w:type="dxa"/>
            <w:tcBorders>
              <w:top w:val="nil"/>
              <w:left w:val="nil"/>
              <w:bottom w:val="nil"/>
              <w:right w:val="single" w:sz="8" w:space="0" w:color="auto"/>
            </w:tcBorders>
            <w:shd w:val="clear" w:color="auto" w:fill="auto"/>
            <w:noWrap/>
            <w:vAlign w:val="center"/>
            <w:hideMark/>
          </w:tcPr>
          <w:p w14:paraId="43405AEF" w14:textId="39FDB96C"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3,1</w:t>
            </w:r>
            <w:r>
              <w:rPr>
                <w:rFonts w:cs="Arial"/>
                <w:color w:val="000000"/>
                <w:sz w:val="18"/>
                <w:szCs w:val="18"/>
              </w:rPr>
              <w:t xml:space="preserve"> %</w:t>
            </w:r>
          </w:p>
        </w:tc>
      </w:tr>
      <w:tr w:rsidR="00DA0972" w:rsidRPr="00DA0972" w14:paraId="197CD783" w14:textId="77777777" w:rsidTr="00DA0972">
        <w:trPr>
          <w:trHeight w:val="300"/>
        </w:trPr>
        <w:tc>
          <w:tcPr>
            <w:tcW w:w="2503" w:type="dxa"/>
            <w:tcBorders>
              <w:top w:val="nil"/>
              <w:left w:val="single" w:sz="8" w:space="0" w:color="auto"/>
              <w:bottom w:val="nil"/>
              <w:right w:val="single" w:sz="8" w:space="0" w:color="auto"/>
            </w:tcBorders>
            <w:shd w:val="clear" w:color="auto" w:fill="auto"/>
            <w:vAlign w:val="center"/>
            <w:hideMark/>
          </w:tcPr>
          <w:p w14:paraId="29FD6375" w14:textId="77777777" w:rsidR="00DA0972" w:rsidRPr="00DA0972" w:rsidRDefault="00DA0972" w:rsidP="00DA0972">
            <w:pPr>
              <w:spacing w:after="0" w:line="240" w:lineRule="auto"/>
              <w:ind w:firstLineChars="200" w:firstLine="360"/>
              <w:rPr>
                <w:rFonts w:cs="Arial"/>
                <w:color w:val="000000"/>
                <w:sz w:val="18"/>
                <w:szCs w:val="18"/>
              </w:rPr>
            </w:pPr>
            <w:r w:rsidRPr="00DA0972">
              <w:rPr>
                <w:rFonts w:cs="Arial"/>
                <w:color w:val="000000"/>
                <w:sz w:val="18"/>
                <w:szCs w:val="18"/>
              </w:rPr>
              <w:t>Bulharsko</w:t>
            </w:r>
          </w:p>
        </w:tc>
        <w:tc>
          <w:tcPr>
            <w:tcW w:w="1032" w:type="dxa"/>
            <w:tcBorders>
              <w:top w:val="nil"/>
              <w:left w:val="nil"/>
              <w:bottom w:val="nil"/>
              <w:right w:val="nil"/>
            </w:tcBorders>
            <w:shd w:val="clear" w:color="auto" w:fill="auto"/>
            <w:noWrap/>
            <w:vAlign w:val="center"/>
            <w:hideMark/>
          </w:tcPr>
          <w:p w14:paraId="78DD5884"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79</w:t>
            </w:r>
          </w:p>
        </w:tc>
        <w:tc>
          <w:tcPr>
            <w:tcW w:w="1106" w:type="dxa"/>
            <w:tcBorders>
              <w:top w:val="nil"/>
              <w:left w:val="nil"/>
              <w:bottom w:val="nil"/>
              <w:right w:val="single" w:sz="8" w:space="0" w:color="auto"/>
            </w:tcBorders>
            <w:shd w:val="clear" w:color="auto" w:fill="auto"/>
            <w:noWrap/>
            <w:vAlign w:val="center"/>
            <w:hideMark/>
          </w:tcPr>
          <w:p w14:paraId="5E99B810" w14:textId="2B556D96"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1,7</w:t>
            </w:r>
            <w:r>
              <w:rPr>
                <w:rFonts w:cs="Arial"/>
                <w:color w:val="000000"/>
                <w:sz w:val="18"/>
                <w:szCs w:val="18"/>
              </w:rPr>
              <w:t xml:space="preserve"> %</w:t>
            </w:r>
          </w:p>
        </w:tc>
        <w:tc>
          <w:tcPr>
            <w:tcW w:w="1170" w:type="dxa"/>
            <w:tcBorders>
              <w:top w:val="nil"/>
              <w:left w:val="nil"/>
              <w:bottom w:val="nil"/>
              <w:right w:val="nil"/>
            </w:tcBorders>
            <w:shd w:val="clear" w:color="auto" w:fill="auto"/>
            <w:noWrap/>
            <w:vAlign w:val="center"/>
            <w:hideMark/>
          </w:tcPr>
          <w:p w14:paraId="4A371E3F"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201</w:t>
            </w:r>
          </w:p>
        </w:tc>
        <w:tc>
          <w:tcPr>
            <w:tcW w:w="1323" w:type="dxa"/>
            <w:tcBorders>
              <w:top w:val="nil"/>
              <w:left w:val="nil"/>
              <w:bottom w:val="nil"/>
              <w:right w:val="single" w:sz="8" w:space="0" w:color="auto"/>
            </w:tcBorders>
            <w:shd w:val="clear" w:color="auto" w:fill="auto"/>
            <w:noWrap/>
            <w:vAlign w:val="center"/>
            <w:hideMark/>
          </w:tcPr>
          <w:p w14:paraId="3F9027F6" w14:textId="6EB590BA"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2,1</w:t>
            </w:r>
            <w:r>
              <w:rPr>
                <w:rFonts w:cs="Arial"/>
                <w:color w:val="000000"/>
                <w:sz w:val="18"/>
                <w:szCs w:val="18"/>
              </w:rPr>
              <w:t xml:space="preserve"> %</w:t>
            </w:r>
          </w:p>
        </w:tc>
        <w:tc>
          <w:tcPr>
            <w:tcW w:w="1230" w:type="dxa"/>
            <w:tcBorders>
              <w:top w:val="nil"/>
              <w:left w:val="nil"/>
              <w:bottom w:val="nil"/>
              <w:right w:val="nil"/>
            </w:tcBorders>
            <w:shd w:val="clear" w:color="auto" w:fill="auto"/>
            <w:noWrap/>
            <w:vAlign w:val="center"/>
            <w:hideMark/>
          </w:tcPr>
          <w:p w14:paraId="1859D060"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275</w:t>
            </w:r>
          </w:p>
        </w:tc>
        <w:tc>
          <w:tcPr>
            <w:tcW w:w="1264" w:type="dxa"/>
            <w:tcBorders>
              <w:top w:val="nil"/>
              <w:left w:val="nil"/>
              <w:bottom w:val="nil"/>
              <w:right w:val="single" w:sz="8" w:space="0" w:color="auto"/>
            </w:tcBorders>
            <w:shd w:val="clear" w:color="auto" w:fill="auto"/>
            <w:noWrap/>
            <w:vAlign w:val="center"/>
            <w:hideMark/>
          </w:tcPr>
          <w:p w14:paraId="489BBBB5" w14:textId="5254891D"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2,3</w:t>
            </w:r>
            <w:r>
              <w:rPr>
                <w:rFonts w:cs="Arial"/>
                <w:color w:val="000000"/>
                <w:sz w:val="18"/>
                <w:szCs w:val="18"/>
              </w:rPr>
              <w:t xml:space="preserve"> %</w:t>
            </w:r>
          </w:p>
        </w:tc>
      </w:tr>
      <w:tr w:rsidR="00DA0972" w:rsidRPr="00DA0972" w14:paraId="6BF4A21C" w14:textId="77777777" w:rsidTr="00DA0972">
        <w:trPr>
          <w:trHeight w:val="300"/>
        </w:trPr>
        <w:tc>
          <w:tcPr>
            <w:tcW w:w="2503" w:type="dxa"/>
            <w:tcBorders>
              <w:top w:val="nil"/>
              <w:left w:val="single" w:sz="8" w:space="0" w:color="auto"/>
              <w:bottom w:val="nil"/>
              <w:right w:val="single" w:sz="8" w:space="0" w:color="auto"/>
            </w:tcBorders>
            <w:shd w:val="clear" w:color="auto" w:fill="auto"/>
            <w:vAlign w:val="center"/>
            <w:hideMark/>
          </w:tcPr>
          <w:p w14:paraId="65647E60" w14:textId="77777777" w:rsidR="00DA0972" w:rsidRPr="00DA0972" w:rsidRDefault="00DA0972" w:rsidP="00DA0972">
            <w:pPr>
              <w:spacing w:after="0" w:line="240" w:lineRule="auto"/>
              <w:ind w:firstLineChars="200" w:firstLine="360"/>
              <w:rPr>
                <w:rFonts w:cs="Arial"/>
                <w:color w:val="000000"/>
                <w:sz w:val="18"/>
                <w:szCs w:val="18"/>
              </w:rPr>
            </w:pPr>
            <w:r w:rsidRPr="00DA0972">
              <w:rPr>
                <w:rFonts w:cs="Arial"/>
                <w:color w:val="000000"/>
                <w:sz w:val="18"/>
                <w:szCs w:val="18"/>
              </w:rPr>
              <w:t>Polsko</w:t>
            </w:r>
          </w:p>
        </w:tc>
        <w:tc>
          <w:tcPr>
            <w:tcW w:w="1032" w:type="dxa"/>
            <w:tcBorders>
              <w:top w:val="nil"/>
              <w:left w:val="nil"/>
              <w:bottom w:val="nil"/>
              <w:right w:val="nil"/>
            </w:tcBorders>
            <w:shd w:val="clear" w:color="auto" w:fill="auto"/>
            <w:noWrap/>
            <w:vAlign w:val="center"/>
            <w:hideMark/>
          </w:tcPr>
          <w:p w14:paraId="5B511525"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91</w:t>
            </w:r>
          </w:p>
        </w:tc>
        <w:tc>
          <w:tcPr>
            <w:tcW w:w="1106" w:type="dxa"/>
            <w:tcBorders>
              <w:top w:val="nil"/>
              <w:left w:val="nil"/>
              <w:bottom w:val="nil"/>
              <w:right w:val="single" w:sz="8" w:space="0" w:color="auto"/>
            </w:tcBorders>
            <w:shd w:val="clear" w:color="auto" w:fill="auto"/>
            <w:noWrap/>
            <w:vAlign w:val="center"/>
            <w:hideMark/>
          </w:tcPr>
          <w:p w14:paraId="50A51856" w14:textId="55C0B34B"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1,9</w:t>
            </w:r>
            <w:r>
              <w:rPr>
                <w:rFonts w:cs="Arial"/>
                <w:color w:val="000000"/>
                <w:sz w:val="18"/>
                <w:szCs w:val="18"/>
              </w:rPr>
              <w:t xml:space="preserve"> %</w:t>
            </w:r>
          </w:p>
        </w:tc>
        <w:tc>
          <w:tcPr>
            <w:tcW w:w="1170" w:type="dxa"/>
            <w:tcBorders>
              <w:top w:val="nil"/>
              <w:left w:val="nil"/>
              <w:bottom w:val="nil"/>
              <w:right w:val="nil"/>
            </w:tcBorders>
            <w:shd w:val="clear" w:color="auto" w:fill="auto"/>
            <w:noWrap/>
            <w:vAlign w:val="center"/>
            <w:hideMark/>
          </w:tcPr>
          <w:p w14:paraId="68A38AA9"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144</w:t>
            </w:r>
          </w:p>
        </w:tc>
        <w:tc>
          <w:tcPr>
            <w:tcW w:w="1323" w:type="dxa"/>
            <w:tcBorders>
              <w:top w:val="nil"/>
              <w:left w:val="nil"/>
              <w:bottom w:val="nil"/>
              <w:right w:val="single" w:sz="8" w:space="0" w:color="auto"/>
            </w:tcBorders>
            <w:shd w:val="clear" w:color="auto" w:fill="auto"/>
            <w:noWrap/>
            <w:vAlign w:val="center"/>
            <w:hideMark/>
          </w:tcPr>
          <w:p w14:paraId="650B530E" w14:textId="1DAC3048"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1,5</w:t>
            </w:r>
            <w:r>
              <w:rPr>
                <w:rFonts w:cs="Arial"/>
                <w:color w:val="000000"/>
                <w:sz w:val="18"/>
                <w:szCs w:val="18"/>
              </w:rPr>
              <w:t xml:space="preserve"> %</w:t>
            </w:r>
          </w:p>
        </w:tc>
        <w:tc>
          <w:tcPr>
            <w:tcW w:w="1230" w:type="dxa"/>
            <w:tcBorders>
              <w:top w:val="nil"/>
              <w:left w:val="nil"/>
              <w:bottom w:val="nil"/>
              <w:right w:val="nil"/>
            </w:tcBorders>
            <w:shd w:val="clear" w:color="auto" w:fill="auto"/>
            <w:noWrap/>
            <w:vAlign w:val="center"/>
            <w:hideMark/>
          </w:tcPr>
          <w:p w14:paraId="7E7E1BDF"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204</w:t>
            </w:r>
          </w:p>
        </w:tc>
        <w:tc>
          <w:tcPr>
            <w:tcW w:w="1264" w:type="dxa"/>
            <w:tcBorders>
              <w:top w:val="nil"/>
              <w:left w:val="nil"/>
              <w:bottom w:val="nil"/>
              <w:right w:val="single" w:sz="8" w:space="0" w:color="auto"/>
            </w:tcBorders>
            <w:shd w:val="clear" w:color="auto" w:fill="auto"/>
            <w:noWrap/>
            <w:vAlign w:val="center"/>
            <w:hideMark/>
          </w:tcPr>
          <w:p w14:paraId="47002768" w14:textId="5711AE79"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1,7</w:t>
            </w:r>
            <w:r>
              <w:rPr>
                <w:rFonts w:cs="Arial"/>
                <w:color w:val="000000"/>
                <w:sz w:val="18"/>
                <w:szCs w:val="18"/>
              </w:rPr>
              <w:t xml:space="preserve"> %</w:t>
            </w:r>
          </w:p>
        </w:tc>
      </w:tr>
      <w:tr w:rsidR="00DA0972" w:rsidRPr="00DA0972" w14:paraId="32106E83" w14:textId="77777777" w:rsidTr="00DA0972">
        <w:trPr>
          <w:trHeight w:val="300"/>
        </w:trPr>
        <w:tc>
          <w:tcPr>
            <w:tcW w:w="2503" w:type="dxa"/>
            <w:tcBorders>
              <w:top w:val="nil"/>
              <w:left w:val="single" w:sz="8" w:space="0" w:color="auto"/>
              <w:bottom w:val="nil"/>
              <w:right w:val="single" w:sz="8" w:space="0" w:color="auto"/>
            </w:tcBorders>
            <w:shd w:val="clear" w:color="auto" w:fill="auto"/>
            <w:vAlign w:val="center"/>
            <w:hideMark/>
          </w:tcPr>
          <w:p w14:paraId="22FC0A81" w14:textId="77777777" w:rsidR="00DA0972" w:rsidRPr="00DA0972" w:rsidRDefault="00DA0972" w:rsidP="00DA0972">
            <w:pPr>
              <w:spacing w:after="0" w:line="240" w:lineRule="auto"/>
              <w:ind w:firstLineChars="200" w:firstLine="360"/>
              <w:rPr>
                <w:rFonts w:cs="Arial"/>
                <w:color w:val="000000"/>
                <w:sz w:val="18"/>
                <w:szCs w:val="18"/>
              </w:rPr>
            </w:pPr>
            <w:r w:rsidRPr="00DA0972">
              <w:rPr>
                <w:rFonts w:cs="Arial"/>
                <w:color w:val="000000"/>
                <w:sz w:val="18"/>
                <w:szCs w:val="18"/>
              </w:rPr>
              <w:t>Moldavsko</w:t>
            </w:r>
          </w:p>
        </w:tc>
        <w:tc>
          <w:tcPr>
            <w:tcW w:w="1032" w:type="dxa"/>
            <w:tcBorders>
              <w:top w:val="nil"/>
              <w:left w:val="nil"/>
              <w:bottom w:val="nil"/>
              <w:right w:val="nil"/>
            </w:tcBorders>
            <w:shd w:val="clear" w:color="auto" w:fill="auto"/>
            <w:noWrap/>
            <w:vAlign w:val="center"/>
            <w:hideMark/>
          </w:tcPr>
          <w:p w14:paraId="3A2BB3EE"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92</w:t>
            </w:r>
          </w:p>
        </w:tc>
        <w:tc>
          <w:tcPr>
            <w:tcW w:w="1106" w:type="dxa"/>
            <w:tcBorders>
              <w:top w:val="nil"/>
              <w:left w:val="nil"/>
              <w:bottom w:val="nil"/>
              <w:right w:val="single" w:sz="8" w:space="0" w:color="auto"/>
            </w:tcBorders>
            <w:shd w:val="clear" w:color="auto" w:fill="auto"/>
            <w:noWrap/>
            <w:vAlign w:val="center"/>
            <w:hideMark/>
          </w:tcPr>
          <w:p w14:paraId="39A28CB9" w14:textId="3D7DCCDC"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2,0</w:t>
            </w:r>
            <w:r>
              <w:rPr>
                <w:rFonts w:cs="Arial"/>
                <w:color w:val="000000"/>
                <w:sz w:val="18"/>
                <w:szCs w:val="18"/>
              </w:rPr>
              <w:t xml:space="preserve"> %</w:t>
            </w:r>
          </w:p>
        </w:tc>
        <w:tc>
          <w:tcPr>
            <w:tcW w:w="1170" w:type="dxa"/>
            <w:tcBorders>
              <w:top w:val="nil"/>
              <w:left w:val="nil"/>
              <w:bottom w:val="nil"/>
              <w:right w:val="nil"/>
            </w:tcBorders>
            <w:shd w:val="clear" w:color="auto" w:fill="auto"/>
            <w:noWrap/>
            <w:vAlign w:val="center"/>
            <w:hideMark/>
          </w:tcPr>
          <w:p w14:paraId="2BFD7830"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157</w:t>
            </w:r>
          </w:p>
        </w:tc>
        <w:tc>
          <w:tcPr>
            <w:tcW w:w="1323" w:type="dxa"/>
            <w:tcBorders>
              <w:top w:val="nil"/>
              <w:left w:val="nil"/>
              <w:bottom w:val="nil"/>
              <w:right w:val="single" w:sz="8" w:space="0" w:color="auto"/>
            </w:tcBorders>
            <w:shd w:val="clear" w:color="auto" w:fill="auto"/>
            <w:noWrap/>
            <w:vAlign w:val="center"/>
            <w:hideMark/>
          </w:tcPr>
          <w:p w14:paraId="35F8A141" w14:textId="57148133"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1,7</w:t>
            </w:r>
            <w:r>
              <w:rPr>
                <w:rFonts w:cs="Arial"/>
                <w:color w:val="000000"/>
                <w:sz w:val="18"/>
                <w:szCs w:val="18"/>
              </w:rPr>
              <w:t xml:space="preserve"> %</w:t>
            </w:r>
          </w:p>
        </w:tc>
        <w:tc>
          <w:tcPr>
            <w:tcW w:w="1230" w:type="dxa"/>
            <w:tcBorders>
              <w:top w:val="nil"/>
              <w:left w:val="nil"/>
              <w:bottom w:val="nil"/>
              <w:right w:val="nil"/>
            </w:tcBorders>
            <w:shd w:val="clear" w:color="auto" w:fill="auto"/>
            <w:noWrap/>
            <w:vAlign w:val="center"/>
            <w:hideMark/>
          </w:tcPr>
          <w:p w14:paraId="1E4F0FF6"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187</w:t>
            </w:r>
          </w:p>
        </w:tc>
        <w:tc>
          <w:tcPr>
            <w:tcW w:w="1264" w:type="dxa"/>
            <w:tcBorders>
              <w:top w:val="nil"/>
              <w:left w:val="nil"/>
              <w:bottom w:val="nil"/>
              <w:right w:val="single" w:sz="8" w:space="0" w:color="auto"/>
            </w:tcBorders>
            <w:shd w:val="clear" w:color="auto" w:fill="auto"/>
            <w:noWrap/>
            <w:vAlign w:val="center"/>
            <w:hideMark/>
          </w:tcPr>
          <w:p w14:paraId="5A23FF92" w14:textId="3DD4AC32"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1,6</w:t>
            </w:r>
            <w:r>
              <w:rPr>
                <w:rFonts w:cs="Arial"/>
                <w:color w:val="000000"/>
                <w:sz w:val="18"/>
                <w:szCs w:val="18"/>
              </w:rPr>
              <w:t xml:space="preserve"> %</w:t>
            </w:r>
          </w:p>
        </w:tc>
      </w:tr>
      <w:tr w:rsidR="00DA0972" w:rsidRPr="00DA0972" w14:paraId="3C56CDEB" w14:textId="77777777" w:rsidTr="00DA0972">
        <w:trPr>
          <w:trHeight w:val="300"/>
        </w:trPr>
        <w:tc>
          <w:tcPr>
            <w:tcW w:w="2503" w:type="dxa"/>
            <w:tcBorders>
              <w:top w:val="nil"/>
              <w:left w:val="single" w:sz="8" w:space="0" w:color="auto"/>
              <w:bottom w:val="nil"/>
              <w:right w:val="single" w:sz="8" w:space="0" w:color="auto"/>
            </w:tcBorders>
            <w:shd w:val="clear" w:color="auto" w:fill="auto"/>
            <w:vAlign w:val="center"/>
            <w:hideMark/>
          </w:tcPr>
          <w:p w14:paraId="3B6C75B3" w14:textId="77777777" w:rsidR="00DA0972" w:rsidRPr="00DA0972" w:rsidRDefault="00DA0972" w:rsidP="00DA0972">
            <w:pPr>
              <w:spacing w:after="0" w:line="240" w:lineRule="auto"/>
              <w:ind w:firstLineChars="200" w:firstLine="360"/>
              <w:rPr>
                <w:rFonts w:cs="Arial"/>
                <w:color w:val="000000"/>
                <w:sz w:val="18"/>
                <w:szCs w:val="18"/>
              </w:rPr>
            </w:pPr>
            <w:r w:rsidRPr="00DA0972">
              <w:rPr>
                <w:rFonts w:cs="Arial"/>
                <w:color w:val="000000"/>
                <w:sz w:val="18"/>
                <w:szCs w:val="18"/>
              </w:rPr>
              <w:t>Maďarsko</w:t>
            </w:r>
          </w:p>
        </w:tc>
        <w:tc>
          <w:tcPr>
            <w:tcW w:w="1032" w:type="dxa"/>
            <w:tcBorders>
              <w:top w:val="nil"/>
              <w:left w:val="nil"/>
              <w:bottom w:val="nil"/>
              <w:right w:val="nil"/>
            </w:tcBorders>
            <w:shd w:val="clear" w:color="auto" w:fill="auto"/>
            <w:noWrap/>
            <w:vAlign w:val="center"/>
            <w:hideMark/>
          </w:tcPr>
          <w:p w14:paraId="4AEC3343"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11</w:t>
            </w:r>
          </w:p>
        </w:tc>
        <w:tc>
          <w:tcPr>
            <w:tcW w:w="1106" w:type="dxa"/>
            <w:tcBorders>
              <w:top w:val="nil"/>
              <w:left w:val="nil"/>
              <w:bottom w:val="nil"/>
              <w:right w:val="single" w:sz="8" w:space="0" w:color="auto"/>
            </w:tcBorders>
            <w:shd w:val="clear" w:color="auto" w:fill="auto"/>
            <w:noWrap/>
            <w:vAlign w:val="center"/>
            <w:hideMark/>
          </w:tcPr>
          <w:p w14:paraId="62776602" w14:textId="2064ABA9"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0,2</w:t>
            </w:r>
            <w:r>
              <w:rPr>
                <w:rFonts w:cs="Arial"/>
                <w:color w:val="000000"/>
                <w:sz w:val="18"/>
                <w:szCs w:val="18"/>
              </w:rPr>
              <w:t xml:space="preserve"> %</w:t>
            </w:r>
          </w:p>
        </w:tc>
        <w:tc>
          <w:tcPr>
            <w:tcW w:w="1170" w:type="dxa"/>
            <w:tcBorders>
              <w:top w:val="nil"/>
              <w:left w:val="nil"/>
              <w:bottom w:val="nil"/>
              <w:right w:val="nil"/>
            </w:tcBorders>
            <w:shd w:val="clear" w:color="auto" w:fill="auto"/>
            <w:noWrap/>
            <w:vAlign w:val="center"/>
            <w:hideMark/>
          </w:tcPr>
          <w:p w14:paraId="19913E4F"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75</w:t>
            </w:r>
          </w:p>
        </w:tc>
        <w:tc>
          <w:tcPr>
            <w:tcW w:w="1323" w:type="dxa"/>
            <w:tcBorders>
              <w:top w:val="nil"/>
              <w:left w:val="nil"/>
              <w:bottom w:val="nil"/>
              <w:right w:val="single" w:sz="8" w:space="0" w:color="auto"/>
            </w:tcBorders>
            <w:shd w:val="clear" w:color="auto" w:fill="auto"/>
            <w:noWrap/>
            <w:vAlign w:val="center"/>
            <w:hideMark/>
          </w:tcPr>
          <w:p w14:paraId="74101F88" w14:textId="75C0F453"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0,8</w:t>
            </w:r>
            <w:r>
              <w:rPr>
                <w:rFonts w:cs="Arial"/>
                <w:color w:val="000000"/>
                <w:sz w:val="18"/>
                <w:szCs w:val="18"/>
              </w:rPr>
              <w:t xml:space="preserve"> %</w:t>
            </w:r>
          </w:p>
        </w:tc>
        <w:tc>
          <w:tcPr>
            <w:tcW w:w="1230" w:type="dxa"/>
            <w:tcBorders>
              <w:top w:val="nil"/>
              <w:left w:val="nil"/>
              <w:bottom w:val="nil"/>
              <w:right w:val="nil"/>
            </w:tcBorders>
            <w:shd w:val="clear" w:color="auto" w:fill="auto"/>
            <w:noWrap/>
            <w:vAlign w:val="center"/>
            <w:hideMark/>
          </w:tcPr>
          <w:p w14:paraId="2996A582"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166</w:t>
            </w:r>
          </w:p>
        </w:tc>
        <w:tc>
          <w:tcPr>
            <w:tcW w:w="1264" w:type="dxa"/>
            <w:tcBorders>
              <w:top w:val="nil"/>
              <w:left w:val="nil"/>
              <w:bottom w:val="nil"/>
              <w:right w:val="single" w:sz="8" w:space="0" w:color="auto"/>
            </w:tcBorders>
            <w:shd w:val="clear" w:color="auto" w:fill="auto"/>
            <w:noWrap/>
            <w:vAlign w:val="center"/>
            <w:hideMark/>
          </w:tcPr>
          <w:p w14:paraId="135844DF" w14:textId="51C013BD"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1,4</w:t>
            </w:r>
            <w:r>
              <w:rPr>
                <w:rFonts w:cs="Arial"/>
                <w:color w:val="000000"/>
                <w:sz w:val="18"/>
                <w:szCs w:val="18"/>
              </w:rPr>
              <w:t xml:space="preserve"> %</w:t>
            </w:r>
          </w:p>
        </w:tc>
      </w:tr>
      <w:tr w:rsidR="00DA0972" w:rsidRPr="00DA0972" w14:paraId="2490DB5F" w14:textId="77777777" w:rsidTr="00DA0972">
        <w:trPr>
          <w:trHeight w:val="300"/>
        </w:trPr>
        <w:tc>
          <w:tcPr>
            <w:tcW w:w="2503" w:type="dxa"/>
            <w:tcBorders>
              <w:top w:val="nil"/>
              <w:left w:val="single" w:sz="8" w:space="0" w:color="auto"/>
              <w:bottom w:val="nil"/>
              <w:right w:val="single" w:sz="8" w:space="0" w:color="auto"/>
            </w:tcBorders>
            <w:shd w:val="clear" w:color="auto" w:fill="auto"/>
            <w:vAlign w:val="center"/>
            <w:hideMark/>
          </w:tcPr>
          <w:p w14:paraId="69267EF8" w14:textId="77777777" w:rsidR="00DA0972" w:rsidRPr="00DA0972" w:rsidRDefault="00DA0972" w:rsidP="00DA0972">
            <w:pPr>
              <w:spacing w:after="0" w:line="240" w:lineRule="auto"/>
              <w:ind w:firstLineChars="200" w:firstLine="360"/>
              <w:rPr>
                <w:rFonts w:cs="Arial"/>
                <w:color w:val="000000"/>
                <w:sz w:val="18"/>
                <w:szCs w:val="18"/>
              </w:rPr>
            </w:pPr>
            <w:r w:rsidRPr="00DA0972">
              <w:rPr>
                <w:rFonts w:cs="Arial"/>
                <w:color w:val="000000"/>
                <w:sz w:val="18"/>
                <w:szCs w:val="18"/>
              </w:rPr>
              <w:t>Čína</w:t>
            </w:r>
          </w:p>
        </w:tc>
        <w:tc>
          <w:tcPr>
            <w:tcW w:w="1032" w:type="dxa"/>
            <w:tcBorders>
              <w:top w:val="nil"/>
              <w:left w:val="nil"/>
              <w:bottom w:val="nil"/>
              <w:right w:val="nil"/>
            </w:tcBorders>
            <w:shd w:val="clear" w:color="auto" w:fill="auto"/>
            <w:noWrap/>
            <w:vAlign w:val="center"/>
            <w:hideMark/>
          </w:tcPr>
          <w:p w14:paraId="04E1DEB1"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76</w:t>
            </w:r>
          </w:p>
        </w:tc>
        <w:tc>
          <w:tcPr>
            <w:tcW w:w="1106" w:type="dxa"/>
            <w:tcBorders>
              <w:top w:val="nil"/>
              <w:left w:val="nil"/>
              <w:bottom w:val="nil"/>
              <w:right w:val="single" w:sz="8" w:space="0" w:color="auto"/>
            </w:tcBorders>
            <w:shd w:val="clear" w:color="auto" w:fill="auto"/>
            <w:noWrap/>
            <w:vAlign w:val="center"/>
            <w:hideMark/>
          </w:tcPr>
          <w:p w14:paraId="6828E3AC" w14:textId="3C2C41A1"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1,6</w:t>
            </w:r>
            <w:r>
              <w:rPr>
                <w:rFonts w:cs="Arial"/>
                <w:color w:val="000000"/>
                <w:sz w:val="18"/>
                <w:szCs w:val="18"/>
              </w:rPr>
              <w:t xml:space="preserve"> %</w:t>
            </w:r>
          </w:p>
        </w:tc>
        <w:tc>
          <w:tcPr>
            <w:tcW w:w="1170" w:type="dxa"/>
            <w:tcBorders>
              <w:top w:val="nil"/>
              <w:left w:val="nil"/>
              <w:bottom w:val="nil"/>
              <w:right w:val="nil"/>
            </w:tcBorders>
            <w:shd w:val="clear" w:color="auto" w:fill="auto"/>
            <w:noWrap/>
            <w:vAlign w:val="center"/>
            <w:hideMark/>
          </w:tcPr>
          <w:p w14:paraId="03B3203E"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149</w:t>
            </w:r>
          </w:p>
        </w:tc>
        <w:tc>
          <w:tcPr>
            <w:tcW w:w="1323" w:type="dxa"/>
            <w:tcBorders>
              <w:top w:val="nil"/>
              <w:left w:val="nil"/>
              <w:bottom w:val="nil"/>
              <w:right w:val="single" w:sz="8" w:space="0" w:color="auto"/>
            </w:tcBorders>
            <w:shd w:val="clear" w:color="auto" w:fill="auto"/>
            <w:noWrap/>
            <w:vAlign w:val="center"/>
            <w:hideMark/>
          </w:tcPr>
          <w:p w14:paraId="09E8AD70" w14:textId="084B6F11"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1,6</w:t>
            </w:r>
            <w:r>
              <w:rPr>
                <w:rFonts w:cs="Arial"/>
                <w:color w:val="000000"/>
                <w:sz w:val="18"/>
                <w:szCs w:val="18"/>
              </w:rPr>
              <w:t xml:space="preserve"> %</w:t>
            </w:r>
          </w:p>
        </w:tc>
        <w:tc>
          <w:tcPr>
            <w:tcW w:w="1230" w:type="dxa"/>
            <w:tcBorders>
              <w:top w:val="nil"/>
              <w:left w:val="nil"/>
              <w:bottom w:val="nil"/>
              <w:right w:val="nil"/>
            </w:tcBorders>
            <w:shd w:val="clear" w:color="auto" w:fill="auto"/>
            <w:noWrap/>
            <w:vAlign w:val="center"/>
            <w:hideMark/>
          </w:tcPr>
          <w:p w14:paraId="3E525D08"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110</w:t>
            </w:r>
          </w:p>
        </w:tc>
        <w:tc>
          <w:tcPr>
            <w:tcW w:w="1264" w:type="dxa"/>
            <w:tcBorders>
              <w:top w:val="nil"/>
              <w:left w:val="nil"/>
              <w:bottom w:val="nil"/>
              <w:right w:val="single" w:sz="8" w:space="0" w:color="auto"/>
            </w:tcBorders>
            <w:shd w:val="clear" w:color="auto" w:fill="auto"/>
            <w:noWrap/>
            <w:vAlign w:val="center"/>
            <w:hideMark/>
          </w:tcPr>
          <w:p w14:paraId="78C7D059" w14:textId="74342F9B"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0,9</w:t>
            </w:r>
            <w:r>
              <w:rPr>
                <w:rFonts w:cs="Arial"/>
                <w:color w:val="000000"/>
                <w:sz w:val="18"/>
                <w:szCs w:val="18"/>
              </w:rPr>
              <w:t xml:space="preserve"> %</w:t>
            </w:r>
          </w:p>
        </w:tc>
      </w:tr>
      <w:tr w:rsidR="00DA0972" w:rsidRPr="00DA0972" w14:paraId="545DF28E" w14:textId="77777777" w:rsidTr="00DA0972">
        <w:trPr>
          <w:trHeight w:val="300"/>
        </w:trPr>
        <w:tc>
          <w:tcPr>
            <w:tcW w:w="2503" w:type="dxa"/>
            <w:tcBorders>
              <w:top w:val="nil"/>
              <w:left w:val="single" w:sz="8" w:space="0" w:color="auto"/>
              <w:bottom w:val="nil"/>
              <w:right w:val="single" w:sz="8" w:space="0" w:color="auto"/>
            </w:tcBorders>
            <w:shd w:val="clear" w:color="auto" w:fill="auto"/>
            <w:vAlign w:val="center"/>
            <w:hideMark/>
          </w:tcPr>
          <w:p w14:paraId="643C9ADC" w14:textId="77777777" w:rsidR="00DA0972" w:rsidRPr="00DA0972" w:rsidRDefault="00DA0972" w:rsidP="00DA0972">
            <w:pPr>
              <w:spacing w:after="0" w:line="240" w:lineRule="auto"/>
              <w:ind w:firstLineChars="200" w:firstLine="360"/>
              <w:rPr>
                <w:rFonts w:cs="Arial"/>
                <w:color w:val="000000"/>
                <w:sz w:val="18"/>
                <w:szCs w:val="18"/>
              </w:rPr>
            </w:pPr>
            <w:r w:rsidRPr="00DA0972">
              <w:rPr>
                <w:rFonts w:cs="Arial"/>
                <w:color w:val="000000"/>
                <w:sz w:val="18"/>
                <w:szCs w:val="18"/>
              </w:rPr>
              <w:t>Bělorusko</w:t>
            </w:r>
          </w:p>
        </w:tc>
        <w:tc>
          <w:tcPr>
            <w:tcW w:w="1032" w:type="dxa"/>
            <w:tcBorders>
              <w:top w:val="nil"/>
              <w:left w:val="nil"/>
              <w:bottom w:val="nil"/>
              <w:right w:val="nil"/>
            </w:tcBorders>
            <w:shd w:val="clear" w:color="auto" w:fill="auto"/>
            <w:noWrap/>
            <w:vAlign w:val="center"/>
            <w:hideMark/>
          </w:tcPr>
          <w:p w14:paraId="040DD17A"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61</w:t>
            </w:r>
          </w:p>
        </w:tc>
        <w:tc>
          <w:tcPr>
            <w:tcW w:w="1106" w:type="dxa"/>
            <w:tcBorders>
              <w:top w:val="nil"/>
              <w:left w:val="nil"/>
              <w:bottom w:val="nil"/>
              <w:right w:val="single" w:sz="8" w:space="0" w:color="auto"/>
            </w:tcBorders>
            <w:shd w:val="clear" w:color="auto" w:fill="auto"/>
            <w:noWrap/>
            <w:vAlign w:val="center"/>
            <w:hideMark/>
          </w:tcPr>
          <w:p w14:paraId="2129E9D9" w14:textId="25A9609C"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1,3</w:t>
            </w:r>
            <w:r>
              <w:rPr>
                <w:rFonts w:cs="Arial"/>
                <w:color w:val="000000"/>
                <w:sz w:val="18"/>
                <w:szCs w:val="18"/>
              </w:rPr>
              <w:t xml:space="preserve"> %</w:t>
            </w:r>
          </w:p>
        </w:tc>
        <w:tc>
          <w:tcPr>
            <w:tcW w:w="1170" w:type="dxa"/>
            <w:tcBorders>
              <w:top w:val="nil"/>
              <w:left w:val="nil"/>
              <w:bottom w:val="nil"/>
              <w:right w:val="nil"/>
            </w:tcBorders>
            <w:shd w:val="clear" w:color="auto" w:fill="auto"/>
            <w:noWrap/>
            <w:vAlign w:val="center"/>
            <w:hideMark/>
          </w:tcPr>
          <w:p w14:paraId="5FFCE9F8"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82</w:t>
            </w:r>
          </w:p>
        </w:tc>
        <w:tc>
          <w:tcPr>
            <w:tcW w:w="1323" w:type="dxa"/>
            <w:tcBorders>
              <w:top w:val="nil"/>
              <w:left w:val="nil"/>
              <w:bottom w:val="nil"/>
              <w:right w:val="single" w:sz="8" w:space="0" w:color="auto"/>
            </w:tcBorders>
            <w:shd w:val="clear" w:color="auto" w:fill="auto"/>
            <w:noWrap/>
            <w:vAlign w:val="center"/>
            <w:hideMark/>
          </w:tcPr>
          <w:p w14:paraId="04A8BB85" w14:textId="0685F2D1"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0,9</w:t>
            </w:r>
            <w:r>
              <w:rPr>
                <w:rFonts w:cs="Arial"/>
                <w:color w:val="000000"/>
                <w:sz w:val="18"/>
                <w:szCs w:val="18"/>
              </w:rPr>
              <w:t xml:space="preserve"> %</w:t>
            </w:r>
          </w:p>
        </w:tc>
        <w:tc>
          <w:tcPr>
            <w:tcW w:w="1230" w:type="dxa"/>
            <w:tcBorders>
              <w:top w:val="nil"/>
              <w:left w:val="nil"/>
              <w:bottom w:val="nil"/>
              <w:right w:val="nil"/>
            </w:tcBorders>
            <w:shd w:val="clear" w:color="auto" w:fill="auto"/>
            <w:noWrap/>
            <w:vAlign w:val="center"/>
            <w:hideMark/>
          </w:tcPr>
          <w:p w14:paraId="582E8A6C" w14:textId="777777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108</w:t>
            </w:r>
          </w:p>
        </w:tc>
        <w:tc>
          <w:tcPr>
            <w:tcW w:w="1264" w:type="dxa"/>
            <w:tcBorders>
              <w:top w:val="nil"/>
              <w:left w:val="nil"/>
              <w:bottom w:val="nil"/>
              <w:right w:val="single" w:sz="8" w:space="0" w:color="auto"/>
            </w:tcBorders>
            <w:shd w:val="clear" w:color="auto" w:fill="auto"/>
            <w:noWrap/>
            <w:vAlign w:val="center"/>
            <w:hideMark/>
          </w:tcPr>
          <w:p w14:paraId="0C81386A" w14:textId="36A463DB"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0,9</w:t>
            </w:r>
            <w:r>
              <w:rPr>
                <w:rFonts w:cs="Arial"/>
                <w:color w:val="000000"/>
                <w:sz w:val="18"/>
                <w:szCs w:val="18"/>
              </w:rPr>
              <w:t xml:space="preserve"> %</w:t>
            </w:r>
          </w:p>
        </w:tc>
      </w:tr>
      <w:tr w:rsidR="00DA0972" w:rsidRPr="00DA0972" w14:paraId="4CAE9152" w14:textId="77777777" w:rsidTr="00DA0972">
        <w:trPr>
          <w:trHeight w:hRule="exact" w:val="315"/>
        </w:trPr>
        <w:tc>
          <w:tcPr>
            <w:tcW w:w="2503" w:type="dxa"/>
            <w:tcBorders>
              <w:top w:val="nil"/>
              <w:left w:val="single" w:sz="8" w:space="0" w:color="auto"/>
              <w:bottom w:val="single" w:sz="8" w:space="0" w:color="auto"/>
              <w:right w:val="single" w:sz="8" w:space="0" w:color="auto"/>
            </w:tcBorders>
            <w:shd w:val="clear" w:color="auto" w:fill="auto"/>
            <w:vAlign w:val="center"/>
            <w:hideMark/>
          </w:tcPr>
          <w:p w14:paraId="332F0655" w14:textId="77777777" w:rsidR="00DA0972" w:rsidRPr="00DA0972" w:rsidRDefault="00DA0972" w:rsidP="00DA0972">
            <w:pPr>
              <w:spacing w:after="0" w:line="240" w:lineRule="auto"/>
              <w:ind w:firstLineChars="200" w:firstLine="360"/>
              <w:rPr>
                <w:rFonts w:cs="Arial"/>
                <w:i/>
                <w:iCs/>
                <w:color w:val="000000"/>
                <w:sz w:val="18"/>
                <w:szCs w:val="18"/>
              </w:rPr>
            </w:pPr>
            <w:r w:rsidRPr="00DA0972">
              <w:rPr>
                <w:rFonts w:cs="Arial"/>
                <w:i/>
                <w:iCs/>
                <w:color w:val="000000"/>
                <w:sz w:val="18"/>
                <w:szCs w:val="18"/>
              </w:rPr>
              <w:t>ostatní země</w:t>
            </w:r>
          </w:p>
        </w:tc>
        <w:tc>
          <w:tcPr>
            <w:tcW w:w="1032" w:type="dxa"/>
            <w:tcBorders>
              <w:top w:val="nil"/>
              <w:left w:val="nil"/>
              <w:bottom w:val="single" w:sz="8" w:space="0" w:color="auto"/>
              <w:right w:val="nil"/>
            </w:tcBorders>
            <w:shd w:val="clear" w:color="auto" w:fill="auto"/>
            <w:noWrap/>
            <w:vAlign w:val="center"/>
            <w:hideMark/>
          </w:tcPr>
          <w:p w14:paraId="2E12AF11" w14:textId="77777777" w:rsidR="00DA0972" w:rsidRPr="00DA0972" w:rsidRDefault="00DA0972" w:rsidP="00DA0972">
            <w:pPr>
              <w:spacing w:after="0" w:line="240" w:lineRule="auto"/>
              <w:jc w:val="right"/>
              <w:rPr>
                <w:rFonts w:cs="Arial"/>
                <w:i/>
                <w:iCs/>
                <w:color w:val="000000"/>
                <w:sz w:val="18"/>
                <w:szCs w:val="18"/>
              </w:rPr>
            </w:pPr>
            <w:r w:rsidRPr="00DA0972">
              <w:rPr>
                <w:rFonts w:cs="Arial"/>
                <w:i/>
                <w:iCs/>
                <w:color w:val="000000"/>
                <w:sz w:val="18"/>
                <w:szCs w:val="18"/>
              </w:rPr>
              <w:t>592</w:t>
            </w:r>
          </w:p>
        </w:tc>
        <w:tc>
          <w:tcPr>
            <w:tcW w:w="1106" w:type="dxa"/>
            <w:tcBorders>
              <w:top w:val="nil"/>
              <w:left w:val="nil"/>
              <w:bottom w:val="single" w:sz="8" w:space="0" w:color="auto"/>
              <w:right w:val="single" w:sz="8" w:space="0" w:color="auto"/>
            </w:tcBorders>
            <w:shd w:val="clear" w:color="auto" w:fill="auto"/>
            <w:noWrap/>
            <w:vAlign w:val="center"/>
            <w:hideMark/>
          </w:tcPr>
          <w:p w14:paraId="1DD2DDE5" w14:textId="4E1F68A0"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12,6</w:t>
            </w:r>
            <w:r>
              <w:rPr>
                <w:rFonts w:cs="Arial"/>
                <w:color w:val="000000"/>
                <w:sz w:val="18"/>
                <w:szCs w:val="18"/>
              </w:rPr>
              <w:t xml:space="preserve"> %</w:t>
            </w:r>
          </w:p>
        </w:tc>
        <w:tc>
          <w:tcPr>
            <w:tcW w:w="1170" w:type="dxa"/>
            <w:tcBorders>
              <w:top w:val="nil"/>
              <w:left w:val="nil"/>
              <w:bottom w:val="single" w:sz="8" w:space="0" w:color="auto"/>
              <w:right w:val="nil"/>
            </w:tcBorders>
            <w:shd w:val="clear" w:color="auto" w:fill="auto"/>
            <w:noWrap/>
            <w:vAlign w:val="center"/>
            <w:hideMark/>
          </w:tcPr>
          <w:p w14:paraId="3D974EF1" w14:textId="77777777" w:rsidR="00DA0972" w:rsidRPr="00DA0972" w:rsidRDefault="00DA0972" w:rsidP="00DA0972">
            <w:pPr>
              <w:spacing w:after="0" w:line="240" w:lineRule="auto"/>
              <w:jc w:val="right"/>
              <w:rPr>
                <w:rFonts w:cs="Arial"/>
                <w:i/>
                <w:iCs/>
                <w:color w:val="000000"/>
                <w:sz w:val="18"/>
                <w:szCs w:val="18"/>
              </w:rPr>
            </w:pPr>
            <w:r w:rsidRPr="00DA0972">
              <w:rPr>
                <w:rFonts w:cs="Arial"/>
                <w:i/>
                <w:iCs/>
                <w:color w:val="000000"/>
                <w:sz w:val="18"/>
                <w:szCs w:val="18"/>
              </w:rPr>
              <w:t>1 104</w:t>
            </w:r>
          </w:p>
        </w:tc>
        <w:tc>
          <w:tcPr>
            <w:tcW w:w="1323" w:type="dxa"/>
            <w:tcBorders>
              <w:top w:val="nil"/>
              <w:left w:val="nil"/>
              <w:bottom w:val="single" w:sz="8" w:space="0" w:color="auto"/>
              <w:right w:val="single" w:sz="8" w:space="0" w:color="auto"/>
            </w:tcBorders>
            <w:shd w:val="clear" w:color="auto" w:fill="auto"/>
            <w:noWrap/>
            <w:vAlign w:val="center"/>
            <w:hideMark/>
          </w:tcPr>
          <w:p w14:paraId="70BC4897" w14:textId="5B6814A2"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11,6</w:t>
            </w:r>
            <w:r>
              <w:rPr>
                <w:rFonts w:cs="Arial"/>
                <w:color w:val="000000"/>
                <w:sz w:val="18"/>
                <w:szCs w:val="18"/>
              </w:rPr>
              <w:t xml:space="preserve"> %</w:t>
            </w:r>
          </w:p>
        </w:tc>
        <w:tc>
          <w:tcPr>
            <w:tcW w:w="1230" w:type="dxa"/>
            <w:tcBorders>
              <w:top w:val="nil"/>
              <w:left w:val="nil"/>
              <w:bottom w:val="single" w:sz="8" w:space="0" w:color="auto"/>
              <w:right w:val="nil"/>
            </w:tcBorders>
            <w:shd w:val="clear" w:color="auto" w:fill="auto"/>
            <w:noWrap/>
            <w:vAlign w:val="center"/>
            <w:hideMark/>
          </w:tcPr>
          <w:p w14:paraId="0239CF48" w14:textId="77777777" w:rsidR="00DA0972" w:rsidRPr="00DA0972" w:rsidRDefault="00DA0972" w:rsidP="00DA0972">
            <w:pPr>
              <w:spacing w:after="0" w:line="240" w:lineRule="auto"/>
              <w:jc w:val="right"/>
              <w:rPr>
                <w:rFonts w:cs="Arial"/>
                <w:i/>
                <w:iCs/>
                <w:color w:val="000000"/>
                <w:sz w:val="18"/>
                <w:szCs w:val="18"/>
              </w:rPr>
            </w:pPr>
            <w:r w:rsidRPr="00DA0972">
              <w:rPr>
                <w:rFonts w:cs="Arial"/>
                <w:i/>
                <w:iCs/>
                <w:color w:val="000000"/>
                <w:sz w:val="18"/>
                <w:szCs w:val="18"/>
              </w:rPr>
              <w:t>1 480</w:t>
            </w:r>
          </w:p>
        </w:tc>
        <w:tc>
          <w:tcPr>
            <w:tcW w:w="1264" w:type="dxa"/>
            <w:tcBorders>
              <w:top w:val="nil"/>
              <w:left w:val="nil"/>
              <w:bottom w:val="single" w:sz="8" w:space="0" w:color="auto"/>
              <w:right w:val="single" w:sz="8" w:space="0" w:color="auto"/>
            </w:tcBorders>
            <w:shd w:val="clear" w:color="auto" w:fill="auto"/>
            <w:noWrap/>
            <w:vAlign w:val="center"/>
            <w:hideMark/>
          </w:tcPr>
          <w:p w14:paraId="7ED1AB89" w14:textId="59342277" w:rsidR="00DA0972" w:rsidRPr="00DA0972" w:rsidRDefault="00DA0972" w:rsidP="00DA0972">
            <w:pPr>
              <w:spacing w:after="0" w:line="240" w:lineRule="auto"/>
              <w:jc w:val="right"/>
              <w:rPr>
                <w:rFonts w:cs="Arial"/>
                <w:color w:val="000000"/>
                <w:sz w:val="18"/>
                <w:szCs w:val="18"/>
              </w:rPr>
            </w:pPr>
            <w:r w:rsidRPr="00DA0972">
              <w:rPr>
                <w:rFonts w:cs="Arial"/>
                <w:color w:val="000000"/>
                <w:sz w:val="18"/>
                <w:szCs w:val="18"/>
              </w:rPr>
              <w:t>12,2</w:t>
            </w:r>
            <w:r>
              <w:rPr>
                <w:rFonts w:cs="Arial"/>
                <w:color w:val="000000"/>
                <w:sz w:val="18"/>
                <w:szCs w:val="18"/>
              </w:rPr>
              <w:t xml:space="preserve"> </w:t>
            </w:r>
            <w:r w:rsidRPr="00DA0972">
              <w:rPr>
                <w:rFonts w:cs="Arial"/>
                <w:color w:val="000000"/>
                <w:sz w:val="18"/>
                <w:szCs w:val="18"/>
              </w:rPr>
              <w:t>%</w:t>
            </w:r>
          </w:p>
        </w:tc>
      </w:tr>
    </w:tbl>
    <w:p w14:paraId="4037133B" w14:textId="6DE04A9B" w:rsidR="00A67C12" w:rsidRDefault="00A67C12" w:rsidP="00DA0972">
      <w:pPr>
        <w:spacing w:before="120"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1BE99B7F" w14:textId="1A0BF01C" w:rsidR="00A67C12" w:rsidRPr="00441107" w:rsidRDefault="00DA491A" w:rsidP="00D64541">
      <w:pPr>
        <w:spacing w:after="120"/>
        <w:jc w:val="both"/>
        <w:rPr>
          <w:rFonts w:cs="Arial"/>
          <w:szCs w:val="20"/>
        </w:rPr>
      </w:pPr>
      <w:r>
        <w:rPr>
          <w:rFonts w:cs="Arial"/>
          <w:szCs w:val="20"/>
        </w:rPr>
        <w:t>G</w:t>
      </w:r>
      <w:r w:rsidR="00150D28">
        <w:rPr>
          <w:rFonts w:cs="Arial"/>
          <w:szCs w:val="20"/>
        </w:rPr>
        <w:t>raf 1.1</w:t>
      </w:r>
      <w:r w:rsidR="000564AE">
        <w:rPr>
          <w:rFonts w:cs="Arial"/>
          <w:szCs w:val="20"/>
        </w:rPr>
        <w:t>9</w:t>
      </w:r>
      <w:r w:rsidR="00A67C12" w:rsidRPr="00D64541">
        <w:rPr>
          <w:rFonts w:cs="Arial"/>
          <w:szCs w:val="20"/>
        </w:rPr>
        <w:t xml:space="preserve"> se blíže zabývá původem dětí cizí státní příslušnosti </w:t>
      </w:r>
      <w:r>
        <w:rPr>
          <w:rFonts w:cs="Arial"/>
          <w:szCs w:val="20"/>
        </w:rPr>
        <w:t xml:space="preserve">v </w:t>
      </w:r>
      <w:r w:rsidR="00A67C12" w:rsidRPr="00D64541">
        <w:rPr>
          <w:rFonts w:cs="Arial"/>
          <w:szCs w:val="20"/>
        </w:rPr>
        <w:t>mateřských škol</w:t>
      </w:r>
      <w:r>
        <w:rPr>
          <w:rFonts w:cs="Arial"/>
          <w:szCs w:val="20"/>
        </w:rPr>
        <w:t>ách</w:t>
      </w:r>
      <w:r w:rsidR="00A67C12" w:rsidRPr="00D64541">
        <w:rPr>
          <w:rFonts w:cs="Arial"/>
          <w:szCs w:val="20"/>
        </w:rPr>
        <w:t xml:space="preserve"> </w:t>
      </w:r>
      <w:r w:rsidR="00A67C12" w:rsidRPr="00D64541">
        <w:rPr>
          <w:rFonts w:cs="Arial"/>
          <w:b/>
          <w:szCs w:val="20"/>
        </w:rPr>
        <w:t>v jednotlivých krajích</w:t>
      </w:r>
      <w:r w:rsidR="00ED76BB" w:rsidRPr="00D64541">
        <w:rPr>
          <w:rFonts w:cs="Arial"/>
          <w:b/>
          <w:szCs w:val="20"/>
        </w:rPr>
        <w:t xml:space="preserve">. </w:t>
      </w:r>
      <w:r w:rsidR="00A67C12" w:rsidRPr="00D64541">
        <w:rPr>
          <w:rFonts w:cs="Arial"/>
          <w:szCs w:val="20"/>
        </w:rPr>
        <w:t xml:space="preserve"> </w:t>
      </w:r>
      <w:r w:rsidR="009C58D3">
        <w:rPr>
          <w:rFonts w:cs="Arial"/>
          <w:szCs w:val="20"/>
        </w:rPr>
        <w:t>Kraje přitom řadí dle podílu dětí původem z Evropské Unie. Jak je patrné, p</w:t>
      </w:r>
      <w:r w:rsidR="00A67C12" w:rsidRPr="00D64541">
        <w:rPr>
          <w:rFonts w:cs="Arial"/>
          <w:szCs w:val="20"/>
        </w:rPr>
        <w:t xml:space="preserve">odíl dětí původem z Evropské unie </w:t>
      </w:r>
      <w:r w:rsidR="003F21C9">
        <w:rPr>
          <w:rFonts w:cs="Arial"/>
          <w:szCs w:val="20"/>
        </w:rPr>
        <w:t xml:space="preserve">(zejména Slováků) </w:t>
      </w:r>
      <w:r w:rsidR="00A67C12" w:rsidRPr="00D64541">
        <w:rPr>
          <w:rFonts w:cs="Arial"/>
          <w:szCs w:val="20"/>
        </w:rPr>
        <w:t>byl mezi dětmi cizí státní příslušnosti docházejících do mateřských škol nejvyšš</w:t>
      </w:r>
      <w:r w:rsidR="00B17B4A">
        <w:rPr>
          <w:rFonts w:cs="Arial"/>
          <w:szCs w:val="20"/>
        </w:rPr>
        <w:t>í v kraji Moravskoslezském (42 %) a Středočeském (40,2</w:t>
      </w:r>
      <w:r w:rsidR="00A67C12" w:rsidRPr="00D64541">
        <w:rPr>
          <w:rFonts w:cs="Arial"/>
          <w:szCs w:val="20"/>
        </w:rPr>
        <w:t> %) a</w:t>
      </w:r>
      <w:r w:rsidR="00B17B4A">
        <w:rPr>
          <w:rFonts w:cs="Arial"/>
          <w:szCs w:val="20"/>
        </w:rPr>
        <w:t xml:space="preserve"> nejnižší v kraji Ústeckém (14,6</w:t>
      </w:r>
      <w:r w:rsidR="00A67C12" w:rsidRPr="00D64541">
        <w:rPr>
          <w:rFonts w:cs="Arial"/>
          <w:szCs w:val="20"/>
        </w:rPr>
        <w:t> %).</w:t>
      </w:r>
      <w:r w:rsidR="003F21C9">
        <w:rPr>
          <w:rFonts w:cs="Arial"/>
          <w:szCs w:val="20"/>
        </w:rPr>
        <w:t xml:space="preserve"> </w:t>
      </w:r>
      <w:r w:rsidR="009C58D3">
        <w:rPr>
          <w:rFonts w:cs="Arial"/>
          <w:szCs w:val="20"/>
        </w:rPr>
        <w:t>P</w:t>
      </w:r>
      <w:r w:rsidR="003F21C9">
        <w:rPr>
          <w:rFonts w:cs="Arial"/>
          <w:szCs w:val="20"/>
        </w:rPr>
        <w:t>odíl dětí z jiných evropských států než EU</w:t>
      </w:r>
      <w:r w:rsidR="000B55B4">
        <w:rPr>
          <w:rFonts w:cs="Arial"/>
          <w:szCs w:val="20"/>
        </w:rPr>
        <w:t xml:space="preserve"> (</w:t>
      </w:r>
      <w:r w:rsidR="003F21C9">
        <w:rPr>
          <w:rFonts w:cs="Arial"/>
          <w:szCs w:val="20"/>
        </w:rPr>
        <w:t>zejména Ukrajiny</w:t>
      </w:r>
      <w:r w:rsidR="000B55B4">
        <w:rPr>
          <w:rFonts w:cs="Arial"/>
          <w:szCs w:val="20"/>
        </w:rPr>
        <w:t>)</w:t>
      </w:r>
      <w:r w:rsidR="003F21C9">
        <w:rPr>
          <w:rFonts w:cs="Arial"/>
          <w:szCs w:val="20"/>
        </w:rPr>
        <w:t xml:space="preserve"> ze všech cizinců v mateřských školách byl nejvyšší v Praze (43,3 %) a nejnižší v kraji Moravskoslezském (16,8 %).</w:t>
      </w:r>
      <w:r w:rsidR="009C58D3" w:rsidRPr="009C58D3">
        <w:rPr>
          <w:rFonts w:cs="Arial"/>
          <w:szCs w:val="20"/>
        </w:rPr>
        <w:t xml:space="preserve"> </w:t>
      </w:r>
      <w:r w:rsidR="009C58D3">
        <w:rPr>
          <w:rFonts w:cs="Arial"/>
          <w:szCs w:val="20"/>
        </w:rPr>
        <w:t xml:space="preserve">Nakonec, pokud se jedná o </w:t>
      </w:r>
      <w:r w:rsidR="009C58D3" w:rsidRPr="00D64541">
        <w:rPr>
          <w:rFonts w:cs="Arial"/>
          <w:szCs w:val="20"/>
        </w:rPr>
        <w:t xml:space="preserve">děti původem z jiných kontinentů </w:t>
      </w:r>
      <w:r w:rsidR="009C58D3">
        <w:rPr>
          <w:rFonts w:cs="Arial"/>
          <w:szCs w:val="20"/>
        </w:rPr>
        <w:t xml:space="preserve">(zejména Vietnamce) </w:t>
      </w:r>
      <w:r w:rsidR="009C58D3" w:rsidRPr="00D64541">
        <w:rPr>
          <w:rFonts w:cs="Arial"/>
          <w:szCs w:val="20"/>
        </w:rPr>
        <w:t xml:space="preserve">je nápadné, že zatímco v Praze a </w:t>
      </w:r>
      <w:r w:rsidR="009C58D3">
        <w:rPr>
          <w:rFonts w:cs="Arial"/>
          <w:szCs w:val="20"/>
        </w:rPr>
        <w:t xml:space="preserve">ve </w:t>
      </w:r>
      <w:r w:rsidR="009C58D3" w:rsidRPr="00D64541">
        <w:rPr>
          <w:rFonts w:cs="Arial"/>
          <w:szCs w:val="20"/>
        </w:rPr>
        <w:t>Středočeském kraji tvořily mezi dětmi cizí státní příslušnost</w:t>
      </w:r>
      <w:r w:rsidR="009C58D3">
        <w:rPr>
          <w:rFonts w:cs="Arial"/>
          <w:szCs w:val="20"/>
        </w:rPr>
        <w:t>i cca čtvrtinu (26,1 %, resp. 23,9</w:t>
      </w:r>
      <w:r w:rsidR="009C58D3" w:rsidRPr="00D64541">
        <w:rPr>
          <w:rFonts w:cs="Arial"/>
          <w:szCs w:val="20"/>
        </w:rPr>
        <w:t> %), v kraji Ústeckém, Karlovarském a Olomouckém zaujímaly t</w:t>
      </w:r>
      <w:r w:rsidR="009C58D3">
        <w:rPr>
          <w:rFonts w:cs="Arial"/>
          <w:szCs w:val="20"/>
        </w:rPr>
        <w:t>yto děti více než polovinu (64,3 %, resp. 54</w:t>
      </w:r>
      <w:r w:rsidR="009C58D3" w:rsidRPr="00D64541">
        <w:rPr>
          <w:rFonts w:cs="Arial"/>
          <w:szCs w:val="20"/>
        </w:rPr>
        <w:t> %</w:t>
      </w:r>
      <w:r w:rsidR="009C58D3">
        <w:rPr>
          <w:rFonts w:cs="Arial"/>
          <w:szCs w:val="20"/>
        </w:rPr>
        <w:t>, resp. 52,4</w:t>
      </w:r>
      <w:r w:rsidR="009C58D3" w:rsidRPr="00D64541">
        <w:rPr>
          <w:rFonts w:cs="Arial"/>
          <w:szCs w:val="20"/>
        </w:rPr>
        <w:t> %).</w:t>
      </w:r>
    </w:p>
    <w:p w14:paraId="6BFF218A" w14:textId="75926CC2" w:rsidR="00A67C12" w:rsidRDefault="00150D28" w:rsidP="00A67C12">
      <w:pPr>
        <w:keepNext/>
        <w:spacing w:after="120" w:line="240" w:lineRule="auto"/>
        <w:rPr>
          <w:b/>
        </w:rPr>
      </w:pPr>
      <w:r>
        <w:rPr>
          <w:b/>
        </w:rPr>
        <w:lastRenderedPageBreak/>
        <w:t>Graf 1.1</w:t>
      </w:r>
      <w:r w:rsidR="000564AE">
        <w:rPr>
          <w:b/>
        </w:rPr>
        <w:t>9</w:t>
      </w:r>
      <w:r w:rsidR="00A67C12" w:rsidRPr="000B1A74">
        <w:rPr>
          <w:b/>
        </w:rPr>
        <w:t xml:space="preserve"> Dětí s cizím státním občanstvím v mateřských školách</w:t>
      </w:r>
      <w:r w:rsidR="00683F3C">
        <w:rPr>
          <w:b/>
        </w:rPr>
        <w:t xml:space="preserve"> v krajích podle občanství (2021/22</w:t>
      </w:r>
      <w:r w:rsidR="00A67C12" w:rsidRPr="000B1A74">
        <w:rPr>
          <w:b/>
        </w:rPr>
        <w:t>)</w:t>
      </w:r>
    </w:p>
    <w:p w14:paraId="36CD7748" w14:textId="6C9A713E" w:rsidR="00C9760F" w:rsidRDefault="003F21C9" w:rsidP="00A67C12">
      <w:pPr>
        <w:keepNext/>
        <w:spacing w:after="120" w:line="240" w:lineRule="auto"/>
        <w:rPr>
          <w:b/>
        </w:rPr>
      </w:pPr>
      <w:r>
        <w:rPr>
          <w:noProof/>
        </w:rPr>
        <w:drawing>
          <wp:inline distT="0" distB="0" distL="0" distR="0" wp14:anchorId="452012BD" wp14:editId="1AA7D95E">
            <wp:extent cx="6047740" cy="4695825"/>
            <wp:effectExtent l="0" t="0" r="10160" b="9525"/>
            <wp:docPr id="80" name="Graf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8375DB0" w14:textId="77777777" w:rsidR="00A67C12" w:rsidRDefault="00A67C12" w:rsidP="00B17B4A">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5F048994" w14:textId="77777777" w:rsidR="004D60D5" w:rsidRDefault="004D60D5" w:rsidP="005859FB">
      <w:pPr>
        <w:pStyle w:val="Nadpis2"/>
      </w:pPr>
    </w:p>
    <w:p w14:paraId="3F11F6B7" w14:textId="2601001D" w:rsidR="00A67C12" w:rsidRPr="00A94D38" w:rsidRDefault="00A67C12" w:rsidP="005859FB">
      <w:pPr>
        <w:pStyle w:val="Nadpis2"/>
      </w:pPr>
      <w:bookmarkStart w:id="5" w:name="_Toc112069069"/>
      <w:r>
        <w:t>1.</w:t>
      </w:r>
      <w:r w:rsidR="004864B7">
        <w:t>4</w:t>
      </w:r>
      <w:r>
        <w:t xml:space="preserve"> </w:t>
      </w:r>
      <w:r w:rsidRPr="00A94D38">
        <w:t>Děti se zdravotním postižením</w:t>
      </w:r>
      <w:r w:rsidR="0045190F">
        <w:t xml:space="preserve"> </w:t>
      </w:r>
      <w:r w:rsidR="0045190F" w:rsidRPr="00A94D38">
        <w:t>v mateřských školách</w:t>
      </w:r>
      <w:bookmarkEnd w:id="5"/>
      <w:r w:rsidRPr="00A94D38">
        <w:t xml:space="preserve"> </w:t>
      </w:r>
    </w:p>
    <w:p w14:paraId="1C37B253" w14:textId="77777777" w:rsidR="00DC017F" w:rsidRDefault="00DC017F" w:rsidP="00DC017F">
      <w:pPr>
        <w:spacing w:after="0" w:line="240" w:lineRule="auto"/>
        <w:jc w:val="both"/>
      </w:pPr>
    </w:p>
    <w:p w14:paraId="54E36986" w14:textId="30C798DE" w:rsidR="00C77CF8" w:rsidRDefault="00C77CF8" w:rsidP="004864B7">
      <w:pPr>
        <w:spacing w:after="120"/>
        <w:jc w:val="both"/>
        <w:rPr>
          <w:rFonts w:cs="Arial"/>
          <w:szCs w:val="20"/>
        </w:rPr>
      </w:pPr>
      <w:r>
        <w:t>V oblasti vzdělávání se používá pojem „žáci</w:t>
      </w:r>
      <w:r w:rsidRPr="004A5668">
        <w:t xml:space="preserve"> se speciálními vzdělávacími potřebami</w:t>
      </w:r>
      <w:r>
        <w:t>“.</w:t>
      </w:r>
      <w:r w:rsidRPr="004A5668">
        <w:t xml:space="preserve"> </w:t>
      </w:r>
      <w:r>
        <w:t>Tam se</w:t>
      </w:r>
      <w:r w:rsidRPr="004A5668">
        <w:t xml:space="preserve"> vedle žáků se zdravotním postižením řadí též žáci se zdravotním znevýhodněním (tj. zdravotním oslabením, dlouhodobým onemocněním a lehčími zdravotními poruchami vedoucími k poruchám učení a chování) a se sociálním znevýho</w:t>
      </w:r>
      <w:r>
        <w:t>dněním (z rodinného prostředí s </w:t>
      </w:r>
      <w:r w:rsidRPr="004A5668">
        <w:t xml:space="preserve">nízkým sociálně kulturním postavením, ohrožení sociálně patologickými jevy, s nařízenou ústavní výchovou nebo uloženou ochrannou výchovou a žáci v  postavení azylantů a účastníků řízení o udělení azylu) - viz § 16 školského zákona (zákon č. 561/2004 Sb.). Vzhledem k dostupnosti dat v časové řadě se však </w:t>
      </w:r>
      <w:r>
        <w:t xml:space="preserve">v této analýze </w:t>
      </w:r>
      <w:r w:rsidRPr="004A5668">
        <w:t>omezíme na kategorii žáků se zdravotním postižením</w:t>
      </w:r>
      <w:r>
        <w:t>.</w:t>
      </w:r>
    </w:p>
    <w:p w14:paraId="2EB950D8" w14:textId="6DEE8F6D" w:rsidR="00A67C12" w:rsidRDefault="00A67C12" w:rsidP="004864B7">
      <w:pPr>
        <w:spacing w:after="120"/>
        <w:jc w:val="both"/>
        <w:rPr>
          <w:rFonts w:cs="Arial"/>
          <w:szCs w:val="20"/>
        </w:rPr>
      </w:pPr>
      <w:r>
        <w:rPr>
          <w:rFonts w:cs="Arial"/>
          <w:szCs w:val="20"/>
        </w:rPr>
        <w:t>Od školního roku 2016/17</w:t>
      </w:r>
      <w:r w:rsidR="00A8566E">
        <w:rPr>
          <w:rFonts w:cs="Arial"/>
          <w:szCs w:val="20"/>
        </w:rPr>
        <w:t xml:space="preserve">, kdy byla započata </w:t>
      </w:r>
      <w:r w:rsidR="001C7E4C">
        <w:rPr>
          <w:rFonts w:cs="Arial"/>
          <w:szCs w:val="20"/>
        </w:rPr>
        <w:t>realizace zákonem ukotvené</w:t>
      </w:r>
      <w:r w:rsidR="00A8566E">
        <w:rPr>
          <w:rFonts w:cs="Arial"/>
          <w:szCs w:val="20"/>
        </w:rPr>
        <w:t xml:space="preserve"> inkluze dětí/žáků se speciálními vzdělávacími potřebami do běžných škol/tříd,</w:t>
      </w:r>
      <w:r>
        <w:rPr>
          <w:rFonts w:cs="Arial"/>
          <w:szCs w:val="20"/>
        </w:rPr>
        <w:t xml:space="preserve"> </w:t>
      </w:r>
      <w:r w:rsidR="00C80E75">
        <w:rPr>
          <w:rFonts w:cs="Arial"/>
          <w:szCs w:val="20"/>
        </w:rPr>
        <w:t xml:space="preserve">do </w:t>
      </w:r>
      <w:r w:rsidR="00BE1230">
        <w:rPr>
          <w:rFonts w:cs="Arial"/>
          <w:szCs w:val="20"/>
        </w:rPr>
        <w:t xml:space="preserve">školního </w:t>
      </w:r>
      <w:r w:rsidR="001C7C35">
        <w:rPr>
          <w:rFonts w:cs="Arial"/>
          <w:szCs w:val="20"/>
        </w:rPr>
        <w:t>roku 202</w:t>
      </w:r>
      <w:r w:rsidR="001C7E4C">
        <w:rPr>
          <w:rFonts w:cs="Arial"/>
          <w:szCs w:val="20"/>
        </w:rPr>
        <w:t>1/22</w:t>
      </w:r>
      <w:r w:rsidR="00C80E75">
        <w:rPr>
          <w:rFonts w:cs="Arial"/>
          <w:szCs w:val="20"/>
        </w:rPr>
        <w:t xml:space="preserve"> se</w:t>
      </w:r>
      <w:r>
        <w:rPr>
          <w:rFonts w:cs="Arial"/>
          <w:szCs w:val="20"/>
        </w:rPr>
        <w:t xml:space="preserve"> </w:t>
      </w:r>
      <w:r w:rsidR="001C7E4C">
        <w:rPr>
          <w:rFonts w:cs="Arial"/>
          <w:szCs w:val="20"/>
        </w:rPr>
        <w:t xml:space="preserve">soustavně </w:t>
      </w:r>
      <w:r w:rsidR="00C80E75">
        <w:rPr>
          <w:rFonts w:cs="Arial"/>
          <w:szCs w:val="20"/>
        </w:rPr>
        <w:t>mírně zvyšoval</w:t>
      </w:r>
      <w:r>
        <w:rPr>
          <w:rFonts w:cs="Arial"/>
          <w:szCs w:val="20"/>
        </w:rPr>
        <w:t xml:space="preserve"> </w:t>
      </w:r>
      <w:r w:rsidR="00C80E75">
        <w:rPr>
          <w:rFonts w:cs="Arial"/>
          <w:szCs w:val="20"/>
        </w:rPr>
        <w:t xml:space="preserve">podíl </w:t>
      </w:r>
      <w:r w:rsidR="00A8566E">
        <w:rPr>
          <w:rFonts w:cs="Arial"/>
          <w:szCs w:val="20"/>
        </w:rPr>
        <w:t>dětí s diagnostikovaným</w:t>
      </w:r>
      <w:r>
        <w:rPr>
          <w:rFonts w:cs="Arial"/>
          <w:szCs w:val="20"/>
        </w:rPr>
        <w:t xml:space="preserve"> zdravotním postižením </w:t>
      </w:r>
      <w:r w:rsidR="00451517">
        <w:rPr>
          <w:rFonts w:cs="Arial"/>
          <w:szCs w:val="20"/>
        </w:rPr>
        <w:t xml:space="preserve">ze všech dětí </w:t>
      </w:r>
      <w:r>
        <w:rPr>
          <w:rFonts w:cs="Arial"/>
          <w:szCs w:val="20"/>
        </w:rPr>
        <w:t>v mateřských školách</w:t>
      </w:r>
      <w:r w:rsidR="001C7E4C">
        <w:rPr>
          <w:rFonts w:cs="Arial"/>
          <w:szCs w:val="20"/>
        </w:rPr>
        <w:t xml:space="preserve"> (celkově z 2,9</w:t>
      </w:r>
      <w:r w:rsidR="00451517">
        <w:rPr>
          <w:rFonts w:cs="Arial"/>
          <w:szCs w:val="20"/>
        </w:rPr>
        <w:t> % na 3,2 %)</w:t>
      </w:r>
      <w:r w:rsidR="00C80E75">
        <w:rPr>
          <w:rFonts w:cs="Arial"/>
          <w:szCs w:val="20"/>
        </w:rPr>
        <w:t>.</w:t>
      </w:r>
      <w:r w:rsidR="001C7E4C">
        <w:rPr>
          <w:rStyle w:val="Znakapoznpodarou"/>
          <w:rFonts w:cs="Arial"/>
          <w:szCs w:val="20"/>
        </w:rPr>
        <w:footnoteReference w:id="13"/>
      </w:r>
      <w:r w:rsidR="00C80E75">
        <w:rPr>
          <w:rFonts w:cs="Arial"/>
          <w:szCs w:val="20"/>
        </w:rPr>
        <w:t xml:space="preserve"> </w:t>
      </w:r>
      <w:r w:rsidR="001C7E4C">
        <w:rPr>
          <w:rFonts w:cs="Arial"/>
          <w:szCs w:val="20"/>
        </w:rPr>
        <w:t xml:space="preserve">V období posledních pěti školních let stoupal též absolutní počet žáků s diagnostikovaným postižením, ovšem s výjimkou období mezi školními roky 2019/20 a 2020/21. Spolu s úbytkem celkového počtu dětí v mateřských školách v této době nejvíce poznamenané pandemií covid-19 se též počet dětí se zdravotním postižením v mateřských školách snížil. </w:t>
      </w:r>
      <w:r w:rsidR="002C4B6C">
        <w:rPr>
          <w:rFonts w:cs="Arial"/>
          <w:szCs w:val="20"/>
        </w:rPr>
        <w:t>V</w:t>
      </w:r>
      <w:r w:rsidR="00135B02">
        <w:rPr>
          <w:rFonts w:cs="Arial"/>
          <w:szCs w:val="20"/>
        </w:rPr>
        <w:t>e školním roce 2021/22</w:t>
      </w:r>
      <w:r w:rsidR="00C80E75">
        <w:rPr>
          <w:rFonts w:cs="Arial"/>
          <w:szCs w:val="20"/>
        </w:rPr>
        <w:t xml:space="preserve"> </w:t>
      </w:r>
      <w:r w:rsidR="002C4B6C">
        <w:rPr>
          <w:rFonts w:cs="Arial"/>
          <w:szCs w:val="20"/>
        </w:rPr>
        <w:t>pak došlo oproti předchozímu</w:t>
      </w:r>
      <w:r w:rsidR="00C80E75">
        <w:rPr>
          <w:rFonts w:cs="Arial"/>
          <w:szCs w:val="20"/>
        </w:rPr>
        <w:t xml:space="preserve"> </w:t>
      </w:r>
      <w:r w:rsidR="00C80E75">
        <w:rPr>
          <w:rFonts w:cs="Arial"/>
          <w:szCs w:val="20"/>
        </w:rPr>
        <w:lastRenderedPageBreak/>
        <w:t>školnímu roku</w:t>
      </w:r>
      <w:r w:rsidR="00135B02">
        <w:rPr>
          <w:rFonts w:cs="Arial"/>
          <w:szCs w:val="20"/>
        </w:rPr>
        <w:t xml:space="preserve"> k nárůstu počtu dětí s postižením o 501 d</w:t>
      </w:r>
      <w:r w:rsidR="002C4B6C">
        <w:rPr>
          <w:rFonts w:cs="Arial"/>
          <w:szCs w:val="20"/>
        </w:rPr>
        <w:t xml:space="preserve">ětí (tj. </w:t>
      </w:r>
      <w:r w:rsidR="00135B02">
        <w:rPr>
          <w:rFonts w:cs="Arial"/>
          <w:szCs w:val="20"/>
        </w:rPr>
        <w:t>o 4,3 %</w:t>
      </w:r>
      <w:r w:rsidR="002C4B6C">
        <w:rPr>
          <w:rFonts w:cs="Arial"/>
          <w:szCs w:val="20"/>
        </w:rPr>
        <w:t>) a jejich počet byl tak za posledních 10 let znázorněných v grafu 1.20 nejvyšší</w:t>
      </w:r>
      <w:r w:rsidR="00C80E75">
        <w:rPr>
          <w:rFonts w:cs="Arial"/>
          <w:szCs w:val="20"/>
        </w:rPr>
        <w:t>.</w:t>
      </w:r>
    </w:p>
    <w:p w14:paraId="165F31C2" w14:textId="33C60CB0" w:rsidR="00A67C12" w:rsidRDefault="00A67C12" w:rsidP="00C77CF8">
      <w:pPr>
        <w:keepNext/>
        <w:spacing w:after="120"/>
        <w:jc w:val="both"/>
        <w:rPr>
          <w:rFonts w:cs="Arial"/>
          <w:b/>
          <w:szCs w:val="20"/>
        </w:rPr>
      </w:pPr>
      <w:r w:rsidRPr="002E5300">
        <w:rPr>
          <w:rFonts w:cs="Arial"/>
          <w:b/>
          <w:szCs w:val="20"/>
        </w:rPr>
        <w:t>Graf 1</w:t>
      </w:r>
      <w:r w:rsidR="000564AE">
        <w:rPr>
          <w:rFonts w:cs="Arial"/>
          <w:b/>
          <w:szCs w:val="20"/>
        </w:rPr>
        <w:t>.20</w:t>
      </w:r>
      <w:r w:rsidRPr="002E5300">
        <w:rPr>
          <w:rFonts w:cs="Arial"/>
          <w:b/>
          <w:szCs w:val="20"/>
        </w:rPr>
        <w:t xml:space="preserve"> </w:t>
      </w:r>
      <w:r>
        <w:rPr>
          <w:rFonts w:cs="Arial"/>
          <w:b/>
          <w:szCs w:val="20"/>
        </w:rPr>
        <w:t xml:space="preserve">Děti </w:t>
      </w:r>
      <w:r w:rsidRPr="00580AB4">
        <w:rPr>
          <w:rFonts w:cs="Arial"/>
          <w:b/>
          <w:szCs w:val="20"/>
        </w:rPr>
        <w:t>se zdravotním postižením v mateřských školách</w:t>
      </w:r>
    </w:p>
    <w:p w14:paraId="5D04974C" w14:textId="639A6757" w:rsidR="00A67C12" w:rsidRPr="00C80E75" w:rsidRDefault="00135B02" w:rsidP="00135B02">
      <w:pPr>
        <w:keepNext/>
        <w:spacing w:after="120"/>
        <w:jc w:val="both"/>
        <w:rPr>
          <w:rFonts w:cs="Arial"/>
          <w:b/>
          <w:szCs w:val="20"/>
        </w:rPr>
      </w:pPr>
      <w:r>
        <w:rPr>
          <w:noProof/>
        </w:rPr>
        <w:drawing>
          <wp:inline distT="0" distB="0" distL="0" distR="0" wp14:anchorId="3561B3F2" wp14:editId="70AFAFC4">
            <wp:extent cx="6011545" cy="2699385"/>
            <wp:effectExtent l="0" t="0" r="8255" b="5715"/>
            <wp:docPr id="7" name="Graf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42D24D1" w14:textId="77777777" w:rsidR="00A67C12" w:rsidRDefault="00A67C12" w:rsidP="00C80E75">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07964C12" w14:textId="529C9103" w:rsidR="00855D26" w:rsidRPr="00855D26" w:rsidRDefault="00855D26" w:rsidP="004864B7">
      <w:pPr>
        <w:spacing w:after="120"/>
        <w:jc w:val="both"/>
      </w:pPr>
      <w:r>
        <w:rPr>
          <w:rFonts w:cs="Arial"/>
          <w:szCs w:val="20"/>
        </w:rPr>
        <w:t xml:space="preserve">Podíl dětí </w:t>
      </w:r>
      <w:r w:rsidRPr="00B319BF">
        <w:rPr>
          <w:rFonts w:cs="Arial"/>
          <w:b/>
          <w:szCs w:val="20"/>
        </w:rPr>
        <w:t>se zdravotním postižením</w:t>
      </w:r>
      <w:r>
        <w:rPr>
          <w:rFonts w:cs="Arial"/>
          <w:szCs w:val="20"/>
        </w:rPr>
        <w:t xml:space="preserve"> v mateřských školách </w:t>
      </w:r>
      <w:r w:rsidRPr="00B319BF">
        <w:rPr>
          <w:rFonts w:cs="Arial"/>
          <w:b/>
          <w:szCs w:val="20"/>
        </w:rPr>
        <w:t>veřejného zřizovatele</w:t>
      </w:r>
      <w:r w:rsidR="006D55DF">
        <w:rPr>
          <w:rFonts w:cs="Arial"/>
          <w:szCs w:val="20"/>
        </w:rPr>
        <w:t xml:space="preserve"> byl přitom ve školním roce 2021/22 nižší (3,3</w:t>
      </w:r>
      <w:r>
        <w:rPr>
          <w:rFonts w:cs="Arial"/>
          <w:szCs w:val="20"/>
        </w:rPr>
        <w:t xml:space="preserve"> </w:t>
      </w:r>
      <w:r>
        <w:t xml:space="preserve">%) než ve školách zřizovatele </w:t>
      </w:r>
      <w:r w:rsidRPr="00B319BF">
        <w:rPr>
          <w:b/>
        </w:rPr>
        <w:t>soukromého</w:t>
      </w:r>
      <w:r w:rsidR="006D55DF">
        <w:t xml:space="preserve"> (3,9</w:t>
      </w:r>
      <w:r>
        <w:t xml:space="preserve"> %) a především </w:t>
      </w:r>
      <w:r w:rsidRPr="00B319BF">
        <w:rPr>
          <w:b/>
        </w:rPr>
        <w:t xml:space="preserve">církevního </w:t>
      </w:r>
      <w:r w:rsidR="006D55DF">
        <w:t>(7</w:t>
      </w:r>
      <w:r>
        <w:t>,5 %).</w:t>
      </w:r>
    </w:p>
    <w:p w14:paraId="22EA101D" w14:textId="009724B4" w:rsidR="00A67C12" w:rsidRDefault="00504DF0" w:rsidP="004864B7">
      <w:pPr>
        <w:spacing w:after="120"/>
        <w:jc w:val="both"/>
        <w:rPr>
          <w:rFonts w:cs="Arial"/>
          <w:szCs w:val="20"/>
        </w:rPr>
      </w:pPr>
      <w:r>
        <w:rPr>
          <w:rFonts w:cs="Arial"/>
          <w:szCs w:val="20"/>
        </w:rPr>
        <w:t>Ve školním roce 2021/22</w:t>
      </w:r>
      <w:r w:rsidR="00A67C12">
        <w:rPr>
          <w:rFonts w:cs="Arial"/>
          <w:szCs w:val="20"/>
        </w:rPr>
        <w:t xml:space="preserve"> </w:t>
      </w:r>
      <w:r w:rsidR="002E3F80">
        <w:rPr>
          <w:rFonts w:cs="Arial"/>
          <w:szCs w:val="20"/>
        </w:rPr>
        <w:t>navštěvovalo 44,2 %</w:t>
      </w:r>
      <w:r w:rsidR="00C80E75">
        <w:rPr>
          <w:rFonts w:cs="Arial"/>
          <w:szCs w:val="20"/>
        </w:rPr>
        <w:t xml:space="preserve"> </w:t>
      </w:r>
      <w:r w:rsidR="00A67C12">
        <w:rPr>
          <w:rFonts w:cs="Arial"/>
          <w:szCs w:val="20"/>
        </w:rPr>
        <w:t xml:space="preserve">zdravotně postižených dětí v mateřských školách </w:t>
      </w:r>
      <w:r w:rsidR="00C80E75">
        <w:rPr>
          <w:rFonts w:cs="Arial"/>
          <w:szCs w:val="20"/>
        </w:rPr>
        <w:t>běžné</w:t>
      </w:r>
      <w:r w:rsidR="00A67C12" w:rsidRPr="00580AB4">
        <w:rPr>
          <w:rFonts w:cs="Arial"/>
          <w:szCs w:val="20"/>
        </w:rPr>
        <w:t xml:space="preserve"> tříd</w:t>
      </w:r>
      <w:r w:rsidR="00C80E75">
        <w:rPr>
          <w:rFonts w:cs="Arial"/>
          <w:szCs w:val="20"/>
        </w:rPr>
        <w:t>y</w:t>
      </w:r>
      <w:r w:rsidR="00A67C12">
        <w:rPr>
          <w:rFonts w:cs="Arial"/>
          <w:szCs w:val="20"/>
        </w:rPr>
        <w:t xml:space="preserve">. Jde o dvojnásobný podíl </w:t>
      </w:r>
      <w:r w:rsidR="00F7650F">
        <w:rPr>
          <w:rFonts w:cs="Arial"/>
          <w:szCs w:val="20"/>
        </w:rPr>
        <w:t>oproti</w:t>
      </w:r>
      <w:r w:rsidR="00A67C12">
        <w:rPr>
          <w:rFonts w:cs="Arial"/>
          <w:szCs w:val="20"/>
        </w:rPr>
        <w:t xml:space="preserve"> situac</w:t>
      </w:r>
      <w:r w:rsidR="00F7650F">
        <w:rPr>
          <w:rFonts w:cs="Arial"/>
          <w:szCs w:val="20"/>
        </w:rPr>
        <w:t>i</w:t>
      </w:r>
      <w:r w:rsidR="00A67C12">
        <w:rPr>
          <w:rFonts w:cs="Arial"/>
          <w:szCs w:val="20"/>
        </w:rPr>
        <w:t xml:space="preserve"> před deseti lety, kdy </w:t>
      </w:r>
      <w:r w:rsidR="002E3F80">
        <w:rPr>
          <w:rFonts w:cs="Arial"/>
          <w:szCs w:val="20"/>
        </w:rPr>
        <w:t>bylo</w:t>
      </w:r>
      <w:r w:rsidR="002F17ED">
        <w:rPr>
          <w:rFonts w:cs="Arial"/>
          <w:szCs w:val="20"/>
        </w:rPr>
        <w:t xml:space="preserve"> </w:t>
      </w:r>
      <w:r w:rsidR="00A67C12" w:rsidRPr="00A94D38">
        <w:rPr>
          <w:rFonts w:cs="Arial"/>
          <w:szCs w:val="20"/>
        </w:rPr>
        <w:t xml:space="preserve">do </w:t>
      </w:r>
      <w:r w:rsidR="00A67C12" w:rsidRPr="00580AB4">
        <w:rPr>
          <w:rFonts w:cs="Arial"/>
          <w:b/>
          <w:szCs w:val="20"/>
        </w:rPr>
        <w:t>b</w:t>
      </w:r>
      <w:r w:rsidR="002F17ED">
        <w:rPr>
          <w:rFonts w:cs="Arial"/>
          <w:b/>
          <w:szCs w:val="20"/>
        </w:rPr>
        <w:t xml:space="preserve">ěžných </w:t>
      </w:r>
      <w:r w:rsidR="002E3F80">
        <w:rPr>
          <w:rFonts w:cs="Arial"/>
          <w:b/>
          <w:szCs w:val="20"/>
        </w:rPr>
        <w:t>tříd mateřských škol integrováno</w:t>
      </w:r>
      <w:r w:rsidR="00A67C12">
        <w:rPr>
          <w:rFonts w:cs="Arial"/>
          <w:szCs w:val="20"/>
        </w:rPr>
        <w:t xml:space="preserve"> „pouze“ </w:t>
      </w:r>
      <w:r w:rsidR="002E3F80">
        <w:rPr>
          <w:rFonts w:cs="Arial"/>
          <w:szCs w:val="20"/>
        </w:rPr>
        <w:t>21,4 %</w:t>
      </w:r>
      <w:r w:rsidR="002F17ED">
        <w:rPr>
          <w:rFonts w:cs="Arial"/>
          <w:szCs w:val="20"/>
        </w:rPr>
        <w:t xml:space="preserve"> </w:t>
      </w:r>
      <w:r w:rsidR="002E3F80">
        <w:rPr>
          <w:rFonts w:cs="Arial"/>
          <w:szCs w:val="20"/>
        </w:rPr>
        <w:t>dětí se zdravotním postižením</w:t>
      </w:r>
      <w:r w:rsidR="00A67C12">
        <w:rPr>
          <w:rFonts w:cs="Arial"/>
          <w:szCs w:val="20"/>
        </w:rPr>
        <w:t xml:space="preserve">. </w:t>
      </w:r>
      <w:r w:rsidR="00A67C12" w:rsidRPr="00A94D38">
        <w:rPr>
          <w:rFonts w:cs="Arial"/>
          <w:szCs w:val="20"/>
        </w:rPr>
        <w:t>Běžné třídy mateřských škol navštěvovalo v</w:t>
      </w:r>
      <w:r w:rsidR="00897FCC">
        <w:rPr>
          <w:rFonts w:cs="Arial"/>
          <w:szCs w:val="20"/>
        </w:rPr>
        <w:t>e</w:t>
      </w:r>
      <w:r w:rsidR="00A67C12" w:rsidRPr="00A94D38">
        <w:rPr>
          <w:rFonts w:cs="Arial"/>
          <w:szCs w:val="20"/>
        </w:rPr>
        <w:t xml:space="preserve"> školním roce</w:t>
      </w:r>
      <w:r w:rsidR="002E3F80">
        <w:rPr>
          <w:rFonts w:cs="Arial"/>
          <w:szCs w:val="20"/>
        </w:rPr>
        <w:t xml:space="preserve"> 2021/22</w:t>
      </w:r>
      <w:r w:rsidR="00897FCC">
        <w:rPr>
          <w:rFonts w:cs="Arial"/>
          <w:szCs w:val="20"/>
        </w:rPr>
        <w:t xml:space="preserve"> celkem</w:t>
      </w:r>
      <w:r w:rsidR="002E3F80">
        <w:rPr>
          <w:rFonts w:cs="Arial"/>
          <w:szCs w:val="20"/>
        </w:rPr>
        <w:t xml:space="preserve"> 5 326</w:t>
      </w:r>
      <w:r w:rsidR="00A67C12" w:rsidRPr="00A94D38">
        <w:rPr>
          <w:rFonts w:cs="Arial"/>
          <w:szCs w:val="20"/>
        </w:rPr>
        <w:t xml:space="preserve"> dětí se </w:t>
      </w:r>
      <w:r w:rsidR="00A67C12">
        <w:rPr>
          <w:rFonts w:cs="Arial"/>
          <w:szCs w:val="20"/>
        </w:rPr>
        <w:t>zdravotním postižením v porovnání s</w:t>
      </w:r>
      <w:r w:rsidR="002E3F80">
        <w:rPr>
          <w:rFonts w:cs="Arial"/>
          <w:szCs w:val="20"/>
        </w:rPr>
        <w:t> 2 032 dětmi ve školním roce 2011/12</w:t>
      </w:r>
      <w:r w:rsidR="002F17ED">
        <w:rPr>
          <w:rFonts w:cs="Arial"/>
          <w:szCs w:val="20"/>
        </w:rPr>
        <w:t xml:space="preserve"> – viz graf </w:t>
      </w:r>
      <w:r w:rsidR="00611862">
        <w:rPr>
          <w:rFonts w:cs="Arial"/>
          <w:szCs w:val="20"/>
        </w:rPr>
        <w:t>1</w:t>
      </w:r>
      <w:r w:rsidR="000564AE">
        <w:rPr>
          <w:rFonts w:cs="Arial"/>
          <w:szCs w:val="20"/>
        </w:rPr>
        <w:t>.21</w:t>
      </w:r>
      <w:r w:rsidR="00A67C12">
        <w:rPr>
          <w:rFonts w:cs="Arial"/>
          <w:szCs w:val="20"/>
        </w:rPr>
        <w:t xml:space="preserve">. </w:t>
      </w:r>
    </w:p>
    <w:p w14:paraId="21213F4E" w14:textId="24D43931" w:rsidR="00A67C12" w:rsidRDefault="00A67C12" w:rsidP="00A67C12">
      <w:pPr>
        <w:spacing w:after="120"/>
        <w:jc w:val="both"/>
        <w:rPr>
          <w:rFonts w:cs="Arial"/>
          <w:b/>
          <w:szCs w:val="20"/>
        </w:rPr>
      </w:pPr>
      <w:r w:rsidRPr="002E5300">
        <w:rPr>
          <w:rFonts w:cs="Arial"/>
          <w:b/>
          <w:szCs w:val="20"/>
        </w:rPr>
        <w:t>Graf 1</w:t>
      </w:r>
      <w:r w:rsidR="00150D28">
        <w:rPr>
          <w:rFonts w:cs="Arial"/>
          <w:b/>
          <w:szCs w:val="20"/>
        </w:rPr>
        <w:t>.</w:t>
      </w:r>
      <w:r w:rsidR="000564AE">
        <w:rPr>
          <w:rFonts w:cs="Arial"/>
          <w:b/>
          <w:szCs w:val="20"/>
        </w:rPr>
        <w:t>21</w:t>
      </w:r>
      <w:r w:rsidRPr="002E5300">
        <w:rPr>
          <w:rFonts w:cs="Arial"/>
          <w:b/>
          <w:szCs w:val="20"/>
        </w:rPr>
        <w:t xml:space="preserve"> </w:t>
      </w:r>
      <w:r>
        <w:rPr>
          <w:rFonts w:cs="Arial"/>
          <w:b/>
          <w:szCs w:val="20"/>
        </w:rPr>
        <w:t xml:space="preserve">Děti </w:t>
      </w:r>
      <w:r w:rsidRPr="00580AB4">
        <w:rPr>
          <w:rFonts w:cs="Arial"/>
          <w:b/>
          <w:szCs w:val="20"/>
        </w:rPr>
        <w:t xml:space="preserve">se zdravotním postižením </w:t>
      </w:r>
      <w:r>
        <w:rPr>
          <w:rFonts w:cs="Arial"/>
          <w:b/>
          <w:szCs w:val="20"/>
        </w:rPr>
        <w:t>integrované v běžných třídách mateřských škol</w:t>
      </w:r>
    </w:p>
    <w:p w14:paraId="13865979" w14:textId="4022F123" w:rsidR="00A67C12" w:rsidRPr="00C80E75" w:rsidRDefault="002E3F80" w:rsidP="00C80E75">
      <w:pPr>
        <w:spacing w:after="120"/>
        <w:jc w:val="both"/>
        <w:rPr>
          <w:rFonts w:cs="Arial"/>
          <w:b/>
          <w:szCs w:val="20"/>
        </w:rPr>
      </w:pPr>
      <w:r>
        <w:rPr>
          <w:noProof/>
        </w:rPr>
        <w:drawing>
          <wp:inline distT="0" distB="0" distL="0" distR="0" wp14:anchorId="3FDBFA74" wp14:editId="37F1F6B4">
            <wp:extent cx="6011545" cy="1933575"/>
            <wp:effectExtent l="0" t="0" r="8255" b="9525"/>
            <wp:docPr id="14" name="Graf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4232B09" w14:textId="77777777" w:rsidR="00A67C12" w:rsidRDefault="00A67C12" w:rsidP="00C80E75">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391BEF64" w14:textId="6C5CDAF1" w:rsidR="00A2440B" w:rsidRDefault="00897FCC" w:rsidP="004864B7">
      <w:pPr>
        <w:spacing w:after="120"/>
        <w:jc w:val="both"/>
        <w:rPr>
          <w:rFonts w:cs="Arial"/>
          <w:szCs w:val="20"/>
        </w:rPr>
      </w:pPr>
      <w:r>
        <w:rPr>
          <w:rFonts w:cs="Arial"/>
          <w:szCs w:val="20"/>
        </w:rPr>
        <w:t xml:space="preserve">Lze </w:t>
      </w:r>
      <w:r w:rsidR="00A2440B">
        <w:rPr>
          <w:rFonts w:cs="Arial"/>
          <w:szCs w:val="20"/>
        </w:rPr>
        <w:t xml:space="preserve">konstatovat, </w:t>
      </w:r>
      <w:r w:rsidR="003C670D">
        <w:rPr>
          <w:rFonts w:cs="Arial"/>
          <w:szCs w:val="20"/>
        </w:rPr>
        <w:t>že podíl dětí s postižením integrovaných do běžných tříd v posledních 10 letech trvale rostl, a sice z 21,4 % na 44,2 %. A</w:t>
      </w:r>
      <w:r w:rsidR="00A2440B">
        <w:rPr>
          <w:rFonts w:cs="Arial"/>
          <w:szCs w:val="20"/>
        </w:rPr>
        <w:t>bsolutní počet dětí se zdravotním postižením v</w:t>
      </w:r>
      <w:r w:rsidR="007C79C9">
        <w:rPr>
          <w:rFonts w:cs="Arial"/>
          <w:szCs w:val="20"/>
        </w:rPr>
        <w:t xml:space="preserve"> běžných třídách </w:t>
      </w:r>
      <w:r w:rsidR="003C670D">
        <w:rPr>
          <w:rFonts w:cs="Arial"/>
          <w:szCs w:val="20"/>
        </w:rPr>
        <w:t xml:space="preserve">se </w:t>
      </w:r>
      <w:r w:rsidR="007C79C9">
        <w:rPr>
          <w:rFonts w:cs="Arial"/>
          <w:szCs w:val="20"/>
        </w:rPr>
        <w:t>v posledních deseti</w:t>
      </w:r>
      <w:r w:rsidR="00A2440B">
        <w:rPr>
          <w:rFonts w:cs="Arial"/>
          <w:szCs w:val="20"/>
        </w:rPr>
        <w:t xml:space="preserve"> let</w:t>
      </w:r>
      <w:r>
        <w:rPr>
          <w:rFonts w:cs="Arial"/>
          <w:szCs w:val="20"/>
        </w:rPr>
        <w:t>ech</w:t>
      </w:r>
      <w:r w:rsidR="00A2440B">
        <w:rPr>
          <w:rFonts w:cs="Arial"/>
          <w:szCs w:val="20"/>
        </w:rPr>
        <w:t xml:space="preserve"> </w:t>
      </w:r>
      <w:r w:rsidR="00BD12F7">
        <w:rPr>
          <w:rFonts w:cs="Arial"/>
          <w:szCs w:val="20"/>
        </w:rPr>
        <w:t>soustavně</w:t>
      </w:r>
      <w:r w:rsidR="00A2440B">
        <w:rPr>
          <w:rFonts w:cs="Arial"/>
          <w:szCs w:val="20"/>
        </w:rPr>
        <w:t xml:space="preserve"> </w:t>
      </w:r>
      <w:r w:rsidR="0065797A">
        <w:rPr>
          <w:rFonts w:cs="Arial"/>
          <w:szCs w:val="20"/>
        </w:rPr>
        <w:t>zvyšoval a celkem vzrost</w:t>
      </w:r>
      <w:r w:rsidR="003C670D">
        <w:rPr>
          <w:rFonts w:cs="Arial"/>
          <w:szCs w:val="20"/>
        </w:rPr>
        <w:t>l o 162 %, což je podstatně větší nárůst, než jaký byl zaznamenán v počtu všech dětí se zdravotním postižením</w:t>
      </w:r>
      <w:r w:rsidR="0065797A">
        <w:rPr>
          <w:rFonts w:cs="Arial"/>
          <w:szCs w:val="20"/>
        </w:rPr>
        <w:t xml:space="preserve"> bez ohledu na integraci</w:t>
      </w:r>
      <w:r w:rsidR="003C670D">
        <w:rPr>
          <w:rFonts w:cs="Arial"/>
          <w:szCs w:val="20"/>
        </w:rPr>
        <w:t xml:space="preserve"> (tj. nárůst o 26,7 %).</w:t>
      </w:r>
    </w:p>
    <w:p w14:paraId="7436B4F5" w14:textId="4B752C7E" w:rsidR="00A67C12" w:rsidRDefault="002F17ED" w:rsidP="004864B7">
      <w:pPr>
        <w:spacing w:after="120"/>
        <w:jc w:val="both"/>
        <w:rPr>
          <w:rFonts w:cs="Arial"/>
          <w:szCs w:val="20"/>
        </w:rPr>
      </w:pPr>
      <w:r>
        <w:rPr>
          <w:rFonts w:cs="Arial"/>
          <w:szCs w:val="20"/>
        </w:rPr>
        <w:t>M</w:t>
      </w:r>
      <w:r w:rsidR="00A67C12">
        <w:rPr>
          <w:rFonts w:cs="Arial"/>
          <w:szCs w:val="20"/>
        </w:rPr>
        <w:t>ezi dětmi s</w:t>
      </w:r>
      <w:r w:rsidR="007C79C9">
        <w:rPr>
          <w:rFonts w:cs="Arial"/>
          <w:szCs w:val="20"/>
        </w:rPr>
        <w:t xml:space="preserve"> diagnostikovaným</w:t>
      </w:r>
      <w:r w:rsidR="00A67C12">
        <w:rPr>
          <w:rFonts w:cs="Arial"/>
          <w:szCs w:val="20"/>
        </w:rPr>
        <w:t xml:space="preserve"> zdravotním postižením </w:t>
      </w:r>
      <w:r>
        <w:rPr>
          <w:rFonts w:cs="Arial"/>
          <w:szCs w:val="20"/>
        </w:rPr>
        <w:t xml:space="preserve">je dlouhodobě </w:t>
      </w:r>
      <w:r w:rsidR="00A67C12">
        <w:rPr>
          <w:rFonts w:cs="Arial"/>
          <w:szCs w:val="20"/>
        </w:rPr>
        <w:t xml:space="preserve">cca dvakrát </w:t>
      </w:r>
      <w:r w:rsidR="00A67C12" w:rsidRPr="00EF1FDF">
        <w:rPr>
          <w:rFonts w:cs="Arial"/>
          <w:b/>
          <w:szCs w:val="20"/>
        </w:rPr>
        <w:t>více chlapců než dívek</w:t>
      </w:r>
      <w:r w:rsidR="000F51EF">
        <w:rPr>
          <w:rFonts w:cs="Arial"/>
          <w:szCs w:val="20"/>
        </w:rPr>
        <w:t>. Ve školním roce 2021/22</w:t>
      </w:r>
      <w:r w:rsidR="00A67C12">
        <w:rPr>
          <w:rFonts w:cs="Arial"/>
          <w:szCs w:val="20"/>
        </w:rPr>
        <w:t xml:space="preserve"> to bylo </w:t>
      </w:r>
      <w:r w:rsidR="000F51EF">
        <w:rPr>
          <w:rFonts w:cs="Arial"/>
          <w:szCs w:val="20"/>
        </w:rPr>
        <w:t>8 375 chlapců oproti 3 673</w:t>
      </w:r>
      <w:r>
        <w:rPr>
          <w:rFonts w:cs="Arial"/>
          <w:szCs w:val="20"/>
        </w:rPr>
        <w:t xml:space="preserve"> dívkám. </w:t>
      </w:r>
      <w:r w:rsidR="007C79C9">
        <w:rPr>
          <w:rFonts w:cs="Arial"/>
          <w:szCs w:val="20"/>
        </w:rPr>
        <w:t xml:space="preserve">Je však také možné, že se chlapcům ve větší míře než dívkám v případě postižení doporučuje návštěva odborníka, který by dané postižení potvrdil a </w:t>
      </w:r>
      <w:r w:rsidR="007C79C9">
        <w:rPr>
          <w:rFonts w:cs="Arial"/>
          <w:szCs w:val="20"/>
        </w:rPr>
        <w:lastRenderedPageBreak/>
        <w:t xml:space="preserve">uznal tím nárok škole na podporu. Ať tak či onak, dle vykazovaných statistik chlapci </w:t>
      </w:r>
      <w:r>
        <w:rPr>
          <w:rFonts w:cs="Arial"/>
          <w:szCs w:val="20"/>
        </w:rPr>
        <w:t>tvořili</w:t>
      </w:r>
      <w:r w:rsidR="00A67C12">
        <w:rPr>
          <w:rFonts w:cs="Arial"/>
          <w:szCs w:val="20"/>
        </w:rPr>
        <w:t xml:space="preserve"> </w:t>
      </w:r>
      <w:r w:rsidR="000F51EF">
        <w:rPr>
          <w:rFonts w:cs="Arial"/>
          <w:szCs w:val="20"/>
        </w:rPr>
        <w:t>69,5</w:t>
      </w:r>
      <w:r w:rsidR="00A67C12" w:rsidRPr="00EF1FDF">
        <w:rPr>
          <w:rFonts w:cs="Arial"/>
          <w:szCs w:val="20"/>
        </w:rPr>
        <w:t> %</w:t>
      </w:r>
      <w:r w:rsidR="00A67C12">
        <w:rPr>
          <w:rFonts w:cs="Arial"/>
          <w:szCs w:val="20"/>
        </w:rPr>
        <w:t xml:space="preserve"> dětí se zdravotním postižením navštěvujících mateřské školy. Na tisíc chlapců v mateřských školách připadlo v minulém školním roc</w:t>
      </w:r>
      <w:r w:rsidR="000F51EF">
        <w:rPr>
          <w:rFonts w:cs="Arial"/>
          <w:szCs w:val="20"/>
        </w:rPr>
        <w:t>e 45</w:t>
      </w:r>
      <w:r w:rsidR="00A67C12">
        <w:rPr>
          <w:rFonts w:cs="Arial"/>
          <w:szCs w:val="20"/>
        </w:rPr>
        <w:t xml:space="preserve"> </w:t>
      </w:r>
      <w:r w:rsidR="0048310F">
        <w:rPr>
          <w:rFonts w:cs="Arial"/>
          <w:szCs w:val="20"/>
        </w:rPr>
        <w:t>chlapců</w:t>
      </w:r>
      <w:r w:rsidR="00A67C12">
        <w:rPr>
          <w:rFonts w:cs="Arial"/>
          <w:szCs w:val="20"/>
        </w:rPr>
        <w:t xml:space="preserve"> se zdravotním postiž</w:t>
      </w:r>
      <w:r w:rsidR="008A75BD">
        <w:rPr>
          <w:rFonts w:cs="Arial"/>
          <w:szCs w:val="20"/>
        </w:rPr>
        <w:t>ením, v případě dívek to bylo 21. V</w:t>
      </w:r>
      <w:r w:rsidR="00BD12F7">
        <w:rPr>
          <w:rFonts w:cs="Arial"/>
          <w:szCs w:val="20"/>
        </w:rPr>
        <w:t xml:space="preserve">íce viz </w:t>
      </w:r>
      <w:r w:rsidR="00150D28">
        <w:rPr>
          <w:rFonts w:cs="Arial"/>
          <w:szCs w:val="20"/>
        </w:rPr>
        <w:t>graf 1.2</w:t>
      </w:r>
      <w:r w:rsidR="000564AE">
        <w:rPr>
          <w:rFonts w:cs="Arial"/>
          <w:szCs w:val="20"/>
        </w:rPr>
        <w:t>2</w:t>
      </w:r>
      <w:r w:rsidR="00A67C12">
        <w:rPr>
          <w:rFonts w:cs="Arial"/>
          <w:szCs w:val="20"/>
        </w:rPr>
        <w:t>.</w:t>
      </w:r>
    </w:p>
    <w:p w14:paraId="71C92026" w14:textId="66274F68" w:rsidR="00A67C12" w:rsidRDefault="00A67C12" w:rsidP="004864B7">
      <w:pPr>
        <w:spacing w:after="0"/>
        <w:jc w:val="both"/>
        <w:rPr>
          <w:rFonts w:cs="Arial"/>
          <w:b/>
          <w:szCs w:val="20"/>
        </w:rPr>
      </w:pPr>
      <w:r w:rsidRPr="002E5300">
        <w:rPr>
          <w:rFonts w:cs="Arial"/>
          <w:b/>
          <w:szCs w:val="20"/>
        </w:rPr>
        <w:t>Graf 1</w:t>
      </w:r>
      <w:r w:rsidR="00150D28">
        <w:rPr>
          <w:rFonts w:cs="Arial"/>
          <w:b/>
          <w:szCs w:val="20"/>
        </w:rPr>
        <w:t>.2</w:t>
      </w:r>
      <w:r w:rsidR="000564AE">
        <w:rPr>
          <w:rFonts w:cs="Arial"/>
          <w:b/>
          <w:szCs w:val="20"/>
        </w:rPr>
        <w:t>2</w:t>
      </w:r>
      <w:r w:rsidRPr="002E5300">
        <w:rPr>
          <w:rFonts w:cs="Arial"/>
          <w:b/>
          <w:szCs w:val="20"/>
        </w:rPr>
        <w:t xml:space="preserve"> </w:t>
      </w:r>
      <w:r>
        <w:rPr>
          <w:rFonts w:cs="Arial"/>
          <w:b/>
          <w:szCs w:val="20"/>
        </w:rPr>
        <w:t xml:space="preserve">Dívky a chlapci </w:t>
      </w:r>
      <w:r w:rsidRPr="00580AB4">
        <w:rPr>
          <w:rFonts w:cs="Arial"/>
          <w:b/>
          <w:szCs w:val="20"/>
        </w:rPr>
        <w:t xml:space="preserve">se zdravotním postižením </w:t>
      </w:r>
      <w:r>
        <w:rPr>
          <w:rFonts w:cs="Arial"/>
          <w:b/>
          <w:szCs w:val="20"/>
        </w:rPr>
        <w:t>v mateřských školách</w:t>
      </w:r>
    </w:p>
    <w:p w14:paraId="4BE34977" w14:textId="44AB4BCE" w:rsidR="00A67C12" w:rsidRPr="0008474B" w:rsidRDefault="003C670D" w:rsidP="004864B7">
      <w:pPr>
        <w:spacing w:after="0"/>
        <w:jc w:val="both"/>
        <w:rPr>
          <w:rFonts w:cs="Arial"/>
          <w:b/>
          <w:szCs w:val="20"/>
        </w:rPr>
      </w:pPr>
      <w:r>
        <w:rPr>
          <w:noProof/>
        </w:rPr>
        <w:drawing>
          <wp:inline distT="0" distB="0" distL="0" distR="0" wp14:anchorId="27A5E829" wp14:editId="5A47E22F">
            <wp:extent cx="6011545" cy="3095625"/>
            <wp:effectExtent l="0" t="0" r="8255" b="9525"/>
            <wp:docPr id="18" name="Graf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9863737" w14:textId="77777777" w:rsidR="00A67C12" w:rsidRDefault="00A67C12" w:rsidP="0008474B">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5D0122C7" w14:textId="7710B097" w:rsidR="00A67C12" w:rsidRPr="00611862" w:rsidRDefault="004D22C0" w:rsidP="004864B7">
      <w:pPr>
        <w:spacing w:after="120"/>
        <w:jc w:val="both"/>
        <w:rPr>
          <w:rFonts w:cs="Arial"/>
          <w:szCs w:val="20"/>
        </w:rPr>
      </w:pPr>
      <w:r w:rsidRPr="00C719C3">
        <w:rPr>
          <w:rFonts w:cs="Arial"/>
          <w:szCs w:val="20"/>
        </w:rPr>
        <w:t xml:space="preserve">Podíl dětí se zdravotním postižením ve školkách byl </w:t>
      </w:r>
      <w:r w:rsidR="00175720" w:rsidRPr="00C719C3">
        <w:rPr>
          <w:rFonts w:cs="Arial"/>
          <w:szCs w:val="20"/>
        </w:rPr>
        <w:t>ve školním roce</w:t>
      </w:r>
      <w:r w:rsidR="000F51EF" w:rsidRPr="00C719C3">
        <w:rPr>
          <w:rFonts w:cs="Arial"/>
          <w:szCs w:val="20"/>
        </w:rPr>
        <w:t xml:space="preserve"> 2021/22</w:t>
      </w:r>
      <w:r w:rsidR="00175720" w:rsidRPr="00C719C3">
        <w:rPr>
          <w:rFonts w:cs="Arial"/>
          <w:szCs w:val="20"/>
        </w:rPr>
        <w:t xml:space="preserve"> </w:t>
      </w:r>
      <w:r w:rsidRPr="00C719C3">
        <w:rPr>
          <w:rFonts w:cs="Arial"/>
          <w:szCs w:val="20"/>
        </w:rPr>
        <w:t>napříč</w:t>
      </w:r>
      <w:r w:rsidRPr="00BC5623">
        <w:rPr>
          <w:rFonts w:cs="Arial"/>
          <w:b/>
          <w:szCs w:val="20"/>
        </w:rPr>
        <w:t xml:space="preserve"> kraji ČR </w:t>
      </w:r>
      <w:r w:rsidRPr="00C719C3">
        <w:rPr>
          <w:rFonts w:cs="Arial"/>
          <w:szCs w:val="20"/>
        </w:rPr>
        <w:t>různý.</w:t>
      </w:r>
      <w:r w:rsidR="00A67C12" w:rsidRPr="00EF1FDF">
        <w:rPr>
          <w:rFonts w:cs="Arial"/>
          <w:szCs w:val="20"/>
        </w:rPr>
        <w:t xml:space="preserve"> </w:t>
      </w:r>
      <w:r w:rsidR="00175720">
        <w:rPr>
          <w:rFonts w:cs="Arial"/>
          <w:szCs w:val="20"/>
        </w:rPr>
        <w:t>Nejmenší byl v Pardubickém a Středočeském kraji</w:t>
      </w:r>
      <w:r w:rsidR="00A67C12" w:rsidRPr="00EF1FDF">
        <w:rPr>
          <w:rFonts w:cs="Arial"/>
          <w:szCs w:val="20"/>
        </w:rPr>
        <w:t xml:space="preserve"> </w:t>
      </w:r>
      <w:r w:rsidR="000F51EF">
        <w:rPr>
          <w:rFonts w:cs="Arial"/>
          <w:szCs w:val="20"/>
        </w:rPr>
        <w:t>(1,9 %, resp. 2</w:t>
      </w:r>
      <w:r w:rsidR="00175720">
        <w:rPr>
          <w:rFonts w:cs="Arial"/>
          <w:szCs w:val="20"/>
        </w:rPr>
        <w:t xml:space="preserve"> %) a největší naopak v kraji </w:t>
      </w:r>
      <w:r w:rsidR="00A67C12" w:rsidRPr="00EF1FDF">
        <w:rPr>
          <w:rFonts w:cs="Arial"/>
          <w:szCs w:val="20"/>
        </w:rPr>
        <w:t xml:space="preserve">Moravskoslezském </w:t>
      </w:r>
      <w:r w:rsidR="000F51EF">
        <w:rPr>
          <w:rFonts w:cs="Arial"/>
          <w:szCs w:val="20"/>
        </w:rPr>
        <w:t>a Královéhradeckém (4,9 %, resp. 4,7</w:t>
      </w:r>
      <w:r w:rsidR="00175720">
        <w:rPr>
          <w:rFonts w:cs="Arial"/>
          <w:szCs w:val="20"/>
        </w:rPr>
        <w:t> %)</w:t>
      </w:r>
      <w:r w:rsidR="00A67C12" w:rsidRPr="00EF1FDF">
        <w:rPr>
          <w:rFonts w:cs="Arial"/>
          <w:szCs w:val="20"/>
        </w:rPr>
        <w:t>.</w:t>
      </w:r>
      <w:r w:rsidR="00175720">
        <w:rPr>
          <w:rFonts w:cs="Arial"/>
          <w:szCs w:val="20"/>
        </w:rPr>
        <w:t xml:space="preserve"> V ostatní</w:t>
      </w:r>
      <w:r w:rsidR="000F51EF">
        <w:rPr>
          <w:rFonts w:cs="Arial"/>
          <w:szCs w:val="20"/>
        </w:rPr>
        <w:t>ch krajích se pohyboval mezi 2,6 % a 4,4</w:t>
      </w:r>
      <w:r w:rsidR="00175720">
        <w:rPr>
          <w:rFonts w:cs="Arial"/>
          <w:szCs w:val="20"/>
        </w:rPr>
        <w:t> %</w:t>
      </w:r>
      <w:r w:rsidR="00BC5623">
        <w:rPr>
          <w:rFonts w:cs="Arial"/>
          <w:szCs w:val="20"/>
        </w:rPr>
        <w:t xml:space="preserve"> - </w:t>
      </w:r>
      <w:r w:rsidR="00BC5623" w:rsidRPr="00611862">
        <w:rPr>
          <w:rFonts w:cs="Arial"/>
          <w:szCs w:val="20"/>
        </w:rPr>
        <w:t xml:space="preserve">viz graf </w:t>
      </w:r>
      <w:r w:rsidR="000564AE">
        <w:rPr>
          <w:rFonts w:cs="Arial"/>
          <w:szCs w:val="20"/>
        </w:rPr>
        <w:t>1.23</w:t>
      </w:r>
      <w:r w:rsidR="00175720" w:rsidRPr="00611862">
        <w:rPr>
          <w:rFonts w:cs="Arial"/>
          <w:szCs w:val="20"/>
        </w:rPr>
        <w:t>.</w:t>
      </w:r>
    </w:p>
    <w:p w14:paraId="09E46B46" w14:textId="1B070DDA" w:rsidR="005D1E23" w:rsidRPr="005D1E23" w:rsidRDefault="000564AE" w:rsidP="005D1E23">
      <w:pPr>
        <w:spacing w:after="0"/>
        <w:jc w:val="both"/>
        <w:rPr>
          <w:rFonts w:cs="Arial"/>
          <w:b/>
          <w:szCs w:val="20"/>
        </w:rPr>
      </w:pPr>
      <w:r>
        <w:rPr>
          <w:rFonts w:cs="Arial"/>
          <w:b/>
          <w:szCs w:val="20"/>
        </w:rPr>
        <w:t>Graf 1.23</w:t>
      </w:r>
      <w:r w:rsidR="005D1E23" w:rsidRPr="00611862">
        <w:rPr>
          <w:rFonts w:cs="Arial"/>
          <w:b/>
          <w:szCs w:val="20"/>
        </w:rPr>
        <w:t xml:space="preserve"> Děti</w:t>
      </w:r>
      <w:r w:rsidR="005D1E23">
        <w:rPr>
          <w:rFonts w:cs="Arial"/>
          <w:b/>
          <w:szCs w:val="20"/>
        </w:rPr>
        <w:t xml:space="preserve"> </w:t>
      </w:r>
      <w:r w:rsidR="005D1E23" w:rsidRPr="00580AB4">
        <w:rPr>
          <w:rFonts w:cs="Arial"/>
          <w:b/>
          <w:szCs w:val="20"/>
        </w:rPr>
        <w:t xml:space="preserve">se zdravotním postižením </w:t>
      </w:r>
      <w:r w:rsidR="005D1E23">
        <w:rPr>
          <w:rFonts w:cs="Arial"/>
          <w:b/>
          <w:szCs w:val="20"/>
        </w:rPr>
        <w:t>v mateřských školách dle kraje (2021/22)</w:t>
      </w:r>
    </w:p>
    <w:p w14:paraId="3E7AA8E2" w14:textId="38028BB4" w:rsidR="005D1E23" w:rsidRDefault="005D1E23" w:rsidP="004864B7">
      <w:pPr>
        <w:spacing w:after="120"/>
        <w:jc w:val="both"/>
        <w:rPr>
          <w:rFonts w:cs="Arial"/>
          <w:szCs w:val="20"/>
        </w:rPr>
      </w:pPr>
      <w:r>
        <w:rPr>
          <w:noProof/>
        </w:rPr>
        <w:drawing>
          <wp:inline distT="0" distB="0" distL="0" distR="0" wp14:anchorId="54B6389A" wp14:editId="045BA6B5">
            <wp:extent cx="6083935" cy="2571750"/>
            <wp:effectExtent l="0" t="0" r="12065" b="0"/>
            <wp:docPr id="6" name="Graf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1AADD83" w14:textId="70CBA36E" w:rsidR="005D1E23" w:rsidRPr="005D1E23" w:rsidRDefault="005D1E23" w:rsidP="005D1E23">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1B1859FA" w14:textId="659485F8" w:rsidR="00E96ACA" w:rsidRPr="00EF1FDF" w:rsidRDefault="00E3792E" w:rsidP="004864B7">
      <w:pPr>
        <w:spacing w:after="120"/>
        <w:jc w:val="both"/>
        <w:rPr>
          <w:rFonts w:cs="Arial"/>
          <w:szCs w:val="20"/>
        </w:rPr>
      </w:pPr>
      <w:r>
        <w:rPr>
          <w:rFonts w:cs="Arial"/>
          <w:szCs w:val="20"/>
        </w:rPr>
        <w:t>Z tabulky 1.5</w:t>
      </w:r>
      <w:r w:rsidR="00E96ACA" w:rsidRPr="004864B7">
        <w:rPr>
          <w:rFonts w:cs="Arial"/>
          <w:szCs w:val="20"/>
        </w:rPr>
        <w:t xml:space="preserve"> je patrné, že ve sledovaných školních rocích byly u poloviny dětí se zdravotním postižením zjištěny závažné vady řeči</w:t>
      </w:r>
      <w:r w:rsidR="004279CC">
        <w:rPr>
          <w:rFonts w:cs="Arial"/>
          <w:szCs w:val="20"/>
        </w:rPr>
        <w:t xml:space="preserve"> (50,4</w:t>
      </w:r>
      <w:r w:rsidR="00BD12F7">
        <w:rPr>
          <w:rFonts w:cs="Arial"/>
          <w:szCs w:val="20"/>
        </w:rPr>
        <w:t> %)</w:t>
      </w:r>
      <w:r w:rsidR="00E96ACA" w:rsidRPr="004864B7">
        <w:rPr>
          <w:rFonts w:cs="Arial"/>
          <w:szCs w:val="20"/>
        </w:rPr>
        <w:t xml:space="preserve">. Za deset let však podíl dětí s vadou řeči ze všech dětí se zdravotním postižením klesl. Snížil se i podíl dětí se zrakovými </w:t>
      </w:r>
      <w:r w:rsidR="004279CC">
        <w:rPr>
          <w:rFonts w:cs="Arial"/>
          <w:szCs w:val="20"/>
        </w:rPr>
        <w:t xml:space="preserve">a sluchovými </w:t>
      </w:r>
      <w:r w:rsidR="00E96ACA" w:rsidRPr="004864B7">
        <w:rPr>
          <w:rFonts w:cs="Arial"/>
          <w:szCs w:val="20"/>
        </w:rPr>
        <w:t>vadami</w:t>
      </w:r>
      <w:r w:rsidR="00BC5623">
        <w:rPr>
          <w:rFonts w:cs="Arial"/>
          <w:szCs w:val="20"/>
        </w:rPr>
        <w:t xml:space="preserve"> a</w:t>
      </w:r>
      <w:r w:rsidR="004279CC">
        <w:rPr>
          <w:rFonts w:cs="Arial"/>
          <w:szCs w:val="20"/>
        </w:rPr>
        <w:t> dětí postižených více vadami</w:t>
      </w:r>
      <w:r w:rsidR="00E96ACA" w:rsidRPr="004864B7">
        <w:rPr>
          <w:rFonts w:cs="Arial"/>
          <w:szCs w:val="20"/>
        </w:rPr>
        <w:t>. Naopak největší nárůst zazname</w:t>
      </w:r>
      <w:r w:rsidR="001D492A">
        <w:rPr>
          <w:rFonts w:cs="Arial"/>
          <w:szCs w:val="20"/>
        </w:rPr>
        <w:t>nal podíl dětí s</w:t>
      </w:r>
      <w:r w:rsidR="00DF4FB7">
        <w:rPr>
          <w:rFonts w:cs="Arial"/>
          <w:szCs w:val="20"/>
        </w:rPr>
        <w:t> poruchami autistického spektra</w:t>
      </w:r>
      <w:r w:rsidR="001D492A">
        <w:rPr>
          <w:rFonts w:cs="Arial"/>
          <w:szCs w:val="20"/>
        </w:rPr>
        <w:t xml:space="preserve"> (z 6</w:t>
      </w:r>
      <w:r w:rsidR="004279CC">
        <w:rPr>
          <w:rFonts w:cs="Arial"/>
          <w:szCs w:val="20"/>
        </w:rPr>
        <w:t>,8 % na 11,4</w:t>
      </w:r>
      <w:r w:rsidR="00E96ACA" w:rsidRPr="004864B7">
        <w:rPr>
          <w:rFonts w:cs="Arial"/>
          <w:szCs w:val="20"/>
        </w:rPr>
        <w:t xml:space="preserve"> %) a se závažnými vývojovými poruchami učení či chování (z</w:t>
      </w:r>
      <w:r w:rsidR="00E96ACA">
        <w:rPr>
          <w:rFonts w:cs="Arial"/>
          <w:szCs w:val="20"/>
        </w:rPr>
        <w:t>e</w:t>
      </w:r>
      <w:r w:rsidR="004279CC">
        <w:rPr>
          <w:rFonts w:cs="Arial"/>
          <w:szCs w:val="20"/>
        </w:rPr>
        <w:t xml:space="preserve"> 5,5</w:t>
      </w:r>
      <w:r w:rsidR="00E96ACA" w:rsidRPr="004864B7">
        <w:rPr>
          <w:rFonts w:cs="Arial"/>
          <w:szCs w:val="20"/>
        </w:rPr>
        <w:t xml:space="preserve"> </w:t>
      </w:r>
      <w:r w:rsidR="00BC5623">
        <w:rPr>
          <w:rFonts w:cs="Arial"/>
          <w:szCs w:val="20"/>
        </w:rPr>
        <w:t>% na 9</w:t>
      </w:r>
      <w:r w:rsidR="004279CC">
        <w:rPr>
          <w:rFonts w:cs="Arial"/>
          <w:szCs w:val="20"/>
        </w:rPr>
        <w:t>,2</w:t>
      </w:r>
      <w:r w:rsidR="00E96ACA">
        <w:rPr>
          <w:rFonts w:cs="Arial"/>
          <w:szCs w:val="20"/>
        </w:rPr>
        <w:t xml:space="preserve"> %).</w:t>
      </w:r>
      <w:r w:rsidR="00C9317D" w:rsidRPr="00C9317D">
        <w:t xml:space="preserve"> </w:t>
      </w:r>
      <w:r w:rsidR="00C9317D">
        <w:rPr>
          <w:rFonts w:cs="Arial"/>
          <w:szCs w:val="20"/>
        </w:rPr>
        <w:t>To</w:t>
      </w:r>
      <w:r w:rsidR="00C9317D" w:rsidRPr="00C9317D">
        <w:rPr>
          <w:rFonts w:cs="Arial"/>
          <w:szCs w:val="20"/>
        </w:rPr>
        <w:t xml:space="preserve"> souvisí s nástupem nového systému diagnostiky </w:t>
      </w:r>
      <w:r w:rsidR="00C9317D">
        <w:rPr>
          <w:rFonts w:cs="Arial"/>
          <w:szCs w:val="20"/>
        </w:rPr>
        <w:t>speciálních vzdělávacích potřeb</w:t>
      </w:r>
      <w:r w:rsidR="00C9317D" w:rsidRPr="00C9317D">
        <w:rPr>
          <w:rFonts w:cs="Arial"/>
          <w:szCs w:val="20"/>
        </w:rPr>
        <w:t xml:space="preserve"> a nároku na podpůrná opatření pro děti s</w:t>
      </w:r>
      <w:r w:rsidR="00C9317D">
        <w:rPr>
          <w:rFonts w:cs="Arial"/>
          <w:szCs w:val="20"/>
        </w:rPr>
        <w:t> těmito potřebami.</w:t>
      </w:r>
    </w:p>
    <w:p w14:paraId="0FA0186B" w14:textId="5D3B4AFE" w:rsidR="00A67C12" w:rsidRDefault="00A67C12" w:rsidP="00BC5623">
      <w:pPr>
        <w:keepNext/>
        <w:spacing w:after="120"/>
        <w:jc w:val="both"/>
        <w:rPr>
          <w:rFonts w:cs="Arial"/>
          <w:b/>
          <w:szCs w:val="20"/>
        </w:rPr>
      </w:pPr>
      <w:r w:rsidRPr="00FF3C6B">
        <w:rPr>
          <w:rFonts w:cs="Arial"/>
          <w:b/>
          <w:szCs w:val="20"/>
        </w:rPr>
        <w:lastRenderedPageBreak/>
        <w:t>Tab. 1.</w:t>
      </w:r>
      <w:r w:rsidR="00E3792E">
        <w:rPr>
          <w:rFonts w:cs="Arial"/>
          <w:b/>
          <w:szCs w:val="20"/>
        </w:rPr>
        <w:t>5</w:t>
      </w:r>
      <w:r w:rsidRPr="00FF3C6B">
        <w:rPr>
          <w:rFonts w:cs="Arial"/>
          <w:b/>
          <w:szCs w:val="20"/>
        </w:rPr>
        <w:t xml:space="preserve"> </w:t>
      </w:r>
      <w:r w:rsidRPr="00BA6D11">
        <w:rPr>
          <w:rFonts w:cs="Arial"/>
          <w:b/>
          <w:szCs w:val="20"/>
        </w:rPr>
        <w:t xml:space="preserve">Dětí </w:t>
      </w:r>
      <w:r>
        <w:rPr>
          <w:rFonts w:cs="Arial"/>
          <w:b/>
          <w:szCs w:val="20"/>
        </w:rPr>
        <w:t xml:space="preserve">se zdravotním postižením </w:t>
      </w:r>
      <w:r w:rsidRPr="00BA6D11">
        <w:rPr>
          <w:rFonts w:cs="Arial"/>
          <w:b/>
          <w:szCs w:val="20"/>
        </w:rPr>
        <w:t xml:space="preserve">v mateřských školách podle </w:t>
      </w:r>
      <w:r>
        <w:rPr>
          <w:rFonts w:cs="Arial"/>
          <w:b/>
          <w:szCs w:val="20"/>
        </w:rPr>
        <w:t>druhu postižení</w:t>
      </w:r>
    </w:p>
    <w:tbl>
      <w:tblPr>
        <w:tblW w:w="9634" w:type="dxa"/>
        <w:tblLayout w:type="fixed"/>
        <w:tblCellMar>
          <w:left w:w="70" w:type="dxa"/>
          <w:right w:w="70" w:type="dxa"/>
        </w:tblCellMar>
        <w:tblLook w:val="04A0" w:firstRow="1" w:lastRow="0" w:firstColumn="1" w:lastColumn="0" w:noHBand="0" w:noVBand="1"/>
      </w:tblPr>
      <w:tblGrid>
        <w:gridCol w:w="2263"/>
        <w:gridCol w:w="1228"/>
        <w:gridCol w:w="1229"/>
        <w:gridCol w:w="1228"/>
        <w:gridCol w:w="1229"/>
        <w:gridCol w:w="1228"/>
        <w:gridCol w:w="1229"/>
      </w:tblGrid>
      <w:tr w:rsidR="000F51EF" w:rsidRPr="000F51EF" w14:paraId="63E68C5F" w14:textId="77777777" w:rsidTr="00907168">
        <w:trPr>
          <w:trHeight w:val="315"/>
        </w:trPr>
        <w:tc>
          <w:tcPr>
            <w:tcW w:w="2263" w:type="dxa"/>
            <w:vMerge w:val="restart"/>
            <w:tcBorders>
              <w:top w:val="single" w:sz="4" w:space="0" w:color="auto"/>
              <w:left w:val="single" w:sz="4" w:space="0" w:color="auto"/>
              <w:bottom w:val="single" w:sz="8" w:space="0" w:color="000000"/>
              <w:right w:val="single" w:sz="8" w:space="0" w:color="auto"/>
            </w:tcBorders>
            <w:shd w:val="clear" w:color="000000" w:fill="C00000"/>
            <w:vAlign w:val="center"/>
            <w:hideMark/>
          </w:tcPr>
          <w:p w14:paraId="6166C10D" w14:textId="77777777" w:rsidR="000F51EF" w:rsidRPr="000F51EF" w:rsidRDefault="000F51EF" w:rsidP="00BC5623">
            <w:pPr>
              <w:keepNext/>
              <w:spacing w:after="0" w:line="240" w:lineRule="auto"/>
              <w:jc w:val="center"/>
              <w:rPr>
                <w:rFonts w:cs="Arial"/>
                <w:b/>
                <w:bCs/>
                <w:color w:val="FFFFFF"/>
                <w:sz w:val="16"/>
                <w:szCs w:val="16"/>
              </w:rPr>
            </w:pPr>
            <w:r w:rsidRPr="000F51EF">
              <w:rPr>
                <w:rFonts w:cs="Arial"/>
                <w:b/>
                <w:bCs/>
                <w:color w:val="FFFFFF"/>
                <w:sz w:val="16"/>
                <w:szCs w:val="16"/>
                <w:lang w:val="en-US"/>
              </w:rPr>
              <w:t> </w:t>
            </w:r>
          </w:p>
        </w:tc>
        <w:tc>
          <w:tcPr>
            <w:tcW w:w="2457" w:type="dxa"/>
            <w:gridSpan w:val="2"/>
            <w:tcBorders>
              <w:top w:val="single" w:sz="4" w:space="0" w:color="auto"/>
              <w:left w:val="nil"/>
              <w:bottom w:val="single" w:sz="8" w:space="0" w:color="auto"/>
              <w:right w:val="single" w:sz="8" w:space="0" w:color="000000"/>
            </w:tcBorders>
            <w:shd w:val="clear" w:color="000000" w:fill="C00000"/>
            <w:vAlign w:val="center"/>
            <w:hideMark/>
          </w:tcPr>
          <w:p w14:paraId="3E09018A" w14:textId="77777777" w:rsidR="000F51EF" w:rsidRPr="000F51EF" w:rsidRDefault="000F51EF" w:rsidP="00BC5623">
            <w:pPr>
              <w:keepNext/>
              <w:spacing w:after="0" w:line="240" w:lineRule="auto"/>
              <w:jc w:val="center"/>
              <w:rPr>
                <w:rFonts w:cs="Arial"/>
                <w:b/>
                <w:bCs/>
                <w:color w:val="FFFFFF"/>
                <w:sz w:val="16"/>
                <w:szCs w:val="16"/>
              </w:rPr>
            </w:pPr>
            <w:r w:rsidRPr="000F51EF">
              <w:rPr>
                <w:rFonts w:cs="Arial"/>
                <w:b/>
                <w:bCs/>
                <w:color w:val="FFFFFF"/>
                <w:sz w:val="16"/>
                <w:szCs w:val="16"/>
                <w:lang w:val="en-US"/>
              </w:rPr>
              <w:t>2011/12</w:t>
            </w:r>
          </w:p>
        </w:tc>
        <w:tc>
          <w:tcPr>
            <w:tcW w:w="2457" w:type="dxa"/>
            <w:gridSpan w:val="2"/>
            <w:tcBorders>
              <w:top w:val="single" w:sz="4" w:space="0" w:color="auto"/>
              <w:left w:val="nil"/>
              <w:bottom w:val="single" w:sz="8" w:space="0" w:color="auto"/>
              <w:right w:val="single" w:sz="8" w:space="0" w:color="000000"/>
            </w:tcBorders>
            <w:shd w:val="clear" w:color="000000" w:fill="C00000"/>
            <w:vAlign w:val="center"/>
            <w:hideMark/>
          </w:tcPr>
          <w:p w14:paraId="7A8CE199" w14:textId="77777777" w:rsidR="000F51EF" w:rsidRPr="000F51EF" w:rsidRDefault="000F51EF" w:rsidP="00BC5623">
            <w:pPr>
              <w:keepNext/>
              <w:spacing w:after="0" w:line="240" w:lineRule="auto"/>
              <w:jc w:val="center"/>
              <w:rPr>
                <w:rFonts w:cs="Arial"/>
                <w:b/>
                <w:bCs/>
                <w:color w:val="FFFFFF"/>
                <w:sz w:val="16"/>
                <w:szCs w:val="16"/>
              </w:rPr>
            </w:pPr>
            <w:r w:rsidRPr="000F51EF">
              <w:rPr>
                <w:rFonts w:cs="Arial"/>
                <w:b/>
                <w:bCs/>
                <w:color w:val="FFFFFF"/>
                <w:sz w:val="16"/>
                <w:szCs w:val="16"/>
                <w:lang w:val="en-US"/>
              </w:rPr>
              <w:t>2016/17</w:t>
            </w:r>
          </w:p>
        </w:tc>
        <w:tc>
          <w:tcPr>
            <w:tcW w:w="2457" w:type="dxa"/>
            <w:gridSpan w:val="2"/>
            <w:tcBorders>
              <w:top w:val="single" w:sz="4" w:space="0" w:color="auto"/>
              <w:left w:val="nil"/>
              <w:bottom w:val="single" w:sz="8" w:space="0" w:color="auto"/>
              <w:right w:val="single" w:sz="4" w:space="0" w:color="auto"/>
            </w:tcBorders>
            <w:shd w:val="clear" w:color="000000" w:fill="C00000"/>
            <w:vAlign w:val="center"/>
            <w:hideMark/>
          </w:tcPr>
          <w:p w14:paraId="09B79BF4" w14:textId="77777777" w:rsidR="000F51EF" w:rsidRPr="000F51EF" w:rsidRDefault="000F51EF" w:rsidP="00BC5623">
            <w:pPr>
              <w:keepNext/>
              <w:spacing w:after="0" w:line="240" w:lineRule="auto"/>
              <w:jc w:val="center"/>
              <w:rPr>
                <w:rFonts w:cs="Arial"/>
                <w:b/>
                <w:bCs/>
                <w:color w:val="FFFFFF"/>
                <w:sz w:val="16"/>
                <w:szCs w:val="16"/>
              </w:rPr>
            </w:pPr>
            <w:r w:rsidRPr="000F51EF">
              <w:rPr>
                <w:rFonts w:cs="Arial"/>
                <w:b/>
                <w:bCs/>
                <w:color w:val="FFFFFF"/>
                <w:sz w:val="16"/>
                <w:szCs w:val="16"/>
                <w:lang w:val="en-US"/>
              </w:rPr>
              <w:t>2021/22</w:t>
            </w:r>
          </w:p>
        </w:tc>
      </w:tr>
      <w:tr w:rsidR="000F51EF" w:rsidRPr="000F51EF" w14:paraId="084020B2" w14:textId="77777777" w:rsidTr="00907168">
        <w:trPr>
          <w:trHeight w:val="315"/>
        </w:trPr>
        <w:tc>
          <w:tcPr>
            <w:tcW w:w="2263" w:type="dxa"/>
            <w:vMerge/>
            <w:tcBorders>
              <w:top w:val="single" w:sz="8" w:space="0" w:color="auto"/>
              <w:left w:val="single" w:sz="4" w:space="0" w:color="auto"/>
              <w:bottom w:val="single" w:sz="8" w:space="0" w:color="000000"/>
              <w:right w:val="single" w:sz="8" w:space="0" w:color="auto"/>
            </w:tcBorders>
            <w:vAlign w:val="center"/>
            <w:hideMark/>
          </w:tcPr>
          <w:p w14:paraId="1EA40336" w14:textId="77777777" w:rsidR="000F51EF" w:rsidRPr="000F51EF" w:rsidRDefault="000F51EF" w:rsidP="00BC5623">
            <w:pPr>
              <w:keepNext/>
              <w:spacing w:after="0" w:line="240" w:lineRule="auto"/>
              <w:rPr>
                <w:rFonts w:cs="Arial"/>
                <w:b/>
                <w:bCs/>
                <w:color w:val="FFFFFF"/>
                <w:sz w:val="16"/>
                <w:szCs w:val="16"/>
              </w:rPr>
            </w:pPr>
          </w:p>
        </w:tc>
        <w:tc>
          <w:tcPr>
            <w:tcW w:w="1228" w:type="dxa"/>
            <w:tcBorders>
              <w:top w:val="nil"/>
              <w:left w:val="nil"/>
              <w:bottom w:val="single" w:sz="8" w:space="0" w:color="auto"/>
              <w:right w:val="single" w:sz="8" w:space="0" w:color="auto"/>
            </w:tcBorders>
            <w:shd w:val="clear" w:color="000000" w:fill="FABF8F"/>
            <w:noWrap/>
            <w:vAlign w:val="center"/>
            <w:hideMark/>
          </w:tcPr>
          <w:p w14:paraId="151BFB46" w14:textId="77777777" w:rsidR="000F51EF" w:rsidRPr="000F51EF" w:rsidRDefault="000F51EF" w:rsidP="00BC5623">
            <w:pPr>
              <w:keepNext/>
              <w:spacing w:after="0" w:line="240" w:lineRule="auto"/>
              <w:jc w:val="center"/>
              <w:rPr>
                <w:rFonts w:cs="Arial"/>
                <w:b/>
                <w:bCs/>
                <w:color w:val="000000"/>
                <w:sz w:val="16"/>
                <w:szCs w:val="16"/>
              </w:rPr>
            </w:pPr>
            <w:r w:rsidRPr="000F51EF">
              <w:rPr>
                <w:rFonts w:cs="Arial"/>
                <w:b/>
                <w:bCs/>
                <w:color w:val="000000"/>
                <w:sz w:val="16"/>
                <w:szCs w:val="16"/>
                <w:lang w:val="en-US"/>
              </w:rPr>
              <w:t>Abs.</w:t>
            </w:r>
          </w:p>
        </w:tc>
        <w:tc>
          <w:tcPr>
            <w:tcW w:w="1229" w:type="dxa"/>
            <w:tcBorders>
              <w:top w:val="nil"/>
              <w:left w:val="nil"/>
              <w:bottom w:val="single" w:sz="8" w:space="0" w:color="auto"/>
              <w:right w:val="single" w:sz="8" w:space="0" w:color="auto"/>
            </w:tcBorders>
            <w:shd w:val="clear" w:color="000000" w:fill="FABF8F"/>
            <w:noWrap/>
            <w:vAlign w:val="center"/>
            <w:hideMark/>
          </w:tcPr>
          <w:p w14:paraId="6D8358EF" w14:textId="77777777" w:rsidR="000F51EF" w:rsidRPr="000F51EF" w:rsidRDefault="000F51EF" w:rsidP="00BC5623">
            <w:pPr>
              <w:keepNext/>
              <w:spacing w:after="0" w:line="240" w:lineRule="auto"/>
              <w:jc w:val="center"/>
              <w:rPr>
                <w:rFonts w:cs="Arial"/>
                <w:b/>
                <w:bCs/>
                <w:color w:val="000000"/>
                <w:sz w:val="16"/>
                <w:szCs w:val="16"/>
              </w:rPr>
            </w:pPr>
            <w:r w:rsidRPr="000F51EF">
              <w:rPr>
                <w:rFonts w:cs="Arial"/>
                <w:b/>
                <w:bCs/>
                <w:color w:val="000000"/>
                <w:sz w:val="16"/>
                <w:szCs w:val="16"/>
                <w:lang w:val="en-US"/>
              </w:rPr>
              <w:t>%</w:t>
            </w:r>
          </w:p>
        </w:tc>
        <w:tc>
          <w:tcPr>
            <w:tcW w:w="1228" w:type="dxa"/>
            <w:tcBorders>
              <w:top w:val="nil"/>
              <w:left w:val="nil"/>
              <w:bottom w:val="single" w:sz="8" w:space="0" w:color="auto"/>
              <w:right w:val="single" w:sz="8" w:space="0" w:color="auto"/>
            </w:tcBorders>
            <w:shd w:val="clear" w:color="000000" w:fill="FABF8F"/>
            <w:noWrap/>
            <w:vAlign w:val="center"/>
            <w:hideMark/>
          </w:tcPr>
          <w:p w14:paraId="62F7C4FB" w14:textId="77777777" w:rsidR="000F51EF" w:rsidRPr="000F51EF" w:rsidRDefault="000F51EF" w:rsidP="00BC5623">
            <w:pPr>
              <w:keepNext/>
              <w:spacing w:after="0" w:line="240" w:lineRule="auto"/>
              <w:jc w:val="center"/>
              <w:rPr>
                <w:rFonts w:cs="Arial"/>
                <w:b/>
                <w:bCs/>
                <w:color w:val="000000"/>
                <w:sz w:val="16"/>
                <w:szCs w:val="16"/>
              </w:rPr>
            </w:pPr>
            <w:r w:rsidRPr="000F51EF">
              <w:rPr>
                <w:rFonts w:cs="Arial"/>
                <w:b/>
                <w:bCs/>
                <w:color w:val="000000"/>
                <w:sz w:val="16"/>
                <w:szCs w:val="16"/>
                <w:lang w:val="en-US"/>
              </w:rPr>
              <w:t>Abs.</w:t>
            </w:r>
          </w:p>
        </w:tc>
        <w:tc>
          <w:tcPr>
            <w:tcW w:w="1229" w:type="dxa"/>
            <w:tcBorders>
              <w:top w:val="nil"/>
              <w:left w:val="nil"/>
              <w:bottom w:val="single" w:sz="8" w:space="0" w:color="auto"/>
              <w:right w:val="single" w:sz="8" w:space="0" w:color="auto"/>
            </w:tcBorders>
            <w:shd w:val="clear" w:color="000000" w:fill="FABF8F"/>
            <w:noWrap/>
            <w:vAlign w:val="center"/>
            <w:hideMark/>
          </w:tcPr>
          <w:p w14:paraId="564CAA46" w14:textId="77777777" w:rsidR="000F51EF" w:rsidRPr="000F51EF" w:rsidRDefault="000F51EF" w:rsidP="00BC5623">
            <w:pPr>
              <w:keepNext/>
              <w:spacing w:after="0" w:line="240" w:lineRule="auto"/>
              <w:jc w:val="center"/>
              <w:rPr>
                <w:rFonts w:cs="Arial"/>
                <w:b/>
                <w:bCs/>
                <w:color w:val="000000"/>
                <w:sz w:val="16"/>
                <w:szCs w:val="16"/>
              </w:rPr>
            </w:pPr>
            <w:r w:rsidRPr="000F51EF">
              <w:rPr>
                <w:rFonts w:cs="Arial"/>
                <w:b/>
                <w:bCs/>
                <w:color w:val="000000"/>
                <w:sz w:val="16"/>
                <w:szCs w:val="16"/>
                <w:lang w:val="en-US"/>
              </w:rPr>
              <w:t>%</w:t>
            </w:r>
          </w:p>
        </w:tc>
        <w:tc>
          <w:tcPr>
            <w:tcW w:w="1228" w:type="dxa"/>
            <w:tcBorders>
              <w:top w:val="nil"/>
              <w:left w:val="nil"/>
              <w:bottom w:val="single" w:sz="8" w:space="0" w:color="auto"/>
              <w:right w:val="single" w:sz="8" w:space="0" w:color="auto"/>
            </w:tcBorders>
            <w:shd w:val="clear" w:color="000000" w:fill="FABF8F"/>
            <w:noWrap/>
            <w:vAlign w:val="center"/>
            <w:hideMark/>
          </w:tcPr>
          <w:p w14:paraId="562D1825" w14:textId="77777777" w:rsidR="000F51EF" w:rsidRPr="000F51EF" w:rsidRDefault="000F51EF" w:rsidP="00BC5623">
            <w:pPr>
              <w:keepNext/>
              <w:spacing w:after="0" w:line="240" w:lineRule="auto"/>
              <w:jc w:val="center"/>
              <w:rPr>
                <w:rFonts w:cs="Arial"/>
                <w:b/>
                <w:bCs/>
                <w:color w:val="000000"/>
                <w:sz w:val="16"/>
                <w:szCs w:val="16"/>
              </w:rPr>
            </w:pPr>
            <w:r w:rsidRPr="000F51EF">
              <w:rPr>
                <w:rFonts w:cs="Arial"/>
                <w:b/>
                <w:bCs/>
                <w:color w:val="000000"/>
                <w:sz w:val="16"/>
                <w:szCs w:val="16"/>
                <w:lang w:val="en-US"/>
              </w:rPr>
              <w:t>Abs.</w:t>
            </w:r>
          </w:p>
        </w:tc>
        <w:tc>
          <w:tcPr>
            <w:tcW w:w="1229" w:type="dxa"/>
            <w:tcBorders>
              <w:top w:val="nil"/>
              <w:left w:val="nil"/>
              <w:bottom w:val="single" w:sz="8" w:space="0" w:color="auto"/>
              <w:right w:val="single" w:sz="4" w:space="0" w:color="auto"/>
            </w:tcBorders>
            <w:shd w:val="clear" w:color="000000" w:fill="FABF8F"/>
            <w:noWrap/>
            <w:vAlign w:val="center"/>
            <w:hideMark/>
          </w:tcPr>
          <w:p w14:paraId="1B041FAE" w14:textId="77777777" w:rsidR="000F51EF" w:rsidRPr="000F51EF" w:rsidRDefault="000F51EF" w:rsidP="00BC5623">
            <w:pPr>
              <w:keepNext/>
              <w:spacing w:after="0" w:line="240" w:lineRule="auto"/>
              <w:jc w:val="center"/>
              <w:rPr>
                <w:rFonts w:cs="Arial"/>
                <w:b/>
                <w:bCs/>
                <w:color w:val="000000"/>
                <w:sz w:val="16"/>
                <w:szCs w:val="16"/>
              </w:rPr>
            </w:pPr>
            <w:r w:rsidRPr="000F51EF">
              <w:rPr>
                <w:rFonts w:cs="Arial"/>
                <w:b/>
                <w:bCs/>
                <w:color w:val="000000"/>
                <w:sz w:val="16"/>
                <w:szCs w:val="16"/>
                <w:lang w:val="en-US"/>
              </w:rPr>
              <w:t>%</w:t>
            </w:r>
          </w:p>
        </w:tc>
      </w:tr>
      <w:tr w:rsidR="000F51EF" w:rsidRPr="000F51EF" w14:paraId="6E3AE58E" w14:textId="77777777" w:rsidTr="00907168">
        <w:trPr>
          <w:trHeight w:val="300"/>
        </w:trPr>
        <w:tc>
          <w:tcPr>
            <w:tcW w:w="2263" w:type="dxa"/>
            <w:tcBorders>
              <w:top w:val="nil"/>
              <w:left w:val="single" w:sz="4" w:space="0" w:color="auto"/>
              <w:bottom w:val="nil"/>
              <w:right w:val="nil"/>
            </w:tcBorders>
            <w:shd w:val="clear" w:color="auto" w:fill="auto"/>
            <w:vAlign w:val="center"/>
            <w:hideMark/>
          </w:tcPr>
          <w:p w14:paraId="1F32EEE9" w14:textId="77777777" w:rsidR="000F51EF" w:rsidRPr="000F51EF" w:rsidRDefault="000F51EF" w:rsidP="00BC5623">
            <w:pPr>
              <w:keepNext/>
              <w:spacing w:after="0" w:line="240" w:lineRule="auto"/>
              <w:rPr>
                <w:rFonts w:cs="Arial"/>
                <w:b/>
                <w:bCs/>
                <w:color w:val="000000"/>
                <w:sz w:val="16"/>
                <w:szCs w:val="16"/>
              </w:rPr>
            </w:pPr>
            <w:r w:rsidRPr="000F51EF">
              <w:rPr>
                <w:rFonts w:cs="Arial"/>
                <w:b/>
                <w:bCs/>
                <w:color w:val="000000"/>
                <w:sz w:val="16"/>
                <w:szCs w:val="16"/>
              </w:rPr>
              <w:t>Celkem</w:t>
            </w:r>
          </w:p>
        </w:tc>
        <w:tc>
          <w:tcPr>
            <w:tcW w:w="1228" w:type="dxa"/>
            <w:tcBorders>
              <w:top w:val="nil"/>
              <w:left w:val="single" w:sz="8" w:space="0" w:color="auto"/>
              <w:bottom w:val="nil"/>
              <w:right w:val="nil"/>
            </w:tcBorders>
            <w:shd w:val="clear" w:color="auto" w:fill="auto"/>
            <w:noWrap/>
            <w:vAlign w:val="center"/>
            <w:hideMark/>
          </w:tcPr>
          <w:p w14:paraId="00041480" w14:textId="77777777" w:rsidR="000F51EF" w:rsidRPr="000F51EF" w:rsidRDefault="000F51EF" w:rsidP="00BC5623">
            <w:pPr>
              <w:keepNext/>
              <w:spacing w:after="0" w:line="240" w:lineRule="auto"/>
              <w:jc w:val="right"/>
              <w:rPr>
                <w:rFonts w:cs="Arial"/>
                <w:b/>
                <w:bCs/>
                <w:color w:val="000000"/>
                <w:sz w:val="16"/>
                <w:szCs w:val="16"/>
              </w:rPr>
            </w:pPr>
            <w:r w:rsidRPr="000F51EF">
              <w:rPr>
                <w:rFonts w:cs="Arial"/>
                <w:b/>
                <w:bCs/>
                <w:color w:val="000000"/>
                <w:sz w:val="16"/>
                <w:szCs w:val="16"/>
              </w:rPr>
              <w:t>9 510</w:t>
            </w:r>
          </w:p>
        </w:tc>
        <w:tc>
          <w:tcPr>
            <w:tcW w:w="1229" w:type="dxa"/>
            <w:tcBorders>
              <w:top w:val="nil"/>
              <w:left w:val="nil"/>
              <w:bottom w:val="nil"/>
              <w:right w:val="single" w:sz="8" w:space="0" w:color="auto"/>
            </w:tcBorders>
            <w:shd w:val="clear" w:color="auto" w:fill="auto"/>
            <w:noWrap/>
            <w:vAlign w:val="center"/>
            <w:hideMark/>
          </w:tcPr>
          <w:p w14:paraId="37931A4A" w14:textId="77777777" w:rsidR="000F51EF" w:rsidRPr="000F51EF" w:rsidRDefault="000F51EF" w:rsidP="00BC5623">
            <w:pPr>
              <w:keepNext/>
              <w:spacing w:after="0" w:line="240" w:lineRule="auto"/>
              <w:jc w:val="right"/>
              <w:rPr>
                <w:rFonts w:cs="Arial"/>
                <w:b/>
                <w:bCs/>
                <w:color w:val="000000"/>
                <w:sz w:val="16"/>
                <w:szCs w:val="16"/>
              </w:rPr>
            </w:pPr>
            <w:r w:rsidRPr="000F51EF">
              <w:rPr>
                <w:rFonts w:cs="Arial"/>
                <w:b/>
                <w:bCs/>
                <w:color w:val="000000"/>
                <w:sz w:val="16"/>
                <w:szCs w:val="16"/>
                <w:lang w:val="en-US"/>
              </w:rPr>
              <w:t>100</w:t>
            </w:r>
          </w:p>
        </w:tc>
        <w:tc>
          <w:tcPr>
            <w:tcW w:w="1228" w:type="dxa"/>
            <w:tcBorders>
              <w:top w:val="nil"/>
              <w:left w:val="nil"/>
              <w:bottom w:val="nil"/>
              <w:right w:val="nil"/>
            </w:tcBorders>
            <w:shd w:val="clear" w:color="auto" w:fill="auto"/>
            <w:noWrap/>
            <w:vAlign w:val="center"/>
            <w:hideMark/>
          </w:tcPr>
          <w:p w14:paraId="21644DAC" w14:textId="77777777" w:rsidR="000F51EF" w:rsidRPr="000F51EF" w:rsidRDefault="000F51EF" w:rsidP="00BC5623">
            <w:pPr>
              <w:keepNext/>
              <w:spacing w:after="0" w:line="240" w:lineRule="auto"/>
              <w:jc w:val="right"/>
              <w:rPr>
                <w:rFonts w:cs="Arial"/>
                <w:b/>
                <w:bCs/>
                <w:color w:val="000000"/>
                <w:sz w:val="16"/>
                <w:szCs w:val="16"/>
              </w:rPr>
            </w:pPr>
            <w:r w:rsidRPr="000F51EF">
              <w:rPr>
                <w:rFonts w:cs="Arial"/>
                <w:b/>
                <w:bCs/>
                <w:color w:val="000000"/>
                <w:sz w:val="16"/>
                <w:szCs w:val="16"/>
              </w:rPr>
              <w:t>10 486</w:t>
            </w:r>
          </w:p>
        </w:tc>
        <w:tc>
          <w:tcPr>
            <w:tcW w:w="1229" w:type="dxa"/>
            <w:tcBorders>
              <w:top w:val="nil"/>
              <w:left w:val="nil"/>
              <w:bottom w:val="nil"/>
              <w:right w:val="single" w:sz="8" w:space="0" w:color="auto"/>
            </w:tcBorders>
            <w:shd w:val="clear" w:color="auto" w:fill="auto"/>
            <w:noWrap/>
            <w:vAlign w:val="center"/>
            <w:hideMark/>
          </w:tcPr>
          <w:p w14:paraId="20047715" w14:textId="77777777" w:rsidR="000F51EF" w:rsidRPr="000F51EF" w:rsidRDefault="000F51EF" w:rsidP="00BC5623">
            <w:pPr>
              <w:keepNext/>
              <w:spacing w:after="0" w:line="240" w:lineRule="auto"/>
              <w:jc w:val="right"/>
              <w:rPr>
                <w:rFonts w:cs="Arial"/>
                <w:b/>
                <w:bCs/>
                <w:color w:val="000000"/>
                <w:sz w:val="16"/>
                <w:szCs w:val="16"/>
              </w:rPr>
            </w:pPr>
            <w:r w:rsidRPr="000F51EF">
              <w:rPr>
                <w:rFonts w:cs="Arial"/>
                <w:b/>
                <w:bCs/>
                <w:color w:val="000000"/>
                <w:sz w:val="16"/>
                <w:szCs w:val="16"/>
                <w:lang w:val="en-US"/>
              </w:rPr>
              <w:t>100</w:t>
            </w:r>
          </w:p>
        </w:tc>
        <w:tc>
          <w:tcPr>
            <w:tcW w:w="1228" w:type="dxa"/>
            <w:tcBorders>
              <w:top w:val="nil"/>
              <w:left w:val="nil"/>
              <w:bottom w:val="nil"/>
              <w:right w:val="nil"/>
            </w:tcBorders>
            <w:shd w:val="clear" w:color="auto" w:fill="auto"/>
            <w:noWrap/>
            <w:vAlign w:val="center"/>
            <w:hideMark/>
          </w:tcPr>
          <w:p w14:paraId="665931ED" w14:textId="77777777" w:rsidR="000F51EF" w:rsidRPr="000F51EF" w:rsidRDefault="000F51EF" w:rsidP="00BC5623">
            <w:pPr>
              <w:keepNext/>
              <w:spacing w:after="0" w:line="240" w:lineRule="auto"/>
              <w:jc w:val="right"/>
              <w:rPr>
                <w:rFonts w:cs="Arial"/>
                <w:b/>
                <w:bCs/>
                <w:color w:val="000000"/>
                <w:sz w:val="16"/>
                <w:szCs w:val="16"/>
              </w:rPr>
            </w:pPr>
            <w:r w:rsidRPr="000F51EF">
              <w:rPr>
                <w:rFonts w:cs="Arial"/>
                <w:b/>
                <w:bCs/>
                <w:color w:val="000000"/>
                <w:sz w:val="16"/>
                <w:szCs w:val="16"/>
              </w:rPr>
              <w:t>12 048</w:t>
            </w:r>
          </w:p>
        </w:tc>
        <w:tc>
          <w:tcPr>
            <w:tcW w:w="1229" w:type="dxa"/>
            <w:tcBorders>
              <w:top w:val="nil"/>
              <w:left w:val="nil"/>
              <w:bottom w:val="nil"/>
              <w:right w:val="single" w:sz="4" w:space="0" w:color="auto"/>
            </w:tcBorders>
            <w:shd w:val="clear" w:color="auto" w:fill="auto"/>
            <w:noWrap/>
            <w:vAlign w:val="center"/>
            <w:hideMark/>
          </w:tcPr>
          <w:p w14:paraId="06DD2E03" w14:textId="77777777" w:rsidR="000F51EF" w:rsidRPr="000F51EF" w:rsidRDefault="000F51EF" w:rsidP="00BC5623">
            <w:pPr>
              <w:keepNext/>
              <w:spacing w:after="0" w:line="240" w:lineRule="auto"/>
              <w:jc w:val="right"/>
              <w:rPr>
                <w:rFonts w:cs="Arial"/>
                <w:b/>
                <w:bCs/>
                <w:color w:val="000000"/>
                <w:sz w:val="16"/>
                <w:szCs w:val="16"/>
              </w:rPr>
            </w:pPr>
            <w:r w:rsidRPr="000F51EF">
              <w:rPr>
                <w:rFonts w:cs="Arial"/>
                <w:b/>
                <w:bCs/>
                <w:color w:val="000000"/>
                <w:sz w:val="16"/>
                <w:szCs w:val="16"/>
                <w:lang w:val="en-US"/>
              </w:rPr>
              <w:t>100</w:t>
            </w:r>
          </w:p>
        </w:tc>
      </w:tr>
      <w:tr w:rsidR="000F51EF" w:rsidRPr="000F51EF" w14:paraId="1789BA68" w14:textId="77777777" w:rsidTr="00907168">
        <w:trPr>
          <w:trHeight w:val="300"/>
        </w:trPr>
        <w:tc>
          <w:tcPr>
            <w:tcW w:w="2263" w:type="dxa"/>
            <w:tcBorders>
              <w:top w:val="nil"/>
              <w:left w:val="single" w:sz="4" w:space="0" w:color="auto"/>
              <w:bottom w:val="nil"/>
              <w:right w:val="nil"/>
            </w:tcBorders>
            <w:shd w:val="clear" w:color="auto" w:fill="auto"/>
            <w:vAlign w:val="center"/>
            <w:hideMark/>
          </w:tcPr>
          <w:p w14:paraId="648568D4" w14:textId="77777777" w:rsidR="000F51EF" w:rsidRPr="000F51EF" w:rsidRDefault="000F51EF" w:rsidP="00BC5623">
            <w:pPr>
              <w:keepNext/>
              <w:spacing w:after="0" w:line="240" w:lineRule="auto"/>
              <w:ind w:firstLineChars="100" w:firstLine="160"/>
              <w:rPr>
                <w:rFonts w:cs="Arial"/>
                <w:color w:val="000000"/>
                <w:sz w:val="16"/>
                <w:szCs w:val="16"/>
              </w:rPr>
            </w:pPr>
            <w:r w:rsidRPr="000F51EF">
              <w:rPr>
                <w:rFonts w:cs="Arial"/>
                <w:color w:val="000000"/>
                <w:sz w:val="16"/>
                <w:szCs w:val="16"/>
              </w:rPr>
              <w:t>se závažnými vadami řeči</w:t>
            </w:r>
          </w:p>
        </w:tc>
        <w:tc>
          <w:tcPr>
            <w:tcW w:w="1228" w:type="dxa"/>
            <w:tcBorders>
              <w:top w:val="nil"/>
              <w:left w:val="single" w:sz="8" w:space="0" w:color="auto"/>
              <w:bottom w:val="nil"/>
              <w:right w:val="nil"/>
            </w:tcBorders>
            <w:shd w:val="clear" w:color="auto" w:fill="auto"/>
            <w:noWrap/>
            <w:vAlign w:val="center"/>
            <w:hideMark/>
          </w:tcPr>
          <w:p w14:paraId="6D136AC0" w14:textId="77777777" w:rsidR="000F51EF" w:rsidRPr="000F51EF" w:rsidRDefault="000F51EF" w:rsidP="00BC5623">
            <w:pPr>
              <w:keepNext/>
              <w:spacing w:after="0" w:line="240" w:lineRule="auto"/>
              <w:jc w:val="right"/>
              <w:rPr>
                <w:rFonts w:cs="Arial"/>
                <w:color w:val="000000"/>
                <w:sz w:val="16"/>
                <w:szCs w:val="16"/>
              </w:rPr>
            </w:pPr>
            <w:r w:rsidRPr="000F51EF">
              <w:rPr>
                <w:rFonts w:cs="Arial"/>
                <w:color w:val="000000"/>
                <w:sz w:val="16"/>
                <w:szCs w:val="16"/>
              </w:rPr>
              <w:t>5 287</w:t>
            </w:r>
          </w:p>
        </w:tc>
        <w:tc>
          <w:tcPr>
            <w:tcW w:w="1229" w:type="dxa"/>
            <w:tcBorders>
              <w:top w:val="nil"/>
              <w:left w:val="nil"/>
              <w:bottom w:val="nil"/>
              <w:right w:val="single" w:sz="8" w:space="0" w:color="auto"/>
            </w:tcBorders>
            <w:shd w:val="clear" w:color="auto" w:fill="auto"/>
            <w:noWrap/>
            <w:vAlign w:val="center"/>
            <w:hideMark/>
          </w:tcPr>
          <w:p w14:paraId="1CF32A82" w14:textId="77777777" w:rsidR="000F51EF" w:rsidRPr="000F51EF" w:rsidRDefault="000F51EF" w:rsidP="00BC5623">
            <w:pPr>
              <w:keepNext/>
              <w:spacing w:after="0" w:line="240" w:lineRule="auto"/>
              <w:jc w:val="right"/>
              <w:rPr>
                <w:rFonts w:cs="Arial"/>
                <w:color w:val="000000"/>
                <w:sz w:val="16"/>
                <w:szCs w:val="16"/>
              </w:rPr>
            </w:pPr>
            <w:r w:rsidRPr="000F51EF">
              <w:rPr>
                <w:rFonts w:cs="Arial"/>
                <w:color w:val="000000"/>
                <w:sz w:val="16"/>
                <w:szCs w:val="16"/>
              </w:rPr>
              <w:t>55,6%</w:t>
            </w:r>
          </w:p>
        </w:tc>
        <w:tc>
          <w:tcPr>
            <w:tcW w:w="1228" w:type="dxa"/>
            <w:tcBorders>
              <w:top w:val="nil"/>
              <w:left w:val="nil"/>
              <w:bottom w:val="nil"/>
              <w:right w:val="nil"/>
            </w:tcBorders>
            <w:shd w:val="clear" w:color="auto" w:fill="auto"/>
            <w:noWrap/>
            <w:vAlign w:val="center"/>
            <w:hideMark/>
          </w:tcPr>
          <w:p w14:paraId="37B2804A" w14:textId="77777777" w:rsidR="000F51EF" w:rsidRPr="000F51EF" w:rsidRDefault="000F51EF" w:rsidP="00BC5623">
            <w:pPr>
              <w:keepNext/>
              <w:spacing w:after="0" w:line="240" w:lineRule="auto"/>
              <w:jc w:val="right"/>
              <w:rPr>
                <w:rFonts w:cs="Arial"/>
                <w:color w:val="000000"/>
                <w:sz w:val="16"/>
                <w:szCs w:val="16"/>
              </w:rPr>
            </w:pPr>
            <w:r w:rsidRPr="000F51EF">
              <w:rPr>
                <w:rFonts w:cs="Arial"/>
                <w:color w:val="000000"/>
                <w:sz w:val="16"/>
                <w:szCs w:val="16"/>
              </w:rPr>
              <w:t>5 402</w:t>
            </w:r>
          </w:p>
        </w:tc>
        <w:tc>
          <w:tcPr>
            <w:tcW w:w="1229" w:type="dxa"/>
            <w:tcBorders>
              <w:top w:val="nil"/>
              <w:left w:val="nil"/>
              <w:bottom w:val="nil"/>
              <w:right w:val="single" w:sz="8" w:space="0" w:color="auto"/>
            </w:tcBorders>
            <w:shd w:val="clear" w:color="auto" w:fill="auto"/>
            <w:noWrap/>
            <w:vAlign w:val="center"/>
            <w:hideMark/>
          </w:tcPr>
          <w:p w14:paraId="55F06029" w14:textId="77777777" w:rsidR="000F51EF" w:rsidRPr="000F51EF" w:rsidRDefault="000F51EF" w:rsidP="00BC5623">
            <w:pPr>
              <w:keepNext/>
              <w:spacing w:after="0" w:line="240" w:lineRule="auto"/>
              <w:jc w:val="right"/>
              <w:rPr>
                <w:rFonts w:cs="Arial"/>
                <w:color w:val="000000"/>
                <w:sz w:val="16"/>
                <w:szCs w:val="16"/>
              </w:rPr>
            </w:pPr>
            <w:r w:rsidRPr="000F51EF">
              <w:rPr>
                <w:rFonts w:cs="Arial"/>
                <w:color w:val="000000"/>
                <w:sz w:val="16"/>
                <w:szCs w:val="16"/>
              </w:rPr>
              <w:t>51,5%</w:t>
            </w:r>
          </w:p>
        </w:tc>
        <w:tc>
          <w:tcPr>
            <w:tcW w:w="1228" w:type="dxa"/>
            <w:tcBorders>
              <w:top w:val="nil"/>
              <w:left w:val="nil"/>
              <w:bottom w:val="nil"/>
              <w:right w:val="nil"/>
            </w:tcBorders>
            <w:shd w:val="clear" w:color="auto" w:fill="auto"/>
            <w:noWrap/>
            <w:vAlign w:val="center"/>
            <w:hideMark/>
          </w:tcPr>
          <w:p w14:paraId="01A5F777" w14:textId="77777777" w:rsidR="000F51EF" w:rsidRPr="000F51EF" w:rsidRDefault="000F51EF" w:rsidP="00BC5623">
            <w:pPr>
              <w:keepNext/>
              <w:spacing w:after="0" w:line="240" w:lineRule="auto"/>
              <w:jc w:val="right"/>
              <w:rPr>
                <w:rFonts w:cs="Arial"/>
                <w:color w:val="000000"/>
                <w:sz w:val="16"/>
                <w:szCs w:val="16"/>
              </w:rPr>
            </w:pPr>
            <w:r w:rsidRPr="000F51EF">
              <w:rPr>
                <w:rFonts w:cs="Arial"/>
                <w:color w:val="000000"/>
                <w:sz w:val="16"/>
                <w:szCs w:val="16"/>
              </w:rPr>
              <w:t>6 075</w:t>
            </w:r>
          </w:p>
        </w:tc>
        <w:tc>
          <w:tcPr>
            <w:tcW w:w="1229" w:type="dxa"/>
            <w:tcBorders>
              <w:top w:val="nil"/>
              <w:left w:val="nil"/>
              <w:bottom w:val="nil"/>
              <w:right w:val="single" w:sz="4" w:space="0" w:color="auto"/>
            </w:tcBorders>
            <w:shd w:val="clear" w:color="auto" w:fill="auto"/>
            <w:noWrap/>
            <w:vAlign w:val="center"/>
            <w:hideMark/>
          </w:tcPr>
          <w:p w14:paraId="5713394A" w14:textId="77777777" w:rsidR="000F51EF" w:rsidRPr="000F51EF" w:rsidRDefault="000F51EF" w:rsidP="00BC5623">
            <w:pPr>
              <w:keepNext/>
              <w:spacing w:after="0" w:line="240" w:lineRule="auto"/>
              <w:jc w:val="right"/>
              <w:rPr>
                <w:rFonts w:cs="Arial"/>
                <w:color w:val="000000"/>
                <w:sz w:val="16"/>
                <w:szCs w:val="16"/>
              </w:rPr>
            </w:pPr>
            <w:r w:rsidRPr="000F51EF">
              <w:rPr>
                <w:rFonts w:cs="Arial"/>
                <w:color w:val="000000"/>
                <w:sz w:val="16"/>
                <w:szCs w:val="16"/>
              </w:rPr>
              <w:t>50,4%</w:t>
            </w:r>
          </w:p>
        </w:tc>
      </w:tr>
      <w:tr w:rsidR="000F51EF" w:rsidRPr="000F51EF" w14:paraId="04472F36" w14:textId="77777777" w:rsidTr="00907168">
        <w:trPr>
          <w:trHeight w:val="300"/>
        </w:trPr>
        <w:tc>
          <w:tcPr>
            <w:tcW w:w="2263" w:type="dxa"/>
            <w:tcBorders>
              <w:top w:val="nil"/>
              <w:left w:val="single" w:sz="4" w:space="0" w:color="auto"/>
              <w:bottom w:val="nil"/>
              <w:right w:val="nil"/>
            </w:tcBorders>
            <w:shd w:val="clear" w:color="auto" w:fill="auto"/>
            <w:vAlign w:val="center"/>
            <w:hideMark/>
          </w:tcPr>
          <w:p w14:paraId="19C0E3A7" w14:textId="4AFFFFC1" w:rsidR="000F51EF" w:rsidRPr="000F51EF" w:rsidRDefault="00DF4FB7" w:rsidP="00BC5623">
            <w:pPr>
              <w:keepNext/>
              <w:spacing w:after="0" w:line="240" w:lineRule="auto"/>
              <w:ind w:firstLineChars="100" w:firstLine="160"/>
              <w:rPr>
                <w:rFonts w:cs="Arial"/>
                <w:color w:val="000000"/>
                <w:sz w:val="16"/>
                <w:szCs w:val="16"/>
              </w:rPr>
            </w:pPr>
            <w:r>
              <w:rPr>
                <w:rFonts w:cs="Arial"/>
                <w:color w:val="000000"/>
                <w:sz w:val="16"/>
                <w:szCs w:val="16"/>
              </w:rPr>
              <w:t>s poruchami autistického spektra</w:t>
            </w:r>
          </w:p>
        </w:tc>
        <w:tc>
          <w:tcPr>
            <w:tcW w:w="1228" w:type="dxa"/>
            <w:tcBorders>
              <w:top w:val="nil"/>
              <w:left w:val="single" w:sz="8" w:space="0" w:color="auto"/>
              <w:bottom w:val="nil"/>
              <w:right w:val="nil"/>
            </w:tcBorders>
            <w:shd w:val="clear" w:color="auto" w:fill="auto"/>
            <w:noWrap/>
            <w:vAlign w:val="center"/>
            <w:hideMark/>
          </w:tcPr>
          <w:p w14:paraId="17EA362B" w14:textId="77777777" w:rsidR="000F51EF" w:rsidRPr="000F51EF" w:rsidRDefault="000F51EF" w:rsidP="00BC5623">
            <w:pPr>
              <w:keepNext/>
              <w:spacing w:after="0" w:line="240" w:lineRule="auto"/>
              <w:jc w:val="right"/>
              <w:rPr>
                <w:rFonts w:cs="Arial"/>
                <w:color w:val="000000"/>
                <w:sz w:val="16"/>
                <w:szCs w:val="16"/>
              </w:rPr>
            </w:pPr>
            <w:r w:rsidRPr="000F51EF">
              <w:rPr>
                <w:rFonts w:cs="Arial"/>
                <w:color w:val="000000"/>
                <w:sz w:val="16"/>
                <w:szCs w:val="16"/>
              </w:rPr>
              <w:t>647</w:t>
            </w:r>
          </w:p>
        </w:tc>
        <w:tc>
          <w:tcPr>
            <w:tcW w:w="1229" w:type="dxa"/>
            <w:tcBorders>
              <w:top w:val="nil"/>
              <w:left w:val="nil"/>
              <w:bottom w:val="nil"/>
              <w:right w:val="single" w:sz="8" w:space="0" w:color="auto"/>
            </w:tcBorders>
            <w:shd w:val="clear" w:color="auto" w:fill="auto"/>
            <w:noWrap/>
            <w:vAlign w:val="center"/>
            <w:hideMark/>
          </w:tcPr>
          <w:p w14:paraId="0F2CC174" w14:textId="77777777" w:rsidR="000F51EF" w:rsidRPr="000F51EF" w:rsidRDefault="000F51EF" w:rsidP="00BC5623">
            <w:pPr>
              <w:keepNext/>
              <w:spacing w:after="0" w:line="240" w:lineRule="auto"/>
              <w:jc w:val="right"/>
              <w:rPr>
                <w:rFonts w:cs="Arial"/>
                <w:color w:val="000000"/>
                <w:sz w:val="16"/>
                <w:szCs w:val="16"/>
              </w:rPr>
            </w:pPr>
            <w:r w:rsidRPr="000F51EF">
              <w:rPr>
                <w:rFonts w:cs="Arial"/>
                <w:color w:val="000000"/>
                <w:sz w:val="16"/>
                <w:szCs w:val="16"/>
              </w:rPr>
              <w:t>6,8%</w:t>
            </w:r>
          </w:p>
        </w:tc>
        <w:tc>
          <w:tcPr>
            <w:tcW w:w="1228" w:type="dxa"/>
            <w:tcBorders>
              <w:top w:val="nil"/>
              <w:left w:val="nil"/>
              <w:bottom w:val="nil"/>
              <w:right w:val="nil"/>
            </w:tcBorders>
            <w:shd w:val="clear" w:color="auto" w:fill="auto"/>
            <w:noWrap/>
            <w:vAlign w:val="center"/>
            <w:hideMark/>
          </w:tcPr>
          <w:p w14:paraId="43062A99" w14:textId="77777777" w:rsidR="000F51EF" w:rsidRPr="000F51EF" w:rsidRDefault="000F51EF" w:rsidP="00BC5623">
            <w:pPr>
              <w:keepNext/>
              <w:spacing w:after="0" w:line="240" w:lineRule="auto"/>
              <w:jc w:val="right"/>
              <w:rPr>
                <w:rFonts w:cs="Arial"/>
                <w:color w:val="000000"/>
                <w:sz w:val="16"/>
                <w:szCs w:val="16"/>
              </w:rPr>
            </w:pPr>
            <w:r w:rsidRPr="000F51EF">
              <w:rPr>
                <w:rFonts w:cs="Arial"/>
                <w:color w:val="000000"/>
                <w:sz w:val="16"/>
                <w:szCs w:val="16"/>
              </w:rPr>
              <w:t>1 231</w:t>
            </w:r>
          </w:p>
        </w:tc>
        <w:tc>
          <w:tcPr>
            <w:tcW w:w="1229" w:type="dxa"/>
            <w:tcBorders>
              <w:top w:val="nil"/>
              <w:left w:val="nil"/>
              <w:bottom w:val="nil"/>
              <w:right w:val="single" w:sz="8" w:space="0" w:color="auto"/>
            </w:tcBorders>
            <w:shd w:val="clear" w:color="auto" w:fill="auto"/>
            <w:noWrap/>
            <w:vAlign w:val="center"/>
            <w:hideMark/>
          </w:tcPr>
          <w:p w14:paraId="5E9D16E8" w14:textId="77777777" w:rsidR="000F51EF" w:rsidRPr="000F51EF" w:rsidRDefault="000F51EF" w:rsidP="00BC5623">
            <w:pPr>
              <w:keepNext/>
              <w:spacing w:after="0" w:line="240" w:lineRule="auto"/>
              <w:jc w:val="right"/>
              <w:rPr>
                <w:rFonts w:cs="Arial"/>
                <w:color w:val="000000"/>
                <w:sz w:val="16"/>
                <w:szCs w:val="16"/>
              </w:rPr>
            </w:pPr>
            <w:r w:rsidRPr="000F51EF">
              <w:rPr>
                <w:rFonts w:cs="Arial"/>
                <w:color w:val="000000"/>
                <w:sz w:val="16"/>
                <w:szCs w:val="16"/>
              </w:rPr>
              <w:t>11,7%</w:t>
            </w:r>
          </w:p>
        </w:tc>
        <w:tc>
          <w:tcPr>
            <w:tcW w:w="1228" w:type="dxa"/>
            <w:tcBorders>
              <w:top w:val="nil"/>
              <w:left w:val="nil"/>
              <w:bottom w:val="nil"/>
              <w:right w:val="nil"/>
            </w:tcBorders>
            <w:shd w:val="clear" w:color="auto" w:fill="auto"/>
            <w:noWrap/>
            <w:vAlign w:val="center"/>
            <w:hideMark/>
          </w:tcPr>
          <w:p w14:paraId="4B84AEA1" w14:textId="77777777" w:rsidR="000F51EF" w:rsidRPr="000F51EF" w:rsidRDefault="000F51EF" w:rsidP="00BC5623">
            <w:pPr>
              <w:keepNext/>
              <w:spacing w:after="0" w:line="240" w:lineRule="auto"/>
              <w:jc w:val="right"/>
              <w:rPr>
                <w:rFonts w:cs="Arial"/>
                <w:color w:val="000000"/>
                <w:sz w:val="16"/>
                <w:szCs w:val="16"/>
              </w:rPr>
            </w:pPr>
            <w:r w:rsidRPr="000F51EF">
              <w:rPr>
                <w:rFonts w:cs="Arial"/>
                <w:color w:val="000000"/>
                <w:sz w:val="16"/>
                <w:szCs w:val="16"/>
              </w:rPr>
              <w:t>1 378</w:t>
            </w:r>
          </w:p>
        </w:tc>
        <w:tc>
          <w:tcPr>
            <w:tcW w:w="1229" w:type="dxa"/>
            <w:tcBorders>
              <w:top w:val="nil"/>
              <w:left w:val="nil"/>
              <w:bottom w:val="nil"/>
              <w:right w:val="single" w:sz="4" w:space="0" w:color="auto"/>
            </w:tcBorders>
            <w:shd w:val="clear" w:color="auto" w:fill="auto"/>
            <w:noWrap/>
            <w:vAlign w:val="center"/>
            <w:hideMark/>
          </w:tcPr>
          <w:p w14:paraId="3C2C22FE" w14:textId="77777777" w:rsidR="000F51EF" w:rsidRPr="000F51EF" w:rsidRDefault="000F51EF" w:rsidP="00BC5623">
            <w:pPr>
              <w:keepNext/>
              <w:spacing w:after="0" w:line="240" w:lineRule="auto"/>
              <w:jc w:val="right"/>
              <w:rPr>
                <w:rFonts w:cs="Arial"/>
                <w:color w:val="000000"/>
                <w:sz w:val="16"/>
                <w:szCs w:val="16"/>
              </w:rPr>
            </w:pPr>
            <w:r w:rsidRPr="000F51EF">
              <w:rPr>
                <w:rFonts w:cs="Arial"/>
                <w:color w:val="000000"/>
                <w:sz w:val="16"/>
                <w:szCs w:val="16"/>
              </w:rPr>
              <w:t>11,4%</w:t>
            </w:r>
          </w:p>
        </w:tc>
      </w:tr>
      <w:tr w:rsidR="000F51EF" w:rsidRPr="000F51EF" w14:paraId="73B88D2D" w14:textId="77777777" w:rsidTr="00907168">
        <w:trPr>
          <w:trHeight w:val="420"/>
        </w:trPr>
        <w:tc>
          <w:tcPr>
            <w:tcW w:w="2263" w:type="dxa"/>
            <w:tcBorders>
              <w:top w:val="nil"/>
              <w:left w:val="single" w:sz="4" w:space="0" w:color="auto"/>
              <w:bottom w:val="nil"/>
              <w:right w:val="nil"/>
            </w:tcBorders>
            <w:shd w:val="clear" w:color="auto" w:fill="auto"/>
            <w:vAlign w:val="center"/>
            <w:hideMark/>
          </w:tcPr>
          <w:p w14:paraId="39EAE24A" w14:textId="77777777" w:rsidR="000F51EF" w:rsidRPr="000F51EF" w:rsidRDefault="000F51EF" w:rsidP="000F51EF">
            <w:pPr>
              <w:spacing w:after="0" w:line="240" w:lineRule="auto"/>
              <w:ind w:firstLineChars="100" w:firstLine="160"/>
              <w:rPr>
                <w:rFonts w:cs="Arial"/>
                <w:color w:val="000000"/>
                <w:sz w:val="16"/>
                <w:szCs w:val="16"/>
              </w:rPr>
            </w:pPr>
            <w:r w:rsidRPr="000F51EF">
              <w:rPr>
                <w:rFonts w:cs="Arial"/>
                <w:color w:val="000000"/>
                <w:sz w:val="16"/>
                <w:szCs w:val="16"/>
              </w:rPr>
              <w:t>se závažnými vývojovými poruchami učení či chování</w:t>
            </w:r>
          </w:p>
        </w:tc>
        <w:tc>
          <w:tcPr>
            <w:tcW w:w="1228" w:type="dxa"/>
            <w:tcBorders>
              <w:top w:val="nil"/>
              <w:left w:val="single" w:sz="8" w:space="0" w:color="auto"/>
              <w:bottom w:val="nil"/>
              <w:right w:val="nil"/>
            </w:tcBorders>
            <w:shd w:val="clear" w:color="auto" w:fill="auto"/>
            <w:noWrap/>
            <w:vAlign w:val="center"/>
            <w:hideMark/>
          </w:tcPr>
          <w:p w14:paraId="02F80927"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524</w:t>
            </w:r>
          </w:p>
        </w:tc>
        <w:tc>
          <w:tcPr>
            <w:tcW w:w="1229" w:type="dxa"/>
            <w:tcBorders>
              <w:top w:val="nil"/>
              <w:left w:val="nil"/>
              <w:bottom w:val="nil"/>
              <w:right w:val="single" w:sz="8" w:space="0" w:color="auto"/>
            </w:tcBorders>
            <w:shd w:val="clear" w:color="auto" w:fill="auto"/>
            <w:noWrap/>
            <w:vAlign w:val="center"/>
            <w:hideMark/>
          </w:tcPr>
          <w:p w14:paraId="0083CF99"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5,5%</w:t>
            </w:r>
          </w:p>
        </w:tc>
        <w:tc>
          <w:tcPr>
            <w:tcW w:w="1228" w:type="dxa"/>
            <w:tcBorders>
              <w:top w:val="nil"/>
              <w:left w:val="nil"/>
              <w:bottom w:val="nil"/>
              <w:right w:val="nil"/>
            </w:tcBorders>
            <w:shd w:val="clear" w:color="auto" w:fill="auto"/>
            <w:noWrap/>
            <w:vAlign w:val="center"/>
            <w:hideMark/>
          </w:tcPr>
          <w:p w14:paraId="5BBFDD6D"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751</w:t>
            </w:r>
          </w:p>
        </w:tc>
        <w:tc>
          <w:tcPr>
            <w:tcW w:w="1229" w:type="dxa"/>
            <w:tcBorders>
              <w:top w:val="nil"/>
              <w:left w:val="nil"/>
              <w:bottom w:val="nil"/>
              <w:right w:val="single" w:sz="8" w:space="0" w:color="auto"/>
            </w:tcBorders>
            <w:shd w:val="clear" w:color="auto" w:fill="auto"/>
            <w:noWrap/>
            <w:vAlign w:val="center"/>
            <w:hideMark/>
          </w:tcPr>
          <w:p w14:paraId="6A9E7BF3"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7,2%</w:t>
            </w:r>
          </w:p>
        </w:tc>
        <w:tc>
          <w:tcPr>
            <w:tcW w:w="1228" w:type="dxa"/>
            <w:tcBorders>
              <w:top w:val="nil"/>
              <w:left w:val="nil"/>
              <w:bottom w:val="nil"/>
              <w:right w:val="nil"/>
            </w:tcBorders>
            <w:shd w:val="clear" w:color="auto" w:fill="auto"/>
            <w:noWrap/>
            <w:vAlign w:val="center"/>
            <w:hideMark/>
          </w:tcPr>
          <w:p w14:paraId="5D0612CF"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1108</w:t>
            </w:r>
          </w:p>
        </w:tc>
        <w:tc>
          <w:tcPr>
            <w:tcW w:w="1229" w:type="dxa"/>
            <w:tcBorders>
              <w:top w:val="nil"/>
              <w:left w:val="nil"/>
              <w:bottom w:val="nil"/>
              <w:right w:val="single" w:sz="4" w:space="0" w:color="auto"/>
            </w:tcBorders>
            <w:shd w:val="clear" w:color="auto" w:fill="auto"/>
            <w:noWrap/>
            <w:vAlign w:val="center"/>
            <w:hideMark/>
          </w:tcPr>
          <w:p w14:paraId="4D0C80DD"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9,2%</w:t>
            </w:r>
          </w:p>
        </w:tc>
      </w:tr>
      <w:tr w:rsidR="000F51EF" w:rsidRPr="000F51EF" w14:paraId="36964DE5" w14:textId="77777777" w:rsidTr="00907168">
        <w:trPr>
          <w:trHeight w:val="300"/>
        </w:trPr>
        <w:tc>
          <w:tcPr>
            <w:tcW w:w="2263" w:type="dxa"/>
            <w:tcBorders>
              <w:top w:val="nil"/>
              <w:left w:val="single" w:sz="4" w:space="0" w:color="auto"/>
              <w:bottom w:val="nil"/>
              <w:right w:val="nil"/>
            </w:tcBorders>
            <w:shd w:val="clear" w:color="auto" w:fill="auto"/>
            <w:vAlign w:val="center"/>
            <w:hideMark/>
          </w:tcPr>
          <w:p w14:paraId="0A0CF0F6" w14:textId="77777777" w:rsidR="000F51EF" w:rsidRPr="000F51EF" w:rsidRDefault="000F51EF" w:rsidP="000F51EF">
            <w:pPr>
              <w:spacing w:after="0" w:line="240" w:lineRule="auto"/>
              <w:ind w:firstLineChars="100" w:firstLine="160"/>
              <w:rPr>
                <w:rFonts w:cs="Arial"/>
                <w:color w:val="000000"/>
                <w:sz w:val="16"/>
                <w:szCs w:val="16"/>
              </w:rPr>
            </w:pPr>
            <w:r w:rsidRPr="000F51EF">
              <w:rPr>
                <w:rFonts w:cs="Arial"/>
                <w:color w:val="000000"/>
                <w:sz w:val="16"/>
                <w:szCs w:val="16"/>
              </w:rPr>
              <w:t>mentálně postižené</w:t>
            </w:r>
          </w:p>
        </w:tc>
        <w:tc>
          <w:tcPr>
            <w:tcW w:w="1228" w:type="dxa"/>
            <w:tcBorders>
              <w:top w:val="nil"/>
              <w:left w:val="single" w:sz="8" w:space="0" w:color="auto"/>
              <w:bottom w:val="nil"/>
              <w:right w:val="nil"/>
            </w:tcBorders>
            <w:shd w:val="clear" w:color="auto" w:fill="auto"/>
            <w:noWrap/>
            <w:vAlign w:val="center"/>
            <w:hideMark/>
          </w:tcPr>
          <w:p w14:paraId="2D84B95A"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509</w:t>
            </w:r>
          </w:p>
        </w:tc>
        <w:tc>
          <w:tcPr>
            <w:tcW w:w="1229" w:type="dxa"/>
            <w:tcBorders>
              <w:top w:val="nil"/>
              <w:left w:val="nil"/>
              <w:bottom w:val="nil"/>
              <w:right w:val="single" w:sz="8" w:space="0" w:color="auto"/>
            </w:tcBorders>
            <w:shd w:val="clear" w:color="auto" w:fill="auto"/>
            <w:noWrap/>
            <w:vAlign w:val="center"/>
            <w:hideMark/>
          </w:tcPr>
          <w:p w14:paraId="57C77D12"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5,4%</w:t>
            </w:r>
          </w:p>
        </w:tc>
        <w:tc>
          <w:tcPr>
            <w:tcW w:w="1228" w:type="dxa"/>
            <w:tcBorders>
              <w:top w:val="nil"/>
              <w:left w:val="nil"/>
              <w:bottom w:val="nil"/>
              <w:right w:val="nil"/>
            </w:tcBorders>
            <w:shd w:val="clear" w:color="auto" w:fill="auto"/>
            <w:noWrap/>
            <w:vAlign w:val="center"/>
            <w:hideMark/>
          </w:tcPr>
          <w:p w14:paraId="1B161167"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574</w:t>
            </w:r>
          </w:p>
        </w:tc>
        <w:tc>
          <w:tcPr>
            <w:tcW w:w="1229" w:type="dxa"/>
            <w:tcBorders>
              <w:top w:val="nil"/>
              <w:left w:val="nil"/>
              <w:bottom w:val="nil"/>
              <w:right w:val="single" w:sz="8" w:space="0" w:color="auto"/>
            </w:tcBorders>
            <w:shd w:val="clear" w:color="auto" w:fill="auto"/>
            <w:noWrap/>
            <w:vAlign w:val="center"/>
            <w:hideMark/>
          </w:tcPr>
          <w:p w14:paraId="38A66B8B"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5,5%</w:t>
            </w:r>
          </w:p>
        </w:tc>
        <w:tc>
          <w:tcPr>
            <w:tcW w:w="1228" w:type="dxa"/>
            <w:tcBorders>
              <w:top w:val="nil"/>
              <w:left w:val="nil"/>
              <w:bottom w:val="nil"/>
              <w:right w:val="nil"/>
            </w:tcBorders>
            <w:shd w:val="clear" w:color="auto" w:fill="auto"/>
            <w:noWrap/>
            <w:vAlign w:val="center"/>
            <w:hideMark/>
          </w:tcPr>
          <w:p w14:paraId="63788624"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831</w:t>
            </w:r>
          </w:p>
        </w:tc>
        <w:tc>
          <w:tcPr>
            <w:tcW w:w="1229" w:type="dxa"/>
            <w:tcBorders>
              <w:top w:val="nil"/>
              <w:left w:val="nil"/>
              <w:bottom w:val="nil"/>
              <w:right w:val="single" w:sz="4" w:space="0" w:color="auto"/>
            </w:tcBorders>
            <w:shd w:val="clear" w:color="auto" w:fill="auto"/>
            <w:noWrap/>
            <w:vAlign w:val="center"/>
            <w:hideMark/>
          </w:tcPr>
          <w:p w14:paraId="21BEFA55"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6,9%</w:t>
            </w:r>
          </w:p>
        </w:tc>
      </w:tr>
      <w:tr w:rsidR="000F51EF" w:rsidRPr="000F51EF" w14:paraId="490C9006" w14:textId="77777777" w:rsidTr="00907168">
        <w:trPr>
          <w:trHeight w:val="300"/>
        </w:trPr>
        <w:tc>
          <w:tcPr>
            <w:tcW w:w="2263" w:type="dxa"/>
            <w:tcBorders>
              <w:top w:val="nil"/>
              <w:left w:val="single" w:sz="4" w:space="0" w:color="auto"/>
              <w:bottom w:val="nil"/>
              <w:right w:val="nil"/>
            </w:tcBorders>
            <w:shd w:val="clear" w:color="auto" w:fill="auto"/>
            <w:vAlign w:val="center"/>
            <w:hideMark/>
          </w:tcPr>
          <w:p w14:paraId="3F371AD1" w14:textId="77777777" w:rsidR="000F51EF" w:rsidRPr="000F51EF" w:rsidRDefault="000F51EF" w:rsidP="000F51EF">
            <w:pPr>
              <w:spacing w:after="0" w:line="240" w:lineRule="auto"/>
              <w:ind w:firstLineChars="100" w:firstLine="160"/>
              <w:rPr>
                <w:rFonts w:cs="Arial"/>
                <w:color w:val="000000"/>
                <w:sz w:val="16"/>
                <w:szCs w:val="16"/>
              </w:rPr>
            </w:pPr>
            <w:r w:rsidRPr="000F51EF">
              <w:rPr>
                <w:rFonts w:cs="Arial"/>
                <w:color w:val="000000"/>
                <w:sz w:val="16"/>
                <w:szCs w:val="16"/>
              </w:rPr>
              <w:t>tělesně postižené</w:t>
            </w:r>
          </w:p>
        </w:tc>
        <w:tc>
          <w:tcPr>
            <w:tcW w:w="1228" w:type="dxa"/>
            <w:tcBorders>
              <w:top w:val="nil"/>
              <w:left w:val="single" w:sz="8" w:space="0" w:color="auto"/>
              <w:bottom w:val="nil"/>
              <w:right w:val="nil"/>
            </w:tcBorders>
            <w:shd w:val="clear" w:color="auto" w:fill="auto"/>
            <w:noWrap/>
            <w:vAlign w:val="center"/>
            <w:hideMark/>
          </w:tcPr>
          <w:p w14:paraId="400C887C"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352</w:t>
            </w:r>
          </w:p>
        </w:tc>
        <w:tc>
          <w:tcPr>
            <w:tcW w:w="1229" w:type="dxa"/>
            <w:tcBorders>
              <w:top w:val="nil"/>
              <w:left w:val="nil"/>
              <w:bottom w:val="nil"/>
              <w:right w:val="single" w:sz="8" w:space="0" w:color="auto"/>
            </w:tcBorders>
            <w:shd w:val="clear" w:color="auto" w:fill="auto"/>
            <w:noWrap/>
            <w:vAlign w:val="center"/>
            <w:hideMark/>
          </w:tcPr>
          <w:p w14:paraId="3BDCDE9B"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3,7%</w:t>
            </w:r>
          </w:p>
        </w:tc>
        <w:tc>
          <w:tcPr>
            <w:tcW w:w="1228" w:type="dxa"/>
            <w:tcBorders>
              <w:top w:val="nil"/>
              <w:left w:val="nil"/>
              <w:bottom w:val="nil"/>
              <w:right w:val="nil"/>
            </w:tcBorders>
            <w:shd w:val="clear" w:color="auto" w:fill="auto"/>
            <w:noWrap/>
            <w:vAlign w:val="center"/>
            <w:hideMark/>
          </w:tcPr>
          <w:p w14:paraId="2354A6D1"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367</w:t>
            </w:r>
          </w:p>
        </w:tc>
        <w:tc>
          <w:tcPr>
            <w:tcW w:w="1229" w:type="dxa"/>
            <w:tcBorders>
              <w:top w:val="nil"/>
              <w:left w:val="nil"/>
              <w:bottom w:val="nil"/>
              <w:right w:val="single" w:sz="8" w:space="0" w:color="auto"/>
            </w:tcBorders>
            <w:shd w:val="clear" w:color="auto" w:fill="auto"/>
            <w:noWrap/>
            <w:vAlign w:val="center"/>
            <w:hideMark/>
          </w:tcPr>
          <w:p w14:paraId="019076D9"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3,5%</w:t>
            </w:r>
          </w:p>
        </w:tc>
        <w:tc>
          <w:tcPr>
            <w:tcW w:w="1228" w:type="dxa"/>
            <w:tcBorders>
              <w:top w:val="nil"/>
              <w:left w:val="nil"/>
              <w:bottom w:val="nil"/>
              <w:right w:val="nil"/>
            </w:tcBorders>
            <w:shd w:val="clear" w:color="auto" w:fill="auto"/>
            <w:noWrap/>
            <w:vAlign w:val="center"/>
            <w:hideMark/>
          </w:tcPr>
          <w:p w14:paraId="1E2C0AEC"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537</w:t>
            </w:r>
          </w:p>
        </w:tc>
        <w:tc>
          <w:tcPr>
            <w:tcW w:w="1229" w:type="dxa"/>
            <w:tcBorders>
              <w:top w:val="nil"/>
              <w:left w:val="nil"/>
              <w:bottom w:val="nil"/>
              <w:right w:val="single" w:sz="4" w:space="0" w:color="auto"/>
            </w:tcBorders>
            <w:shd w:val="clear" w:color="auto" w:fill="auto"/>
            <w:noWrap/>
            <w:vAlign w:val="center"/>
            <w:hideMark/>
          </w:tcPr>
          <w:p w14:paraId="1AABBA08"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4,5%</w:t>
            </w:r>
          </w:p>
        </w:tc>
      </w:tr>
      <w:tr w:rsidR="000F51EF" w:rsidRPr="000F51EF" w14:paraId="47F044CC" w14:textId="77777777" w:rsidTr="00907168">
        <w:trPr>
          <w:trHeight w:val="300"/>
        </w:trPr>
        <w:tc>
          <w:tcPr>
            <w:tcW w:w="2263" w:type="dxa"/>
            <w:tcBorders>
              <w:top w:val="nil"/>
              <w:left w:val="single" w:sz="4" w:space="0" w:color="auto"/>
              <w:bottom w:val="nil"/>
              <w:right w:val="nil"/>
            </w:tcBorders>
            <w:shd w:val="clear" w:color="auto" w:fill="auto"/>
            <w:vAlign w:val="center"/>
            <w:hideMark/>
          </w:tcPr>
          <w:p w14:paraId="01FE007A" w14:textId="77777777" w:rsidR="000F51EF" w:rsidRPr="000F51EF" w:rsidRDefault="000F51EF" w:rsidP="000F51EF">
            <w:pPr>
              <w:spacing w:after="0" w:line="240" w:lineRule="auto"/>
              <w:ind w:firstLineChars="100" w:firstLine="160"/>
              <w:rPr>
                <w:rFonts w:cs="Arial"/>
                <w:color w:val="000000"/>
                <w:sz w:val="16"/>
                <w:szCs w:val="16"/>
              </w:rPr>
            </w:pPr>
            <w:r w:rsidRPr="000F51EF">
              <w:rPr>
                <w:rFonts w:cs="Arial"/>
                <w:color w:val="000000"/>
                <w:sz w:val="16"/>
                <w:szCs w:val="16"/>
              </w:rPr>
              <w:t>zrakově postižené</w:t>
            </w:r>
          </w:p>
        </w:tc>
        <w:tc>
          <w:tcPr>
            <w:tcW w:w="1228" w:type="dxa"/>
            <w:tcBorders>
              <w:top w:val="nil"/>
              <w:left w:val="single" w:sz="8" w:space="0" w:color="auto"/>
              <w:bottom w:val="nil"/>
              <w:right w:val="nil"/>
            </w:tcBorders>
            <w:shd w:val="clear" w:color="auto" w:fill="auto"/>
            <w:noWrap/>
            <w:vAlign w:val="center"/>
            <w:hideMark/>
          </w:tcPr>
          <w:p w14:paraId="0864EC4A"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526</w:t>
            </w:r>
          </w:p>
        </w:tc>
        <w:tc>
          <w:tcPr>
            <w:tcW w:w="1229" w:type="dxa"/>
            <w:tcBorders>
              <w:top w:val="nil"/>
              <w:left w:val="nil"/>
              <w:bottom w:val="nil"/>
              <w:right w:val="single" w:sz="8" w:space="0" w:color="auto"/>
            </w:tcBorders>
            <w:shd w:val="clear" w:color="auto" w:fill="auto"/>
            <w:noWrap/>
            <w:vAlign w:val="center"/>
            <w:hideMark/>
          </w:tcPr>
          <w:p w14:paraId="22C98D8E"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5,5%</w:t>
            </w:r>
          </w:p>
        </w:tc>
        <w:tc>
          <w:tcPr>
            <w:tcW w:w="1228" w:type="dxa"/>
            <w:tcBorders>
              <w:top w:val="nil"/>
              <w:left w:val="nil"/>
              <w:bottom w:val="nil"/>
              <w:right w:val="nil"/>
            </w:tcBorders>
            <w:shd w:val="clear" w:color="auto" w:fill="auto"/>
            <w:noWrap/>
            <w:vAlign w:val="center"/>
            <w:hideMark/>
          </w:tcPr>
          <w:p w14:paraId="294853AC"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472</w:t>
            </w:r>
          </w:p>
        </w:tc>
        <w:tc>
          <w:tcPr>
            <w:tcW w:w="1229" w:type="dxa"/>
            <w:tcBorders>
              <w:top w:val="nil"/>
              <w:left w:val="nil"/>
              <w:bottom w:val="nil"/>
              <w:right w:val="single" w:sz="8" w:space="0" w:color="auto"/>
            </w:tcBorders>
            <w:shd w:val="clear" w:color="auto" w:fill="auto"/>
            <w:noWrap/>
            <w:vAlign w:val="center"/>
            <w:hideMark/>
          </w:tcPr>
          <w:p w14:paraId="56BEC8EF"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4,5%</w:t>
            </w:r>
          </w:p>
        </w:tc>
        <w:tc>
          <w:tcPr>
            <w:tcW w:w="1228" w:type="dxa"/>
            <w:tcBorders>
              <w:top w:val="nil"/>
              <w:left w:val="nil"/>
              <w:bottom w:val="nil"/>
              <w:right w:val="nil"/>
            </w:tcBorders>
            <w:shd w:val="clear" w:color="auto" w:fill="auto"/>
            <w:noWrap/>
            <w:vAlign w:val="center"/>
            <w:hideMark/>
          </w:tcPr>
          <w:p w14:paraId="702F5A0B"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435</w:t>
            </w:r>
          </w:p>
        </w:tc>
        <w:tc>
          <w:tcPr>
            <w:tcW w:w="1229" w:type="dxa"/>
            <w:tcBorders>
              <w:top w:val="nil"/>
              <w:left w:val="nil"/>
              <w:bottom w:val="nil"/>
              <w:right w:val="single" w:sz="4" w:space="0" w:color="auto"/>
            </w:tcBorders>
            <w:shd w:val="clear" w:color="auto" w:fill="auto"/>
            <w:noWrap/>
            <w:vAlign w:val="center"/>
            <w:hideMark/>
          </w:tcPr>
          <w:p w14:paraId="639E38A7"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3,6%</w:t>
            </w:r>
          </w:p>
        </w:tc>
      </w:tr>
      <w:tr w:rsidR="000F51EF" w:rsidRPr="000F51EF" w14:paraId="4F056346" w14:textId="77777777" w:rsidTr="00907168">
        <w:trPr>
          <w:trHeight w:val="300"/>
        </w:trPr>
        <w:tc>
          <w:tcPr>
            <w:tcW w:w="2263" w:type="dxa"/>
            <w:tcBorders>
              <w:top w:val="nil"/>
              <w:left w:val="single" w:sz="4" w:space="0" w:color="auto"/>
              <w:bottom w:val="nil"/>
              <w:right w:val="nil"/>
            </w:tcBorders>
            <w:shd w:val="clear" w:color="auto" w:fill="auto"/>
            <w:vAlign w:val="center"/>
            <w:hideMark/>
          </w:tcPr>
          <w:p w14:paraId="678C0FB0" w14:textId="77777777" w:rsidR="000F51EF" w:rsidRPr="000F51EF" w:rsidRDefault="000F51EF" w:rsidP="000F51EF">
            <w:pPr>
              <w:spacing w:after="0" w:line="240" w:lineRule="auto"/>
              <w:ind w:firstLineChars="100" w:firstLine="160"/>
              <w:rPr>
                <w:rFonts w:cs="Arial"/>
                <w:color w:val="000000"/>
                <w:sz w:val="16"/>
                <w:szCs w:val="16"/>
              </w:rPr>
            </w:pPr>
            <w:r w:rsidRPr="000F51EF">
              <w:rPr>
                <w:rFonts w:cs="Arial"/>
                <w:color w:val="000000"/>
                <w:sz w:val="16"/>
                <w:szCs w:val="16"/>
              </w:rPr>
              <w:t>sluchově postižené</w:t>
            </w:r>
          </w:p>
        </w:tc>
        <w:tc>
          <w:tcPr>
            <w:tcW w:w="1228" w:type="dxa"/>
            <w:tcBorders>
              <w:top w:val="nil"/>
              <w:left w:val="single" w:sz="8" w:space="0" w:color="auto"/>
              <w:bottom w:val="nil"/>
              <w:right w:val="nil"/>
            </w:tcBorders>
            <w:shd w:val="clear" w:color="auto" w:fill="auto"/>
            <w:noWrap/>
            <w:vAlign w:val="center"/>
            <w:hideMark/>
          </w:tcPr>
          <w:p w14:paraId="0342BB04"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266</w:t>
            </w:r>
          </w:p>
        </w:tc>
        <w:tc>
          <w:tcPr>
            <w:tcW w:w="1229" w:type="dxa"/>
            <w:tcBorders>
              <w:top w:val="nil"/>
              <w:left w:val="nil"/>
              <w:bottom w:val="nil"/>
              <w:right w:val="single" w:sz="8" w:space="0" w:color="auto"/>
            </w:tcBorders>
            <w:shd w:val="clear" w:color="auto" w:fill="auto"/>
            <w:noWrap/>
            <w:vAlign w:val="center"/>
            <w:hideMark/>
          </w:tcPr>
          <w:p w14:paraId="320D4765"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2,8%</w:t>
            </w:r>
          </w:p>
        </w:tc>
        <w:tc>
          <w:tcPr>
            <w:tcW w:w="1228" w:type="dxa"/>
            <w:tcBorders>
              <w:top w:val="nil"/>
              <w:left w:val="nil"/>
              <w:bottom w:val="nil"/>
              <w:right w:val="nil"/>
            </w:tcBorders>
            <w:shd w:val="clear" w:color="auto" w:fill="auto"/>
            <w:noWrap/>
            <w:vAlign w:val="center"/>
            <w:hideMark/>
          </w:tcPr>
          <w:p w14:paraId="4278B759"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263</w:t>
            </w:r>
          </w:p>
        </w:tc>
        <w:tc>
          <w:tcPr>
            <w:tcW w:w="1229" w:type="dxa"/>
            <w:tcBorders>
              <w:top w:val="nil"/>
              <w:left w:val="nil"/>
              <w:bottom w:val="nil"/>
              <w:right w:val="single" w:sz="8" w:space="0" w:color="auto"/>
            </w:tcBorders>
            <w:shd w:val="clear" w:color="auto" w:fill="auto"/>
            <w:noWrap/>
            <w:vAlign w:val="center"/>
            <w:hideMark/>
          </w:tcPr>
          <w:p w14:paraId="2C1EB104"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2,5%</w:t>
            </w:r>
          </w:p>
        </w:tc>
        <w:tc>
          <w:tcPr>
            <w:tcW w:w="1228" w:type="dxa"/>
            <w:tcBorders>
              <w:top w:val="nil"/>
              <w:left w:val="nil"/>
              <w:bottom w:val="nil"/>
              <w:right w:val="nil"/>
            </w:tcBorders>
            <w:shd w:val="clear" w:color="auto" w:fill="auto"/>
            <w:noWrap/>
            <w:vAlign w:val="center"/>
            <w:hideMark/>
          </w:tcPr>
          <w:p w14:paraId="3079BE92"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291</w:t>
            </w:r>
          </w:p>
        </w:tc>
        <w:tc>
          <w:tcPr>
            <w:tcW w:w="1229" w:type="dxa"/>
            <w:tcBorders>
              <w:top w:val="nil"/>
              <w:left w:val="nil"/>
              <w:bottom w:val="nil"/>
              <w:right w:val="single" w:sz="4" w:space="0" w:color="auto"/>
            </w:tcBorders>
            <w:shd w:val="clear" w:color="auto" w:fill="auto"/>
            <w:noWrap/>
            <w:vAlign w:val="center"/>
            <w:hideMark/>
          </w:tcPr>
          <w:p w14:paraId="4990B1E4" w14:textId="77777777" w:rsidR="000F51EF" w:rsidRPr="000F51EF" w:rsidRDefault="000F51EF" w:rsidP="000F51EF">
            <w:pPr>
              <w:spacing w:after="0" w:line="240" w:lineRule="auto"/>
              <w:jc w:val="right"/>
              <w:rPr>
                <w:rFonts w:cs="Arial"/>
                <w:color w:val="000000"/>
                <w:sz w:val="16"/>
                <w:szCs w:val="16"/>
              </w:rPr>
            </w:pPr>
            <w:r w:rsidRPr="000F51EF">
              <w:rPr>
                <w:rFonts w:cs="Arial"/>
                <w:color w:val="000000"/>
                <w:sz w:val="16"/>
                <w:szCs w:val="16"/>
              </w:rPr>
              <w:t>2,4%</w:t>
            </w:r>
          </w:p>
        </w:tc>
      </w:tr>
      <w:tr w:rsidR="000F51EF" w:rsidRPr="000F51EF" w14:paraId="024BC55A" w14:textId="77777777" w:rsidTr="00907168">
        <w:trPr>
          <w:trHeight w:val="315"/>
        </w:trPr>
        <w:tc>
          <w:tcPr>
            <w:tcW w:w="2263" w:type="dxa"/>
            <w:tcBorders>
              <w:top w:val="nil"/>
              <w:left w:val="single" w:sz="4" w:space="0" w:color="auto"/>
              <w:bottom w:val="single" w:sz="4" w:space="0" w:color="auto"/>
              <w:right w:val="nil"/>
            </w:tcBorders>
            <w:shd w:val="clear" w:color="auto" w:fill="auto"/>
            <w:vAlign w:val="center"/>
            <w:hideMark/>
          </w:tcPr>
          <w:p w14:paraId="1CBE6067" w14:textId="77777777" w:rsidR="000F51EF" w:rsidRPr="000F51EF" w:rsidRDefault="000F51EF" w:rsidP="000F51EF">
            <w:pPr>
              <w:spacing w:after="0" w:line="240" w:lineRule="auto"/>
              <w:ind w:firstLineChars="100" w:firstLine="160"/>
              <w:rPr>
                <w:rFonts w:cs="Arial"/>
                <w:i/>
                <w:iCs/>
                <w:color w:val="000000"/>
                <w:sz w:val="16"/>
                <w:szCs w:val="16"/>
              </w:rPr>
            </w:pPr>
            <w:r w:rsidRPr="000F51EF">
              <w:rPr>
                <w:rFonts w:cs="Arial"/>
                <w:i/>
                <w:iCs/>
                <w:color w:val="000000"/>
                <w:sz w:val="16"/>
                <w:szCs w:val="16"/>
              </w:rPr>
              <w:t>postižené více vadami</w:t>
            </w:r>
            <w:r w:rsidRPr="000F51EF">
              <w:rPr>
                <w:rFonts w:cs="Arial"/>
                <w:i/>
                <w:iCs/>
                <w:color w:val="000000"/>
                <w:sz w:val="16"/>
                <w:szCs w:val="16"/>
                <w:vertAlign w:val="superscript"/>
              </w:rPr>
              <w:t>1)</w:t>
            </w:r>
          </w:p>
        </w:tc>
        <w:tc>
          <w:tcPr>
            <w:tcW w:w="1228" w:type="dxa"/>
            <w:tcBorders>
              <w:top w:val="nil"/>
              <w:left w:val="single" w:sz="8" w:space="0" w:color="auto"/>
              <w:bottom w:val="single" w:sz="4" w:space="0" w:color="auto"/>
              <w:right w:val="nil"/>
            </w:tcBorders>
            <w:shd w:val="clear" w:color="auto" w:fill="auto"/>
            <w:noWrap/>
            <w:vAlign w:val="center"/>
            <w:hideMark/>
          </w:tcPr>
          <w:p w14:paraId="4E851F71" w14:textId="77777777" w:rsidR="000F51EF" w:rsidRPr="006F3F8E" w:rsidRDefault="000F51EF" w:rsidP="000F51EF">
            <w:pPr>
              <w:spacing w:after="0" w:line="240" w:lineRule="auto"/>
              <w:jc w:val="right"/>
              <w:rPr>
                <w:rFonts w:cs="Arial"/>
                <w:i/>
                <w:iCs/>
                <w:color w:val="000000"/>
                <w:sz w:val="16"/>
                <w:szCs w:val="16"/>
              </w:rPr>
            </w:pPr>
            <w:r w:rsidRPr="006F3F8E">
              <w:rPr>
                <w:rFonts w:cs="Arial"/>
                <w:i/>
                <w:iCs/>
                <w:color w:val="000000"/>
                <w:sz w:val="16"/>
                <w:szCs w:val="16"/>
              </w:rPr>
              <w:t>1 399</w:t>
            </w:r>
          </w:p>
        </w:tc>
        <w:tc>
          <w:tcPr>
            <w:tcW w:w="1229" w:type="dxa"/>
            <w:tcBorders>
              <w:top w:val="nil"/>
              <w:left w:val="nil"/>
              <w:bottom w:val="single" w:sz="4" w:space="0" w:color="auto"/>
              <w:right w:val="single" w:sz="8" w:space="0" w:color="auto"/>
            </w:tcBorders>
            <w:shd w:val="clear" w:color="auto" w:fill="auto"/>
            <w:noWrap/>
            <w:vAlign w:val="center"/>
            <w:hideMark/>
          </w:tcPr>
          <w:p w14:paraId="64140B97" w14:textId="77777777" w:rsidR="000F51EF" w:rsidRPr="006F3F8E" w:rsidRDefault="000F51EF" w:rsidP="000F51EF">
            <w:pPr>
              <w:spacing w:after="0" w:line="240" w:lineRule="auto"/>
              <w:jc w:val="right"/>
              <w:rPr>
                <w:rFonts w:cs="Arial"/>
                <w:i/>
                <w:color w:val="000000"/>
                <w:sz w:val="16"/>
                <w:szCs w:val="16"/>
              </w:rPr>
            </w:pPr>
            <w:r w:rsidRPr="006F3F8E">
              <w:rPr>
                <w:rFonts w:cs="Arial"/>
                <w:i/>
                <w:color w:val="000000"/>
                <w:sz w:val="16"/>
                <w:szCs w:val="16"/>
              </w:rPr>
              <w:t>14,7%</w:t>
            </w:r>
          </w:p>
        </w:tc>
        <w:tc>
          <w:tcPr>
            <w:tcW w:w="1228" w:type="dxa"/>
            <w:tcBorders>
              <w:top w:val="nil"/>
              <w:left w:val="nil"/>
              <w:bottom w:val="single" w:sz="4" w:space="0" w:color="auto"/>
              <w:right w:val="nil"/>
            </w:tcBorders>
            <w:shd w:val="clear" w:color="auto" w:fill="auto"/>
            <w:noWrap/>
            <w:vAlign w:val="center"/>
            <w:hideMark/>
          </w:tcPr>
          <w:p w14:paraId="700D7C04" w14:textId="77777777" w:rsidR="000F51EF" w:rsidRPr="006F3F8E" w:rsidRDefault="000F51EF" w:rsidP="000F51EF">
            <w:pPr>
              <w:spacing w:after="0" w:line="240" w:lineRule="auto"/>
              <w:jc w:val="right"/>
              <w:rPr>
                <w:rFonts w:cs="Arial"/>
                <w:i/>
                <w:iCs/>
                <w:color w:val="000000"/>
                <w:sz w:val="16"/>
                <w:szCs w:val="16"/>
              </w:rPr>
            </w:pPr>
            <w:r w:rsidRPr="006F3F8E">
              <w:rPr>
                <w:rFonts w:cs="Arial"/>
                <w:i/>
                <w:iCs/>
                <w:color w:val="000000"/>
                <w:sz w:val="16"/>
                <w:szCs w:val="16"/>
              </w:rPr>
              <w:t>1 426</w:t>
            </w:r>
          </w:p>
        </w:tc>
        <w:tc>
          <w:tcPr>
            <w:tcW w:w="1229" w:type="dxa"/>
            <w:tcBorders>
              <w:top w:val="nil"/>
              <w:left w:val="nil"/>
              <w:bottom w:val="single" w:sz="4" w:space="0" w:color="auto"/>
              <w:right w:val="single" w:sz="8" w:space="0" w:color="auto"/>
            </w:tcBorders>
            <w:shd w:val="clear" w:color="auto" w:fill="auto"/>
            <w:noWrap/>
            <w:vAlign w:val="center"/>
            <w:hideMark/>
          </w:tcPr>
          <w:p w14:paraId="505B8F53" w14:textId="77777777" w:rsidR="000F51EF" w:rsidRPr="006F3F8E" w:rsidRDefault="000F51EF" w:rsidP="000F51EF">
            <w:pPr>
              <w:spacing w:after="0" w:line="240" w:lineRule="auto"/>
              <w:jc w:val="right"/>
              <w:rPr>
                <w:rFonts w:cs="Arial"/>
                <w:i/>
                <w:color w:val="000000"/>
                <w:sz w:val="16"/>
                <w:szCs w:val="16"/>
              </w:rPr>
            </w:pPr>
            <w:r w:rsidRPr="006F3F8E">
              <w:rPr>
                <w:rFonts w:cs="Arial"/>
                <w:i/>
                <w:color w:val="000000"/>
                <w:sz w:val="16"/>
                <w:szCs w:val="16"/>
              </w:rPr>
              <w:t>13,6%</w:t>
            </w:r>
          </w:p>
        </w:tc>
        <w:tc>
          <w:tcPr>
            <w:tcW w:w="1228" w:type="dxa"/>
            <w:tcBorders>
              <w:top w:val="nil"/>
              <w:left w:val="nil"/>
              <w:bottom w:val="single" w:sz="4" w:space="0" w:color="auto"/>
              <w:right w:val="nil"/>
            </w:tcBorders>
            <w:shd w:val="clear" w:color="auto" w:fill="auto"/>
            <w:noWrap/>
            <w:vAlign w:val="center"/>
            <w:hideMark/>
          </w:tcPr>
          <w:p w14:paraId="63965651" w14:textId="77777777" w:rsidR="000F51EF" w:rsidRPr="006F3F8E" w:rsidRDefault="000F51EF" w:rsidP="000F51EF">
            <w:pPr>
              <w:spacing w:after="0" w:line="240" w:lineRule="auto"/>
              <w:jc w:val="right"/>
              <w:rPr>
                <w:rFonts w:cs="Arial"/>
                <w:i/>
                <w:iCs/>
                <w:color w:val="000000"/>
                <w:sz w:val="16"/>
                <w:szCs w:val="16"/>
              </w:rPr>
            </w:pPr>
            <w:r w:rsidRPr="006F3F8E">
              <w:rPr>
                <w:rFonts w:cs="Arial"/>
                <w:i/>
                <w:iCs/>
                <w:color w:val="000000"/>
                <w:sz w:val="16"/>
                <w:szCs w:val="16"/>
              </w:rPr>
              <w:t>1 393</w:t>
            </w:r>
          </w:p>
        </w:tc>
        <w:tc>
          <w:tcPr>
            <w:tcW w:w="1229" w:type="dxa"/>
            <w:tcBorders>
              <w:top w:val="nil"/>
              <w:left w:val="nil"/>
              <w:bottom w:val="single" w:sz="4" w:space="0" w:color="auto"/>
              <w:right w:val="single" w:sz="4" w:space="0" w:color="auto"/>
            </w:tcBorders>
            <w:shd w:val="clear" w:color="auto" w:fill="auto"/>
            <w:noWrap/>
            <w:vAlign w:val="center"/>
            <w:hideMark/>
          </w:tcPr>
          <w:p w14:paraId="197A423C" w14:textId="77777777" w:rsidR="000F51EF" w:rsidRPr="006F3F8E" w:rsidRDefault="000F51EF" w:rsidP="000F51EF">
            <w:pPr>
              <w:spacing w:after="0" w:line="240" w:lineRule="auto"/>
              <w:jc w:val="right"/>
              <w:rPr>
                <w:rFonts w:cs="Arial"/>
                <w:i/>
                <w:color w:val="000000"/>
                <w:sz w:val="16"/>
                <w:szCs w:val="16"/>
              </w:rPr>
            </w:pPr>
            <w:r w:rsidRPr="006F3F8E">
              <w:rPr>
                <w:rFonts w:cs="Arial"/>
                <w:i/>
                <w:color w:val="000000"/>
                <w:sz w:val="16"/>
                <w:szCs w:val="16"/>
              </w:rPr>
              <w:t>11,6%</w:t>
            </w:r>
          </w:p>
        </w:tc>
      </w:tr>
    </w:tbl>
    <w:p w14:paraId="475E405D" w14:textId="55ABCCE7" w:rsidR="00A67C12" w:rsidRPr="00907168" w:rsidRDefault="00A67C12" w:rsidP="00907168">
      <w:pPr>
        <w:spacing w:before="120" w:after="0"/>
        <w:jc w:val="both"/>
        <w:rPr>
          <w:rFonts w:cs="Arial"/>
          <w:sz w:val="16"/>
          <w:szCs w:val="16"/>
        </w:rPr>
      </w:pPr>
      <w:r w:rsidRPr="00907168">
        <w:rPr>
          <w:rFonts w:cs="Arial"/>
          <w:sz w:val="16"/>
          <w:szCs w:val="16"/>
          <w:vertAlign w:val="superscript"/>
        </w:rPr>
        <w:t>1)</w:t>
      </w:r>
      <w:r w:rsidRPr="00907168">
        <w:rPr>
          <w:rFonts w:cs="Arial"/>
          <w:sz w:val="16"/>
          <w:szCs w:val="16"/>
        </w:rPr>
        <w:t xml:space="preserve"> za postižené více vadami se považuje dítě se dvěma nebo více druhy postižení, ze kterých by každé opravňovalo k</w:t>
      </w:r>
      <w:r w:rsidR="00B375FB" w:rsidRPr="00907168">
        <w:rPr>
          <w:rFonts w:cs="Arial"/>
          <w:sz w:val="16"/>
          <w:szCs w:val="16"/>
        </w:rPr>
        <w:t> </w:t>
      </w:r>
      <w:r w:rsidRPr="00907168">
        <w:rPr>
          <w:rFonts w:cs="Arial"/>
          <w:sz w:val="16"/>
          <w:szCs w:val="16"/>
        </w:rPr>
        <w:t>poskytování podpůrných opatření ve vyšších stupních podpory</w:t>
      </w:r>
    </w:p>
    <w:p w14:paraId="05D80A74" w14:textId="0164E27E" w:rsidR="00A67C12" w:rsidRDefault="00A67C12" w:rsidP="00907168">
      <w:pPr>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4B157FE6" w14:textId="042B6070" w:rsidR="00E96ACA" w:rsidRDefault="00545528" w:rsidP="00E96ACA">
      <w:pPr>
        <w:spacing w:after="120"/>
        <w:jc w:val="both"/>
        <w:rPr>
          <w:rFonts w:cs="Arial"/>
          <w:szCs w:val="20"/>
        </w:rPr>
      </w:pPr>
      <w:r>
        <w:rPr>
          <w:rFonts w:cs="Arial"/>
          <w:szCs w:val="20"/>
        </w:rPr>
        <w:t>V porovnání s dívkami</w:t>
      </w:r>
      <w:r w:rsidR="00F66C16">
        <w:rPr>
          <w:rFonts w:cs="Arial"/>
          <w:szCs w:val="20"/>
        </w:rPr>
        <w:t xml:space="preserve"> u</w:t>
      </w:r>
      <w:r w:rsidR="00E96ACA" w:rsidRPr="004864B7">
        <w:rPr>
          <w:rFonts w:cs="Arial"/>
          <w:szCs w:val="20"/>
        </w:rPr>
        <w:t xml:space="preserve"> chlapců </w:t>
      </w:r>
      <w:r w:rsidR="00F32735">
        <w:rPr>
          <w:rFonts w:cs="Arial"/>
          <w:szCs w:val="20"/>
        </w:rPr>
        <w:t>ve školním roce 2021/22</w:t>
      </w:r>
      <w:r w:rsidR="00F66C16">
        <w:rPr>
          <w:rFonts w:cs="Arial"/>
          <w:szCs w:val="20"/>
        </w:rPr>
        <w:t xml:space="preserve"> </w:t>
      </w:r>
      <w:r w:rsidR="00E96ACA" w:rsidRPr="004864B7">
        <w:rPr>
          <w:rFonts w:cs="Arial"/>
          <w:szCs w:val="20"/>
        </w:rPr>
        <w:t>výrazněji převažovaly závažné vývojové poruchy</w:t>
      </w:r>
      <w:r w:rsidR="00E96ACA">
        <w:rPr>
          <w:rFonts w:cs="Arial"/>
          <w:szCs w:val="20"/>
        </w:rPr>
        <w:t xml:space="preserve"> učení či chování</w:t>
      </w:r>
      <w:r w:rsidR="00E96ACA" w:rsidRPr="004864B7">
        <w:rPr>
          <w:rFonts w:cs="Arial"/>
          <w:szCs w:val="20"/>
        </w:rPr>
        <w:t xml:space="preserve"> (</w:t>
      </w:r>
      <w:r w:rsidR="00F32735">
        <w:rPr>
          <w:rFonts w:cs="Arial"/>
          <w:szCs w:val="20"/>
        </w:rPr>
        <w:t>10,4</w:t>
      </w:r>
      <w:r w:rsidR="00E96ACA" w:rsidRPr="004864B7">
        <w:rPr>
          <w:rFonts w:cs="Arial"/>
          <w:szCs w:val="20"/>
        </w:rPr>
        <w:t xml:space="preserve"> % u chlapců a </w:t>
      </w:r>
      <w:r w:rsidR="006B4D4F">
        <w:rPr>
          <w:rFonts w:cs="Arial"/>
          <w:szCs w:val="20"/>
        </w:rPr>
        <w:t>6,4</w:t>
      </w:r>
      <w:r w:rsidR="00F66C16">
        <w:rPr>
          <w:rFonts w:cs="Arial"/>
          <w:szCs w:val="20"/>
        </w:rPr>
        <w:t xml:space="preserve"> % u dívek) a </w:t>
      </w:r>
      <w:r w:rsidR="00DF4FB7">
        <w:rPr>
          <w:rFonts w:cs="Arial"/>
          <w:szCs w:val="20"/>
        </w:rPr>
        <w:t>poruchy autistického spektra</w:t>
      </w:r>
      <w:r w:rsidR="00F66C16">
        <w:rPr>
          <w:rFonts w:cs="Arial"/>
          <w:szCs w:val="20"/>
        </w:rPr>
        <w:t xml:space="preserve"> (1</w:t>
      </w:r>
      <w:r w:rsidR="006B4D4F">
        <w:rPr>
          <w:rFonts w:cs="Arial"/>
          <w:szCs w:val="20"/>
        </w:rPr>
        <w:t>3,4</w:t>
      </w:r>
      <w:r w:rsidR="00E96ACA">
        <w:rPr>
          <w:rFonts w:cs="Arial"/>
          <w:szCs w:val="20"/>
        </w:rPr>
        <w:t> </w:t>
      </w:r>
      <w:r w:rsidR="006B4D4F">
        <w:rPr>
          <w:rFonts w:cs="Arial"/>
          <w:szCs w:val="20"/>
        </w:rPr>
        <w:t>% u chlapců a 7</w:t>
      </w:r>
      <w:r w:rsidR="00E96ACA" w:rsidRPr="004864B7">
        <w:rPr>
          <w:rFonts w:cs="Arial"/>
          <w:szCs w:val="20"/>
        </w:rPr>
        <w:t> % u dívek)</w:t>
      </w:r>
      <w:r>
        <w:rPr>
          <w:rFonts w:cs="Arial"/>
          <w:szCs w:val="20"/>
        </w:rPr>
        <w:t xml:space="preserve"> nad ostatními druhy postižení</w:t>
      </w:r>
      <w:r w:rsidR="00E96ACA" w:rsidRPr="004864B7">
        <w:rPr>
          <w:rFonts w:cs="Arial"/>
          <w:szCs w:val="20"/>
        </w:rPr>
        <w:t>.</w:t>
      </w:r>
      <w:r w:rsidR="00F66C16">
        <w:rPr>
          <w:rFonts w:cs="Arial"/>
          <w:szCs w:val="20"/>
        </w:rPr>
        <w:t xml:space="preserve"> Celkově však lze říci, že ve všech sledovaných druzích zdravotního postižení </w:t>
      </w:r>
      <w:r w:rsidR="00AD53D8">
        <w:rPr>
          <w:rFonts w:cs="Arial"/>
          <w:szCs w:val="20"/>
        </w:rPr>
        <w:t>vykázali větší četnost chlapci než dívky</w:t>
      </w:r>
      <w:r w:rsidR="00F66C16">
        <w:rPr>
          <w:rFonts w:cs="Arial"/>
          <w:szCs w:val="20"/>
        </w:rPr>
        <w:t>.</w:t>
      </w:r>
    </w:p>
    <w:p w14:paraId="3B31D60B" w14:textId="793E1977" w:rsidR="00161691" w:rsidRPr="00161691" w:rsidRDefault="00161691" w:rsidP="00E96ACA">
      <w:pPr>
        <w:spacing w:after="120"/>
        <w:jc w:val="both"/>
        <w:rPr>
          <w:rFonts w:cs="Arial"/>
          <w:b/>
          <w:szCs w:val="20"/>
        </w:rPr>
      </w:pPr>
      <w:r w:rsidRPr="00161691">
        <w:rPr>
          <w:rFonts w:cs="Arial"/>
          <w:b/>
          <w:szCs w:val="20"/>
        </w:rPr>
        <w:t>Tab.</w:t>
      </w:r>
      <w:r>
        <w:rPr>
          <w:rFonts w:cs="Arial"/>
          <w:b/>
          <w:szCs w:val="20"/>
        </w:rPr>
        <w:t xml:space="preserve"> 1.6</w:t>
      </w:r>
      <w:r w:rsidRPr="00161691">
        <w:rPr>
          <w:rFonts w:cs="Arial"/>
          <w:b/>
          <w:szCs w:val="20"/>
        </w:rPr>
        <w:t xml:space="preserve"> Mateřské školy - počet a podíl chlapců a dívek s uvedeným druhem postižení (2021/22)</w:t>
      </w:r>
    </w:p>
    <w:tbl>
      <w:tblPr>
        <w:tblW w:w="9639" w:type="dxa"/>
        <w:tblInd w:w="-10" w:type="dxa"/>
        <w:tblCellMar>
          <w:left w:w="70" w:type="dxa"/>
          <w:right w:w="70" w:type="dxa"/>
        </w:tblCellMar>
        <w:tblLook w:val="04A0" w:firstRow="1" w:lastRow="0" w:firstColumn="1" w:lastColumn="0" w:noHBand="0" w:noVBand="1"/>
      </w:tblPr>
      <w:tblGrid>
        <w:gridCol w:w="1980"/>
        <w:gridCol w:w="997"/>
        <w:gridCol w:w="992"/>
        <w:gridCol w:w="2835"/>
        <w:gridCol w:w="2835"/>
      </w:tblGrid>
      <w:tr w:rsidR="00161691" w:rsidRPr="006B4D4F" w14:paraId="38322E51" w14:textId="77777777" w:rsidTr="00EF4C92">
        <w:trPr>
          <w:trHeight w:val="750"/>
        </w:trPr>
        <w:tc>
          <w:tcPr>
            <w:tcW w:w="1980" w:type="dxa"/>
            <w:tcBorders>
              <w:top w:val="single" w:sz="8" w:space="0" w:color="auto"/>
              <w:left w:val="single" w:sz="8" w:space="0" w:color="auto"/>
              <w:bottom w:val="single" w:sz="8" w:space="0" w:color="auto"/>
              <w:right w:val="single" w:sz="4" w:space="0" w:color="auto"/>
            </w:tcBorders>
            <w:shd w:val="clear" w:color="000000" w:fill="C00000"/>
            <w:vAlign w:val="center"/>
            <w:hideMark/>
          </w:tcPr>
          <w:p w14:paraId="0155C7CB" w14:textId="3AE28B90" w:rsidR="006B4D4F" w:rsidRPr="006B4D4F" w:rsidRDefault="008033E5" w:rsidP="006B4D4F">
            <w:pPr>
              <w:spacing w:after="0" w:line="240" w:lineRule="auto"/>
              <w:jc w:val="center"/>
              <w:rPr>
                <w:rFonts w:cs="Arial"/>
                <w:b/>
                <w:bCs/>
                <w:color w:val="FFFFFF"/>
                <w:sz w:val="16"/>
                <w:szCs w:val="16"/>
              </w:rPr>
            </w:pPr>
            <w:r>
              <w:rPr>
                <w:rFonts w:cs="Arial"/>
                <w:b/>
                <w:bCs/>
                <w:color w:val="FFFFFF"/>
                <w:sz w:val="16"/>
                <w:szCs w:val="16"/>
              </w:rPr>
              <w:t>druh posti</w:t>
            </w:r>
            <w:r w:rsidR="006B4D4F" w:rsidRPr="006B4D4F">
              <w:rPr>
                <w:rFonts w:cs="Arial"/>
                <w:b/>
                <w:bCs/>
                <w:color w:val="FFFFFF"/>
                <w:sz w:val="16"/>
                <w:szCs w:val="16"/>
              </w:rPr>
              <w:t>žení</w:t>
            </w:r>
          </w:p>
        </w:tc>
        <w:tc>
          <w:tcPr>
            <w:tcW w:w="997" w:type="dxa"/>
            <w:tcBorders>
              <w:top w:val="single" w:sz="8" w:space="0" w:color="auto"/>
              <w:left w:val="nil"/>
              <w:bottom w:val="single" w:sz="8" w:space="0" w:color="auto"/>
              <w:right w:val="nil"/>
            </w:tcBorders>
            <w:shd w:val="clear" w:color="000000" w:fill="C00000"/>
            <w:vAlign w:val="center"/>
            <w:hideMark/>
          </w:tcPr>
          <w:p w14:paraId="52DE5850" w14:textId="77777777" w:rsidR="006B4D4F" w:rsidRPr="006B4D4F" w:rsidRDefault="006B4D4F" w:rsidP="006B4D4F">
            <w:pPr>
              <w:spacing w:after="0" w:line="240" w:lineRule="auto"/>
              <w:jc w:val="center"/>
              <w:rPr>
                <w:rFonts w:cs="Arial"/>
                <w:b/>
                <w:bCs/>
                <w:color w:val="FFFFFF"/>
                <w:sz w:val="16"/>
                <w:szCs w:val="16"/>
              </w:rPr>
            </w:pPr>
            <w:r w:rsidRPr="006B4D4F">
              <w:rPr>
                <w:rFonts w:cs="Arial"/>
                <w:b/>
                <w:bCs/>
                <w:color w:val="FFFFFF"/>
                <w:sz w:val="16"/>
                <w:szCs w:val="16"/>
              </w:rPr>
              <w:t xml:space="preserve">dívky - počet </w:t>
            </w:r>
          </w:p>
        </w:tc>
        <w:tc>
          <w:tcPr>
            <w:tcW w:w="992" w:type="dxa"/>
            <w:tcBorders>
              <w:top w:val="single" w:sz="8" w:space="0" w:color="auto"/>
              <w:left w:val="single" w:sz="4" w:space="0" w:color="auto"/>
              <w:bottom w:val="single" w:sz="8" w:space="0" w:color="auto"/>
              <w:right w:val="single" w:sz="4" w:space="0" w:color="auto"/>
            </w:tcBorders>
            <w:shd w:val="clear" w:color="000000" w:fill="C00000"/>
            <w:vAlign w:val="center"/>
            <w:hideMark/>
          </w:tcPr>
          <w:p w14:paraId="36EEDD4A" w14:textId="77777777" w:rsidR="006B4D4F" w:rsidRPr="006B4D4F" w:rsidRDefault="006B4D4F" w:rsidP="006B4D4F">
            <w:pPr>
              <w:spacing w:after="0" w:line="240" w:lineRule="auto"/>
              <w:jc w:val="center"/>
              <w:rPr>
                <w:rFonts w:cs="Arial"/>
                <w:b/>
                <w:bCs/>
                <w:color w:val="FFFFFF"/>
                <w:sz w:val="16"/>
                <w:szCs w:val="16"/>
              </w:rPr>
            </w:pPr>
            <w:r w:rsidRPr="006B4D4F">
              <w:rPr>
                <w:rFonts w:cs="Arial"/>
                <w:b/>
                <w:bCs/>
                <w:color w:val="FFFFFF"/>
                <w:sz w:val="16"/>
                <w:szCs w:val="16"/>
              </w:rPr>
              <w:t xml:space="preserve">chlapci - počet </w:t>
            </w:r>
          </w:p>
        </w:tc>
        <w:tc>
          <w:tcPr>
            <w:tcW w:w="2835" w:type="dxa"/>
            <w:tcBorders>
              <w:top w:val="single" w:sz="8" w:space="0" w:color="auto"/>
              <w:left w:val="nil"/>
              <w:bottom w:val="single" w:sz="8" w:space="0" w:color="auto"/>
              <w:right w:val="nil"/>
            </w:tcBorders>
            <w:shd w:val="clear" w:color="000000" w:fill="C00000"/>
            <w:vAlign w:val="center"/>
            <w:hideMark/>
          </w:tcPr>
          <w:p w14:paraId="04AC383A" w14:textId="2C56FB67" w:rsidR="006B4D4F" w:rsidRPr="006B4D4F" w:rsidRDefault="006B4D4F" w:rsidP="006B4D4F">
            <w:pPr>
              <w:spacing w:after="0" w:line="240" w:lineRule="auto"/>
              <w:jc w:val="center"/>
              <w:rPr>
                <w:rFonts w:cs="Arial"/>
                <w:b/>
                <w:bCs/>
                <w:color w:val="FFFFFF"/>
                <w:sz w:val="16"/>
                <w:szCs w:val="16"/>
              </w:rPr>
            </w:pPr>
            <w:r w:rsidRPr="006B4D4F">
              <w:rPr>
                <w:rFonts w:cs="Arial"/>
                <w:b/>
                <w:bCs/>
                <w:color w:val="FFFFFF"/>
                <w:sz w:val="16"/>
                <w:szCs w:val="16"/>
              </w:rPr>
              <w:t xml:space="preserve">dívky - podíl na celkovém počtu </w:t>
            </w:r>
            <w:r w:rsidR="00161691">
              <w:rPr>
                <w:rFonts w:cs="Arial"/>
                <w:b/>
                <w:bCs/>
                <w:color w:val="FFFFFF"/>
                <w:sz w:val="16"/>
                <w:szCs w:val="16"/>
              </w:rPr>
              <w:t>dívek se zdravotním</w:t>
            </w:r>
            <w:r w:rsidRPr="006B4D4F">
              <w:rPr>
                <w:rFonts w:cs="Arial"/>
                <w:b/>
                <w:bCs/>
                <w:color w:val="FFFFFF"/>
                <w:sz w:val="16"/>
                <w:szCs w:val="16"/>
              </w:rPr>
              <w:t xml:space="preserve"> postižením</w:t>
            </w:r>
          </w:p>
        </w:tc>
        <w:tc>
          <w:tcPr>
            <w:tcW w:w="2835" w:type="dxa"/>
            <w:tcBorders>
              <w:top w:val="single" w:sz="8" w:space="0" w:color="auto"/>
              <w:left w:val="single" w:sz="4" w:space="0" w:color="auto"/>
              <w:bottom w:val="single" w:sz="8" w:space="0" w:color="auto"/>
              <w:right w:val="single" w:sz="8" w:space="0" w:color="auto"/>
            </w:tcBorders>
            <w:shd w:val="clear" w:color="000000" w:fill="C00000"/>
            <w:vAlign w:val="center"/>
            <w:hideMark/>
          </w:tcPr>
          <w:p w14:paraId="5DF5C277" w14:textId="28AE1263" w:rsidR="006B4D4F" w:rsidRPr="006B4D4F" w:rsidRDefault="006B4D4F" w:rsidP="006B4D4F">
            <w:pPr>
              <w:spacing w:after="0" w:line="240" w:lineRule="auto"/>
              <w:jc w:val="center"/>
              <w:rPr>
                <w:rFonts w:cs="Arial"/>
                <w:b/>
                <w:bCs/>
                <w:color w:val="FFFFFF"/>
                <w:sz w:val="16"/>
                <w:szCs w:val="16"/>
              </w:rPr>
            </w:pPr>
            <w:r w:rsidRPr="006B4D4F">
              <w:rPr>
                <w:rFonts w:cs="Arial"/>
                <w:b/>
                <w:bCs/>
                <w:color w:val="FFFFFF"/>
                <w:sz w:val="16"/>
                <w:szCs w:val="16"/>
              </w:rPr>
              <w:t>chlapci - podíl na c</w:t>
            </w:r>
            <w:r w:rsidR="00161691">
              <w:rPr>
                <w:rFonts w:cs="Arial"/>
                <w:b/>
                <w:bCs/>
                <w:color w:val="FFFFFF"/>
                <w:sz w:val="16"/>
                <w:szCs w:val="16"/>
              </w:rPr>
              <w:t>elkovém počtu chlapců se zdravotním</w:t>
            </w:r>
            <w:r w:rsidR="008033E5">
              <w:rPr>
                <w:rFonts w:cs="Arial"/>
                <w:b/>
                <w:bCs/>
                <w:color w:val="FFFFFF"/>
                <w:sz w:val="16"/>
                <w:szCs w:val="16"/>
              </w:rPr>
              <w:t xml:space="preserve"> </w:t>
            </w:r>
            <w:r w:rsidRPr="006B4D4F">
              <w:rPr>
                <w:rFonts w:cs="Arial"/>
                <w:b/>
                <w:bCs/>
                <w:color w:val="FFFFFF"/>
                <w:sz w:val="16"/>
                <w:szCs w:val="16"/>
              </w:rPr>
              <w:t>postižením</w:t>
            </w:r>
          </w:p>
        </w:tc>
      </w:tr>
      <w:tr w:rsidR="006B4D4F" w:rsidRPr="006B4D4F" w14:paraId="436A8605" w14:textId="77777777" w:rsidTr="00EF4C92">
        <w:trPr>
          <w:trHeight w:val="300"/>
        </w:trPr>
        <w:tc>
          <w:tcPr>
            <w:tcW w:w="1980" w:type="dxa"/>
            <w:tcBorders>
              <w:top w:val="nil"/>
              <w:left w:val="single" w:sz="8" w:space="0" w:color="auto"/>
              <w:bottom w:val="nil"/>
              <w:right w:val="single" w:sz="4" w:space="0" w:color="auto"/>
            </w:tcBorders>
            <w:shd w:val="clear" w:color="auto" w:fill="auto"/>
            <w:noWrap/>
            <w:vAlign w:val="bottom"/>
            <w:hideMark/>
          </w:tcPr>
          <w:p w14:paraId="7827A028" w14:textId="77777777" w:rsidR="006B4D4F" w:rsidRPr="006B4D4F" w:rsidRDefault="006B4D4F" w:rsidP="006B4D4F">
            <w:pPr>
              <w:spacing w:after="0" w:line="240" w:lineRule="auto"/>
              <w:rPr>
                <w:rFonts w:cs="Arial"/>
                <w:color w:val="000000"/>
                <w:sz w:val="16"/>
                <w:szCs w:val="16"/>
              </w:rPr>
            </w:pPr>
            <w:r w:rsidRPr="006B4D4F">
              <w:rPr>
                <w:rFonts w:cs="Arial"/>
                <w:color w:val="000000"/>
                <w:sz w:val="16"/>
                <w:szCs w:val="16"/>
              </w:rPr>
              <w:t>závažné vady řeči</w:t>
            </w:r>
          </w:p>
        </w:tc>
        <w:tc>
          <w:tcPr>
            <w:tcW w:w="997" w:type="dxa"/>
            <w:tcBorders>
              <w:top w:val="nil"/>
              <w:left w:val="nil"/>
              <w:bottom w:val="nil"/>
              <w:right w:val="nil"/>
            </w:tcBorders>
            <w:shd w:val="clear" w:color="auto" w:fill="auto"/>
            <w:noWrap/>
            <w:vAlign w:val="bottom"/>
            <w:hideMark/>
          </w:tcPr>
          <w:p w14:paraId="23380A5B" w14:textId="77777777"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1878</w:t>
            </w:r>
          </w:p>
        </w:tc>
        <w:tc>
          <w:tcPr>
            <w:tcW w:w="992" w:type="dxa"/>
            <w:tcBorders>
              <w:top w:val="nil"/>
              <w:left w:val="single" w:sz="4" w:space="0" w:color="auto"/>
              <w:bottom w:val="nil"/>
              <w:right w:val="single" w:sz="4" w:space="0" w:color="auto"/>
            </w:tcBorders>
            <w:shd w:val="clear" w:color="auto" w:fill="auto"/>
            <w:noWrap/>
            <w:vAlign w:val="bottom"/>
            <w:hideMark/>
          </w:tcPr>
          <w:p w14:paraId="37F20739" w14:textId="77777777"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4197</w:t>
            </w:r>
          </w:p>
        </w:tc>
        <w:tc>
          <w:tcPr>
            <w:tcW w:w="2835" w:type="dxa"/>
            <w:tcBorders>
              <w:top w:val="nil"/>
              <w:left w:val="nil"/>
              <w:bottom w:val="nil"/>
              <w:right w:val="nil"/>
            </w:tcBorders>
            <w:shd w:val="clear" w:color="auto" w:fill="auto"/>
            <w:noWrap/>
            <w:vAlign w:val="bottom"/>
            <w:hideMark/>
          </w:tcPr>
          <w:p w14:paraId="5B0BD818" w14:textId="10CC5CC4"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51,1</w:t>
            </w:r>
            <w:r w:rsidR="008F15A4">
              <w:rPr>
                <w:rFonts w:cs="Arial"/>
                <w:color w:val="000000"/>
                <w:sz w:val="16"/>
                <w:szCs w:val="16"/>
              </w:rPr>
              <w:t xml:space="preserve"> </w:t>
            </w:r>
            <w:r w:rsidRPr="006B4D4F">
              <w:rPr>
                <w:rFonts w:cs="Arial"/>
                <w:color w:val="000000"/>
                <w:sz w:val="16"/>
                <w:szCs w:val="16"/>
              </w:rPr>
              <w:t>%</w:t>
            </w:r>
          </w:p>
        </w:tc>
        <w:tc>
          <w:tcPr>
            <w:tcW w:w="2835" w:type="dxa"/>
            <w:tcBorders>
              <w:top w:val="nil"/>
              <w:left w:val="single" w:sz="4" w:space="0" w:color="auto"/>
              <w:bottom w:val="nil"/>
              <w:right w:val="single" w:sz="8" w:space="0" w:color="auto"/>
            </w:tcBorders>
            <w:shd w:val="clear" w:color="auto" w:fill="auto"/>
            <w:noWrap/>
            <w:vAlign w:val="bottom"/>
            <w:hideMark/>
          </w:tcPr>
          <w:p w14:paraId="706DE802" w14:textId="1C179638"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50,1</w:t>
            </w:r>
            <w:r w:rsidR="008F15A4">
              <w:rPr>
                <w:rFonts w:cs="Arial"/>
                <w:color w:val="000000"/>
                <w:sz w:val="16"/>
                <w:szCs w:val="16"/>
              </w:rPr>
              <w:t xml:space="preserve"> </w:t>
            </w:r>
            <w:r w:rsidRPr="006B4D4F">
              <w:rPr>
                <w:rFonts w:cs="Arial"/>
                <w:color w:val="000000"/>
                <w:sz w:val="16"/>
                <w:szCs w:val="16"/>
              </w:rPr>
              <w:t>%</w:t>
            </w:r>
          </w:p>
        </w:tc>
      </w:tr>
      <w:tr w:rsidR="006B4D4F" w:rsidRPr="006B4D4F" w14:paraId="2307FEA5" w14:textId="77777777" w:rsidTr="00EF4C92">
        <w:trPr>
          <w:trHeight w:val="300"/>
        </w:trPr>
        <w:tc>
          <w:tcPr>
            <w:tcW w:w="1980" w:type="dxa"/>
            <w:tcBorders>
              <w:top w:val="nil"/>
              <w:left w:val="single" w:sz="8" w:space="0" w:color="auto"/>
              <w:bottom w:val="nil"/>
              <w:right w:val="single" w:sz="4" w:space="0" w:color="auto"/>
            </w:tcBorders>
            <w:shd w:val="clear" w:color="auto" w:fill="auto"/>
            <w:noWrap/>
            <w:vAlign w:val="bottom"/>
            <w:hideMark/>
          </w:tcPr>
          <w:p w14:paraId="68A439DE" w14:textId="77777777" w:rsidR="006B4D4F" w:rsidRPr="006B4D4F" w:rsidRDefault="006B4D4F" w:rsidP="006B4D4F">
            <w:pPr>
              <w:spacing w:after="0" w:line="240" w:lineRule="auto"/>
              <w:rPr>
                <w:rFonts w:cs="Arial"/>
                <w:color w:val="000000"/>
                <w:sz w:val="16"/>
                <w:szCs w:val="16"/>
              </w:rPr>
            </w:pPr>
            <w:r w:rsidRPr="006B4D4F">
              <w:rPr>
                <w:rFonts w:cs="Arial"/>
                <w:color w:val="000000"/>
                <w:sz w:val="16"/>
                <w:szCs w:val="16"/>
              </w:rPr>
              <w:t>více vad</w:t>
            </w:r>
          </w:p>
        </w:tc>
        <w:tc>
          <w:tcPr>
            <w:tcW w:w="997" w:type="dxa"/>
            <w:tcBorders>
              <w:top w:val="nil"/>
              <w:left w:val="nil"/>
              <w:bottom w:val="nil"/>
              <w:right w:val="nil"/>
            </w:tcBorders>
            <w:shd w:val="clear" w:color="auto" w:fill="auto"/>
            <w:noWrap/>
            <w:vAlign w:val="bottom"/>
            <w:hideMark/>
          </w:tcPr>
          <w:p w14:paraId="7F4CE17F" w14:textId="77777777"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434</w:t>
            </w:r>
          </w:p>
        </w:tc>
        <w:tc>
          <w:tcPr>
            <w:tcW w:w="992" w:type="dxa"/>
            <w:tcBorders>
              <w:top w:val="nil"/>
              <w:left w:val="single" w:sz="4" w:space="0" w:color="auto"/>
              <w:bottom w:val="nil"/>
              <w:right w:val="single" w:sz="4" w:space="0" w:color="auto"/>
            </w:tcBorders>
            <w:shd w:val="clear" w:color="auto" w:fill="auto"/>
            <w:noWrap/>
            <w:vAlign w:val="bottom"/>
            <w:hideMark/>
          </w:tcPr>
          <w:p w14:paraId="4373BBE6" w14:textId="77777777"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959</w:t>
            </w:r>
          </w:p>
        </w:tc>
        <w:tc>
          <w:tcPr>
            <w:tcW w:w="2835" w:type="dxa"/>
            <w:tcBorders>
              <w:top w:val="nil"/>
              <w:left w:val="nil"/>
              <w:bottom w:val="nil"/>
              <w:right w:val="nil"/>
            </w:tcBorders>
            <w:shd w:val="clear" w:color="auto" w:fill="auto"/>
            <w:noWrap/>
            <w:vAlign w:val="bottom"/>
            <w:hideMark/>
          </w:tcPr>
          <w:p w14:paraId="49FC3CA6" w14:textId="6215E258"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11,8</w:t>
            </w:r>
            <w:r w:rsidR="008F15A4">
              <w:rPr>
                <w:rFonts w:cs="Arial"/>
                <w:color w:val="000000"/>
                <w:sz w:val="16"/>
                <w:szCs w:val="16"/>
              </w:rPr>
              <w:t xml:space="preserve"> </w:t>
            </w:r>
            <w:r w:rsidRPr="006B4D4F">
              <w:rPr>
                <w:rFonts w:cs="Arial"/>
                <w:color w:val="000000"/>
                <w:sz w:val="16"/>
                <w:szCs w:val="16"/>
              </w:rPr>
              <w:t>%</w:t>
            </w:r>
          </w:p>
        </w:tc>
        <w:tc>
          <w:tcPr>
            <w:tcW w:w="2835" w:type="dxa"/>
            <w:tcBorders>
              <w:top w:val="nil"/>
              <w:left w:val="single" w:sz="4" w:space="0" w:color="auto"/>
              <w:bottom w:val="nil"/>
              <w:right w:val="single" w:sz="8" w:space="0" w:color="auto"/>
            </w:tcBorders>
            <w:shd w:val="clear" w:color="auto" w:fill="auto"/>
            <w:noWrap/>
            <w:vAlign w:val="bottom"/>
            <w:hideMark/>
          </w:tcPr>
          <w:p w14:paraId="6CAF7AD4" w14:textId="6D0EBC33"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11,5</w:t>
            </w:r>
            <w:r w:rsidR="008F15A4">
              <w:rPr>
                <w:rFonts w:cs="Arial"/>
                <w:color w:val="000000"/>
                <w:sz w:val="16"/>
                <w:szCs w:val="16"/>
              </w:rPr>
              <w:t xml:space="preserve"> </w:t>
            </w:r>
            <w:r w:rsidRPr="006B4D4F">
              <w:rPr>
                <w:rFonts w:cs="Arial"/>
                <w:color w:val="000000"/>
                <w:sz w:val="16"/>
                <w:szCs w:val="16"/>
              </w:rPr>
              <w:t>%</w:t>
            </w:r>
          </w:p>
        </w:tc>
      </w:tr>
      <w:tr w:rsidR="006B4D4F" w:rsidRPr="006B4D4F" w14:paraId="5EA946D9" w14:textId="77777777" w:rsidTr="00EF4C92">
        <w:trPr>
          <w:trHeight w:val="300"/>
        </w:trPr>
        <w:tc>
          <w:tcPr>
            <w:tcW w:w="1980" w:type="dxa"/>
            <w:tcBorders>
              <w:top w:val="nil"/>
              <w:left w:val="single" w:sz="8" w:space="0" w:color="auto"/>
              <w:bottom w:val="nil"/>
              <w:right w:val="single" w:sz="4" w:space="0" w:color="auto"/>
            </w:tcBorders>
            <w:shd w:val="clear" w:color="auto" w:fill="auto"/>
            <w:noWrap/>
            <w:vAlign w:val="bottom"/>
            <w:hideMark/>
          </w:tcPr>
          <w:p w14:paraId="04C0BB83" w14:textId="288C66DE" w:rsidR="006B4D4F" w:rsidRPr="006B4D4F" w:rsidRDefault="00DF4FB7" w:rsidP="006B4D4F">
            <w:pPr>
              <w:spacing w:after="0" w:line="240" w:lineRule="auto"/>
              <w:rPr>
                <w:rFonts w:cs="Arial"/>
                <w:color w:val="000000"/>
                <w:sz w:val="16"/>
                <w:szCs w:val="16"/>
              </w:rPr>
            </w:pPr>
            <w:r>
              <w:rPr>
                <w:rFonts w:cs="Arial"/>
                <w:color w:val="000000"/>
                <w:sz w:val="16"/>
                <w:szCs w:val="16"/>
              </w:rPr>
              <w:t>poruchy autistického spektra</w:t>
            </w:r>
          </w:p>
        </w:tc>
        <w:tc>
          <w:tcPr>
            <w:tcW w:w="997" w:type="dxa"/>
            <w:tcBorders>
              <w:top w:val="nil"/>
              <w:left w:val="nil"/>
              <w:bottom w:val="nil"/>
              <w:right w:val="nil"/>
            </w:tcBorders>
            <w:shd w:val="clear" w:color="auto" w:fill="auto"/>
            <w:noWrap/>
            <w:vAlign w:val="bottom"/>
            <w:hideMark/>
          </w:tcPr>
          <w:p w14:paraId="70E65393" w14:textId="77777777"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258</w:t>
            </w:r>
          </w:p>
        </w:tc>
        <w:tc>
          <w:tcPr>
            <w:tcW w:w="992" w:type="dxa"/>
            <w:tcBorders>
              <w:top w:val="nil"/>
              <w:left w:val="single" w:sz="4" w:space="0" w:color="auto"/>
              <w:bottom w:val="nil"/>
              <w:right w:val="single" w:sz="4" w:space="0" w:color="auto"/>
            </w:tcBorders>
            <w:shd w:val="clear" w:color="auto" w:fill="auto"/>
            <w:noWrap/>
            <w:vAlign w:val="bottom"/>
            <w:hideMark/>
          </w:tcPr>
          <w:p w14:paraId="4F211714" w14:textId="77777777"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1120</w:t>
            </w:r>
          </w:p>
        </w:tc>
        <w:tc>
          <w:tcPr>
            <w:tcW w:w="2835" w:type="dxa"/>
            <w:tcBorders>
              <w:top w:val="nil"/>
              <w:left w:val="nil"/>
              <w:bottom w:val="nil"/>
              <w:right w:val="nil"/>
            </w:tcBorders>
            <w:shd w:val="clear" w:color="auto" w:fill="auto"/>
            <w:noWrap/>
            <w:vAlign w:val="bottom"/>
            <w:hideMark/>
          </w:tcPr>
          <w:p w14:paraId="437F2AAA" w14:textId="34A45290"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7,0</w:t>
            </w:r>
            <w:r w:rsidR="008F15A4">
              <w:rPr>
                <w:rFonts w:cs="Arial"/>
                <w:color w:val="000000"/>
                <w:sz w:val="16"/>
                <w:szCs w:val="16"/>
              </w:rPr>
              <w:t xml:space="preserve"> </w:t>
            </w:r>
            <w:r w:rsidRPr="006B4D4F">
              <w:rPr>
                <w:rFonts w:cs="Arial"/>
                <w:color w:val="000000"/>
                <w:sz w:val="16"/>
                <w:szCs w:val="16"/>
              </w:rPr>
              <w:t>%</w:t>
            </w:r>
          </w:p>
        </w:tc>
        <w:tc>
          <w:tcPr>
            <w:tcW w:w="2835" w:type="dxa"/>
            <w:tcBorders>
              <w:top w:val="nil"/>
              <w:left w:val="single" w:sz="4" w:space="0" w:color="auto"/>
              <w:bottom w:val="nil"/>
              <w:right w:val="single" w:sz="8" w:space="0" w:color="auto"/>
            </w:tcBorders>
            <w:shd w:val="clear" w:color="auto" w:fill="auto"/>
            <w:noWrap/>
            <w:vAlign w:val="bottom"/>
            <w:hideMark/>
          </w:tcPr>
          <w:p w14:paraId="009491C8" w14:textId="532AC54B"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13,4</w:t>
            </w:r>
            <w:r w:rsidR="008F15A4">
              <w:rPr>
                <w:rFonts w:cs="Arial"/>
                <w:color w:val="000000"/>
                <w:sz w:val="16"/>
                <w:szCs w:val="16"/>
              </w:rPr>
              <w:t xml:space="preserve"> </w:t>
            </w:r>
            <w:r w:rsidRPr="006B4D4F">
              <w:rPr>
                <w:rFonts w:cs="Arial"/>
                <w:color w:val="000000"/>
                <w:sz w:val="16"/>
                <w:szCs w:val="16"/>
              </w:rPr>
              <w:t>%</w:t>
            </w:r>
          </w:p>
        </w:tc>
      </w:tr>
      <w:tr w:rsidR="006B4D4F" w:rsidRPr="006B4D4F" w14:paraId="0FCBEE57" w14:textId="77777777" w:rsidTr="00EF4C92">
        <w:trPr>
          <w:trHeight w:val="300"/>
        </w:trPr>
        <w:tc>
          <w:tcPr>
            <w:tcW w:w="1980" w:type="dxa"/>
            <w:tcBorders>
              <w:top w:val="nil"/>
              <w:left w:val="single" w:sz="8" w:space="0" w:color="auto"/>
              <w:bottom w:val="nil"/>
              <w:right w:val="single" w:sz="4" w:space="0" w:color="auto"/>
            </w:tcBorders>
            <w:shd w:val="clear" w:color="auto" w:fill="auto"/>
            <w:noWrap/>
            <w:vAlign w:val="bottom"/>
            <w:hideMark/>
          </w:tcPr>
          <w:p w14:paraId="1F0FDE95" w14:textId="77777777" w:rsidR="006B4D4F" w:rsidRPr="006B4D4F" w:rsidRDefault="006B4D4F" w:rsidP="006B4D4F">
            <w:pPr>
              <w:spacing w:after="0" w:line="240" w:lineRule="auto"/>
              <w:rPr>
                <w:rFonts w:cs="Arial"/>
                <w:color w:val="000000"/>
                <w:sz w:val="16"/>
                <w:szCs w:val="16"/>
              </w:rPr>
            </w:pPr>
            <w:r w:rsidRPr="006B4D4F">
              <w:rPr>
                <w:rFonts w:cs="Arial"/>
                <w:color w:val="000000"/>
                <w:sz w:val="16"/>
                <w:szCs w:val="16"/>
              </w:rPr>
              <w:t>vývojové poruchy</w:t>
            </w:r>
          </w:p>
        </w:tc>
        <w:tc>
          <w:tcPr>
            <w:tcW w:w="997" w:type="dxa"/>
            <w:tcBorders>
              <w:top w:val="nil"/>
              <w:left w:val="nil"/>
              <w:bottom w:val="nil"/>
              <w:right w:val="nil"/>
            </w:tcBorders>
            <w:shd w:val="clear" w:color="auto" w:fill="auto"/>
            <w:noWrap/>
            <w:vAlign w:val="bottom"/>
            <w:hideMark/>
          </w:tcPr>
          <w:p w14:paraId="3EDAC0B6" w14:textId="77777777"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234</w:t>
            </w:r>
          </w:p>
        </w:tc>
        <w:tc>
          <w:tcPr>
            <w:tcW w:w="992" w:type="dxa"/>
            <w:tcBorders>
              <w:top w:val="nil"/>
              <w:left w:val="single" w:sz="4" w:space="0" w:color="auto"/>
              <w:bottom w:val="nil"/>
              <w:right w:val="single" w:sz="4" w:space="0" w:color="auto"/>
            </w:tcBorders>
            <w:shd w:val="clear" w:color="auto" w:fill="auto"/>
            <w:noWrap/>
            <w:vAlign w:val="bottom"/>
            <w:hideMark/>
          </w:tcPr>
          <w:p w14:paraId="691FE400" w14:textId="77777777"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874</w:t>
            </w:r>
          </w:p>
        </w:tc>
        <w:tc>
          <w:tcPr>
            <w:tcW w:w="2835" w:type="dxa"/>
            <w:tcBorders>
              <w:top w:val="nil"/>
              <w:left w:val="nil"/>
              <w:bottom w:val="nil"/>
              <w:right w:val="nil"/>
            </w:tcBorders>
            <w:shd w:val="clear" w:color="auto" w:fill="auto"/>
            <w:noWrap/>
            <w:vAlign w:val="bottom"/>
            <w:hideMark/>
          </w:tcPr>
          <w:p w14:paraId="077AC4B2" w14:textId="25C66E19"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6,4</w:t>
            </w:r>
            <w:r w:rsidR="008F15A4">
              <w:rPr>
                <w:rFonts w:cs="Arial"/>
                <w:color w:val="000000"/>
                <w:sz w:val="16"/>
                <w:szCs w:val="16"/>
              </w:rPr>
              <w:t xml:space="preserve"> </w:t>
            </w:r>
            <w:r w:rsidRPr="006B4D4F">
              <w:rPr>
                <w:rFonts w:cs="Arial"/>
                <w:color w:val="000000"/>
                <w:sz w:val="16"/>
                <w:szCs w:val="16"/>
              </w:rPr>
              <w:t>%</w:t>
            </w:r>
          </w:p>
        </w:tc>
        <w:tc>
          <w:tcPr>
            <w:tcW w:w="2835" w:type="dxa"/>
            <w:tcBorders>
              <w:top w:val="nil"/>
              <w:left w:val="single" w:sz="4" w:space="0" w:color="auto"/>
              <w:bottom w:val="nil"/>
              <w:right w:val="single" w:sz="8" w:space="0" w:color="auto"/>
            </w:tcBorders>
            <w:shd w:val="clear" w:color="auto" w:fill="auto"/>
            <w:noWrap/>
            <w:vAlign w:val="bottom"/>
            <w:hideMark/>
          </w:tcPr>
          <w:p w14:paraId="0BD89B56" w14:textId="5B15FB20"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10,4</w:t>
            </w:r>
            <w:r w:rsidR="008F15A4">
              <w:rPr>
                <w:rFonts w:cs="Arial"/>
                <w:color w:val="000000"/>
                <w:sz w:val="16"/>
                <w:szCs w:val="16"/>
              </w:rPr>
              <w:t xml:space="preserve"> </w:t>
            </w:r>
            <w:r w:rsidRPr="006B4D4F">
              <w:rPr>
                <w:rFonts w:cs="Arial"/>
                <w:color w:val="000000"/>
                <w:sz w:val="16"/>
                <w:szCs w:val="16"/>
              </w:rPr>
              <w:t>%</w:t>
            </w:r>
          </w:p>
        </w:tc>
      </w:tr>
      <w:tr w:rsidR="006B4D4F" w:rsidRPr="006B4D4F" w14:paraId="244C48FB" w14:textId="77777777" w:rsidTr="00EF4C92">
        <w:trPr>
          <w:trHeight w:val="300"/>
        </w:trPr>
        <w:tc>
          <w:tcPr>
            <w:tcW w:w="1980" w:type="dxa"/>
            <w:tcBorders>
              <w:top w:val="nil"/>
              <w:left w:val="single" w:sz="8" w:space="0" w:color="auto"/>
              <w:bottom w:val="nil"/>
              <w:right w:val="single" w:sz="4" w:space="0" w:color="auto"/>
            </w:tcBorders>
            <w:shd w:val="clear" w:color="auto" w:fill="auto"/>
            <w:noWrap/>
            <w:vAlign w:val="bottom"/>
            <w:hideMark/>
          </w:tcPr>
          <w:p w14:paraId="1D8326A5" w14:textId="77777777" w:rsidR="006B4D4F" w:rsidRPr="006B4D4F" w:rsidRDefault="006B4D4F" w:rsidP="006B4D4F">
            <w:pPr>
              <w:spacing w:after="0" w:line="240" w:lineRule="auto"/>
              <w:rPr>
                <w:rFonts w:cs="Arial"/>
                <w:color w:val="000000"/>
                <w:sz w:val="16"/>
                <w:szCs w:val="16"/>
              </w:rPr>
            </w:pPr>
            <w:r w:rsidRPr="006B4D4F">
              <w:rPr>
                <w:rFonts w:cs="Arial"/>
                <w:color w:val="000000"/>
                <w:sz w:val="16"/>
                <w:szCs w:val="16"/>
              </w:rPr>
              <w:t>mentální</w:t>
            </w:r>
          </w:p>
        </w:tc>
        <w:tc>
          <w:tcPr>
            <w:tcW w:w="997" w:type="dxa"/>
            <w:tcBorders>
              <w:top w:val="nil"/>
              <w:left w:val="nil"/>
              <w:bottom w:val="nil"/>
              <w:right w:val="nil"/>
            </w:tcBorders>
            <w:shd w:val="clear" w:color="auto" w:fill="auto"/>
            <w:noWrap/>
            <w:vAlign w:val="bottom"/>
            <w:hideMark/>
          </w:tcPr>
          <w:p w14:paraId="4B6E53C5" w14:textId="77777777"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289</w:t>
            </w:r>
          </w:p>
        </w:tc>
        <w:tc>
          <w:tcPr>
            <w:tcW w:w="992" w:type="dxa"/>
            <w:tcBorders>
              <w:top w:val="nil"/>
              <w:left w:val="single" w:sz="4" w:space="0" w:color="auto"/>
              <w:bottom w:val="nil"/>
              <w:right w:val="single" w:sz="4" w:space="0" w:color="auto"/>
            </w:tcBorders>
            <w:shd w:val="clear" w:color="auto" w:fill="auto"/>
            <w:noWrap/>
            <w:vAlign w:val="bottom"/>
            <w:hideMark/>
          </w:tcPr>
          <w:p w14:paraId="62907F83" w14:textId="77777777"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542</w:t>
            </w:r>
          </w:p>
        </w:tc>
        <w:tc>
          <w:tcPr>
            <w:tcW w:w="2835" w:type="dxa"/>
            <w:tcBorders>
              <w:top w:val="nil"/>
              <w:left w:val="nil"/>
              <w:bottom w:val="nil"/>
              <w:right w:val="nil"/>
            </w:tcBorders>
            <w:shd w:val="clear" w:color="auto" w:fill="auto"/>
            <w:noWrap/>
            <w:vAlign w:val="bottom"/>
            <w:hideMark/>
          </w:tcPr>
          <w:p w14:paraId="5C78A15A" w14:textId="14FF3CEB"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7,9</w:t>
            </w:r>
            <w:r w:rsidR="008F15A4">
              <w:rPr>
                <w:rFonts w:cs="Arial"/>
                <w:color w:val="000000"/>
                <w:sz w:val="16"/>
                <w:szCs w:val="16"/>
              </w:rPr>
              <w:t xml:space="preserve"> </w:t>
            </w:r>
            <w:r w:rsidRPr="006B4D4F">
              <w:rPr>
                <w:rFonts w:cs="Arial"/>
                <w:color w:val="000000"/>
                <w:sz w:val="16"/>
                <w:szCs w:val="16"/>
              </w:rPr>
              <w:t>%</w:t>
            </w:r>
          </w:p>
        </w:tc>
        <w:tc>
          <w:tcPr>
            <w:tcW w:w="2835" w:type="dxa"/>
            <w:tcBorders>
              <w:top w:val="nil"/>
              <w:left w:val="single" w:sz="4" w:space="0" w:color="auto"/>
              <w:bottom w:val="nil"/>
              <w:right w:val="single" w:sz="8" w:space="0" w:color="auto"/>
            </w:tcBorders>
            <w:shd w:val="clear" w:color="auto" w:fill="auto"/>
            <w:noWrap/>
            <w:vAlign w:val="bottom"/>
            <w:hideMark/>
          </w:tcPr>
          <w:p w14:paraId="1AD2CE97" w14:textId="56C2276A"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6,5</w:t>
            </w:r>
            <w:r w:rsidR="008F15A4">
              <w:rPr>
                <w:rFonts w:cs="Arial"/>
                <w:color w:val="000000"/>
                <w:sz w:val="16"/>
                <w:szCs w:val="16"/>
              </w:rPr>
              <w:t xml:space="preserve"> </w:t>
            </w:r>
            <w:r w:rsidRPr="006B4D4F">
              <w:rPr>
                <w:rFonts w:cs="Arial"/>
                <w:color w:val="000000"/>
                <w:sz w:val="16"/>
                <w:szCs w:val="16"/>
              </w:rPr>
              <w:t>%</w:t>
            </w:r>
          </w:p>
        </w:tc>
      </w:tr>
      <w:tr w:rsidR="006B4D4F" w:rsidRPr="006B4D4F" w14:paraId="663EA39C" w14:textId="77777777" w:rsidTr="00EF4C92">
        <w:trPr>
          <w:trHeight w:val="300"/>
        </w:trPr>
        <w:tc>
          <w:tcPr>
            <w:tcW w:w="1980" w:type="dxa"/>
            <w:tcBorders>
              <w:top w:val="nil"/>
              <w:left w:val="single" w:sz="8" w:space="0" w:color="auto"/>
              <w:bottom w:val="nil"/>
              <w:right w:val="single" w:sz="4" w:space="0" w:color="auto"/>
            </w:tcBorders>
            <w:shd w:val="clear" w:color="auto" w:fill="auto"/>
            <w:noWrap/>
            <w:vAlign w:val="bottom"/>
            <w:hideMark/>
          </w:tcPr>
          <w:p w14:paraId="1D987BA9" w14:textId="77777777" w:rsidR="006B4D4F" w:rsidRPr="006B4D4F" w:rsidRDefault="006B4D4F" w:rsidP="006B4D4F">
            <w:pPr>
              <w:spacing w:after="0" w:line="240" w:lineRule="auto"/>
              <w:rPr>
                <w:rFonts w:cs="Arial"/>
                <w:color w:val="000000"/>
                <w:sz w:val="16"/>
                <w:szCs w:val="16"/>
              </w:rPr>
            </w:pPr>
            <w:r w:rsidRPr="006B4D4F">
              <w:rPr>
                <w:rFonts w:cs="Arial"/>
                <w:color w:val="000000"/>
                <w:sz w:val="16"/>
                <w:szCs w:val="16"/>
              </w:rPr>
              <w:t>tělesné</w:t>
            </w:r>
          </w:p>
        </w:tc>
        <w:tc>
          <w:tcPr>
            <w:tcW w:w="997" w:type="dxa"/>
            <w:tcBorders>
              <w:top w:val="nil"/>
              <w:left w:val="nil"/>
              <w:bottom w:val="nil"/>
              <w:right w:val="nil"/>
            </w:tcBorders>
            <w:shd w:val="clear" w:color="auto" w:fill="auto"/>
            <w:noWrap/>
            <w:vAlign w:val="bottom"/>
            <w:hideMark/>
          </w:tcPr>
          <w:p w14:paraId="7DCCB7E4" w14:textId="77777777"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241</w:t>
            </w:r>
          </w:p>
        </w:tc>
        <w:tc>
          <w:tcPr>
            <w:tcW w:w="992" w:type="dxa"/>
            <w:tcBorders>
              <w:top w:val="nil"/>
              <w:left w:val="single" w:sz="4" w:space="0" w:color="auto"/>
              <w:bottom w:val="nil"/>
              <w:right w:val="single" w:sz="4" w:space="0" w:color="auto"/>
            </w:tcBorders>
            <w:shd w:val="clear" w:color="auto" w:fill="auto"/>
            <w:noWrap/>
            <w:vAlign w:val="bottom"/>
            <w:hideMark/>
          </w:tcPr>
          <w:p w14:paraId="31B79A31" w14:textId="77777777"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296</w:t>
            </w:r>
          </w:p>
        </w:tc>
        <w:tc>
          <w:tcPr>
            <w:tcW w:w="2835" w:type="dxa"/>
            <w:tcBorders>
              <w:top w:val="nil"/>
              <w:left w:val="nil"/>
              <w:bottom w:val="nil"/>
              <w:right w:val="nil"/>
            </w:tcBorders>
            <w:shd w:val="clear" w:color="auto" w:fill="auto"/>
            <w:noWrap/>
            <w:vAlign w:val="bottom"/>
            <w:hideMark/>
          </w:tcPr>
          <w:p w14:paraId="6BA32716" w14:textId="53EB9456"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6,6</w:t>
            </w:r>
            <w:r w:rsidR="008F15A4">
              <w:rPr>
                <w:rFonts w:cs="Arial"/>
                <w:color w:val="000000"/>
                <w:sz w:val="16"/>
                <w:szCs w:val="16"/>
              </w:rPr>
              <w:t xml:space="preserve"> </w:t>
            </w:r>
            <w:r w:rsidRPr="006B4D4F">
              <w:rPr>
                <w:rFonts w:cs="Arial"/>
                <w:color w:val="000000"/>
                <w:sz w:val="16"/>
                <w:szCs w:val="16"/>
              </w:rPr>
              <w:t>%</w:t>
            </w:r>
          </w:p>
        </w:tc>
        <w:tc>
          <w:tcPr>
            <w:tcW w:w="2835" w:type="dxa"/>
            <w:tcBorders>
              <w:top w:val="nil"/>
              <w:left w:val="single" w:sz="4" w:space="0" w:color="auto"/>
              <w:bottom w:val="nil"/>
              <w:right w:val="single" w:sz="8" w:space="0" w:color="auto"/>
            </w:tcBorders>
            <w:shd w:val="clear" w:color="auto" w:fill="auto"/>
            <w:noWrap/>
            <w:vAlign w:val="bottom"/>
            <w:hideMark/>
          </w:tcPr>
          <w:p w14:paraId="6D1F564C" w14:textId="1057B941"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3,5</w:t>
            </w:r>
            <w:r w:rsidR="008F15A4">
              <w:rPr>
                <w:rFonts w:cs="Arial"/>
                <w:color w:val="000000"/>
                <w:sz w:val="16"/>
                <w:szCs w:val="16"/>
              </w:rPr>
              <w:t xml:space="preserve"> </w:t>
            </w:r>
            <w:r w:rsidRPr="006B4D4F">
              <w:rPr>
                <w:rFonts w:cs="Arial"/>
                <w:color w:val="000000"/>
                <w:sz w:val="16"/>
                <w:szCs w:val="16"/>
              </w:rPr>
              <w:t>%</w:t>
            </w:r>
          </w:p>
        </w:tc>
      </w:tr>
      <w:tr w:rsidR="006B4D4F" w:rsidRPr="006B4D4F" w14:paraId="1D188611" w14:textId="77777777" w:rsidTr="00EF4C92">
        <w:trPr>
          <w:trHeight w:val="300"/>
        </w:trPr>
        <w:tc>
          <w:tcPr>
            <w:tcW w:w="1980" w:type="dxa"/>
            <w:tcBorders>
              <w:top w:val="nil"/>
              <w:left w:val="single" w:sz="8" w:space="0" w:color="auto"/>
              <w:bottom w:val="nil"/>
              <w:right w:val="single" w:sz="4" w:space="0" w:color="auto"/>
            </w:tcBorders>
            <w:shd w:val="clear" w:color="auto" w:fill="auto"/>
            <w:noWrap/>
            <w:vAlign w:val="bottom"/>
            <w:hideMark/>
          </w:tcPr>
          <w:p w14:paraId="0C177735" w14:textId="77777777" w:rsidR="006B4D4F" w:rsidRPr="006B4D4F" w:rsidRDefault="006B4D4F" w:rsidP="006B4D4F">
            <w:pPr>
              <w:spacing w:after="0" w:line="240" w:lineRule="auto"/>
              <w:rPr>
                <w:rFonts w:cs="Arial"/>
                <w:color w:val="000000"/>
                <w:sz w:val="16"/>
                <w:szCs w:val="16"/>
              </w:rPr>
            </w:pPr>
            <w:r w:rsidRPr="006B4D4F">
              <w:rPr>
                <w:rFonts w:cs="Arial"/>
                <w:color w:val="000000"/>
                <w:sz w:val="16"/>
                <w:szCs w:val="16"/>
              </w:rPr>
              <w:t>zrakové</w:t>
            </w:r>
          </w:p>
        </w:tc>
        <w:tc>
          <w:tcPr>
            <w:tcW w:w="997" w:type="dxa"/>
            <w:tcBorders>
              <w:top w:val="nil"/>
              <w:left w:val="nil"/>
              <w:bottom w:val="nil"/>
              <w:right w:val="nil"/>
            </w:tcBorders>
            <w:shd w:val="clear" w:color="auto" w:fill="auto"/>
            <w:noWrap/>
            <w:vAlign w:val="bottom"/>
            <w:hideMark/>
          </w:tcPr>
          <w:p w14:paraId="7B44F66E" w14:textId="77777777"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203</w:t>
            </w:r>
          </w:p>
        </w:tc>
        <w:tc>
          <w:tcPr>
            <w:tcW w:w="992" w:type="dxa"/>
            <w:tcBorders>
              <w:top w:val="nil"/>
              <w:left w:val="single" w:sz="4" w:space="0" w:color="auto"/>
              <w:bottom w:val="nil"/>
              <w:right w:val="single" w:sz="4" w:space="0" w:color="auto"/>
            </w:tcBorders>
            <w:shd w:val="clear" w:color="auto" w:fill="auto"/>
            <w:noWrap/>
            <w:vAlign w:val="bottom"/>
            <w:hideMark/>
          </w:tcPr>
          <w:p w14:paraId="1FAED36C" w14:textId="77777777"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232</w:t>
            </w:r>
          </w:p>
        </w:tc>
        <w:tc>
          <w:tcPr>
            <w:tcW w:w="2835" w:type="dxa"/>
            <w:tcBorders>
              <w:top w:val="nil"/>
              <w:left w:val="nil"/>
              <w:bottom w:val="nil"/>
              <w:right w:val="nil"/>
            </w:tcBorders>
            <w:shd w:val="clear" w:color="auto" w:fill="auto"/>
            <w:noWrap/>
            <w:vAlign w:val="bottom"/>
            <w:hideMark/>
          </w:tcPr>
          <w:p w14:paraId="10F19AA6" w14:textId="36A91A84"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5,5</w:t>
            </w:r>
            <w:r w:rsidR="008F15A4">
              <w:rPr>
                <w:rFonts w:cs="Arial"/>
                <w:color w:val="000000"/>
                <w:sz w:val="16"/>
                <w:szCs w:val="16"/>
              </w:rPr>
              <w:t xml:space="preserve"> </w:t>
            </w:r>
            <w:r w:rsidRPr="006B4D4F">
              <w:rPr>
                <w:rFonts w:cs="Arial"/>
                <w:color w:val="000000"/>
                <w:sz w:val="16"/>
                <w:szCs w:val="16"/>
              </w:rPr>
              <w:t>%</w:t>
            </w:r>
          </w:p>
        </w:tc>
        <w:tc>
          <w:tcPr>
            <w:tcW w:w="2835" w:type="dxa"/>
            <w:tcBorders>
              <w:top w:val="nil"/>
              <w:left w:val="single" w:sz="4" w:space="0" w:color="auto"/>
              <w:bottom w:val="nil"/>
              <w:right w:val="single" w:sz="8" w:space="0" w:color="auto"/>
            </w:tcBorders>
            <w:shd w:val="clear" w:color="auto" w:fill="auto"/>
            <w:noWrap/>
            <w:vAlign w:val="bottom"/>
            <w:hideMark/>
          </w:tcPr>
          <w:p w14:paraId="1FC67F90" w14:textId="32740454"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2,8</w:t>
            </w:r>
            <w:r w:rsidR="008F15A4">
              <w:rPr>
                <w:rFonts w:cs="Arial"/>
                <w:color w:val="000000"/>
                <w:sz w:val="16"/>
                <w:szCs w:val="16"/>
              </w:rPr>
              <w:t xml:space="preserve"> </w:t>
            </w:r>
            <w:r w:rsidRPr="006B4D4F">
              <w:rPr>
                <w:rFonts w:cs="Arial"/>
                <w:color w:val="000000"/>
                <w:sz w:val="16"/>
                <w:szCs w:val="16"/>
              </w:rPr>
              <w:t>%</w:t>
            </w:r>
          </w:p>
        </w:tc>
      </w:tr>
      <w:tr w:rsidR="006B4D4F" w:rsidRPr="006B4D4F" w14:paraId="4E6CCE32" w14:textId="77777777" w:rsidTr="00EF4C92">
        <w:trPr>
          <w:trHeight w:val="315"/>
        </w:trPr>
        <w:tc>
          <w:tcPr>
            <w:tcW w:w="1980" w:type="dxa"/>
            <w:tcBorders>
              <w:top w:val="nil"/>
              <w:left w:val="single" w:sz="8" w:space="0" w:color="auto"/>
              <w:bottom w:val="single" w:sz="8" w:space="0" w:color="auto"/>
              <w:right w:val="single" w:sz="4" w:space="0" w:color="auto"/>
            </w:tcBorders>
            <w:shd w:val="clear" w:color="auto" w:fill="auto"/>
            <w:noWrap/>
            <w:vAlign w:val="bottom"/>
            <w:hideMark/>
          </w:tcPr>
          <w:p w14:paraId="50DBE9FB" w14:textId="77777777" w:rsidR="006B4D4F" w:rsidRPr="006B4D4F" w:rsidRDefault="006B4D4F" w:rsidP="006B4D4F">
            <w:pPr>
              <w:spacing w:after="0" w:line="240" w:lineRule="auto"/>
              <w:rPr>
                <w:rFonts w:cs="Arial"/>
                <w:color w:val="000000"/>
                <w:sz w:val="16"/>
                <w:szCs w:val="16"/>
              </w:rPr>
            </w:pPr>
            <w:r w:rsidRPr="006B4D4F">
              <w:rPr>
                <w:rFonts w:cs="Arial"/>
                <w:color w:val="000000"/>
                <w:sz w:val="16"/>
                <w:szCs w:val="16"/>
              </w:rPr>
              <w:t>sluchové</w:t>
            </w:r>
          </w:p>
        </w:tc>
        <w:tc>
          <w:tcPr>
            <w:tcW w:w="997" w:type="dxa"/>
            <w:tcBorders>
              <w:top w:val="nil"/>
              <w:left w:val="nil"/>
              <w:bottom w:val="single" w:sz="8" w:space="0" w:color="auto"/>
              <w:right w:val="nil"/>
            </w:tcBorders>
            <w:shd w:val="clear" w:color="auto" w:fill="auto"/>
            <w:noWrap/>
            <w:vAlign w:val="bottom"/>
            <w:hideMark/>
          </w:tcPr>
          <w:p w14:paraId="1FAC17AE" w14:textId="77777777"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136</w:t>
            </w:r>
          </w:p>
        </w:tc>
        <w:tc>
          <w:tcPr>
            <w:tcW w:w="992" w:type="dxa"/>
            <w:tcBorders>
              <w:top w:val="nil"/>
              <w:left w:val="single" w:sz="4" w:space="0" w:color="auto"/>
              <w:bottom w:val="single" w:sz="8" w:space="0" w:color="auto"/>
              <w:right w:val="single" w:sz="4" w:space="0" w:color="auto"/>
            </w:tcBorders>
            <w:shd w:val="clear" w:color="auto" w:fill="auto"/>
            <w:noWrap/>
            <w:vAlign w:val="bottom"/>
            <w:hideMark/>
          </w:tcPr>
          <w:p w14:paraId="28152B5B" w14:textId="77777777"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155</w:t>
            </w:r>
          </w:p>
        </w:tc>
        <w:tc>
          <w:tcPr>
            <w:tcW w:w="2835" w:type="dxa"/>
            <w:tcBorders>
              <w:top w:val="nil"/>
              <w:left w:val="nil"/>
              <w:bottom w:val="single" w:sz="8" w:space="0" w:color="auto"/>
              <w:right w:val="nil"/>
            </w:tcBorders>
            <w:shd w:val="clear" w:color="auto" w:fill="auto"/>
            <w:noWrap/>
            <w:vAlign w:val="bottom"/>
            <w:hideMark/>
          </w:tcPr>
          <w:p w14:paraId="4F2CFDED" w14:textId="7DB5CEC9"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3,7</w:t>
            </w:r>
            <w:r w:rsidR="008F15A4">
              <w:rPr>
                <w:rFonts w:cs="Arial"/>
                <w:color w:val="000000"/>
                <w:sz w:val="16"/>
                <w:szCs w:val="16"/>
              </w:rPr>
              <w:t xml:space="preserve"> </w:t>
            </w:r>
            <w:r w:rsidRPr="006B4D4F">
              <w:rPr>
                <w:rFonts w:cs="Arial"/>
                <w:color w:val="000000"/>
                <w:sz w:val="16"/>
                <w:szCs w:val="16"/>
              </w:rPr>
              <w:t>%</w:t>
            </w:r>
          </w:p>
        </w:tc>
        <w:tc>
          <w:tcPr>
            <w:tcW w:w="2835" w:type="dxa"/>
            <w:tcBorders>
              <w:top w:val="nil"/>
              <w:left w:val="single" w:sz="4" w:space="0" w:color="auto"/>
              <w:bottom w:val="single" w:sz="8" w:space="0" w:color="auto"/>
              <w:right w:val="single" w:sz="8" w:space="0" w:color="auto"/>
            </w:tcBorders>
            <w:shd w:val="clear" w:color="auto" w:fill="auto"/>
            <w:noWrap/>
            <w:vAlign w:val="bottom"/>
            <w:hideMark/>
          </w:tcPr>
          <w:p w14:paraId="0C164BF6" w14:textId="78C65940" w:rsidR="006B4D4F" w:rsidRPr="006B4D4F" w:rsidRDefault="006B4D4F" w:rsidP="006B4D4F">
            <w:pPr>
              <w:spacing w:after="0" w:line="240" w:lineRule="auto"/>
              <w:jc w:val="right"/>
              <w:rPr>
                <w:rFonts w:cs="Arial"/>
                <w:color w:val="000000"/>
                <w:sz w:val="16"/>
                <w:szCs w:val="16"/>
              </w:rPr>
            </w:pPr>
            <w:r w:rsidRPr="006B4D4F">
              <w:rPr>
                <w:rFonts w:cs="Arial"/>
                <w:color w:val="000000"/>
                <w:sz w:val="16"/>
                <w:szCs w:val="16"/>
              </w:rPr>
              <w:t>1,9</w:t>
            </w:r>
            <w:r w:rsidR="008F15A4">
              <w:rPr>
                <w:rFonts w:cs="Arial"/>
                <w:color w:val="000000"/>
                <w:sz w:val="16"/>
                <w:szCs w:val="16"/>
              </w:rPr>
              <w:t xml:space="preserve"> </w:t>
            </w:r>
            <w:r w:rsidRPr="006B4D4F">
              <w:rPr>
                <w:rFonts w:cs="Arial"/>
                <w:color w:val="000000"/>
                <w:sz w:val="16"/>
                <w:szCs w:val="16"/>
              </w:rPr>
              <w:t>%</w:t>
            </w:r>
          </w:p>
        </w:tc>
      </w:tr>
    </w:tbl>
    <w:p w14:paraId="0D708603" w14:textId="58D81868" w:rsidR="006B4D4F" w:rsidRPr="00161691" w:rsidRDefault="00161691" w:rsidP="00161691">
      <w:pPr>
        <w:spacing w:before="120" w:after="120"/>
        <w:jc w:val="right"/>
        <w:rPr>
          <w:rFonts w:cs="Arial"/>
          <w:sz w:val="18"/>
          <w:szCs w:val="18"/>
        </w:rPr>
      </w:pPr>
      <w:r w:rsidRPr="00161691">
        <w:rPr>
          <w:rFonts w:cs="Arial"/>
          <w:sz w:val="18"/>
          <w:szCs w:val="18"/>
        </w:rPr>
        <w:t>Zdroj: ČSÚ podle údajů MŠMT</w:t>
      </w:r>
    </w:p>
    <w:p w14:paraId="1651B266" w14:textId="3D4ED420" w:rsidR="00E96ACA" w:rsidRDefault="00E96ACA" w:rsidP="00A67C12">
      <w:pPr>
        <w:spacing w:after="120"/>
        <w:jc w:val="both"/>
        <w:rPr>
          <w:rFonts w:cs="Arial"/>
          <w:sz w:val="18"/>
        </w:rPr>
      </w:pPr>
    </w:p>
    <w:p w14:paraId="76A235EB" w14:textId="37819C2F" w:rsidR="00A67C12" w:rsidRPr="007D3898" w:rsidRDefault="00A67C12" w:rsidP="008D6C23">
      <w:pPr>
        <w:pStyle w:val="Nadpis2"/>
        <w:rPr>
          <w:color w:val="FF0000"/>
          <w:sz w:val="24"/>
        </w:rPr>
      </w:pPr>
      <w:bookmarkStart w:id="6" w:name="_Toc112069070"/>
      <w:r>
        <w:t>1.</w:t>
      </w:r>
      <w:r w:rsidR="004864B7">
        <w:t>5</w:t>
      </w:r>
      <w:r>
        <w:t xml:space="preserve"> </w:t>
      </w:r>
      <w:r w:rsidRPr="00CC729A">
        <w:t xml:space="preserve">Předškolní vzdělávání </w:t>
      </w:r>
      <w:r>
        <w:t>na základních školách</w:t>
      </w:r>
      <w:bookmarkEnd w:id="6"/>
    </w:p>
    <w:p w14:paraId="47FB68FD" w14:textId="5C40A4FB" w:rsidR="00A67C12" w:rsidRDefault="002535BC" w:rsidP="006E07FD">
      <w:pPr>
        <w:spacing w:before="240" w:after="120"/>
        <w:jc w:val="both"/>
        <w:rPr>
          <w:rFonts w:cs="Arial"/>
          <w:szCs w:val="20"/>
        </w:rPr>
      </w:pPr>
      <w:r>
        <w:rPr>
          <w:rFonts w:cs="Arial"/>
          <w:szCs w:val="20"/>
        </w:rPr>
        <w:t>Po dosažení šesti</w:t>
      </w:r>
      <w:r w:rsidR="00A67C12" w:rsidRPr="00697D69">
        <w:rPr>
          <w:rFonts w:cs="Arial"/>
          <w:szCs w:val="20"/>
        </w:rPr>
        <w:t xml:space="preserve"> let většina dětí přechází v září z mateřské školy do 1. třídy základní</w:t>
      </w:r>
      <w:r w:rsidR="00C435F3" w:rsidRPr="00697D69">
        <w:rPr>
          <w:rFonts w:cs="Arial"/>
          <w:szCs w:val="20"/>
        </w:rPr>
        <w:t xml:space="preserve"> školy. Některým dětem je však </w:t>
      </w:r>
      <w:r w:rsidR="00A67C12" w:rsidRPr="00697D69">
        <w:rPr>
          <w:rFonts w:cs="Arial"/>
          <w:szCs w:val="20"/>
        </w:rPr>
        <w:t xml:space="preserve">doporučen odklad nástupu o rok, během kterého se má vyrovnat jejich vývoj. Takové děti mohou zůstat ještě rok v mateřské škole, nebo začít chodit do </w:t>
      </w:r>
      <w:r w:rsidR="00A67C12" w:rsidRPr="00697D69">
        <w:rPr>
          <w:rFonts w:cs="Arial"/>
          <w:b/>
          <w:szCs w:val="20"/>
        </w:rPr>
        <w:t>přípravné třídy běžné základní školy</w:t>
      </w:r>
      <w:r w:rsidR="00AD4BEB">
        <w:rPr>
          <w:rFonts w:cs="Arial"/>
          <w:szCs w:val="20"/>
        </w:rPr>
        <w:t xml:space="preserve">, příp. navštěvovat </w:t>
      </w:r>
      <w:r w:rsidR="00AD4BEB" w:rsidRPr="00AD4BEB">
        <w:rPr>
          <w:rFonts w:cs="Arial"/>
          <w:b/>
          <w:szCs w:val="20"/>
        </w:rPr>
        <w:t>přípravný stupeň základní školy speciální</w:t>
      </w:r>
      <w:r w:rsidR="00AD4BEB">
        <w:rPr>
          <w:rFonts w:cs="Arial"/>
          <w:szCs w:val="20"/>
        </w:rPr>
        <w:t>.</w:t>
      </w:r>
      <w:r w:rsidR="00A67C12" w:rsidRPr="00CC729A">
        <w:rPr>
          <w:rFonts w:cs="Arial"/>
          <w:szCs w:val="20"/>
        </w:rPr>
        <w:t xml:space="preserve"> </w:t>
      </w:r>
      <w:r w:rsidR="00AD4BEB">
        <w:rPr>
          <w:rFonts w:cstheme="minorHAnsi"/>
        </w:rPr>
        <w:t>V</w:t>
      </w:r>
      <w:r w:rsidR="00AD4BEB" w:rsidRPr="00AE2AE2">
        <w:rPr>
          <w:rFonts w:cstheme="minorHAnsi"/>
        </w:rPr>
        <w:t> přípravných třídách</w:t>
      </w:r>
      <w:r w:rsidR="00AD4BEB">
        <w:rPr>
          <w:rFonts w:cstheme="minorHAnsi"/>
        </w:rPr>
        <w:t xml:space="preserve"> a na přípravném stupni</w:t>
      </w:r>
      <w:r w:rsidR="00AD4BEB" w:rsidRPr="00AE2AE2">
        <w:rPr>
          <w:rFonts w:cs="Arial"/>
          <w:szCs w:val="20"/>
        </w:rPr>
        <w:t xml:space="preserve"> </w:t>
      </w:r>
      <w:r w:rsidR="00AD4BEB">
        <w:rPr>
          <w:rFonts w:cs="Arial"/>
          <w:szCs w:val="20"/>
        </w:rPr>
        <w:t xml:space="preserve">přitom </w:t>
      </w:r>
      <w:r w:rsidR="00AD4BEB" w:rsidRPr="00AE2AE2">
        <w:rPr>
          <w:rFonts w:cs="Arial"/>
          <w:szCs w:val="20"/>
        </w:rPr>
        <w:t>probíhá výuka, která se již více</w:t>
      </w:r>
      <w:r w:rsidR="00AD4BEB">
        <w:rPr>
          <w:rFonts w:cs="Arial"/>
          <w:szCs w:val="20"/>
        </w:rPr>
        <w:t xml:space="preserve"> podobá výuce na základní škole, </w:t>
      </w:r>
      <w:r w:rsidR="00AD4BEB" w:rsidRPr="00AE2AE2">
        <w:rPr>
          <w:rFonts w:cs="Arial"/>
          <w:szCs w:val="20"/>
        </w:rPr>
        <w:t>a děti mají možnost zapojit se do života školy včetně navštěvování zájmových kroužků.</w:t>
      </w:r>
      <w:r w:rsidR="004340E2" w:rsidRPr="004340E2">
        <w:rPr>
          <w:rFonts w:cs="Arial"/>
          <w:szCs w:val="20"/>
        </w:rPr>
        <w:t xml:space="preserve"> </w:t>
      </w:r>
      <w:r w:rsidR="004340E2">
        <w:rPr>
          <w:rFonts w:cs="Arial"/>
          <w:szCs w:val="20"/>
        </w:rPr>
        <w:t>Maximální počet dětí ve třídě je navíc v přípravné třídě 15 dětí, v mateřské škole 28 dětí.</w:t>
      </w:r>
    </w:p>
    <w:p w14:paraId="5BEB6DEB" w14:textId="3FD03059" w:rsidR="006B6F44" w:rsidRDefault="00A67C12" w:rsidP="00697D69">
      <w:pPr>
        <w:spacing w:after="120"/>
        <w:jc w:val="both"/>
        <w:rPr>
          <w:rFonts w:cs="Arial"/>
          <w:szCs w:val="20"/>
        </w:rPr>
      </w:pPr>
      <w:r>
        <w:rPr>
          <w:rFonts w:cs="Arial"/>
          <w:szCs w:val="20"/>
        </w:rPr>
        <w:t>V</w:t>
      </w:r>
      <w:r w:rsidR="00081DD4">
        <w:rPr>
          <w:rFonts w:cs="Arial"/>
          <w:szCs w:val="20"/>
        </w:rPr>
        <w:t>e školním roce 2021</w:t>
      </w:r>
      <w:r w:rsidRPr="00CC729A">
        <w:rPr>
          <w:rFonts w:cs="Arial"/>
          <w:szCs w:val="20"/>
        </w:rPr>
        <w:t>/</w:t>
      </w:r>
      <w:r w:rsidR="00081DD4">
        <w:rPr>
          <w:rFonts w:cs="Arial"/>
          <w:szCs w:val="20"/>
        </w:rPr>
        <w:t>22</w:t>
      </w:r>
      <w:r>
        <w:rPr>
          <w:rFonts w:cs="Arial"/>
          <w:szCs w:val="20"/>
        </w:rPr>
        <w:t xml:space="preserve"> bylo u nás </w:t>
      </w:r>
      <w:r w:rsidR="00081DD4">
        <w:rPr>
          <w:rFonts w:cs="Arial"/>
          <w:b/>
          <w:szCs w:val="20"/>
        </w:rPr>
        <w:t>362</w:t>
      </w:r>
      <w:r w:rsidRPr="00B47FB5">
        <w:rPr>
          <w:rFonts w:cs="Arial"/>
          <w:b/>
          <w:szCs w:val="20"/>
        </w:rPr>
        <w:t xml:space="preserve"> základních škol </w:t>
      </w:r>
      <w:r w:rsidR="00B94C0A">
        <w:rPr>
          <w:rFonts w:cs="Arial"/>
          <w:b/>
          <w:szCs w:val="20"/>
        </w:rPr>
        <w:t xml:space="preserve">běžných </w:t>
      </w:r>
      <w:r w:rsidRPr="00B47FB5">
        <w:rPr>
          <w:rFonts w:cs="Arial"/>
          <w:b/>
          <w:szCs w:val="20"/>
        </w:rPr>
        <w:t>se zřízenými přípravnými třídami</w:t>
      </w:r>
      <w:r w:rsidR="00081DD4" w:rsidRPr="00081DD4">
        <w:rPr>
          <w:rFonts w:cs="Arial"/>
          <w:szCs w:val="20"/>
        </w:rPr>
        <w:t>, což je o pětinu více než v předchozím školním roce.</w:t>
      </w:r>
      <w:r w:rsidR="00081DD4">
        <w:rPr>
          <w:rFonts w:cs="Arial"/>
          <w:szCs w:val="20"/>
        </w:rPr>
        <w:t xml:space="preserve"> Přípravných</w:t>
      </w:r>
      <w:r w:rsidR="006B6F44">
        <w:rPr>
          <w:rFonts w:cs="Arial"/>
          <w:szCs w:val="20"/>
        </w:rPr>
        <w:t xml:space="preserve"> tříd bylo </w:t>
      </w:r>
      <w:r w:rsidR="00081DD4">
        <w:rPr>
          <w:rFonts w:cs="Arial"/>
          <w:szCs w:val="20"/>
        </w:rPr>
        <w:t>417</w:t>
      </w:r>
      <w:r>
        <w:rPr>
          <w:rFonts w:cs="Arial"/>
          <w:szCs w:val="20"/>
        </w:rPr>
        <w:t xml:space="preserve"> a chodilo do nich </w:t>
      </w:r>
      <w:r w:rsidR="00081DD4" w:rsidRPr="00081DD4">
        <w:rPr>
          <w:rFonts w:cs="Arial"/>
          <w:b/>
          <w:szCs w:val="20"/>
        </w:rPr>
        <w:t>5</w:t>
      </w:r>
      <w:r w:rsidR="00081DD4">
        <w:rPr>
          <w:rFonts w:cs="Arial"/>
          <w:b/>
          <w:szCs w:val="20"/>
        </w:rPr>
        <w:t> </w:t>
      </w:r>
      <w:r w:rsidR="00081DD4" w:rsidRPr="00081DD4">
        <w:rPr>
          <w:rFonts w:cs="Arial"/>
          <w:b/>
          <w:szCs w:val="20"/>
        </w:rPr>
        <w:t>282</w:t>
      </w:r>
      <w:r w:rsidR="00081DD4">
        <w:rPr>
          <w:rFonts w:cs="Arial"/>
          <w:b/>
          <w:szCs w:val="20"/>
        </w:rPr>
        <w:t xml:space="preserve"> </w:t>
      </w:r>
      <w:r w:rsidRPr="00B47FB5">
        <w:rPr>
          <w:rFonts w:cs="Arial"/>
          <w:b/>
          <w:szCs w:val="20"/>
        </w:rPr>
        <w:t>dětí.</w:t>
      </w:r>
      <w:r>
        <w:rPr>
          <w:rFonts w:cs="Arial"/>
          <w:szCs w:val="20"/>
        </w:rPr>
        <w:t xml:space="preserve"> </w:t>
      </w:r>
      <w:r w:rsidR="00081DD4">
        <w:rPr>
          <w:rFonts w:cs="Arial"/>
          <w:szCs w:val="20"/>
        </w:rPr>
        <w:t>Více než tři pětiny</w:t>
      </w:r>
      <w:r>
        <w:rPr>
          <w:rFonts w:cs="Arial"/>
          <w:szCs w:val="20"/>
        </w:rPr>
        <w:t xml:space="preserve"> z nich byli chlapci</w:t>
      </w:r>
      <w:r w:rsidR="00081DD4">
        <w:rPr>
          <w:rFonts w:cs="Arial"/>
          <w:szCs w:val="20"/>
        </w:rPr>
        <w:t xml:space="preserve"> (62</w:t>
      </w:r>
      <w:r w:rsidR="006B6F44">
        <w:rPr>
          <w:rFonts w:cs="Arial"/>
          <w:szCs w:val="20"/>
        </w:rPr>
        <w:t>,4 %)</w:t>
      </w:r>
      <w:r>
        <w:rPr>
          <w:rFonts w:cs="Arial"/>
          <w:szCs w:val="20"/>
        </w:rPr>
        <w:t>.</w:t>
      </w:r>
      <w:r w:rsidR="00A64358">
        <w:rPr>
          <w:rFonts w:cs="Arial"/>
          <w:szCs w:val="20"/>
        </w:rPr>
        <w:t xml:space="preserve"> V přípravných třídách vyučovali učitelé na 417 plných úvazků.</w:t>
      </w:r>
      <w:r w:rsidRPr="005C2717">
        <w:t xml:space="preserve"> </w:t>
      </w:r>
      <w:r w:rsidRPr="005C2717">
        <w:rPr>
          <w:rFonts w:cs="Arial"/>
          <w:b/>
          <w:szCs w:val="20"/>
        </w:rPr>
        <w:t xml:space="preserve">Na </w:t>
      </w:r>
      <w:r w:rsidRPr="005C2717">
        <w:rPr>
          <w:rFonts w:cs="Arial"/>
          <w:b/>
          <w:szCs w:val="20"/>
        </w:rPr>
        <w:lastRenderedPageBreak/>
        <w:t>jednoho učitele</w:t>
      </w:r>
      <w:r w:rsidRPr="005C2717">
        <w:rPr>
          <w:rFonts w:cs="Arial"/>
          <w:szCs w:val="20"/>
        </w:rPr>
        <w:t xml:space="preserve"> </w:t>
      </w:r>
      <w:r w:rsidR="00A64358">
        <w:rPr>
          <w:rFonts w:cs="Arial"/>
          <w:szCs w:val="20"/>
        </w:rPr>
        <w:t xml:space="preserve">působícího </w:t>
      </w:r>
      <w:r>
        <w:rPr>
          <w:rFonts w:cs="Arial"/>
          <w:szCs w:val="20"/>
        </w:rPr>
        <w:t xml:space="preserve">v přípravných třídách </w:t>
      </w:r>
      <w:r w:rsidR="00A64358">
        <w:rPr>
          <w:rFonts w:cs="Arial"/>
          <w:szCs w:val="20"/>
        </w:rPr>
        <w:t xml:space="preserve">i </w:t>
      </w:r>
      <w:r w:rsidR="00A64358" w:rsidRPr="00A64358">
        <w:rPr>
          <w:rFonts w:cs="Arial"/>
          <w:b/>
          <w:szCs w:val="20"/>
        </w:rPr>
        <w:t>na jednu přípravnou třídu</w:t>
      </w:r>
      <w:r w:rsidR="00A64358">
        <w:rPr>
          <w:rFonts w:cs="Arial"/>
          <w:szCs w:val="20"/>
        </w:rPr>
        <w:t xml:space="preserve"> tak </w:t>
      </w:r>
      <w:r w:rsidRPr="005C2717">
        <w:rPr>
          <w:rFonts w:cs="Arial"/>
          <w:szCs w:val="20"/>
        </w:rPr>
        <w:t>připadlo</w:t>
      </w:r>
      <w:r>
        <w:rPr>
          <w:rFonts w:cs="Arial"/>
          <w:szCs w:val="20"/>
        </w:rPr>
        <w:t xml:space="preserve"> v průměru </w:t>
      </w:r>
      <w:r w:rsidR="00A64358">
        <w:rPr>
          <w:rFonts w:cs="Arial"/>
          <w:szCs w:val="20"/>
        </w:rPr>
        <w:t xml:space="preserve">shodně </w:t>
      </w:r>
      <w:r w:rsidR="00C50C66">
        <w:rPr>
          <w:rFonts w:cs="Arial"/>
          <w:szCs w:val="20"/>
        </w:rPr>
        <w:t>12,7</w:t>
      </w:r>
      <w:r w:rsidR="00A64358">
        <w:rPr>
          <w:rFonts w:cs="Arial"/>
          <w:szCs w:val="20"/>
        </w:rPr>
        <w:t xml:space="preserve"> dítěte</w:t>
      </w:r>
      <w:r w:rsidR="004D22C0">
        <w:rPr>
          <w:rFonts w:cs="Arial"/>
          <w:szCs w:val="20"/>
        </w:rPr>
        <w:t>. T</w:t>
      </w:r>
      <w:r w:rsidRPr="005C2717">
        <w:rPr>
          <w:rFonts w:cs="Arial"/>
          <w:szCs w:val="20"/>
        </w:rPr>
        <w:t>yto poznatky lze srovnat se situací v mateřských školách</w:t>
      </w:r>
      <w:r>
        <w:rPr>
          <w:rFonts w:cs="Arial"/>
          <w:szCs w:val="20"/>
        </w:rPr>
        <w:t xml:space="preserve">. Počet </w:t>
      </w:r>
      <w:r w:rsidR="006B6F44">
        <w:rPr>
          <w:rFonts w:cs="Arial"/>
          <w:szCs w:val="20"/>
        </w:rPr>
        <w:t>dětí na učitele byl ve školním roce 20</w:t>
      </w:r>
      <w:r w:rsidR="00207344">
        <w:rPr>
          <w:rFonts w:cs="Arial"/>
          <w:szCs w:val="20"/>
        </w:rPr>
        <w:t>21/22</w:t>
      </w:r>
      <w:r w:rsidR="006B6F44">
        <w:rPr>
          <w:rFonts w:cs="Arial"/>
          <w:szCs w:val="20"/>
        </w:rPr>
        <w:t xml:space="preserve"> v </w:t>
      </w:r>
      <w:r w:rsidRPr="005C2717">
        <w:rPr>
          <w:rFonts w:cs="Arial"/>
          <w:szCs w:val="20"/>
        </w:rPr>
        <w:t>mateřských</w:t>
      </w:r>
      <w:r w:rsidR="00C50C66">
        <w:rPr>
          <w:rFonts w:cs="Arial"/>
          <w:szCs w:val="20"/>
        </w:rPr>
        <w:t xml:space="preserve"> š</w:t>
      </w:r>
      <w:r w:rsidR="00081DD4">
        <w:rPr>
          <w:rFonts w:cs="Arial"/>
          <w:szCs w:val="20"/>
        </w:rPr>
        <w:t>kolách o něco nižší, a sice 10,7</w:t>
      </w:r>
      <w:r w:rsidR="004D22C0">
        <w:rPr>
          <w:rFonts w:cs="Arial"/>
          <w:szCs w:val="20"/>
        </w:rPr>
        <w:t>,</w:t>
      </w:r>
      <w:r w:rsidR="00BD12F7">
        <w:rPr>
          <w:rFonts w:cs="Arial"/>
          <w:szCs w:val="20"/>
        </w:rPr>
        <w:t xml:space="preserve"> naopak počet dětí ve třídě byl</w:t>
      </w:r>
      <w:r w:rsidRPr="005C2717">
        <w:rPr>
          <w:rFonts w:cs="Arial"/>
          <w:szCs w:val="20"/>
        </w:rPr>
        <w:t xml:space="preserve"> podstatně vyšší, </w:t>
      </w:r>
      <w:r w:rsidR="00081DD4">
        <w:rPr>
          <w:rFonts w:cs="Arial"/>
          <w:szCs w:val="20"/>
        </w:rPr>
        <w:t>tj. 21,5</w:t>
      </w:r>
      <w:r w:rsidRPr="005C2717">
        <w:rPr>
          <w:rFonts w:cs="Arial"/>
          <w:szCs w:val="20"/>
        </w:rPr>
        <w:t>.</w:t>
      </w:r>
    </w:p>
    <w:p w14:paraId="28E258BF" w14:textId="107F56B1" w:rsidR="00803E0A" w:rsidRPr="00B86209" w:rsidRDefault="00897878" w:rsidP="00D773B1">
      <w:pPr>
        <w:spacing w:after="120"/>
        <w:jc w:val="both"/>
        <w:rPr>
          <w:rFonts w:cs="Arial"/>
          <w:szCs w:val="20"/>
        </w:rPr>
      </w:pPr>
      <w:r>
        <w:rPr>
          <w:rFonts w:cs="Arial"/>
          <w:szCs w:val="20"/>
        </w:rPr>
        <w:t>Jak ukazuje tabulka 1.7</w:t>
      </w:r>
      <w:r w:rsidR="00D773B1">
        <w:rPr>
          <w:rFonts w:cs="Arial"/>
          <w:szCs w:val="20"/>
        </w:rPr>
        <w:t xml:space="preserve">, v Praze </w:t>
      </w:r>
      <w:r w:rsidR="00986217">
        <w:rPr>
          <w:rFonts w:cs="Arial"/>
          <w:szCs w:val="20"/>
        </w:rPr>
        <w:t>disponovala</w:t>
      </w:r>
      <w:r>
        <w:rPr>
          <w:rFonts w:cs="Arial"/>
          <w:szCs w:val="20"/>
        </w:rPr>
        <w:t xml:space="preserve"> ve školním roce 2021/22</w:t>
      </w:r>
      <w:r w:rsidR="00D773B1" w:rsidRPr="00B86209">
        <w:rPr>
          <w:rFonts w:cs="Arial"/>
          <w:szCs w:val="20"/>
        </w:rPr>
        <w:t xml:space="preserve"> přípravnou třídou </w:t>
      </w:r>
      <w:r w:rsidR="00986217">
        <w:rPr>
          <w:rFonts w:cs="Arial"/>
          <w:szCs w:val="20"/>
        </w:rPr>
        <w:t>třetina</w:t>
      </w:r>
      <w:r w:rsidR="00D773B1" w:rsidRPr="00B86209">
        <w:rPr>
          <w:rFonts w:cs="Arial"/>
          <w:szCs w:val="20"/>
        </w:rPr>
        <w:t xml:space="preserve"> základních škol</w:t>
      </w:r>
      <w:r w:rsidR="00986217">
        <w:rPr>
          <w:rFonts w:cs="Arial"/>
          <w:szCs w:val="20"/>
        </w:rPr>
        <w:t xml:space="preserve"> běžných (33,7 %)</w:t>
      </w:r>
      <w:r w:rsidR="00D773B1" w:rsidRPr="00B86209">
        <w:rPr>
          <w:rFonts w:cs="Arial"/>
          <w:szCs w:val="20"/>
        </w:rPr>
        <w:t xml:space="preserve">, v Ústeckém kraji </w:t>
      </w:r>
      <w:r w:rsidR="00986217">
        <w:rPr>
          <w:rFonts w:cs="Arial"/>
          <w:szCs w:val="20"/>
        </w:rPr>
        <w:t>čtvrtina</w:t>
      </w:r>
      <w:r w:rsidR="00D773B1">
        <w:rPr>
          <w:rFonts w:cs="Arial"/>
          <w:szCs w:val="20"/>
        </w:rPr>
        <w:t xml:space="preserve"> </w:t>
      </w:r>
      <w:r w:rsidR="00D773B1" w:rsidRPr="00B86209">
        <w:rPr>
          <w:rFonts w:cs="Arial"/>
          <w:szCs w:val="20"/>
        </w:rPr>
        <w:t>a</w:t>
      </w:r>
      <w:r w:rsidR="00D773B1">
        <w:rPr>
          <w:rFonts w:cs="Arial"/>
          <w:szCs w:val="20"/>
        </w:rPr>
        <w:t> </w:t>
      </w:r>
      <w:r w:rsidR="00D773B1" w:rsidRPr="00B86209">
        <w:rPr>
          <w:rFonts w:cs="Arial"/>
          <w:szCs w:val="20"/>
        </w:rPr>
        <w:t>v</w:t>
      </w:r>
      <w:r w:rsidR="00D773B1">
        <w:rPr>
          <w:rFonts w:cs="Arial"/>
          <w:szCs w:val="20"/>
        </w:rPr>
        <w:t> </w:t>
      </w:r>
      <w:r w:rsidR="00986217">
        <w:rPr>
          <w:rFonts w:cs="Arial"/>
          <w:szCs w:val="20"/>
        </w:rPr>
        <w:t>Karlovarském kraji 24</w:t>
      </w:r>
      <w:r w:rsidR="00803E0A">
        <w:rPr>
          <w:rFonts w:cs="Arial"/>
          <w:szCs w:val="20"/>
        </w:rPr>
        <w:t>,2</w:t>
      </w:r>
      <w:r w:rsidR="00D773B1" w:rsidRPr="00B86209">
        <w:rPr>
          <w:rFonts w:cs="Arial"/>
          <w:szCs w:val="20"/>
        </w:rPr>
        <w:t> %</w:t>
      </w:r>
      <w:r w:rsidR="00D773B1">
        <w:rPr>
          <w:rFonts w:cs="Arial"/>
          <w:szCs w:val="20"/>
        </w:rPr>
        <w:t>. V ostatních krajích byl</w:t>
      </w:r>
      <w:r w:rsidR="00D773B1" w:rsidRPr="00B86209">
        <w:rPr>
          <w:rFonts w:cs="Arial"/>
          <w:szCs w:val="20"/>
        </w:rPr>
        <w:t xml:space="preserve"> podíl takových škol</w:t>
      </w:r>
      <w:r w:rsidR="00986217">
        <w:rPr>
          <w:rFonts w:cs="Arial"/>
          <w:szCs w:val="20"/>
        </w:rPr>
        <w:t xml:space="preserve"> v rozmezí 1,2</w:t>
      </w:r>
      <w:r w:rsidR="00D773B1">
        <w:rPr>
          <w:rFonts w:cs="Arial"/>
          <w:szCs w:val="20"/>
        </w:rPr>
        <w:t> % a  </w:t>
      </w:r>
      <w:r w:rsidR="00986217">
        <w:rPr>
          <w:rFonts w:cs="Arial"/>
          <w:szCs w:val="20"/>
        </w:rPr>
        <w:t>10</w:t>
      </w:r>
      <w:r w:rsidR="00D773B1">
        <w:rPr>
          <w:rFonts w:cs="Arial"/>
          <w:szCs w:val="20"/>
        </w:rPr>
        <w:t> %</w:t>
      </w:r>
      <w:r w:rsidR="00D773B1" w:rsidRPr="00B86209">
        <w:rPr>
          <w:rFonts w:cs="Arial"/>
          <w:szCs w:val="20"/>
        </w:rPr>
        <w:t xml:space="preserve">. Zde je dobré připomenout zjištění uvedená </w:t>
      </w:r>
      <w:r w:rsidR="00F65359">
        <w:rPr>
          <w:rFonts w:cs="Arial"/>
          <w:szCs w:val="20"/>
        </w:rPr>
        <w:t xml:space="preserve">v grafu </w:t>
      </w:r>
      <w:r w:rsidR="00D773B1" w:rsidRPr="00F65359">
        <w:rPr>
          <w:rFonts w:cs="Arial"/>
          <w:szCs w:val="20"/>
        </w:rPr>
        <w:t>1.1</w:t>
      </w:r>
      <w:r w:rsidR="00F50800">
        <w:rPr>
          <w:rFonts w:cs="Arial"/>
          <w:szCs w:val="20"/>
        </w:rPr>
        <w:t>6</w:t>
      </w:r>
      <w:r w:rsidR="00D773B1" w:rsidRPr="00F65359">
        <w:rPr>
          <w:rFonts w:cs="Arial"/>
          <w:szCs w:val="20"/>
        </w:rPr>
        <w:t xml:space="preserve"> výše</w:t>
      </w:r>
      <w:r w:rsidR="00D773B1" w:rsidRPr="00B86209">
        <w:rPr>
          <w:rFonts w:cs="Arial"/>
          <w:szCs w:val="20"/>
        </w:rPr>
        <w:t xml:space="preserve"> v této analýze. Ten uvádí, že v</w:t>
      </w:r>
      <w:r w:rsidR="006323A4">
        <w:rPr>
          <w:rFonts w:cs="Arial"/>
          <w:szCs w:val="20"/>
        </w:rPr>
        <w:t> </w:t>
      </w:r>
      <w:r w:rsidR="00D773B1" w:rsidRPr="00B86209">
        <w:rPr>
          <w:rFonts w:cs="Arial"/>
          <w:szCs w:val="20"/>
        </w:rPr>
        <w:t>Praze</w:t>
      </w:r>
      <w:r w:rsidR="006323A4">
        <w:rPr>
          <w:rFonts w:cs="Arial"/>
          <w:szCs w:val="20"/>
        </w:rPr>
        <w:t>, Ústeckém a Karlovarském kraji</w:t>
      </w:r>
      <w:r w:rsidR="00D773B1">
        <w:rPr>
          <w:rFonts w:cs="Arial"/>
          <w:szCs w:val="20"/>
        </w:rPr>
        <w:t xml:space="preserve"> </w:t>
      </w:r>
      <w:r w:rsidR="006323A4">
        <w:rPr>
          <w:rFonts w:cs="Arial"/>
          <w:szCs w:val="20"/>
        </w:rPr>
        <w:t xml:space="preserve">a na Vysočině </w:t>
      </w:r>
      <w:r w:rsidR="00D773B1">
        <w:rPr>
          <w:rFonts w:cs="Arial"/>
          <w:szCs w:val="20"/>
        </w:rPr>
        <w:t>byl</w:t>
      </w:r>
      <w:r w:rsidR="00D773B1" w:rsidRPr="00B86209">
        <w:rPr>
          <w:rFonts w:cs="Arial"/>
          <w:szCs w:val="20"/>
        </w:rPr>
        <w:t xml:space="preserve"> v mateřských školách ze všech krajů nejnižší podí</w:t>
      </w:r>
      <w:r w:rsidR="00D773B1">
        <w:rPr>
          <w:rFonts w:cs="Arial"/>
          <w:szCs w:val="20"/>
        </w:rPr>
        <w:t>l dětí ve věku šest let a více (</w:t>
      </w:r>
      <w:r w:rsidR="006323A4">
        <w:rPr>
          <w:rFonts w:cs="Arial"/>
          <w:szCs w:val="20"/>
        </w:rPr>
        <w:t>5 % v případě Prahy, resp. 6</w:t>
      </w:r>
      <w:r w:rsidR="00803E0A">
        <w:rPr>
          <w:rFonts w:cs="Arial"/>
          <w:szCs w:val="20"/>
        </w:rPr>
        <w:t> %</w:t>
      </w:r>
      <w:r w:rsidR="006323A4">
        <w:rPr>
          <w:rFonts w:cs="Arial"/>
          <w:szCs w:val="20"/>
        </w:rPr>
        <w:t xml:space="preserve"> v ostatních krajích</w:t>
      </w:r>
      <w:r w:rsidR="00D773B1" w:rsidRPr="00B86209">
        <w:rPr>
          <w:rFonts w:cs="Arial"/>
          <w:szCs w:val="20"/>
        </w:rPr>
        <w:t xml:space="preserve">). </w:t>
      </w:r>
      <w:r w:rsidR="00D773B1">
        <w:rPr>
          <w:rFonts w:cs="Arial"/>
          <w:szCs w:val="20"/>
        </w:rPr>
        <w:t>Rodiče těchto dětí</w:t>
      </w:r>
      <w:r w:rsidR="00D773B1" w:rsidRPr="00B86209">
        <w:rPr>
          <w:rFonts w:cs="Arial"/>
          <w:szCs w:val="20"/>
        </w:rPr>
        <w:t xml:space="preserve"> tak častěji volí místo opakování posledního ročníku mateřské školy přechod do přípravné třídy základní školy.</w:t>
      </w:r>
    </w:p>
    <w:p w14:paraId="21FA1653" w14:textId="02AA7F58" w:rsidR="00D773B1" w:rsidRDefault="00D773B1" w:rsidP="00697D69">
      <w:pPr>
        <w:spacing w:after="120"/>
        <w:jc w:val="both"/>
        <w:rPr>
          <w:rFonts w:cs="Arial"/>
          <w:szCs w:val="20"/>
        </w:rPr>
      </w:pPr>
      <w:r w:rsidRPr="00973ED6">
        <w:rPr>
          <w:rFonts w:cs="Arial"/>
          <w:szCs w:val="20"/>
        </w:rPr>
        <w:t xml:space="preserve">Oproti tomu v kraji </w:t>
      </w:r>
      <w:r w:rsidR="00973ED6" w:rsidRPr="00973ED6">
        <w:rPr>
          <w:rFonts w:cs="Arial"/>
          <w:szCs w:val="20"/>
        </w:rPr>
        <w:t>Královéhradeckém a Jihočeském byly ve školním roce 2021/22</w:t>
      </w:r>
      <w:r w:rsidRPr="00973ED6">
        <w:rPr>
          <w:rFonts w:cs="Arial"/>
          <w:szCs w:val="20"/>
        </w:rPr>
        <w:t xml:space="preserve"> přípravné třídy </w:t>
      </w:r>
      <w:r w:rsidR="00986217">
        <w:rPr>
          <w:rFonts w:cs="Arial"/>
          <w:szCs w:val="20"/>
        </w:rPr>
        <w:t>jen na  1,2</w:t>
      </w:r>
      <w:r w:rsidR="00973ED6" w:rsidRPr="00973ED6">
        <w:rPr>
          <w:rFonts w:cs="Arial"/>
          <w:szCs w:val="20"/>
        </w:rPr>
        <w:t xml:space="preserve"> % procenta </w:t>
      </w:r>
      <w:r w:rsidRPr="00973ED6">
        <w:rPr>
          <w:rFonts w:cs="Arial"/>
          <w:szCs w:val="20"/>
        </w:rPr>
        <w:t>základních škol</w:t>
      </w:r>
      <w:r w:rsidR="00973ED6" w:rsidRPr="00973ED6">
        <w:rPr>
          <w:rFonts w:cs="Arial"/>
          <w:szCs w:val="20"/>
        </w:rPr>
        <w:t xml:space="preserve"> </w:t>
      </w:r>
      <w:r w:rsidR="00986217">
        <w:rPr>
          <w:rFonts w:cs="Arial"/>
          <w:szCs w:val="20"/>
        </w:rPr>
        <w:t xml:space="preserve">běžných </w:t>
      </w:r>
      <w:r w:rsidR="00973ED6" w:rsidRPr="00973ED6">
        <w:rPr>
          <w:rFonts w:cs="Arial"/>
          <w:szCs w:val="20"/>
        </w:rPr>
        <w:t>a v kr</w:t>
      </w:r>
      <w:r w:rsidR="008033E5">
        <w:rPr>
          <w:rFonts w:cs="Arial"/>
          <w:szCs w:val="20"/>
        </w:rPr>
        <w:t>aji Olomouckém jen na 2,5</w:t>
      </w:r>
      <w:r w:rsidR="00986217">
        <w:rPr>
          <w:rFonts w:cs="Arial"/>
          <w:szCs w:val="20"/>
        </w:rPr>
        <w:t> %</w:t>
      </w:r>
      <w:r w:rsidR="00973ED6" w:rsidRPr="00973ED6">
        <w:rPr>
          <w:rFonts w:cs="Arial"/>
          <w:szCs w:val="20"/>
        </w:rPr>
        <w:t>.</w:t>
      </w:r>
      <w:r w:rsidRPr="00973ED6">
        <w:rPr>
          <w:rFonts w:cs="Arial"/>
          <w:szCs w:val="20"/>
        </w:rPr>
        <w:t xml:space="preserve"> </w:t>
      </w:r>
      <w:r w:rsidR="00973ED6" w:rsidRPr="00973ED6">
        <w:rPr>
          <w:rFonts w:cs="Arial"/>
          <w:szCs w:val="20"/>
        </w:rPr>
        <w:t>V kraji Královéhradeckém a Olomouckém</w:t>
      </w:r>
      <w:r w:rsidRPr="00973ED6">
        <w:rPr>
          <w:rFonts w:cs="Arial"/>
          <w:szCs w:val="20"/>
        </w:rPr>
        <w:t xml:space="preserve"> </w:t>
      </w:r>
      <w:r w:rsidR="00973ED6" w:rsidRPr="00973ED6">
        <w:rPr>
          <w:rFonts w:cs="Arial"/>
          <w:szCs w:val="20"/>
        </w:rPr>
        <w:t>zaujímaly přitom v mateřských školách ze všech krajů nejvyšší podíl děti ve věku 6 let a více</w:t>
      </w:r>
      <w:r w:rsidR="00986217">
        <w:rPr>
          <w:rFonts w:cs="Arial"/>
          <w:szCs w:val="20"/>
        </w:rPr>
        <w:t xml:space="preserve"> (7,5, resp. 7,4 %)</w:t>
      </w:r>
      <w:r w:rsidR="005370C4" w:rsidRPr="00973ED6">
        <w:rPr>
          <w:rFonts w:cs="Arial"/>
          <w:szCs w:val="20"/>
        </w:rPr>
        <w:t>.</w:t>
      </w:r>
    </w:p>
    <w:p w14:paraId="39B7AE30" w14:textId="4A38331F" w:rsidR="00A67C12" w:rsidRDefault="00A67C12" w:rsidP="00897878">
      <w:pPr>
        <w:keepNext/>
        <w:spacing w:after="120"/>
        <w:jc w:val="both"/>
        <w:rPr>
          <w:rFonts w:cs="Arial"/>
          <w:b/>
          <w:szCs w:val="20"/>
        </w:rPr>
      </w:pPr>
      <w:r w:rsidRPr="00FF3C6B">
        <w:rPr>
          <w:rFonts w:cs="Arial"/>
          <w:b/>
          <w:szCs w:val="20"/>
        </w:rPr>
        <w:t>Tab. 1.</w:t>
      </w:r>
      <w:r w:rsidR="00897878">
        <w:rPr>
          <w:rFonts w:cs="Arial"/>
          <w:b/>
          <w:szCs w:val="20"/>
        </w:rPr>
        <w:t>7</w:t>
      </w:r>
      <w:r w:rsidRPr="00654DAB">
        <w:t xml:space="preserve"> </w:t>
      </w:r>
      <w:r w:rsidRPr="00654DAB">
        <w:rPr>
          <w:rFonts w:cs="Arial"/>
          <w:b/>
          <w:szCs w:val="20"/>
        </w:rPr>
        <w:t>Základní školy s přípravnými třídam</w:t>
      </w:r>
      <w:r w:rsidR="00207344">
        <w:rPr>
          <w:rFonts w:cs="Arial"/>
          <w:b/>
          <w:szCs w:val="20"/>
        </w:rPr>
        <w:t>i v jednotlivých krajích (2021/22</w:t>
      </w:r>
      <w:r w:rsidRPr="00654DAB">
        <w:rPr>
          <w:rFonts w:cs="Arial"/>
          <w:b/>
          <w:szCs w:val="20"/>
        </w:rPr>
        <w:t>)</w:t>
      </w:r>
    </w:p>
    <w:tbl>
      <w:tblPr>
        <w:tblW w:w="9498" w:type="dxa"/>
        <w:tblInd w:w="-5" w:type="dxa"/>
        <w:tblCellMar>
          <w:left w:w="70" w:type="dxa"/>
          <w:right w:w="70" w:type="dxa"/>
        </w:tblCellMar>
        <w:tblLook w:val="04A0" w:firstRow="1" w:lastRow="0" w:firstColumn="1" w:lastColumn="0" w:noHBand="0" w:noVBand="1"/>
      </w:tblPr>
      <w:tblGrid>
        <w:gridCol w:w="1985"/>
        <w:gridCol w:w="709"/>
        <w:gridCol w:w="708"/>
        <w:gridCol w:w="709"/>
        <w:gridCol w:w="709"/>
        <w:gridCol w:w="709"/>
        <w:gridCol w:w="708"/>
        <w:gridCol w:w="851"/>
        <w:gridCol w:w="709"/>
        <w:gridCol w:w="850"/>
        <w:gridCol w:w="851"/>
      </w:tblGrid>
      <w:tr w:rsidR="00E53E70" w:rsidRPr="00EC0FF3" w14:paraId="27F23247" w14:textId="77777777" w:rsidTr="006323A4">
        <w:trPr>
          <w:trHeight w:val="289"/>
        </w:trPr>
        <w:tc>
          <w:tcPr>
            <w:tcW w:w="1985" w:type="dxa"/>
            <w:vMerge w:val="restart"/>
            <w:tcBorders>
              <w:top w:val="single" w:sz="4" w:space="0" w:color="auto"/>
              <w:left w:val="single" w:sz="4" w:space="0" w:color="auto"/>
              <w:bottom w:val="single" w:sz="4" w:space="0" w:color="auto"/>
              <w:right w:val="single" w:sz="4" w:space="0" w:color="auto"/>
            </w:tcBorders>
            <w:shd w:val="clear" w:color="000000" w:fill="C00000"/>
            <w:vAlign w:val="center"/>
            <w:hideMark/>
          </w:tcPr>
          <w:p w14:paraId="0D2DF627" w14:textId="77777777" w:rsidR="00EC0FF3" w:rsidRPr="00EC0FF3" w:rsidRDefault="00EC0FF3" w:rsidP="00EC0FF3">
            <w:pPr>
              <w:spacing w:after="0" w:line="240" w:lineRule="auto"/>
              <w:jc w:val="center"/>
              <w:rPr>
                <w:rFonts w:cs="Arial"/>
                <w:b/>
                <w:bCs/>
                <w:color w:val="FFFFFF"/>
                <w:sz w:val="16"/>
                <w:szCs w:val="16"/>
              </w:rPr>
            </w:pPr>
            <w:r w:rsidRPr="00EC0FF3">
              <w:rPr>
                <w:rFonts w:cs="Arial"/>
                <w:b/>
                <w:bCs/>
                <w:color w:val="FFFFFF"/>
                <w:sz w:val="16"/>
                <w:szCs w:val="16"/>
              </w:rPr>
              <w:t>Území</w:t>
            </w:r>
          </w:p>
        </w:tc>
        <w:tc>
          <w:tcPr>
            <w:tcW w:w="2126" w:type="dxa"/>
            <w:gridSpan w:val="3"/>
            <w:vMerge w:val="restart"/>
            <w:tcBorders>
              <w:top w:val="single" w:sz="4" w:space="0" w:color="auto"/>
              <w:left w:val="single" w:sz="4" w:space="0" w:color="auto"/>
              <w:bottom w:val="single" w:sz="4" w:space="0" w:color="auto"/>
              <w:right w:val="single" w:sz="4" w:space="0" w:color="auto"/>
            </w:tcBorders>
            <w:shd w:val="clear" w:color="000000" w:fill="C00000"/>
            <w:vAlign w:val="center"/>
            <w:hideMark/>
          </w:tcPr>
          <w:p w14:paraId="374900B9" w14:textId="77777777" w:rsidR="00EC0FF3" w:rsidRPr="00EC0FF3" w:rsidRDefault="00EC0FF3" w:rsidP="00EC0FF3">
            <w:pPr>
              <w:spacing w:after="0" w:line="240" w:lineRule="auto"/>
              <w:jc w:val="center"/>
              <w:rPr>
                <w:rFonts w:cs="Arial"/>
                <w:b/>
                <w:bCs/>
                <w:color w:val="FFFFFF"/>
                <w:sz w:val="16"/>
                <w:szCs w:val="16"/>
              </w:rPr>
            </w:pPr>
            <w:r w:rsidRPr="00EC0FF3">
              <w:rPr>
                <w:rFonts w:cs="Arial"/>
                <w:b/>
                <w:bCs/>
                <w:color w:val="FFFFFF"/>
                <w:sz w:val="16"/>
                <w:szCs w:val="16"/>
              </w:rPr>
              <w:t>Školy</w:t>
            </w:r>
          </w:p>
        </w:tc>
        <w:tc>
          <w:tcPr>
            <w:tcW w:w="2126" w:type="dxa"/>
            <w:gridSpan w:val="3"/>
            <w:vMerge w:val="restart"/>
            <w:tcBorders>
              <w:top w:val="single" w:sz="4" w:space="0" w:color="auto"/>
              <w:left w:val="single" w:sz="4" w:space="0" w:color="auto"/>
              <w:bottom w:val="single" w:sz="4" w:space="0" w:color="auto"/>
              <w:right w:val="single" w:sz="4" w:space="0" w:color="auto"/>
            </w:tcBorders>
            <w:shd w:val="clear" w:color="000000" w:fill="C00000"/>
            <w:vAlign w:val="center"/>
            <w:hideMark/>
          </w:tcPr>
          <w:p w14:paraId="06AD88C9" w14:textId="77777777" w:rsidR="00EC0FF3" w:rsidRPr="00EC0FF3" w:rsidRDefault="00EC0FF3" w:rsidP="00EC0FF3">
            <w:pPr>
              <w:spacing w:after="0" w:line="240" w:lineRule="auto"/>
              <w:jc w:val="center"/>
              <w:rPr>
                <w:rFonts w:cs="Arial"/>
                <w:b/>
                <w:bCs/>
                <w:color w:val="FFFFFF"/>
                <w:sz w:val="16"/>
                <w:szCs w:val="16"/>
              </w:rPr>
            </w:pPr>
            <w:r w:rsidRPr="00EC0FF3">
              <w:rPr>
                <w:rFonts w:cs="Arial"/>
                <w:b/>
                <w:bCs/>
                <w:color w:val="FFFFFF"/>
                <w:sz w:val="16"/>
                <w:szCs w:val="16"/>
              </w:rPr>
              <w:t>Třídy</w:t>
            </w:r>
          </w:p>
        </w:tc>
        <w:tc>
          <w:tcPr>
            <w:tcW w:w="3261" w:type="dxa"/>
            <w:gridSpan w:val="4"/>
            <w:tcBorders>
              <w:top w:val="single" w:sz="4" w:space="0" w:color="auto"/>
              <w:left w:val="nil"/>
              <w:bottom w:val="single" w:sz="4" w:space="0" w:color="auto"/>
              <w:right w:val="single" w:sz="4" w:space="0" w:color="auto"/>
            </w:tcBorders>
            <w:shd w:val="clear" w:color="000000" w:fill="C00000"/>
            <w:vAlign w:val="center"/>
            <w:hideMark/>
          </w:tcPr>
          <w:p w14:paraId="4A6536C0" w14:textId="77777777" w:rsidR="00EC0FF3" w:rsidRPr="00EC0FF3" w:rsidRDefault="00EC0FF3" w:rsidP="00EC0FF3">
            <w:pPr>
              <w:spacing w:after="0" w:line="240" w:lineRule="auto"/>
              <w:jc w:val="center"/>
              <w:rPr>
                <w:rFonts w:cs="Arial"/>
                <w:b/>
                <w:bCs/>
                <w:color w:val="FFFFFF"/>
                <w:sz w:val="16"/>
                <w:szCs w:val="16"/>
              </w:rPr>
            </w:pPr>
            <w:r w:rsidRPr="00EC0FF3">
              <w:rPr>
                <w:rFonts w:cs="Arial"/>
                <w:b/>
                <w:bCs/>
                <w:color w:val="FFFFFF"/>
                <w:sz w:val="16"/>
                <w:szCs w:val="16"/>
              </w:rPr>
              <w:t>Děti v těchto třídách</w:t>
            </w:r>
          </w:p>
        </w:tc>
      </w:tr>
      <w:tr w:rsidR="00E53E70" w:rsidRPr="00EC0FF3" w14:paraId="1614B447" w14:textId="77777777" w:rsidTr="006323A4">
        <w:trPr>
          <w:trHeight w:val="289"/>
        </w:trPr>
        <w:tc>
          <w:tcPr>
            <w:tcW w:w="1985" w:type="dxa"/>
            <w:vMerge/>
            <w:tcBorders>
              <w:top w:val="single" w:sz="4" w:space="0" w:color="auto"/>
              <w:left w:val="single" w:sz="4" w:space="0" w:color="auto"/>
              <w:bottom w:val="single" w:sz="4" w:space="0" w:color="auto"/>
              <w:right w:val="single" w:sz="4" w:space="0" w:color="auto"/>
            </w:tcBorders>
            <w:vAlign w:val="center"/>
            <w:hideMark/>
          </w:tcPr>
          <w:p w14:paraId="117F8F0F" w14:textId="77777777" w:rsidR="00EC0FF3" w:rsidRPr="00EC0FF3" w:rsidRDefault="00EC0FF3" w:rsidP="00EC0FF3">
            <w:pPr>
              <w:spacing w:after="0" w:line="240" w:lineRule="auto"/>
              <w:rPr>
                <w:rFonts w:cs="Arial"/>
                <w:b/>
                <w:bCs/>
                <w:color w:val="FFFFFF"/>
                <w:sz w:val="16"/>
                <w:szCs w:val="16"/>
              </w:rPr>
            </w:pPr>
          </w:p>
        </w:tc>
        <w:tc>
          <w:tcPr>
            <w:tcW w:w="2126" w:type="dxa"/>
            <w:gridSpan w:val="3"/>
            <w:vMerge/>
            <w:tcBorders>
              <w:top w:val="single" w:sz="4" w:space="0" w:color="auto"/>
              <w:left w:val="single" w:sz="4" w:space="0" w:color="auto"/>
              <w:bottom w:val="single" w:sz="4" w:space="0" w:color="auto"/>
              <w:right w:val="single" w:sz="4" w:space="0" w:color="auto"/>
            </w:tcBorders>
            <w:vAlign w:val="center"/>
            <w:hideMark/>
          </w:tcPr>
          <w:p w14:paraId="659FEDF1" w14:textId="77777777" w:rsidR="00EC0FF3" w:rsidRPr="00EC0FF3" w:rsidRDefault="00EC0FF3" w:rsidP="00EC0FF3">
            <w:pPr>
              <w:spacing w:after="0" w:line="240" w:lineRule="auto"/>
              <w:rPr>
                <w:rFonts w:cs="Arial"/>
                <w:b/>
                <w:bCs/>
                <w:color w:val="FFFFFF"/>
                <w:sz w:val="16"/>
                <w:szCs w:val="16"/>
              </w:rPr>
            </w:pPr>
          </w:p>
        </w:tc>
        <w:tc>
          <w:tcPr>
            <w:tcW w:w="2126" w:type="dxa"/>
            <w:gridSpan w:val="3"/>
            <w:vMerge/>
            <w:tcBorders>
              <w:top w:val="single" w:sz="4" w:space="0" w:color="auto"/>
              <w:left w:val="single" w:sz="4" w:space="0" w:color="auto"/>
              <w:bottom w:val="single" w:sz="4" w:space="0" w:color="auto"/>
              <w:right w:val="single" w:sz="4" w:space="0" w:color="auto"/>
            </w:tcBorders>
            <w:vAlign w:val="center"/>
            <w:hideMark/>
          </w:tcPr>
          <w:p w14:paraId="437818EF" w14:textId="77777777" w:rsidR="00EC0FF3" w:rsidRPr="00EC0FF3" w:rsidRDefault="00EC0FF3" w:rsidP="00EC0FF3">
            <w:pPr>
              <w:spacing w:after="0" w:line="240" w:lineRule="auto"/>
              <w:rPr>
                <w:rFonts w:cs="Arial"/>
                <w:b/>
                <w:bCs/>
                <w:color w:val="FFFFFF"/>
                <w:sz w:val="16"/>
                <w:szCs w:val="16"/>
              </w:rPr>
            </w:pPr>
          </w:p>
        </w:tc>
        <w:tc>
          <w:tcPr>
            <w:tcW w:w="1560" w:type="dxa"/>
            <w:gridSpan w:val="2"/>
            <w:tcBorders>
              <w:top w:val="single" w:sz="4" w:space="0" w:color="auto"/>
              <w:left w:val="nil"/>
              <w:bottom w:val="single" w:sz="4" w:space="0" w:color="auto"/>
              <w:right w:val="single" w:sz="4" w:space="0" w:color="auto"/>
            </w:tcBorders>
            <w:shd w:val="clear" w:color="000000" w:fill="C00000"/>
            <w:vAlign w:val="center"/>
            <w:hideMark/>
          </w:tcPr>
          <w:p w14:paraId="71614F41" w14:textId="77777777" w:rsidR="00EC0FF3" w:rsidRPr="00EC0FF3" w:rsidRDefault="00EC0FF3" w:rsidP="00EC0FF3">
            <w:pPr>
              <w:spacing w:after="0" w:line="240" w:lineRule="auto"/>
              <w:jc w:val="center"/>
              <w:rPr>
                <w:rFonts w:cs="Arial"/>
                <w:b/>
                <w:bCs/>
                <w:color w:val="FFFFFF"/>
                <w:sz w:val="16"/>
                <w:szCs w:val="16"/>
              </w:rPr>
            </w:pPr>
            <w:r w:rsidRPr="00EC0FF3">
              <w:rPr>
                <w:rFonts w:cs="Arial"/>
                <w:b/>
                <w:bCs/>
                <w:color w:val="FFFFFF"/>
                <w:sz w:val="16"/>
                <w:szCs w:val="16"/>
              </w:rPr>
              <w:t>celkem</w:t>
            </w:r>
          </w:p>
        </w:tc>
        <w:tc>
          <w:tcPr>
            <w:tcW w:w="850" w:type="dxa"/>
            <w:tcBorders>
              <w:top w:val="nil"/>
              <w:left w:val="nil"/>
              <w:bottom w:val="single" w:sz="4" w:space="0" w:color="auto"/>
              <w:right w:val="single" w:sz="4" w:space="0" w:color="auto"/>
            </w:tcBorders>
            <w:shd w:val="clear" w:color="000000" w:fill="C00000"/>
            <w:vAlign w:val="center"/>
            <w:hideMark/>
          </w:tcPr>
          <w:p w14:paraId="3D2A66ED" w14:textId="77777777" w:rsidR="00EC0FF3" w:rsidRPr="00EC0FF3" w:rsidRDefault="00EC0FF3" w:rsidP="00EC0FF3">
            <w:pPr>
              <w:spacing w:after="0" w:line="240" w:lineRule="auto"/>
              <w:jc w:val="center"/>
              <w:rPr>
                <w:rFonts w:cs="Arial"/>
                <w:b/>
                <w:bCs/>
                <w:color w:val="FFFFFF"/>
                <w:sz w:val="16"/>
                <w:szCs w:val="16"/>
              </w:rPr>
            </w:pPr>
            <w:r w:rsidRPr="00EC0FF3">
              <w:rPr>
                <w:rFonts w:cs="Arial"/>
                <w:b/>
                <w:bCs/>
                <w:color w:val="FFFFFF"/>
                <w:sz w:val="16"/>
                <w:szCs w:val="16"/>
              </w:rPr>
              <w:t>dívky</w:t>
            </w:r>
          </w:p>
        </w:tc>
        <w:tc>
          <w:tcPr>
            <w:tcW w:w="851" w:type="dxa"/>
            <w:tcBorders>
              <w:top w:val="nil"/>
              <w:left w:val="nil"/>
              <w:bottom w:val="single" w:sz="4" w:space="0" w:color="auto"/>
              <w:right w:val="single" w:sz="4" w:space="0" w:color="auto"/>
            </w:tcBorders>
            <w:shd w:val="clear" w:color="000000" w:fill="C00000"/>
            <w:vAlign w:val="center"/>
            <w:hideMark/>
          </w:tcPr>
          <w:p w14:paraId="1EBB64BF" w14:textId="77777777" w:rsidR="00EC0FF3" w:rsidRPr="00EC0FF3" w:rsidRDefault="00EC0FF3" w:rsidP="00EC0FF3">
            <w:pPr>
              <w:spacing w:after="0" w:line="240" w:lineRule="auto"/>
              <w:jc w:val="center"/>
              <w:rPr>
                <w:rFonts w:cs="Arial"/>
                <w:b/>
                <w:bCs/>
                <w:color w:val="FFFFFF"/>
                <w:sz w:val="16"/>
                <w:szCs w:val="16"/>
              </w:rPr>
            </w:pPr>
            <w:r w:rsidRPr="00EC0FF3">
              <w:rPr>
                <w:rFonts w:cs="Arial"/>
                <w:b/>
                <w:bCs/>
                <w:color w:val="FFFFFF"/>
                <w:sz w:val="16"/>
                <w:szCs w:val="16"/>
              </w:rPr>
              <w:t>chlapci</w:t>
            </w:r>
          </w:p>
        </w:tc>
      </w:tr>
      <w:tr w:rsidR="006323A4" w:rsidRPr="00EC0FF3" w14:paraId="00CFF58E" w14:textId="77777777" w:rsidTr="006323A4">
        <w:trPr>
          <w:trHeight w:val="289"/>
        </w:trPr>
        <w:tc>
          <w:tcPr>
            <w:tcW w:w="1985" w:type="dxa"/>
            <w:vMerge/>
            <w:tcBorders>
              <w:top w:val="single" w:sz="4" w:space="0" w:color="auto"/>
              <w:left w:val="single" w:sz="4" w:space="0" w:color="auto"/>
              <w:bottom w:val="single" w:sz="4" w:space="0" w:color="auto"/>
              <w:right w:val="single" w:sz="4" w:space="0" w:color="auto"/>
            </w:tcBorders>
            <w:vAlign w:val="center"/>
            <w:hideMark/>
          </w:tcPr>
          <w:p w14:paraId="3354C6CF" w14:textId="77777777" w:rsidR="00EC0FF3" w:rsidRPr="00EC0FF3" w:rsidRDefault="00EC0FF3" w:rsidP="00EC0FF3">
            <w:pPr>
              <w:spacing w:after="0" w:line="240" w:lineRule="auto"/>
              <w:rPr>
                <w:rFonts w:cs="Arial"/>
                <w:b/>
                <w:bCs/>
                <w:color w:val="FFFFFF"/>
                <w:sz w:val="16"/>
                <w:szCs w:val="16"/>
              </w:rPr>
            </w:pPr>
          </w:p>
        </w:tc>
        <w:tc>
          <w:tcPr>
            <w:tcW w:w="709" w:type="dxa"/>
            <w:tcBorders>
              <w:top w:val="nil"/>
              <w:left w:val="nil"/>
              <w:bottom w:val="single" w:sz="4" w:space="0" w:color="auto"/>
              <w:right w:val="single" w:sz="4" w:space="0" w:color="auto"/>
            </w:tcBorders>
            <w:shd w:val="clear" w:color="000000" w:fill="FABF8F"/>
            <w:noWrap/>
            <w:vAlign w:val="center"/>
            <w:hideMark/>
          </w:tcPr>
          <w:p w14:paraId="565BC3D2" w14:textId="77777777" w:rsidR="00EC0FF3" w:rsidRPr="00EC0FF3" w:rsidRDefault="00EC0FF3" w:rsidP="00EC0FF3">
            <w:pPr>
              <w:spacing w:after="0" w:line="240" w:lineRule="auto"/>
              <w:jc w:val="center"/>
              <w:rPr>
                <w:rFonts w:cs="Arial"/>
                <w:b/>
                <w:bCs/>
                <w:color w:val="000000"/>
                <w:sz w:val="16"/>
                <w:szCs w:val="16"/>
              </w:rPr>
            </w:pPr>
            <w:r w:rsidRPr="00EC0FF3">
              <w:rPr>
                <w:rFonts w:cs="Arial"/>
                <w:b/>
                <w:bCs/>
                <w:color w:val="000000"/>
                <w:sz w:val="16"/>
                <w:szCs w:val="16"/>
                <w:lang w:eastAsia="en-US"/>
              </w:rPr>
              <w:t>Abs.</w:t>
            </w:r>
          </w:p>
        </w:tc>
        <w:tc>
          <w:tcPr>
            <w:tcW w:w="708" w:type="dxa"/>
            <w:tcBorders>
              <w:top w:val="nil"/>
              <w:left w:val="nil"/>
              <w:bottom w:val="single" w:sz="4" w:space="0" w:color="auto"/>
              <w:right w:val="single" w:sz="4" w:space="0" w:color="auto"/>
            </w:tcBorders>
            <w:shd w:val="clear" w:color="000000" w:fill="FABF8F"/>
            <w:noWrap/>
            <w:vAlign w:val="center"/>
            <w:hideMark/>
          </w:tcPr>
          <w:p w14:paraId="19743A37" w14:textId="77777777" w:rsidR="00EC0FF3" w:rsidRPr="00EC0FF3" w:rsidRDefault="00EC0FF3" w:rsidP="00EC0FF3">
            <w:pPr>
              <w:spacing w:after="0" w:line="240" w:lineRule="auto"/>
              <w:jc w:val="center"/>
              <w:rPr>
                <w:rFonts w:cs="Arial"/>
                <w:b/>
                <w:bCs/>
                <w:color w:val="000000"/>
                <w:sz w:val="16"/>
                <w:szCs w:val="16"/>
              </w:rPr>
            </w:pPr>
            <w:r w:rsidRPr="00EC0FF3">
              <w:rPr>
                <w:rFonts w:cs="Arial"/>
                <w:b/>
                <w:bCs/>
                <w:color w:val="000000"/>
                <w:sz w:val="16"/>
                <w:szCs w:val="16"/>
                <w:lang w:eastAsia="en-US"/>
              </w:rPr>
              <w:t>%</w:t>
            </w:r>
          </w:p>
        </w:tc>
        <w:tc>
          <w:tcPr>
            <w:tcW w:w="709" w:type="dxa"/>
            <w:tcBorders>
              <w:top w:val="nil"/>
              <w:left w:val="nil"/>
              <w:bottom w:val="single" w:sz="4" w:space="0" w:color="auto"/>
              <w:right w:val="single" w:sz="4" w:space="0" w:color="auto"/>
            </w:tcBorders>
            <w:shd w:val="clear" w:color="000000" w:fill="FABF8F"/>
            <w:noWrap/>
            <w:vAlign w:val="center"/>
            <w:hideMark/>
          </w:tcPr>
          <w:p w14:paraId="1AEA0B2D" w14:textId="77777777" w:rsidR="00EC0FF3" w:rsidRPr="00EC0FF3" w:rsidRDefault="00EC0FF3" w:rsidP="00EC0FF3">
            <w:pPr>
              <w:spacing w:after="0" w:line="240" w:lineRule="auto"/>
              <w:jc w:val="center"/>
              <w:rPr>
                <w:rFonts w:cs="Arial"/>
                <w:b/>
                <w:bCs/>
                <w:color w:val="000000"/>
                <w:sz w:val="16"/>
                <w:szCs w:val="16"/>
              </w:rPr>
            </w:pPr>
            <w:r w:rsidRPr="00EC0FF3">
              <w:rPr>
                <w:rFonts w:cs="Arial"/>
                <w:b/>
                <w:bCs/>
                <w:color w:val="000000"/>
                <w:sz w:val="16"/>
                <w:szCs w:val="16"/>
                <w:lang w:eastAsia="en-US"/>
              </w:rPr>
              <w:t>%</w:t>
            </w:r>
            <w:r w:rsidRPr="00EC0FF3">
              <w:rPr>
                <w:rFonts w:cs="Arial"/>
                <w:b/>
                <w:bCs/>
                <w:color w:val="000000"/>
                <w:sz w:val="16"/>
                <w:szCs w:val="16"/>
                <w:vertAlign w:val="superscript"/>
                <w:lang w:eastAsia="en-US"/>
              </w:rPr>
              <w:t>1)</w:t>
            </w:r>
          </w:p>
        </w:tc>
        <w:tc>
          <w:tcPr>
            <w:tcW w:w="709" w:type="dxa"/>
            <w:tcBorders>
              <w:top w:val="nil"/>
              <w:left w:val="nil"/>
              <w:bottom w:val="single" w:sz="4" w:space="0" w:color="auto"/>
              <w:right w:val="single" w:sz="4" w:space="0" w:color="auto"/>
            </w:tcBorders>
            <w:shd w:val="clear" w:color="000000" w:fill="FABF8F"/>
            <w:noWrap/>
            <w:vAlign w:val="center"/>
            <w:hideMark/>
          </w:tcPr>
          <w:p w14:paraId="1FBB83DC" w14:textId="77777777" w:rsidR="00EC0FF3" w:rsidRPr="00EC0FF3" w:rsidRDefault="00EC0FF3" w:rsidP="00EC0FF3">
            <w:pPr>
              <w:spacing w:after="0" w:line="240" w:lineRule="auto"/>
              <w:jc w:val="center"/>
              <w:rPr>
                <w:rFonts w:cs="Arial"/>
                <w:b/>
                <w:bCs/>
                <w:color w:val="000000"/>
                <w:sz w:val="16"/>
                <w:szCs w:val="16"/>
              </w:rPr>
            </w:pPr>
            <w:r w:rsidRPr="00EC0FF3">
              <w:rPr>
                <w:rFonts w:cs="Arial"/>
                <w:b/>
                <w:bCs/>
                <w:color w:val="000000"/>
                <w:sz w:val="16"/>
                <w:szCs w:val="16"/>
                <w:lang w:eastAsia="en-US"/>
              </w:rPr>
              <w:t>Abs.</w:t>
            </w:r>
          </w:p>
        </w:tc>
        <w:tc>
          <w:tcPr>
            <w:tcW w:w="709" w:type="dxa"/>
            <w:tcBorders>
              <w:top w:val="nil"/>
              <w:left w:val="nil"/>
              <w:bottom w:val="single" w:sz="4" w:space="0" w:color="auto"/>
              <w:right w:val="single" w:sz="4" w:space="0" w:color="auto"/>
            </w:tcBorders>
            <w:shd w:val="clear" w:color="000000" w:fill="FABF8F"/>
            <w:noWrap/>
            <w:vAlign w:val="center"/>
            <w:hideMark/>
          </w:tcPr>
          <w:p w14:paraId="77BE3F79" w14:textId="77777777" w:rsidR="00EC0FF3" w:rsidRPr="00EC0FF3" w:rsidRDefault="00EC0FF3" w:rsidP="00EC0FF3">
            <w:pPr>
              <w:spacing w:after="0" w:line="240" w:lineRule="auto"/>
              <w:jc w:val="center"/>
              <w:rPr>
                <w:rFonts w:cs="Arial"/>
                <w:b/>
                <w:bCs/>
                <w:color w:val="000000"/>
                <w:sz w:val="16"/>
                <w:szCs w:val="16"/>
              </w:rPr>
            </w:pPr>
            <w:r w:rsidRPr="00EC0FF3">
              <w:rPr>
                <w:rFonts w:cs="Arial"/>
                <w:b/>
                <w:bCs/>
                <w:color w:val="000000"/>
                <w:sz w:val="16"/>
                <w:szCs w:val="16"/>
                <w:lang w:eastAsia="en-US"/>
              </w:rPr>
              <w:t>%</w:t>
            </w:r>
          </w:p>
        </w:tc>
        <w:tc>
          <w:tcPr>
            <w:tcW w:w="708" w:type="dxa"/>
            <w:tcBorders>
              <w:top w:val="nil"/>
              <w:left w:val="nil"/>
              <w:bottom w:val="single" w:sz="4" w:space="0" w:color="auto"/>
              <w:right w:val="single" w:sz="4" w:space="0" w:color="auto"/>
            </w:tcBorders>
            <w:shd w:val="clear" w:color="000000" w:fill="FABF8F"/>
            <w:noWrap/>
            <w:vAlign w:val="center"/>
            <w:hideMark/>
          </w:tcPr>
          <w:p w14:paraId="5895F9C5" w14:textId="77777777" w:rsidR="00EC0FF3" w:rsidRPr="00EC0FF3" w:rsidRDefault="00EC0FF3" w:rsidP="00EC0FF3">
            <w:pPr>
              <w:spacing w:after="0" w:line="240" w:lineRule="auto"/>
              <w:jc w:val="center"/>
              <w:rPr>
                <w:rFonts w:cs="Arial"/>
                <w:b/>
                <w:bCs/>
                <w:color w:val="000000"/>
                <w:sz w:val="16"/>
                <w:szCs w:val="16"/>
              </w:rPr>
            </w:pPr>
            <w:r w:rsidRPr="00EC0FF3">
              <w:rPr>
                <w:rFonts w:cs="Arial"/>
                <w:b/>
                <w:bCs/>
                <w:color w:val="000000"/>
                <w:sz w:val="16"/>
                <w:szCs w:val="16"/>
                <w:lang w:eastAsia="en-US"/>
              </w:rPr>
              <w:t>%</w:t>
            </w:r>
            <w:r w:rsidRPr="00EC0FF3">
              <w:rPr>
                <w:rFonts w:cs="Arial"/>
                <w:b/>
                <w:bCs/>
                <w:color w:val="000000"/>
                <w:sz w:val="16"/>
                <w:szCs w:val="16"/>
                <w:vertAlign w:val="superscript"/>
                <w:lang w:eastAsia="en-US"/>
              </w:rPr>
              <w:t>2)</w:t>
            </w:r>
          </w:p>
        </w:tc>
        <w:tc>
          <w:tcPr>
            <w:tcW w:w="851" w:type="dxa"/>
            <w:tcBorders>
              <w:top w:val="nil"/>
              <w:left w:val="nil"/>
              <w:bottom w:val="single" w:sz="4" w:space="0" w:color="auto"/>
              <w:right w:val="single" w:sz="4" w:space="0" w:color="auto"/>
            </w:tcBorders>
            <w:shd w:val="clear" w:color="000000" w:fill="FABF8F"/>
            <w:noWrap/>
            <w:vAlign w:val="center"/>
            <w:hideMark/>
          </w:tcPr>
          <w:p w14:paraId="0C9BDB4D" w14:textId="77777777" w:rsidR="00EC0FF3" w:rsidRPr="00EC0FF3" w:rsidRDefault="00EC0FF3" w:rsidP="00EC0FF3">
            <w:pPr>
              <w:spacing w:after="0" w:line="240" w:lineRule="auto"/>
              <w:jc w:val="center"/>
              <w:rPr>
                <w:rFonts w:cs="Arial"/>
                <w:b/>
                <w:bCs/>
                <w:color w:val="000000"/>
                <w:sz w:val="16"/>
                <w:szCs w:val="16"/>
              </w:rPr>
            </w:pPr>
            <w:r w:rsidRPr="00EC0FF3">
              <w:rPr>
                <w:rFonts w:cs="Arial"/>
                <w:b/>
                <w:bCs/>
                <w:color w:val="000000"/>
                <w:sz w:val="16"/>
                <w:szCs w:val="16"/>
                <w:lang w:eastAsia="en-US"/>
              </w:rPr>
              <w:t>Abs.</w:t>
            </w:r>
          </w:p>
        </w:tc>
        <w:tc>
          <w:tcPr>
            <w:tcW w:w="709" w:type="dxa"/>
            <w:tcBorders>
              <w:top w:val="nil"/>
              <w:left w:val="nil"/>
              <w:bottom w:val="single" w:sz="4" w:space="0" w:color="auto"/>
              <w:right w:val="single" w:sz="4" w:space="0" w:color="auto"/>
            </w:tcBorders>
            <w:shd w:val="clear" w:color="000000" w:fill="FABF8F"/>
            <w:noWrap/>
            <w:vAlign w:val="center"/>
            <w:hideMark/>
          </w:tcPr>
          <w:p w14:paraId="5238DF8E" w14:textId="77777777" w:rsidR="00EC0FF3" w:rsidRPr="00EC0FF3" w:rsidRDefault="00EC0FF3" w:rsidP="00EC0FF3">
            <w:pPr>
              <w:spacing w:after="0" w:line="240" w:lineRule="auto"/>
              <w:jc w:val="center"/>
              <w:rPr>
                <w:rFonts w:cs="Arial"/>
                <w:b/>
                <w:bCs/>
                <w:color w:val="000000"/>
                <w:sz w:val="16"/>
                <w:szCs w:val="16"/>
              </w:rPr>
            </w:pPr>
            <w:r w:rsidRPr="00EC0FF3">
              <w:rPr>
                <w:rFonts w:cs="Arial"/>
                <w:b/>
                <w:bCs/>
                <w:color w:val="000000"/>
                <w:sz w:val="16"/>
                <w:szCs w:val="16"/>
                <w:lang w:eastAsia="en-US"/>
              </w:rPr>
              <w:t>%</w:t>
            </w:r>
          </w:p>
        </w:tc>
        <w:tc>
          <w:tcPr>
            <w:tcW w:w="850" w:type="dxa"/>
            <w:tcBorders>
              <w:top w:val="nil"/>
              <w:left w:val="nil"/>
              <w:bottom w:val="single" w:sz="4" w:space="0" w:color="auto"/>
              <w:right w:val="single" w:sz="4" w:space="0" w:color="auto"/>
            </w:tcBorders>
            <w:shd w:val="clear" w:color="000000" w:fill="FABF8F"/>
            <w:noWrap/>
            <w:vAlign w:val="center"/>
            <w:hideMark/>
          </w:tcPr>
          <w:p w14:paraId="6AE52878" w14:textId="77777777" w:rsidR="00EC0FF3" w:rsidRPr="00EC0FF3" w:rsidRDefault="00EC0FF3" w:rsidP="00EC0FF3">
            <w:pPr>
              <w:spacing w:after="0" w:line="240" w:lineRule="auto"/>
              <w:jc w:val="center"/>
              <w:rPr>
                <w:rFonts w:cs="Arial"/>
                <w:b/>
                <w:bCs/>
                <w:color w:val="000000"/>
                <w:sz w:val="16"/>
                <w:szCs w:val="16"/>
              </w:rPr>
            </w:pPr>
            <w:r w:rsidRPr="00EC0FF3">
              <w:rPr>
                <w:rFonts w:cs="Arial"/>
                <w:b/>
                <w:bCs/>
                <w:color w:val="000000"/>
                <w:sz w:val="16"/>
                <w:szCs w:val="16"/>
                <w:lang w:eastAsia="en-US"/>
              </w:rPr>
              <w:t>Abs.</w:t>
            </w:r>
          </w:p>
        </w:tc>
        <w:tc>
          <w:tcPr>
            <w:tcW w:w="851" w:type="dxa"/>
            <w:tcBorders>
              <w:top w:val="nil"/>
              <w:left w:val="nil"/>
              <w:bottom w:val="single" w:sz="4" w:space="0" w:color="auto"/>
              <w:right w:val="single" w:sz="4" w:space="0" w:color="auto"/>
            </w:tcBorders>
            <w:shd w:val="clear" w:color="000000" w:fill="FABF8F"/>
            <w:noWrap/>
            <w:vAlign w:val="center"/>
            <w:hideMark/>
          </w:tcPr>
          <w:p w14:paraId="744E7448" w14:textId="04FD6D81" w:rsidR="00EC0FF3" w:rsidRPr="00EC0FF3" w:rsidRDefault="00EC0FF3" w:rsidP="00EC0FF3">
            <w:pPr>
              <w:spacing w:after="0" w:line="240" w:lineRule="auto"/>
              <w:jc w:val="center"/>
              <w:rPr>
                <w:rFonts w:cs="Arial"/>
                <w:b/>
                <w:bCs/>
                <w:color w:val="000000"/>
                <w:sz w:val="16"/>
                <w:szCs w:val="16"/>
              </w:rPr>
            </w:pPr>
            <w:r w:rsidRPr="00EC0FF3">
              <w:rPr>
                <w:rFonts w:cs="Arial"/>
                <w:b/>
                <w:bCs/>
                <w:color w:val="000000"/>
                <w:sz w:val="16"/>
                <w:szCs w:val="16"/>
                <w:lang w:eastAsia="en-US"/>
              </w:rPr>
              <w:t>Abs</w:t>
            </w:r>
            <w:r w:rsidR="00E53E70">
              <w:rPr>
                <w:rFonts w:cs="Arial"/>
                <w:b/>
                <w:bCs/>
                <w:color w:val="000000"/>
                <w:sz w:val="16"/>
                <w:szCs w:val="16"/>
                <w:lang w:eastAsia="en-US"/>
              </w:rPr>
              <w:t>.</w:t>
            </w:r>
          </w:p>
        </w:tc>
      </w:tr>
      <w:tr w:rsidR="00E53E70" w:rsidRPr="00EC0FF3" w14:paraId="74C74ACC" w14:textId="77777777" w:rsidTr="006323A4">
        <w:trPr>
          <w:trHeight w:val="289"/>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450C04C1" w14:textId="77777777" w:rsidR="00EC0FF3" w:rsidRPr="00EC0FF3" w:rsidRDefault="00EC0FF3" w:rsidP="00EC0FF3">
            <w:pPr>
              <w:spacing w:after="0" w:line="240" w:lineRule="auto"/>
              <w:rPr>
                <w:rFonts w:cs="Arial"/>
                <w:b/>
                <w:bCs/>
                <w:color w:val="000000"/>
                <w:sz w:val="16"/>
                <w:szCs w:val="16"/>
              </w:rPr>
            </w:pPr>
            <w:r w:rsidRPr="00EC0FF3">
              <w:rPr>
                <w:rFonts w:cs="Arial"/>
                <w:b/>
                <w:bCs/>
                <w:color w:val="000000"/>
                <w:sz w:val="16"/>
                <w:szCs w:val="16"/>
                <w:lang w:eastAsia="en-US"/>
              </w:rPr>
              <w:t>Česká republika</w:t>
            </w:r>
          </w:p>
        </w:tc>
        <w:tc>
          <w:tcPr>
            <w:tcW w:w="709" w:type="dxa"/>
            <w:tcBorders>
              <w:top w:val="nil"/>
              <w:left w:val="nil"/>
              <w:bottom w:val="single" w:sz="4" w:space="0" w:color="auto"/>
              <w:right w:val="single" w:sz="4" w:space="0" w:color="auto"/>
            </w:tcBorders>
            <w:shd w:val="clear" w:color="auto" w:fill="auto"/>
            <w:noWrap/>
            <w:vAlign w:val="center"/>
            <w:hideMark/>
          </w:tcPr>
          <w:p w14:paraId="791F347B" w14:textId="77777777" w:rsidR="00EC0FF3" w:rsidRPr="00EC0FF3" w:rsidRDefault="00EC0FF3" w:rsidP="00EC0FF3">
            <w:pPr>
              <w:spacing w:after="0" w:line="240" w:lineRule="auto"/>
              <w:jc w:val="right"/>
              <w:rPr>
                <w:rFonts w:cs="Arial"/>
                <w:b/>
                <w:bCs/>
                <w:color w:val="000000"/>
                <w:sz w:val="16"/>
                <w:szCs w:val="16"/>
              </w:rPr>
            </w:pPr>
            <w:r w:rsidRPr="00EC0FF3">
              <w:rPr>
                <w:rFonts w:cs="Arial"/>
                <w:b/>
                <w:bCs/>
                <w:color w:val="000000"/>
                <w:sz w:val="16"/>
                <w:szCs w:val="16"/>
              </w:rPr>
              <w:t>362</w:t>
            </w:r>
          </w:p>
        </w:tc>
        <w:tc>
          <w:tcPr>
            <w:tcW w:w="708" w:type="dxa"/>
            <w:tcBorders>
              <w:top w:val="nil"/>
              <w:left w:val="nil"/>
              <w:bottom w:val="single" w:sz="4" w:space="0" w:color="auto"/>
              <w:right w:val="single" w:sz="4" w:space="0" w:color="auto"/>
            </w:tcBorders>
            <w:shd w:val="clear" w:color="auto" w:fill="auto"/>
            <w:noWrap/>
            <w:vAlign w:val="center"/>
            <w:hideMark/>
          </w:tcPr>
          <w:p w14:paraId="3D2D4C38" w14:textId="77777777" w:rsidR="00EC0FF3" w:rsidRPr="00EC0FF3" w:rsidRDefault="00EC0FF3" w:rsidP="00EC0FF3">
            <w:pPr>
              <w:spacing w:after="0" w:line="240" w:lineRule="auto"/>
              <w:jc w:val="right"/>
              <w:rPr>
                <w:rFonts w:cs="Arial"/>
                <w:b/>
                <w:bCs/>
                <w:color w:val="000000"/>
                <w:sz w:val="16"/>
                <w:szCs w:val="16"/>
              </w:rPr>
            </w:pPr>
            <w:r w:rsidRPr="00EC0FF3">
              <w:rPr>
                <w:rFonts w:cs="Arial"/>
                <w:b/>
                <w:bCs/>
                <w:color w:val="000000"/>
                <w:sz w:val="16"/>
                <w:szCs w:val="16"/>
              </w:rPr>
              <w:t>100</w:t>
            </w:r>
          </w:p>
        </w:tc>
        <w:tc>
          <w:tcPr>
            <w:tcW w:w="709" w:type="dxa"/>
            <w:tcBorders>
              <w:top w:val="nil"/>
              <w:left w:val="nil"/>
              <w:bottom w:val="single" w:sz="4" w:space="0" w:color="auto"/>
              <w:right w:val="single" w:sz="4" w:space="0" w:color="auto"/>
            </w:tcBorders>
            <w:shd w:val="clear" w:color="auto" w:fill="auto"/>
            <w:noWrap/>
            <w:vAlign w:val="center"/>
            <w:hideMark/>
          </w:tcPr>
          <w:p w14:paraId="0DD1CBCD" w14:textId="77777777" w:rsidR="00EC0FF3" w:rsidRPr="00EC0FF3" w:rsidRDefault="00EC0FF3" w:rsidP="00EC0FF3">
            <w:pPr>
              <w:spacing w:after="0" w:line="240" w:lineRule="auto"/>
              <w:jc w:val="right"/>
              <w:rPr>
                <w:rFonts w:cs="Arial"/>
                <w:b/>
                <w:bCs/>
                <w:color w:val="000000"/>
                <w:sz w:val="16"/>
                <w:szCs w:val="16"/>
              </w:rPr>
            </w:pPr>
            <w:r w:rsidRPr="00EC0FF3">
              <w:rPr>
                <w:rFonts w:cs="Arial"/>
                <w:b/>
                <w:bCs/>
                <w:color w:val="000000"/>
                <w:sz w:val="16"/>
                <w:szCs w:val="16"/>
              </w:rPr>
              <w:t>9,2</w:t>
            </w:r>
          </w:p>
        </w:tc>
        <w:tc>
          <w:tcPr>
            <w:tcW w:w="709" w:type="dxa"/>
            <w:tcBorders>
              <w:top w:val="nil"/>
              <w:left w:val="nil"/>
              <w:bottom w:val="single" w:sz="4" w:space="0" w:color="auto"/>
              <w:right w:val="single" w:sz="4" w:space="0" w:color="auto"/>
            </w:tcBorders>
            <w:shd w:val="clear" w:color="auto" w:fill="auto"/>
            <w:noWrap/>
            <w:vAlign w:val="center"/>
            <w:hideMark/>
          </w:tcPr>
          <w:p w14:paraId="44842794" w14:textId="77777777" w:rsidR="00EC0FF3" w:rsidRPr="00EC0FF3" w:rsidRDefault="00EC0FF3" w:rsidP="00EC0FF3">
            <w:pPr>
              <w:spacing w:after="0" w:line="240" w:lineRule="auto"/>
              <w:jc w:val="right"/>
              <w:rPr>
                <w:rFonts w:cs="Arial"/>
                <w:b/>
                <w:bCs/>
                <w:color w:val="000000"/>
                <w:sz w:val="16"/>
                <w:szCs w:val="16"/>
              </w:rPr>
            </w:pPr>
            <w:r w:rsidRPr="00EC0FF3">
              <w:rPr>
                <w:rFonts w:cs="Arial"/>
                <w:b/>
                <w:bCs/>
                <w:color w:val="000000"/>
                <w:sz w:val="16"/>
                <w:szCs w:val="16"/>
              </w:rPr>
              <w:t>417</w:t>
            </w:r>
          </w:p>
        </w:tc>
        <w:tc>
          <w:tcPr>
            <w:tcW w:w="709" w:type="dxa"/>
            <w:tcBorders>
              <w:top w:val="nil"/>
              <w:left w:val="nil"/>
              <w:bottom w:val="single" w:sz="4" w:space="0" w:color="auto"/>
              <w:right w:val="single" w:sz="4" w:space="0" w:color="auto"/>
            </w:tcBorders>
            <w:shd w:val="clear" w:color="auto" w:fill="auto"/>
            <w:noWrap/>
            <w:vAlign w:val="center"/>
            <w:hideMark/>
          </w:tcPr>
          <w:p w14:paraId="1CEF23C5" w14:textId="77777777" w:rsidR="00EC0FF3" w:rsidRPr="00EC0FF3" w:rsidRDefault="00EC0FF3" w:rsidP="00EC0FF3">
            <w:pPr>
              <w:spacing w:after="0" w:line="240" w:lineRule="auto"/>
              <w:jc w:val="right"/>
              <w:rPr>
                <w:rFonts w:cs="Arial"/>
                <w:b/>
                <w:bCs/>
                <w:color w:val="000000"/>
                <w:sz w:val="16"/>
                <w:szCs w:val="16"/>
              </w:rPr>
            </w:pPr>
            <w:r w:rsidRPr="00EC0FF3">
              <w:rPr>
                <w:rFonts w:cs="Arial"/>
                <w:b/>
                <w:bCs/>
                <w:color w:val="000000"/>
                <w:sz w:val="16"/>
                <w:szCs w:val="16"/>
              </w:rPr>
              <w:t>100</w:t>
            </w:r>
          </w:p>
        </w:tc>
        <w:tc>
          <w:tcPr>
            <w:tcW w:w="708" w:type="dxa"/>
            <w:tcBorders>
              <w:top w:val="nil"/>
              <w:left w:val="nil"/>
              <w:bottom w:val="single" w:sz="4" w:space="0" w:color="auto"/>
              <w:right w:val="single" w:sz="4" w:space="0" w:color="auto"/>
            </w:tcBorders>
            <w:shd w:val="clear" w:color="auto" w:fill="auto"/>
            <w:noWrap/>
            <w:vAlign w:val="center"/>
            <w:hideMark/>
          </w:tcPr>
          <w:p w14:paraId="1D3C0F97" w14:textId="77777777" w:rsidR="00EC0FF3" w:rsidRPr="00EC0FF3" w:rsidRDefault="00EC0FF3" w:rsidP="00EC0FF3">
            <w:pPr>
              <w:spacing w:after="0" w:line="240" w:lineRule="auto"/>
              <w:jc w:val="right"/>
              <w:rPr>
                <w:rFonts w:cs="Arial"/>
                <w:b/>
                <w:bCs/>
                <w:color w:val="000000"/>
                <w:sz w:val="16"/>
                <w:szCs w:val="16"/>
              </w:rPr>
            </w:pPr>
            <w:r w:rsidRPr="00EC0FF3">
              <w:rPr>
                <w:rFonts w:cs="Arial"/>
                <w:b/>
                <w:bCs/>
                <w:color w:val="000000"/>
                <w:sz w:val="16"/>
                <w:szCs w:val="16"/>
              </w:rPr>
              <w:t>0,9</w:t>
            </w:r>
          </w:p>
        </w:tc>
        <w:tc>
          <w:tcPr>
            <w:tcW w:w="851" w:type="dxa"/>
            <w:tcBorders>
              <w:top w:val="nil"/>
              <w:left w:val="nil"/>
              <w:bottom w:val="single" w:sz="4" w:space="0" w:color="auto"/>
              <w:right w:val="single" w:sz="4" w:space="0" w:color="auto"/>
            </w:tcBorders>
            <w:shd w:val="clear" w:color="auto" w:fill="auto"/>
            <w:noWrap/>
            <w:vAlign w:val="center"/>
            <w:hideMark/>
          </w:tcPr>
          <w:p w14:paraId="242ED139" w14:textId="77777777" w:rsidR="00EC0FF3" w:rsidRPr="00EC0FF3" w:rsidRDefault="00EC0FF3" w:rsidP="00EC0FF3">
            <w:pPr>
              <w:spacing w:after="0" w:line="240" w:lineRule="auto"/>
              <w:jc w:val="right"/>
              <w:rPr>
                <w:rFonts w:cs="Arial"/>
                <w:b/>
                <w:bCs/>
                <w:color w:val="000000"/>
                <w:sz w:val="16"/>
                <w:szCs w:val="16"/>
              </w:rPr>
            </w:pPr>
            <w:r w:rsidRPr="00EC0FF3">
              <w:rPr>
                <w:rFonts w:cs="Arial"/>
                <w:b/>
                <w:bCs/>
                <w:color w:val="000000"/>
                <w:sz w:val="16"/>
                <w:szCs w:val="16"/>
              </w:rPr>
              <w:t>5 282</w:t>
            </w:r>
          </w:p>
        </w:tc>
        <w:tc>
          <w:tcPr>
            <w:tcW w:w="709" w:type="dxa"/>
            <w:tcBorders>
              <w:top w:val="nil"/>
              <w:left w:val="nil"/>
              <w:bottom w:val="single" w:sz="4" w:space="0" w:color="auto"/>
              <w:right w:val="single" w:sz="4" w:space="0" w:color="auto"/>
            </w:tcBorders>
            <w:shd w:val="clear" w:color="auto" w:fill="auto"/>
            <w:noWrap/>
            <w:vAlign w:val="center"/>
            <w:hideMark/>
          </w:tcPr>
          <w:p w14:paraId="331D487B" w14:textId="77777777" w:rsidR="00EC0FF3" w:rsidRPr="00EC0FF3" w:rsidRDefault="00EC0FF3" w:rsidP="00EC0FF3">
            <w:pPr>
              <w:spacing w:after="0" w:line="240" w:lineRule="auto"/>
              <w:jc w:val="right"/>
              <w:rPr>
                <w:rFonts w:cs="Arial"/>
                <w:b/>
                <w:bCs/>
                <w:color w:val="000000"/>
                <w:sz w:val="16"/>
                <w:szCs w:val="16"/>
              </w:rPr>
            </w:pPr>
            <w:r w:rsidRPr="00EC0FF3">
              <w:rPr>
                <w:rFonts w:cs="Arial"/>
                <w:b/>
                <w:bCs/>
                <w:color w:val="000000"/>
                <w:sz w:val="16"/>
                <w:szCs w:val="16"/>
              </w:rPr>
              <w:t>100</w:t>
            </w:r>
          </w:p>
        </w:tc>
        <w:tc>
          <w:tcPr>
            <w:tcW w:w="850" w:type="dxa"/>
            <w:tcBorders>
              <w:top w:val="nil"/>
              <w:left w:val="nil"/>
              <w:bottom w:val="single" w:sz="4" w:space="0" w:color="auto"/>
              <w:right w:val="single" w:sz="4" w:space="0" w:color="auto"/>
            </w:tcBorders>
            <w:shd w:val="clear" w:color="auto" w:fill="auto"/>
            <w:noWrap/>
            <w:vAlign w:val="center"/>
            <w:hideMark/>
          </w:tcPr>
          <w:p w14:paraId="0572692F" w14:textId="77777777" w:rsidR="00EC0FF3" w:rsidRPr="00EC0FF3" w:rsidRDefault="00EC0FF3" w:rsidP="00EC0FF3">
            <w:pPr>
              <w:spacing w:after="0" w:line="240" w:lineRule="auto"/>
              <w:jc w:val="right"/>
              <w:rPr>
                <w:rFonts w:cs="Arial"/>
                <w:b/>
                <w:bCs/>
                <w:color w:val="000000"/>
                <w:sz w:val="16"/>
                <w:szCs w:val="16"/>
              </w:rPr>
            </w:pPr>
            <w:r w:rsidRPr="00EC0FF3">
              <w:rPr>
                <w:rFonts w:cs="Arial"/>
                <w:b/>
                <w:bCs/>
                <w:color w:val="000000"/>
                <w:sz w:val="16"/>
                <w:szCs w:val="16"/>
              </w:rPr>
              <w:t>1 986</w:t>
            </w:r>
          </w:p>
        </w:tc>
        <w:tc>
          <w:tcPr>
            <w:tcW w:w="851" w:type="dxa"/>
            <w:tcBorders>
              <w:top w:val="nil"/>
              <w:left w:val="nil"/>
              <w:bottom w:val="single" w:sz="4" w:space="0" w:color="auto"/>
              <w:right w:val="single" w:sz="4" w:space="0" w:color="auto"/>
            </w:tcBorders>
            <w:shd w:val="clear" w:color="auto" w:fill="auto"/>
            <w:noWrap/>
            <w:vAlign w:val="center"/>
            <w:hideMark/>
          </w:tcPr>
          <w:p w14:paraId="1139E307" w14:textId="77777777" w:rsidR="00EC0FF3" w:rsidRPr="00EC0FF3" w:rsidRDefault="00EC0FF3" w:rsidP="00EC0FF3">
            <w:pPr>
              <w:spacing w:after="0" w:line="240" w:lineRule="auto"/>
              <w:jc w:val="right"/>
              <w:rPr>
                <w:rFonts w:cs="Arial"/>
                <w:b/>
                <w:bCs/>
                <w:color w:val="000000"/>
                <w:sz w:val="16"/>
                <w:szCs w:val="16"/>
              </w:rPr>
            </w:pPr>
            <w:r w:rsidRPr="00EC0FF3">
              <w:rPr>
                <w:rFonts w:cs="Arial"/>
                <w:b/>
                <w:bCs/>
                <w:color w:val="000000"/>
                <w:sz w:val="16"/>
                <w:szCs w:val="16"/>
              </w:rPr>
              <w:t>3 296</w:t>
            </w:r>
          </w:p>
        </w:tc>
      </w:tr>
      <w:tr w:rsidR="00E53E70" w:rsidRPr="00EC0FF3" w14:paraId="47ED9153" w14:textId="77777777" w:rsidTr="006323A4">
        <w:trPr>
          <w:trHeight w:val="289"/>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1C8D6A59" w14:textId="77777777" w:rsidR="00EC0FF3" w:rsidRPr="00EC0FF3" w:rsidRDefault="00EC0FF3" w:rsidP="00EC0FF3">
            <w:pPr>
              <w:spacing w:after="0" w:line="240" w:lineRule="auto"/>
              <w:ind w:firstLineChars="100" w:firstLine="160"/>
              <w:rPr>
                <w:rFonts w:cs="Arial"/>
                <w:color w:val="000000"/>
                <w:sz w:val="16"/>
                <w:szCs w:val="16"/>
              </w:rPr>
            </w:pPr>
            <w:r w:rsidRPr="00EC0FF3">
              <w:rPr>
                <w:rFonts w:cs="Arial"/>
                <w:color w:val="000000"/>
                <w:sz w:val="16"/>
                <w:szCs w:val="16"/>
                <w:lang w:eastAsia="en-US"/>
              </w:rPr>
              <w:t>Hlavní město Praha</w:t>
            </w:r>
          </w:p>
        </w:tc>
        <w:tc>
          <w:tcPr>
            <w:tcW w:w="709" w:type="dxa"/>
            <w:tcBorders>
              <w:top w:val="nil"/>
              <w:left w:val="nil"/>
              <w:bottom w:val="single" w:sz="4" w:space="0" w:color="auto"/>
              <w:right w:val="single" w:sz="4" w:space="0" w:color="auto"/>
            </w:tcBorders>
            <w:shd w:val="clear" w:color="auto" w:fill="auto"/>
            <w:noWrap/>
            <w:vAlign w:val="center"/>
            <w:hideMark/>
          </w:tcPr>
          <w:p w14:paraId="7835A415"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85</w:t>
            </w:r>
          </w:p>
        </w:tc>
        <w:tc>
          <w:tcPr>
            <w:tcW w:w="708" w:type="dxa"/>
            <w:tcBorders>
              <w:top w:val="nil"/>
              <w:left w:val="nil"/>
              <w:bottom w:val="single" w:sz="4" w:space="0" w:color="auto"/>
              <w:right w:val="single" w:sz="4" w:space="0" w:color="auto"/>
            </w:tcBorders>
            <w:shd w:val="clear" w:color="auto" w:fill="auto"/>
            <w:noWrap/>
            <w:vAlign w:val="center"/>
            <w:hideMark/>
          </w:tcPr>
          <w:p w14:paraId="3CE4ABF8"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23,5</w:t>
            </w:r>
          </w:p>
        </w:tc>
        <w:tc>
          <w:tcPr>
            <w:tcW w:w="709" w:type="dxa"/>
            <w:tcBorders>
              <w:top w:val="nil"/>
              <w:left w:val="nil"/>
              <w:bottom w:val="single" w:sz="4" w:space="0" w:color="auto"/>
              <w:right w:val="single" w:sz="4" w:space="0" w:color="auto"/>
            </w:tcBorders>
            <w:shd w:val="clear" w:color="auto" w:fill="auto"/>
            <w:noWrap/>
            <w:vAlign w:val="center"/>
            <w:hideMark/>
          </w:tcPr>
          <w:p w14:paraId="2BA62A21"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33,7</w:t>
            </w:r>
          </w:p>
        </w:tc>
        <w:tc>
          <w:tcPr>
            <w:tcW w:w="709" w:type="dxa"/>
            <w:tcBorders>
              <w:top w:val="nil"/>
              <w:left w:val="nil"/>
              <w:bottom w:val="single" w:sz="4" w:space="0" w:color="auto"/>
              <w:right w:val="single" w:sz="4" w:space="0" w:color="auto"/>
            </w:tcBorders>
            <w:shd w:val="clear" w:color="auto" w:fill="auto"/>
            <w:noWrap/>
            <w:vAlign w:val="center"/>
            <w:hideMark/>
          </w:tcPr>
          <w:p w14:paraId="20AAF015"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96</w:t>
            </w:r>
          </w:p>
        </w:tc>
        <w:tc>
          <w:tcPr>
            <w:tcW w:w="709" w:type="dxa"/>
            <w:tcBorders>
              <w:top w:val="nil"/>
              <w:left w:val="nil"/>
              <w:bottom w:val="single" w:sz="4" w:space="0" w:color="auto"/>
              <w:right w:val="single" w:sz="4" w:space="0" w:color="auto"/>
            </w:tcBorders>
            <w:shd w:val="clear" w:color="auto" w:fill="auto"/>
            <w:noWrap/>
            <w:vAlign w:val="center"/>
            <w:hideMark/>
          </w:tcPr>
          <w:p w14:paraId="58C92307"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23</w:t>
            </w:r>
          </w:p>
        </w:tc>
        <w:tc>
          <w:tcPr>
            <w:tcW w:w="708" w:type="dxa"/>
            <w:tcBorders>
              <w:top w:val="nil"/>
              <w:left w:val="nil"/>
              <w:bottom w:val="single" w:sz="4" w:space="0" w:color="auto"/>
              <w:right w:val="single" w:sz="4" w:space="0" w:color="auto"/>
            </w:tcBorders>
            <w:shd w:val="clear" w:color="auto" w:fill="auto"/>
            <w:noWrap/>
            <w:vAlign w:val="center"/>
            <w:hideMark/>
          </w:tcPr>
          <w:p w14:paraId="3751B5BC"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1,9</w:t>
            </w:r>
          </w:p>
        </w:tc>
        <w:tc>
          <w:tcPr>
            <w:tcW w:w="851" w:type="dxa"/>
            <w:tcBorders>
              <w:top w:val="nil"/>
              <w:left w:val="nil"/>
              <w:bottom w:val="single" w:sz="4" w:space="0" w:color="auto"/>
              <w:right w:val="single" w:sz="4" w:space="0" w:color="auto"/>
            </w:tcBorders>
            <w:shd w:val="clear" w:color="auto" w:fill="auto"/>
            <w:noWrap/>
            <w:vAlign w:val="center"/>
            <w:hideMark/>
          </w:tcPr>
          <w:p w14:paraId="54B5C03E"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1 212</w:t>
            </w:r>
          </w:p>
        </w:tc>
        <w:tc>
          <w:tcPr>
            <w:tcW w:w="709" w:type="dxa"/>
            <w:tcBorders>
              <w:top w:val="nil"/>
              <w:left w:val="nil"/>
              <w:bottom w:val="single" w:sz="4" w:space="0" w:color="auto"/>
              <w:right w:val="single" w:sz="4" w:space="0" w:color="auto"/>
            </w:tcBorders>
            <w:shd w:val="clear" w:color="auto" w:fill="auto"/>
            <w:noWrap/>
            <w:vAlign w:val="center"/>
            <w:hideMark/>
          </w:tcPr>
          <w:p w14:paraId="5B9CE749"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22,9</w:t>
            </w:r>
          </w:p>
        </w:tc>
        <w:tc>
          <w:tcPr>
            <w:tcW w:w="850" w:type="dxa"/>
            <w:tcBorders>
              <w:top w:val="nil"/>
              <w:left w:val="nil"/>
              <w:bottom w:val="single" w:sz="4" w:space="0" w:color="auto"/>
              <w:right w:val="single" w:sz="4" w:space="0" w:color="auto"/>
            </w:tcBorders>
            <w:shd w:val="clear" w:color="auto" w:fill="auto"/>
            <w:noWrap/>
            <w:vAlign w:val="center"/>
            <w:hideMark/>
          </w:tcPr>
          <w:p w14:paraId="2D61B06A"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428</w:t>
            </w:r>
          </w:p>
        </w:tc>
        <w:tc>
          <w:tcPr>
            <w:tcW w:w="851" w:type="dxa"/>
            <w:tcBorders>
              <w:top w:val="nil"/>
              <w:left w:val="nil"/>
              <w:bottom w:val="single" w:sz="4" w:space="0" w:color="auto"/>
              <w:right w:val="single" w:sz="4" w:space="0" w:color="auto"/>
            </w:tcBorders>
            <w:shd w:val="clear" w:color="auto" w:fill="auto"/>
            <w:noWrap/>
            <w:vAlign w:val="center"/>
            <w:hideMark/>
          </w:tcPr>
          <w:p w14:paraId="17B9A4A2"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784</w:t>
            </w:r>
          </w:p>
        </w:tc>
      </w:tr>
      <w:tr w:rsidR="00E53E70" w:rsidRPr="00EC0FF3" w14:paraId="237B5FD9" w14:textId="77777777" w:rsidTr="006323A4">
        <w:trPr>
          <w:trHeight w:val="289"/>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7FECF903" w14:textId="77777777" w:rsidR="00EC0FF3" w:rsidRPr="00EC0FF3" w:rsidRDefault="00EC0FF3" w:rsidP="00EC0FF3">
            <w:pPr>
              <w:spacing w:after="0" w:line="240" w:lineRule="auto"/>
              <w:ind w:firstLineChars="100" w:firstLine="160"/>
              <w:rPr>
                <w:rFonts w:cs="Arial"/>
                <w:color w:val="000000"/>
                <w:sz w:val="16"/>
                <w:szCs w:val="16"/>
              </w:rPr>
            </w:pPr>
            <w:r w:rsidRPr="00EC0FF3">
              <w:rPr>
                <w:rFonts w:cs="Arial"/>
                <w:color w:val="000000"/>
                <w:sz w:val="16"/>
                <w:szCs w:val="16"/>
                <w:lang w:eastAsia="en-US"/>
              </w:rPr>
              <w:t>Středočeský kraj</w:t>
            </w:r>
          </w:p>
        </w:tc>
        <w:tc>
          <w:tcPr>
            <w:tcW w:w="709" w:type="dxa"/>
            <w:tcBorders>
              <w:top w:val="nil"/>
              <w:left w:val="nil"/>
              <w:bottom w:val="single" w:sz="4" w:space="0" w:color="auto"/>
              <w:right w:val="single" w:sz="4" w:space="0" w:color="auto"/>
            </w:tcBorders>
            <w:shd w:val="clear" w:color="auto" w:fill="auto"/>
            <w:noWrap/>
            <w:vAlign w:val="center"/>
            <w:hideMark/>
          </w:tcPr>
          <w:p w14:paraId="4119DC74"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46</w:t>
            </w:r>
          </w:p>
        </w:tc>
        <w:tc>
          <w:tcPr>
            <w:tcW w:w="708" w:type="dxa"/>
            <w:tcBorders>
              <w:top w:val="nil"/>
              <w:left w:val="nil"/>
              <w:bottom w:val="single" w:sz="4" w:space="0" w:color="auto"/>
              <w:right w:val="single" w:sz="4" w:space="0" w:color="auto"/>
            </w:tcBorders>
            <w:shd w:val="clear" w:color="auto" w:fill="auto"/>
            <w:noWrap/>
            <w:vAlign w:val="center"/>
            <w:hideMark/>
          </w:tcPr>
          <w:p w14:paraId="182B2B6E"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12,7</w:t>
            </w:r>
          </w:p>
        </w:tc>
        <w:tc>
          <w:tcPr>
            <w:tcW w:w="709" w:type="dxa"/>
            <w:tcBorders>
              <w:top w:val="nil"/>
              <w:left w:val="nil"/>
              <w:bottom w:val="single" w:sz="4" w:space="0" w:color="auto"/>
              <w:right w:val="single" w:sz="4" w:space="0" w:color="auto"/>
            </w:tcBorders>
            <w:shd w:val="clear" w:color="auto" w:fill="auto"/>
            <w:noWrap/>
            <w:vAlign w:val="center"/>
            <w:hideMark/>
          </w:tcPr>
          <w:p w14:paraId="4B2DD3E8"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8,6</w:t>
            </w:r>
          </w:p>
        </w:tc>
        <w:tc>
          <w:tcPr>
            <w:tcW w:w="709" w:type="dxa"/>
            <w:tcBorders>
              <w:top w:val="nil"/>
              <w:left w:val="nil"/>
              <w:bottom w:val="single" w:sz="4" w:space="0" w:color="auto"/>
              <w:right w:val="single" w:sz="4" w:space="0" w:color="auto"/>
            </w:tcBorders>
            <w:shd w:val="clear" w:color="auto" w:fill="auto"/>
            <w:noWrap/>
            <w:vAlign w:val="center"/>
            <w:hideMark/>
          </w:tcPr>
          <w:p w14:paraId="382746EB"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55</w:t>
            </w:r>
          </w:p>
        </w:tc>
        <w:tc>
          <w:tcPr>
            <w:tcW w:w="709" w:type="dxa"/>
            <w:tcBorders>
              <w:top w:val="nil"/>
              <w:left w:val="nil"/>
              <w:bottom w:val="single" w:sz="4" w:space="0" w:color="auto"/>
              <w:right w:val="single" w:sz="4" w:space="0" w:color="auto"/>
            </w:tcBorders>
            <w:shd w:val="clear" w:color="auto" w:fill="auto"/>
            <w:noWrap/>
            <w:vAlign w:val="center"/>
            <w:hideMark/>
          </w:tcPr>
          <w:p w14:paraId="55D884D4"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13,2</w:t>
            </w:r>
          </w:p>
        </w:tc>
        <w:tc>
          <w:tcPr>
            <w:tcW w:w="708" w:type="dxa"/>
            <w:tcBorders>
              <w:top w:val="nil"/>
              <w:left w:val="nil"/>
              <w:bottom w:val="single" w:sz="4" w:space="0" w:color="auto"/>
              <w:right w:val="single" w:sz="4" w:space="0" w:color="auto"/>
            </w:tcBorders>
            <w:shd w:val="clear" w:color="auto" w:fill="auto"/>
            <w:noWrap/>
            <w:vAlign w:val="center"/>
            <w:hideMark/>
          </w:tcPr>
          <w:p w14:paraId="6E6CA296"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0,8</w:t>
            </w:r>
          </w:p>
        </w:tc>
        <w:tc>
          <w:tcPr>
            <w:tcW w:w="851" w:type="dxa"/>
            <w:tcBorders>
              <w:top w:val="nil"/>
              <w:left w:val="nil"/>
              <w:bottom w:val="single" w:sz="4" w:space="0" w:color="auto"/>
              <w:right w:val="single" w:sz="4" w:space="0" w:color="auto"/>
            </w:tcBorders>
            <w:shd w:val="clear" w:color="auto" w:fill="auto"/>
            <w:noWrap/>
            <w:vAlign w:val="center"/>
            <w:hideMark/>
          </w:tcPr>
          <w:p w14:paraId="58A65212"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692</w:t>
            </w:r>
          </w:p>
        </w:tc>
        <w:tc>
          <w:tcPr>
            <w:tcW w:w="709" w:type="dxa"/>
            <w:tcBorders>
              <w:top w:val="nil"/>
              <w:left w:val="nil"/>
              <w:bottom w:val="single" w:sz="4" w:space="0" w:color="auto"/>
              <w:right w:val="single" w:sz="4" w:space="0" w:color="auto"/>
            </w:tcBorders>
            <w:shd w:val="clear" w:color="auto" w:fill="auto"/>
            <w:noWrap/>
            <w:vAlign w:val="center"/>
            <w:hideMark/>
          </w:tcPr>
          <w:p w14:paraId="7FA766DC"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13,1</w:t>
            </w:r>
          </w:p>
        </w:tc>
        <w:tc>
          <w:tcPr>
            <w:tcW w:w="850" w:type="dxa"/>
            <w:tcBorders>
              <w:top w:val="nil"/>
              <w:left w:val="nil"/>
              <w:bottom w:val="single" w:sz="4" w:space="0" w:color="auto"/>
              <w:right w:val="single" w:sz="4" w:space="0" w:color="auto"/>
            </w:tcBorders>
            <w:shd w:val="clear" w:color="auto" w:fill="auto"/>
            <w:noWrap/>
            <w:vAlign w:val="center"/>
            <w:hideMark/>
          </w:tcPr>
          <w:p w14:paraId="5421FC75"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259</w:t>
            </w:r>
          </w:p>
        </w:tc>
        <w:tc>
          <w:tcPr>
            <w:tcW w:w="851" w:type="dxa"/>
            <w:tcBorders>
              <w:top w:val="nil"/>
              <w:left w:val="nil"/>
              <w:bottom w:val="single" w:sz="4" w:space="0" w:color="auto"/>
              <w:right w:val="single" w:sz="4" w:space="0" w:color="auto"/>
            </w:tcBorders>
            <w:shd w:val="clear" w:color="auto" w:fill="auto"/>
            <w:noWrap/>
            <w:vAlign w:val="center"/>
            <w:hideMark/>
          </w:tcPr>
          <w:p w14:paraId="36DEFC21"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433</w:t>
            </w:r>
          </w:p>
        </w:tc>
      </w:tr>
      <w:tr w:rsidR="00E53E70" w:rsidRPr="00EC0FF3" w14:paraId="49D888F0" w14:textId="77777777" w:rsidTr="006323A4">
        <w:trPr>
          <w:trHeight w:val="289"/>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4F18C3D9" w14:textId="77777777" w:rsidR="00EC0FF3" w:rsidRPr="00EC0FF3" w:rsidRDefault="00EC0FF3" w:rsidP="00EC0FF3">
            <w:pPr>
              <w:spacing w:after="0" w:line="240" w:lineRule="auto"/>
              <w:ind w:firstLineChars="100" w:firstLine="160"/>
              <w:rPr>
                <w:rFonts w:cs="Arial"/>
                <w:color w:val="000000"/>
                <w:sz w:val="16"/>
                <w:szCs w:val="16"/>
              </w:rPr>
            </w:pPr>
            <w:r w:rsidRPr="00EC0FF3">
              <w:rPr>
                <w:rFonts w:cs="Arial"/>
                <w:color w:val="000000"/>
                <w:sz w:val="16"/>
                <w:szCs w:val="16"/>
                <w:lang w:eastAsia="en-US"/>
              </w:rPr>
              <w:t>Jihočeský kraj</w:t>
            </w:r>
          </w:p>
        </w:tc>
        <w:tc>
          <w:tcPr>
            <w:tcW w:w="709" w:type="dxa"/>
            <w:tcBorders>
              <w:top w:val="nil"/>
              <w:left w:val="nil"/>
              <w:bottom w:val="single" w:sz="4" w:space="0" w:color="auto"/>
              <w:right w:val="single" w:sz="4" w:space="0" w:color="auto"/>
            </w:tcBorders>
            <w:shd w:val="clear" w:color="auto" w:fill="auto"/>
            <w:noWrap/>
            <w:vAlign w:val="center"/>
            <w:hideMark/>
          </w:tcPr>
          <w:p w14:paraId="041E48A2"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w:t>
            </w:r>
          </w:p>
        </w:tc>
        <w:tc>
          <w:tcPr>
            <w:tcW w:w="708" w:type="dxa"/>
            <w:tcBorders>
              <w:top w:val="nil"/>
              <w:left w:val="nil"/>
              <w:bottom w:val="single" w:sz="4" w:space="0" w:color="auto"/>
              <w:right w:val="single" w:sz="4" w:space="0" w:color="auto"/>
            </w:tcBorders>
            <w:shd w:val="clear" w:color="auto" w:fill="auto"/>
            <w:noWrap/>
            <w:vAlign w:val="center"/>
            <w:hideMark/>
          </w:tcPr>
          <w:p w14:paraId="18D51871"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0,8</w:t>
            </w:r>
          </w:p>
        </w:tc>
        <w:tc>
          <w:tcPr>
            <w:tcW w:w="709" w:type="dxa"/>
            <w:tcBorders>
              <w:top w:val="nil"/>
              <w:left w:val="nil"/>
              <w:bottom w:val="single" w:sz="4" w:space="0" w:color="auto"/>
              <w:right w:val="single" w:sz="4" w:space="0" w:color="auto"/>
            </w:tcBorders>
            <w:shd w:val="clear" w:color="auto" w:fill="auto"/>
            <w:noWrap/>
            <w:vAlign w:val="center"/>
            <w:hideMark/>
          </w:tcPr>
          <w:p w14:paraId="42175342"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1,2</w:t>
            </w:r>
          </w:p>
        </w:tc>
        <w:tc>
          <w:tcPr>
            <w:tcW w:w="709" w:type="dxa"/>
            <w:tcBorders>
              <w:top w:val="nil"/>
              <w:left w:val="nil"/>
              <w:bottom w:val="single" w:sz="4" w:space="0" w:color="auto"/>
              <w:right w:val="single" w:sz="4" w:space="0" w:color="auto"/>
            </w:tcBorders>
            <w:shd w:val="clear" w:color="auto" w:fill="auto"/>
            <w:noWrap/>
            <w:vAlign w:val="center"/>
            <w:hideMark/>
          </w:tcPr>
          <w:p w14:paraId="13E1EB43"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w:t>
            </w:r>
          </w:p>
        </w:tc>
        <w:tc>
          <w:tcPr>
            <w:tcW w:w="709" w:type="dxa"/>
            <w:tcBorders>
              <w:top w:val="nil"/>
              <w:left w:val="nil"/>
              <w:bottom w:val="single" w:sz="4" w:space="0" w:color="auto"/>
              <w:right w:val="single" w:sz="4" w:space="0" w:color="auto"/>
            </w:tcBorders>
            <w:shd w:val="clear" w:color="auto" w:fill="auto"/>
            <w:noWrap/>
            <w:vAlign w:val="center"/>
            <w:hideMark/>
          </w:tcPr>
          <w:p w14:paraId="5D0B2C79"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0,7</w:t>
            </w:r>
          </w:p>
        </w:tc>
        <w:tc>
          <w:tcPr>
            <w:tcW w:w="708" w:type="dxa"/>
            <w:tcBorders>
              <w:top w:val="nil"/>
              <w:left w:val="nil"/>
              <w:bottom w:val="single" w:sz="4" w:space="0" w:color="auto"/>
              <w:right w:val="single" w:sz="4" w:space="0" w:color="auto"/>
            </w:tcBorders>
            <w:shd w:val="clear" w:color="auto" w:fill="auto"/>
            <w:noWrap/>
            <w:vAlign w:val="center"/>
            <w:hideMark/>
          </w:tcPr>
          <w:p w14:paraId="10B61492"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0,1</w:t>
            </w:r>
          </w:p>
        </w:tc>
        <w:tc>
          <w:tcPr>
            <w:tcW w:w="851" w:type="dxa"/>
            <w:tcBorders>
              <w:top w:val="nil"/>
              <w:left w:val="nil"/>
              <w:bottom w:val="single" w:sz="4" w:space="0" w:color="auto"/>
              <w:right w:val="single" w:sz="4" w:space="0" w:color="auto"/>
            </w:tcBorders>
            <w:shd w:val="clear" w:color="auto" w:fill="auto"/>
            <w:noWrap/>
            <w:vAlign w:val="center"/>
            <w:hideMark/>
          </w:tcPr>
          <w:p w14:paraId="343FED1F"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34</w:t>
            </w:r>
          </w:p>
        </w:tc>
        <w:tc>
          <w:tcPr>
            <w:tcW w:w="709" w:type="dxa"/>
            <w:tcBorders>
              <w:top w:val="nil"/>
              <w:left w:val="nil"/>
              <w:bottom w:val="single" w:sz="4" w:space="0" w:color="auto"/>
              <w:right w:val="single" w:sz="4" w:space="0" w:color="auto"/>
            </w:tcBorders>
            <w:shd w:val="clear" w:color="auto" w:fill="auto"/>
            <w:noWrap/>
            <w:vAlign w:val="center"/>
            <w:hideMark/>
          </w:tcPr>
          <w:p w14:paraId="13788E10"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0,6</w:t>
            </w:r>
          </w:p>
        </w:tc>
        <w:tc>
          <w:tcPr>
            <w:tcW w:w="850" w:type="dxa"/>
            <w:tcBorders>
              <w:top w:val="nil"/>
              <w:left w:val="nil"/>
              <w:bottom w:val="single" w:sz="4" w:space="0" w:color="auto"/>
              <w:right w:val="single" w:sz="4" w:space="0" w:color="auto"/>
            </w:tcBorders>
            <w:shd w:val="clear" w:color="auto" w:fill="auto"/>
            <w:noWrap/>
            <w:vAlign w:val="center"/>
            <w:hideMark/>
          </w:tcPr>
          <w:p w14:paraId="12EEC073"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14</w:t>
            </w:r>
          </w:p>
        </w:tc>
        <w:tc>
          <w:tcPr>
            <w:tcW w:w="851" w:type="dxa"/>
            <w:tcBorders>
              <w:top w:val="nil"/>
              <w:left w:val="nil"/>
              <w:bottom w:val="single" w:sz="4" w:space="0" w:color="auto"/>
              <w:right w:val="single" w:sz="4" w:space="0" w:color="auto"/>
            </w:tcBorders>
            <w:shd w:val="clear" w:color="auto" w:fill="auto"/>
            <w:noWrap/>
            <w:vAlign w:val="center"/>
            <w:hideMark/>
          </w:tcPr>
          <w:p w14:paraId="6C59BDF0"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20</w:t>
            </w:r>
          </w:p>
        </w:tc>
      </w:tr>
      <w:tr w:rsidR="00E53E70" w:rsidRPr="00EC0FF3" w14:paraId="3A6CD394" w14:textId="77777777" w:rsidTr="006323A4">
        <w:trPr>
          <w:trHeight w:val="289"/>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130A36A2" w14:textId="77777777" w:rsidR="00EC0FF3" w:rsidRPr="00EC0FF3" w:rsidRDefault="00EC0FF3" w:rsidP="00EC0FF3">
            <w:pPr>
              <w:spacing w:after="0" w:line="240" w:lineRule="auto"/>
              <w:ind w:firstLineChars="100" w:firstLine="160"/>
              <w:rPr>
                <w:rFonts w:cs="Arial"/>
                <w:color w:val="000000"/>
                <w:sz w:val="16"/>
                <w:szCs w:val="16"/>
              </w:rPr>
            </w:pPr>
            <w:r w:rsidRPr="00EC0FF3">
              <w:rPr>
                <w:rFonts w:cs="Arial"/>
                <w:color w:val="000000"/>
                <w:sz w:val="16"/>
                <w:szCs w:val="16"/>
                <w:lang w:eastAsia="en-US"/>
              </w:rPr>
              <w:t>Plzeňský kraj</w:t>
            </w:r>
          </w:p>
        </w:tc>
        <w:tc>
          <w:tcPr>
            <w:tcW w:w="709" w:type="dxa"/>
            <w:tcBorders>
              <w:top w:val="nil"/>
              <w:left w:val="nil"/>
              <w:bottom w:val="single" w:sz="4" w:space="0" w:color="auto"/>
              <w:right w:val="single" w:sz="4" w:space="0" w:color="auto"/>
            </w:tcBorders>
            <w:shd w:val="clear" w:color="auto" w:fill="auto"/>
            <w:noWrap/>
            <w:vAlign w:val="center"/>
            <w:hideMark/>
          </w:tcPr>
          <w:p w14:paraId="09DE975B"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12</w:t>
            </w:r>
          </w:p>
        </w:tc>
        <w:tc>
          <w:tcPr>
            <w:tcW w:w="708" w:type="dxa"/>
            <w:tcBorders>
              <w:top w:val="nil"/>
              <w:left w:val="nil"/>
              <w:bottom w:val="single" w:sz="4" w:space="0" w:color="auto"/>
              <w:right w:val="single" w:sz="4" w:space="0" w:color="auto"/>
            </w:tcBorders>
            <w:shd w:val="clear" w:color="auto" w:fill="auto"/>
            <w:noWrap/>
            <w:vAlign w:val="center"/>
            <w:hideMark/>
          </w:tcPr>
          <w:p w14:paraId="3B6141DF"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3,3</w:t>
            </w:r>
          </w:p>
        </w:tc>
        <w:tc>
          <w:tcPr>
            <w:tcW w:w="709" w:type="dxa"/>
            <w:tcBorders>
              <w:top w:val="nil"/>
              <w:left w:val="nil"/>
              <w:bottom w:val="single" w:sz="4" w:space="0" w:color="auto"/>
              <w:right w:val="single" w:sz="4" w:space="0" w:color="auto"/>
            </w:tcBorders>
            <w:shd w:val="clear" w:color="auto" w:fill="auto"/>
            <w:noWrap/>
            <w:vAlign w:val="center"/>
            <w:hideMark/>
          </w:tcPr>
          <w:p w14:paraId="1D28CA40"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5,8</w:t>
            </w:r>
          </w:p>
        </w:tc>
        <w:tc>
          <w:tcPr>
            <w:tcW w:w="709" w:type="dxa"/>
            <w:tcBorders>
              <w:top w:val="nil"/>
              <w:left w:val="nil"/>
              <w:bottom w:val="single" w:sz="4" w:space="0" w:color="auto"/>
              <w:right w:val="single" w:sz="4" w:space="0" w:color="auto"/>
            </w:tcBorders>
            <w:shd w:val="clear" w:color="auto" w:fill="auto"/>
            <w:noWrap/>
            <w:vAlign w:val="center"/>
            <w:hideMark/>
          </w:tcPr>
          <w:p w14:paraId="40E3C29B"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14</w:t>
            </w:r>
          </w:p>
        </w:tc>
        <w:tc>
          <w:tcPr>
            <w:tcW w:w="709" w:type="dxa"/>
            <w:tcBorders>
              <w:top w:val="nil"/>
              <w:left w:val="nil"/>
              <w:bottom w:val="single" w:sz="4" w:space="0" w:color="auto"/>
              <w:right w:val="single" w:sz="4" w:space="0" w:color="auto"/>
            </w:tcBorders>
            <w:shd w:val="clear" w:color="auto" w:fill="auto"/>
            <w:noWrap/>
            <w:vAlign w:val="center"/>
            <w:hideMark/>
          </w:tcPr>
          <w:p w14:paraId="7CAD877A"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3,4</w:t>
            </w:r>
          </w:p>
        </w:tc>
        <w:tc>
          <w:tcPr>
            <w:tcW w:w="708" w:type="dxa"/>
            <w:tcBorders>
              <w:top w:val="nil"/>
              <w:left w:val="nil"/>
              <w:bottom w:val="single" w:sz="4" w:space="0" w:color="auto"/>
              <w:right w:val="single" w:sz="4" w:space="0" w:color="auto"/>
            </w:tcBorders>
            <w:shd w:val="clear" w:color="auto" w:fill="auto"/>
            <w:noWrap/>
            <w:vAlign w:val="center"/>
            <w:hideMark/>
          </w:tcPr>
          <w:p w14:paraId="283344FD"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0,6</w:t>
            </w:r>
          </w:p>
        </w:tc>
        <w:tc>
          <w:tcPr>
            <w:tcW w:w="851" w:type="dxa"/>
            <w:tcBorders>
              <w:top w:val="nil"/>
              <w:left w:val="nil"/>
              <w:bottom w:val="single" w:sz="4" w:space="0" w:color="auto"/>
              <w:right w:val="single" w:sz="4" w:space="0" w:color="auto"/>
            </w:tcBorders>
            <w:shd w:val="clear" w:color="auto" w:fill="auto"/>
            <w:noWrap/>
            <w:vAlign w:val="center"/>
            <w:hideMark/>
          </w:tcPr>
          <w:p w14:paraId="51EA6684"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180</w:t>
            </w:r>
          </w:p>
        </w:tc>
        <w:tc>
          <w:tcPr>
            <w:tcW w:w="709" w:type="dxa"/>
            <w:tcBorders>
              <w:top w:val="nil"/>
              <w:left w:val="nil"/>
              <w:bottom w:val="single" w:sz="4" w:space="0" w:color="auto"/>
              <w:right w:val="single" w:sz="4" w:space="0" w:color="auto"/>
            </w:tcBorders>
            <w:shd w:val="clear" w:color="auto" w:fill="auto"/>
            <w:noWrap/>
            <w:vAlign w:val="center"/>
            <w:hideMark/>
          </w:tcPr>
          <w:p w14:paraId="286BB02B"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3,4</w:t>
            </w:r>
          </w:p>
        </w:tc>
        <w:tc>
          <w:tcPr>
            <w:tcW w:w="850" w:type="dxa"/>
            <w:tcBorders>
              <w:top w:val="nil"/>
              <w:left w:val="nil"/>
              <w:bottom w:val="single" w:sz="4" w:space="0" w:color="auto"/>
              <w:right w:val="single" w:sz="4" w:space="0" w:color="auto"/>
            </w:tcBorders>
            <w:shd w:val="clear" w:color="auto" w:fill="auto"/>
            <w:noWrap/>
            <w:vAlign w:val="center"/>
            <w:hideMark/>
          </w:tcPr>
          <w:p w14:paraId="46522FC5"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74</w:t>
            </w:r>
          </w:p>
        </w:tc>
        <w:tc>
          <w:tcPr>
            <w:tcW w:w="851" w:type="dxa"/>
            <w:tcBorders>
              <w:top w:val="nil"/>
              <w:left w:val="nil"/>
              <w:bottom w:val="single" w:sz="4" w:space="0" w:color="auto"/>
              <w:right w:val="single" w:sz="4" w:space="0" w:color="auto"/>
            </w:tcBorders>
            <w:shd w:val="clear" w:color="auto" w:fill="auto"/>
            <w:noWrap/>
            <w:vAlign w:val="center"/>
            <w:hideMark/>
          </w:tcPr>
          <w:p w14:paraId="59FF83B6"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106</w:t>
            </w:r>
          </w:p>
        </w:tc>
      </w:tr>
      <w:tr w:rsidR="00E53E70" w:rsidRPr="00EC0FF3" w14:paraId="0172D2E0" w14:textId="77777777" w:rsidTr="006323A4">
        <w:trPr>
          <w:trHeight w:val="289"/>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7BFDB545" w14:textId="77777777" w:rsidR="00EC0FF3" w:rsidRPr="00EC0FF3" w:rsidRDefault="00EC0FF3" w:rsidP="00EC0FF3">
            <w:pPr>
              <w:spacing w:after="0" w:line="240" w:lineRule="auto"/>
              <w:ind w:firstLineChars="100" w:firstLine="160"/>
              <w:rPr>
                <w:rFonts w:cs="Arial"/>
                <w:color w:val="000000"/>
                <w:sz w:val="16"/>
                <w:szCs w:val="16"/>
              </w:rPr>
            </w:pPr>
            <w:r w:rsidRPr="00EC0FF3">
              <w:rPr>
                <w:rFonts w:cs="Arial"/>
                <w:color w:val="000000"/>
                <w:sz w:val="16"/>
                <w:szCs w:val="16"/>
                <w:lang w:eastAsia="en-US"/>
              </w:rPr>
              <w:t>Karlovarský kraj</w:t>
            </w:r>
          </w:p>
        </w:tc>
        <w:tc>
          <w:tcPr>
            <w:tcW w:w="709" w:type="dxa"/>
            <w:tcBorders>
              <w:top w:val="nil"/>
              <w:left w:val="nil"/>
              <w:bottom w:val="single" w:sz="4" w:space="0" w:color="auto"/>
              <w:right w:val="single" w:sz="4" w:space="0" w:color="auto"/>
            </w:tcBorders>
            <w:shd w:val="clear" w:color="auto" w:fill="auto"/>
            <w:noWrap/>
            <w:vAlign w:val="center"/>
            <w:hideMark/>
          </w:tcPr>
          <w:p w14:paraId="4F201678"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24</w:t>
            </w:r>
          </w:p>
        </w:tc>
        <w:tc>
          <w:tcPr>
            <w:tcW w:w="708" w:type="dxa"/>
            <w:tcBorders>
              <w:top w:val="nil"/>
              <w:left w:val="nil"/>
              <w:bottom w:val="single" w:sz="4" w:space="0" w:color="auto"/>
              <w:right w:val="single" w:sz="4" w:space="0" w:color="auto"/>
            </w:tcBorders>
            <w:shd w:val="clear" w:color="auto" w:fill="auto"/>
            <w:noWrap/>
            <w:vAlign w:val="center"/>
            <w:hideMark/>
          </w:tcPr>
          <w:p w14:paraId="1D0AE3EB"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6,6</w:t>
            </w:r>
          </w:p>
        </w:tc>
        <w:tc>
          <w:tcPr>
            <w:tcW w:w="709" w:type="dxa"/>
            <w:tcBorders>
              <w:top w:val="nil"/>
              <w:left w:val="nil"/>
              <w:bottom w:val="single" w:sz="4" w:space="0" w:color="auto"/>
              <w:right w:val="single" w:sz="4" w:space="0" w:color="auto"/>
            </w:tcBorders>
            <w:shd w:val="clear" w:color="auto" w:fill="auto"/>
            <w:noWrap/>
            <w:vAlign w:val="center"/>
            <w:hideMark/>
          </w:tcPr>
          <w:p w14:paraId="45D67E8B"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24,2</w:t>
            </w:r>
          </w:p>
        </w:tc>
        <w:tc>
          <w:tcPr>
            <w:tcW w:w="709" w:type="dxa"/>
            <w:tcBorders>
              <w:top w:val="nil"/>
              <w:left w:val="nil"/>
              <w:bottom w:val="single" w:sz="4" w:space="0" w:color="auto"/>
              <w:right w:val="single" w:sz="4" w:space="0" w:color="auto"/>
            </w:tcBorders>
            <w:shd w:val="clear" w:color="auto" w:fill="auto"/>
            <w:noWrap/>
            <w:vAlign w:val="center"/>
            <w:hideMark/>
          </w:tcPr>
          <w:p w14:paraId="50C181F9"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27</w:t>
            </w:r>
          </w:p>
        </w:tc>
        <w:tc>
          <w:tcPr>
            <w:tcW w:w="709" w:type="dxa"/>
            <w:tcBorders>
              <w:top w:val="nil"/>
              <w:left w:val="nil"/>
              <w:bottom w:val="single" w:sz="4" w:space="0" w:color="auto"/>
              <w:right w:val="single" w:sz="4" w:space="0" w:color="auto"/>
            </w:tcBorders>
            <w:shd w:val="clear" w:color="auto" w:fill="auto"/>
            <w:noWrap/>
            <w:vAlign w:val="center"/>
            <w:hideMark/>
          </w:tcPr>
          <w:p w14:paraId="2AA40161"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6,5</w:t>
            </w:r>
          </w:p>
        </w:tc>
        <w:tc>
          <w:tcPr>
            <w:tcW w:w="708" w:type="dxa"/>
            <w:tcBorders>
              <w:top w:val="nil"/>
              <w:left w:val="nil"/>
              <w:bottom w:val="single" w:sz="4" w:space="0" w:color="auto"/>
              <w:right w:val="single" w:sz="4" w:space="0" w:color="auto"/>
            </w:tcBorders>
            <w:shd w:val="clear" w:color="auto" w:fill="auto"/>
            <w:noWrap/>
            <w:vAlign w:val="center"/>
            <w:hideMark/>
          </w:tcPr>
          <w:p w14:paraId="70D5AA7F"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2,1</w:t>
            </w:r>
          </w:p>
        </w:tc>
        <w:tc>
          <w:tcPr>
            <w:tcW w:w="851" w:type="dxa"/>
            <w:tcBorders>
              <w:top w:val="nil"/>
              <w:left w:val="nil"/>
              <w:bottom w:val="single" w:sz="4" w:space="0" w:color="auto"/>
              <w:right w:val="single" w:sz="4" w:space="0" w:color="auto"/>
            </w:tcBorders>
            <w:shd w:val="clear" w:color="auto" w:fill="auto"/>
            <w:noWrap/>
            <w:vAlign w:val="center"/>
            <w:hideMark/>
          </w:tcPr>
          <w:p w14:paraId="4FFAB62F"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358</w:t>
            </w:r>
          </w:p>
        </w:tc>
        <w:tc>
          <w:tcPr>
            <w:tcW w:w="709" w:type="dxa"/>
            <w:tcBorders>
              <w:top w:val="nil"/>
              <w:left w:val="nil"/>
              <w:bottom w:val="single" w:sz="4" w:space="0" w:color="auto"/>
              <w:right w:val="single" w:sz="4" w:space="0" w:color="auto"/>
            </w:tcBorders>
            <w:shd w:val="clear" w:color="auto" w:fill="auto"/>
            <w:noWrap/>
            <w:vAlign w:val="center"/>
            <w:hideMark/>
          </w:tcPr>
          <w:p w14:paraId="602C0037"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6,8</w:t>
            </w:r>
          </w:p>
        </w:tc>
        <w:tc>
          <w:tcPr>
            <w:tcW w:w="850" w:type="dxa"/>
            <w:tcBorders>
              <w:top w:val="nil"/>
              <w:left w:val="nil"/>
              <w:bottom w:val="single" w:sz="4" w:space="0" w:color="auto"/>
              <w:right w:val="single" w:sz="4" w:space="0" w:color="auto"/>
            </w:tcBorders>
            <w:shd w:val="clear" w:color="auto" w:fill="auto"/>
            <w:noWrap/>
            <w:vAlign w:val="center"/>
            <w:hideMark/>
          </w:tcPr>
          <w:p w14:paraId="13112157"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133</w:t>
            </w:r>
          </w:p>
        </w:tc>
        <w:tc>
          <w:tcPr>
            <w:tcW w:w="851" w:type="dxa"/>
            <w:tcBorders>
              <w:top w:val="nil"/>
              <w:left w:val="nil"/>
              <w:bottom w:val="single" w:sz="4" w:space="0" w:color="auto"/>
              <w:right w:val="single" w:sz="4" w:space="0" w:color="auto"/>
            </w:tcBorders>
            <w:shd w:val="clear" w:color="auto" w:fill="auto"/>
            <w:noWrap/>
            <w:vAlign w:val="center"/>
            <w:hideMark/>
          </w:tcPr>
          <w:p w14:paraId="1338B48A"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225</w:t>
            </w:r>
          </w:p>
        </w:tc>
      </w:tr>
      <w:tr w:rsidR="00E53E70" w:rsidRPr="00EC0FF3" w14:paraId="7854144D" w14:textId="77777777" w:rsidTr="006323A4">
        <w:trPr>
          <w:trHeight w:val="289"/>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2D108C74" w14:textId="77777777" w:rsidR="00EC0FF3" w:rsidRPr="00EC0FF3" w:rsidRDefault="00EC0FF3" w:rsidP="00EC0FF3">
            <w:pPr>
              <w:spacing w:after="0" w:line="240" w:lineRule="auto"/>
              <w:ind w:firstLineChars="100" w:firstLine="160"/>
              <w:rPr>
                <w:rFonts w:cs="Arial"/>
                <w:color w:val="000000"/>
                <w:sz w:val="16"/>
                <w:szCs w:val="16"/>
              </w:rPr>
            </w:pPr>
            <w:r w:rsidRPr="00EC0FF3">
              <w:rPr>
                <w:rFonts w:cs="Arial"/>
                <w:color w:val="000000"/>
                <w:sz w:val="16"/>
                <w:szCs w:val="16"/>
                <w:lang w:eastAsia="en-US"/>
              </w:rPr>
              <w:t>Ústecký kraj</w:t>
            </w:r>
          </w:p>
        </w:tc>
        <w:tc>
          <w:tcPr>
            <w:tcW w:w="709" w:type="dxa"/>
            <w:tcBorders>
              <w:top w:val="nil"/>
              <w:left w:val="nil"/>
              <w:bottom w:val="single" w:sz="4" w:space="0" w:color="auto"/>
              <w:right w:val="single" w:sz="4" w:space="0" w:color="auto"/>
            </w:tcBorders>
            <w:shd w:val="clear" w:color="auto" w:fill="auto"/>
            <w:noWrap/>
            <w:vAlign w:val="center"/>
            <w:hideMark/>
          </w:tcPr>
          <w:p w14:paraId="6EE91701"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65</w:t>
            </w:r>
          </w:p>
        </w:tc>
        <w:tc>
          <w:tcPr>
            <w:tcW w:w="708" w:type="dxa"/>
            <w:tcBorders>
              <w:top w:val="nil"/>
              <w:left w:val="nil"/>
              <w:bottom w:val="single" w:sz="4" w:space="0" w:color="auto"/>
              <w:right w:val="single" w:sz="4" w:space="0" w:color="auto"/>
            </w:tcBorders>
            <w:shd w:val="clear" w:color="auto" w:fill="auto"/>
            <w:noWrap/>
            <w:vAlign w:val="center"/>
            <w:hideMark/>
          </w:tcPr>
          <w:p w14:paraId="7F247709"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18</w:t>
            </w:r>
          </w:p>
        </w:tc>
        <w:tc>
          <w:tcPr>
            <w:tcW w:w="709" w:type="dxa"/>
            <w:tcBorders>
              <w:top w:val="nil"/>
              <w:left w:val="nil"/>
              <w:bottom w:val="single" w:sz="4" w:space="0" w:color="auto"/>
              <w:right w:val="single" w:sz="4" w:space="0" w:color="auto"/>
            </w:tcBorders>
            <w:shd w:val="clear" w:color="auto" w:fill="auto"/>
            <w:noWrap/>
            <w:vAlign w:val="center"/>
            <w:hideMark/>
          </w:tcPr>
          <w:p w14:paraId="34F78BA2"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25,0</w:t>
            </w:r>
          </w:p>
        </w:tc>
        <w:tc>
          <w:tcPr>
            <w:tcW w:w="709" w:type="dxa"/>
            <w:tcBorders>
              <w:top w:val="nil"/>
              <w:left w:val="nil"/>
              <w:bottom w:val="single" w:sz="4" w:space="0" w:color="auto"/>
              <w:right w:val="single" w:sz="4" w:space="0" w:color="auto"/>
            </w:tcBorders>
            <w:shd w:val="clear" w:color="auto" w:fill="auto"/>
            <w:noWrap/>
            <w:vAlign w:val="center"/>
            <w:hideMark/>
          </w:tcPr>
          <w:p w14:paraId="17B486F8"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79</w:t>
            </w:r>
          </w:p>
        </w:tc>
        <w:tc>
          <w:tcPr>
            <w:tcW w:w="709" w:type="dxa"/>
            <w:tcBorders>
              <w:top w:val="nil"/>
              <w:left w:val="nil"/>
              <w:bottom w:val="single" w:sz="4" w:space="0" w:color="auto"/>
              <w:right w:val="single" w:sz="4" w:space="0" w:color="auto"/>
            </w:tcBorders>
            <w:shd w:val="clear" w:color="auto" w:fill="auto"/>
            <w:noWrap/>
            <w:vAlign w:val="center"/>
            <w:hideMark/>
          </w:tcPr>
          <w:p w14:paraId="03AA85A7"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18,9</w:t>
            </w:r>
          </w:p>
        </w:tc>
        <w:tc>
          <w:tcPr>
            <w:tcW w:w="708" w:type="dxa"/>
            <w:tcBorders>
              <w:top w:val="nil"/>
              <w:left w:val="nil"/>
              <w:bottom w:val="single" w:sz="4" w:space="0" w:color="auto"/>
              <w:right w:val="single" w:sz="4" w:space="0" w:color="auto"/>
            </w:tcBorders>
            <w:shd w:val="clear" w:color="auto" w:fill="auto"/>
            <w:noWrap/>
            <w:vAlign w:val="center"/>
            <w:hideMark/>
          </w:tcPr>
          <w:p w14:paraId="3FD61BEE"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2,2</w:t>
            </w:r>
          </w:p>
        </w:tc>
        <w:tc>
          <w:tcPr>
            <w:tcW w:w="851" w:type="dxa"/>
            <w:tcBorders>
              <w:top w:val="nil"/>
              <w:left w:val="nil"/>
              <w:bottom w:val="single" w:sz="4" w:space="0" w:color="auto"/>
              <w:right w:val="single" w:sz="4" w:space="0" w:color="auto"/>
            </w:tcBorders>
            <w:shd w:val="clear" w:color="auto" w:fill="auto"/>
            <w:noWrap/>
            <w:vAlign w:val="center"/>
            <w:hideMark/>
          </w:tcPr>
          <w:p w14:paraId="13FA3F26"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1026</w:t>
            </w:r>
          </w:p>
        </w:tc>
        <w:tc>
          <w:tcPr>
            <w:tcW w:w="709" w:type="dxa"/>
            <w:tcBorders>
              <w:top w:val="nil"/>
              <w:left w:val="nil"/>
              <w:bottom w:val="single" w:sz="4" w:space="0" w:color="auto"/>
              <w:right w:val="single" w:sz="4" w:space="0" w:color="auto"/>
            </w:tcBorders>
            <w:shd w:val="clear" w:color="auto" w:fill="auto"/>
            <w:noWrap/>
            <w:vAlign w:val="center"/>
            <w:hideMark/>
          </w:tcPr>
          <w:p w14:paraId="02554570"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19,4</w:t>
            </w:r>
          </w:p>
        </w:tc>
        <w:tc>
          <w:tcPr>
            <w:tcW w:w="850" w:type="dxa"/>
            <w:tcBorders>
              <w:top w:val="nil"/>
              <w:left w:val="nil"/>
              <w:bottom w:val="single" w:sz="4" w:space="0" w:color="auto"/>
              <w:right w:val="single" w:sz="4" w:space="0" w:color="auto"/>
            </w:tcBorders>
            <w:shd w:val="clear" w:color="auto" w:fill="auto"/>
            <w:noWrap/>
            <w:vAlign w:val="center"/>
            <w:hideMark/>
          </w:tcPr>
          <w:p w14:paraId="1C5588BF"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409</w:t>
            </w:r>
          </w:p>
        </w:tc>
        <w:tc>
          <w:tcPr>
            <w:tcW w:w="851" w:type="dxa"/>
            <w:tcBorders>
              <w:top w:val="nil"/>
              <w:left w:val="nil"/>
              <w:bottom w:val="single" w:sz="4" w:space="0" w:color="auto"/>
              <w:right w:val="single" w:sz="4" w:space="0" w:color="auto"/>
            </w:tcBorders>
            <w:shd w:val="clear" w:color="auto" w:fill="auto"/>
            <w:noWrap/>
            <w:vAlign w:val="center"/>
            <w:hideMark/>
          </w:tcPr>
          <w:p w14:paraId="186BBD91"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617</w:t>
            </w:r>
          </w:p>
        </w:tc>
      </w:tr>
      <w:tr w:rsidR="00E53E70" w:rsidRPr="00EC0FF3" w14:paraId="47A3A923" w14:textId="77777777" w:rsidTr="006323A4">
        <w:trPr>
          <w:trHeight w:val="289"/>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4C9BC9C1" w14:textId="77777777" w:rsidR="00EC0FF3" w:rsidRPr="00EC0FF3" w:rsidRDefault="00EC0FF3" w:rsidP="00EC0FF3">
            <w:pPr>
              <w:spacing w:after="0" w:line="240" w:lineRule="auto"/>
              <w:ind w:firstLineChars="100" w:firstLine="160"/>
              <w:rPr>
                <w:rFonts w:cs="Arial"/>
                <w:color w:val="000000"/>
                <w:sz w:val="16"/>
                <w:szCs w:val="16"/>
              </w:rPr>
            </w:pPr>
            <w:r w:rsidRPr="00EC0FF3">
              <w:rPr>
                <w:rFonts w:cs="Arial"/>
                <w:color w:val="000000"/>
                <w:sz w:val="16"/>
                <w:szCs w:val="16"/>
                <w:lang w:eastAsia="en-US"/>
              </w:rPr>
              <w:t>Liberecký kraj</w:t>
            </w:r>
          </w:p>
        </w:tc>
        <w:tc>
          <w:tcPr>
            <w:tcW w:w="709" w:type="dxa"/>
            <w:tcBorders>
              <w:top w:val="nil"/>
              <w:left w:val="nil"/>
              <w:bottom w:val="single" w:sz="4" w:space="0" w:color="auto"/>
              <w:right w:val="single" w:sz="4" w:space="0" w:color="auto"/>
            </w:tcBorders>
            <w:shd w:val="clear" w:color="auto" w:fill="auto"/>
            <w:noWrap/>
            <w:vAlign w:val="center"/>
            <w:hideMark/>
          </w:tcPr>
          <w:p w14:paraId="0F97CDA7"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10</w:t>
            </w:r>
          </w:p>
        </w:tc>
        <w:tc>
          <w:tcPr>
            <w:tcW w:w="708" w:type="dxa"/>
            <w:tcBorders>
              <w:top w:val="nil"/>
              <w:left w:val="nil"/>
              <w:bottom w:val="single" w:sz="4" w:space="0" w:color="auto"/>
              <w:right w:val="single" w:sz="4" w:space="0" w:color="auto"/>
            </w:tcBorders>
            <w:shd w:val="clear" w:color="auto" w:fill="auto"/>
            <w:noWrap/>
            <w:vAlign w:val="center"/>
            <w:hideMark/>
          </w:tcPr>
          <w:p w14:paraId="4DB93FA8"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2,8</w:t>
            </w:r>
          </w:p>
        </w:tc>
        <w:tc>
          <w:tcPr>
            <w:tcW w:w="709" w:type="dxa"/>
            <w:tcBorders>
              <w:top w:val="nil"/>
              <w:left w:val="nil"/>
              <w:bottom w:val="single" w:sz="4" w:space="0" w:color="auto"/>
              <w:right w:val="single" w:sz="4" w:space="0" w:color="auto"/>
            </w:tcBorders>
            <w:shd w:val="clear" w:color="auto" w:fill="auto"/>
            <w:noWrap/>
            <w:vAlign w:val="center"/>
            <w:hideMark/>
          </w:tcPr>
          <w:p w14:paraId="56CBEE84"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5,5</w:t>
            </w:r>
          </w:p>
        </w:tc>
        <w:tc>
          <w:tcPr>
            <w:tcW w:w="709" w:type="dxa"/>
            <w:tcBorders>
              <w:top w:val="nil"/>
              <w:left w:val="nil"/>
              <w:bottom w:val="single" w:sz="4" w:space="0" w:color="auto"/>
              <w:right w:val="single" w:sz="4" w:space="0" w:color="auto"/>
            </w:tcBorders>
            <w:shd w:val="clear" w:color="auto" w:fill="auto"/>
            <w:noWrap/>
            <w:vAlign w:val="center"/>
            <w:hideMark/>
          </w:tcPr>
          <w:p w14:paraId="688A19AA"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12</w:t>
            </w:r>
          </w:p>
        </w:tc>
        <w:tc>
          <w:tcPr>
            <w:tcW w:w="709" w:type="dxa"/>
            <w:tcBorders>
              <w:top w:val="nil"/>
              <w:left w:val="nil"/>
              <w:bottom w:val="single" w:sz="4" w:space="0" w:color="auto"/>
              <w:right w:val="single" w:sz="4" w:space="0" w:color="auto"/>
            </w:tcBorders>
            <w:shd w:val="clear" w:color="auto" w:fill="auto"/>
            <w:noWrap/>
            <w:vAlign w:val="center"/>
            <w:hideMark/>
          </w:tcPr>
          <w:p w14:paraId="15077530"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2,9</w:t>
            </w:r>
          </w:p>
        </w:tc>
        <w:tc>
          <w:tcPr>
            <w:tcW w:w="708" w:type="dxa"/>
            <w:tcBorders>
              <w:top w:val="nil"/>
              <w:left w:val="nil"/>
              <w:bottom w:val="single" w:sz="4" w:space="0" w:color="auto"/>
              <w:right w:val="single" w:sz="4" w:space="0" w:color="auto"/>
            </w:tcBorders>
            <w:shd w:val="clear" w:color="auto" w:fill="auto"/>
            <w:noWrap/>
            <w:vAlign w:val="center"/>
            <w:hideMark/>
          </w:tcPr>
          <w:p w14:paraId="5A277187"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0,6</w:t>
            </w:r>
          </w:p>
        </w:tc>
        <w:tc>
          <w:tcPr>
            <w:tcW w:w="851" w:type="dxa"/>
            <w:tcBorders>
              <w:top w:val="nil"/>
              <w:left w:val="nil"/>
              <w:bottom w:val="single" w:sz="4" w:space="0" w:color="auto"/>
              <w:right w:val="single" w:sz="4" w:space="0" w:color="auto"/>
            </w:tcBorders>
            <w:shd w:val="clear" w:color="auto" w:fill="auto"/>
            <w:noWrap/>
            <w:vAlign w:val="center"/>
            <w:hideMark/>
          </w:tcPr>
          <w:p w14:paraId="363B1FA3"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148</w:t>
            </w:r>
          </w:p>
        </w:tc>
        <w:tc>
          <w:tcPr>
            <w:tcW w:w="709" w:type="dxa"/>
            <w:tcBorders>
              <w:top w:val="nil"/>
              <w:left w:val="nil"/>
              <w:bottom w:val="single" w:sz="4" w:space="0" w:color="auto"/>
              <w:right w:val="single" w:sz="4" w:space="0" w:color="auto"/>
            </w:tcBorders>
            <w:shd w:val="clear" w:color="auto" w:fill="auto"/>
            <w:noWrap/>
            <w:vAlign w:val="center"/>
            <w:hideMark/>
          </w:tcPr>
          <w:p w14:paraId="153970A8"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2,8</w:t>
            </w:r>
          </w:p>
        </w:tc>
        <w:tc>
          <w:tcPr>
            <w:tcW w:w="850" w:type="dxa"/>
            <w:tcBorders>
              <w:top w:val="nil"/>
              <w:left w:val="nil"/>
              <w:bottom w:val="single" w:sz="4" w:space="0" w:color="auto"/>
              <w:right w:val="single" w:sz="4" w:space="0" w:color="auto"/>
            </w:tcBorders>
            <w:shd w:val="clear" w:color="auto" w:fill="auto"/>
            <w:noWrap/>
            <w:vAlign w:val="center"/>
            <w:hideMark/>
          </w:tcPr>
          <w:p w14:paraId="57A39899"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68</w:t>
            </w:r>
          </w:p>
        </w:tc>
        <w:tc>
          <w:tcPr>
            <w:tcW w:w="851" w:type="dxa"/>
            <w:tcBorders>
              <w:top w:val="nil"/>
              <w:left w:val="nil"/>
              <w:bottom w:val="single" w:sz="4" w:space="0" w:color="auto"/>
              <w:right w:val="single" w:sz="4" w:space="0" w:color="auto"/>
            </w:tcBorders>
            <w:shd w:val="clear" w:color="auto" w:fill="auto"/>
            <w:noWrap/>
            <w:vAlign w:val="center"/>
            <w:hideMark/>
          </w:tcPr>
          <w:p w14:paraId="3A220EEF"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80</w:t>
            </w:r>
          </w:p>
        </w:tc>
      </w:tr>
      <w:tr w:rsidR="00E53E70" w:rsidRPr="00EC0FF3" w14:paraId="7A3E580E" w14:textId="77777777" w:rsidTr="006323A4">
        <w:trPr>
          <w:trHeight w:val="289"/>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6C9C7409" w14:textId="77777777" w:rsidR="00EC0FF3" w:rsidRPr="00EC0FF3" w:rsidRDefault="00EC0FF3" w:rsidP="00EC0FF3">
            <w:pPr>
              <w:spacing w:after="0" w:line="240" w:lineRule="auto"/>
              <w:ind w:firstLineChars="100" w:firstLine="160"/>
              <w:rPr>
                <w:rFonts w:cs="Arial"/>
                <w:color w:val="000000"/>
                <w:sz w:val="16"/>
                <w:szCs w:val="16"/>
              </w:rPr>
            </w:pPr>
            <w:r w:rsidRPr="00EC0FF3">
              <w:rPr>
                <w:rFonts w:cs="Arial"/>
                <w:color w:val="000000"/>
                <w:sz w:val="16"/>
                <w:szCs w:val="16"/>
                <w:lang w:eastAsia="en-US"/>
              </w:rPr>
              <w:t>Královéhradecký kraj</w:t>
            </w:r>
          </w:p>
        </w:tc>
        <w:tc>
          <w:tcPr>
            <w:tcW w:w="709" w:type="dxa"/>
            <w:tcBorders>
              <w:top w:val="nil"/>
              <w:left w:val="nil"/>
              <w:bottom w:val="single" w:sz="4" w:space="0" w:color="auto"/>
              <w:right w:val="single" w:sz="4" w:space="0" w:color="auto"/>
            </w:tcBorders>
            <w:shd w:val="clear" w:color="auto" w:fill="auto"/>
            <w:noWrap/>
            <w:vAlign w:val="center"/>
            <w:hideMark/>
          </w:tcPr>
          <w:p w14:paraId="491C72AF"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w:t>
            </w:r>
          </w:p>
        </w:tc>
        <w:tc>
          <w:tcPr>
            <w:tcW w:w="708" w:type="dxa"/>
            <w:tcBorders>
              <w:top w:val="nil"/>
              <w:left w:val="nil"/>
              <w:bottom w:val="single" w:sz="4" w:space="0" w:color="auto"/>
              <w:right w:val="single" w:sz="4" w:space="0" w:color="auto"/>
            </w:tcBorders>
            <w:shd w:val="clear" w:color="auto" w:fill="auto"/>
            <w:noWrap/>
            <w:vAlign w:val="center"/>
            <w:hideMark/>
          </w:tcPr>
          <w:p w14:paraId="63686F53"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0,8</w:t>
            </w:r>
          </w:p>
        </w:tc>
        <w:tc>
          <w:tcPr>
            <w:tcW w:w="709" w:type="dxa"/>
            <w:tcBorders>
              <w:top w:val="nil"/>
              <w:left w:val="nil"/>
              <w:bottom w:val="single" w:sz="4" w:space="0" w:color="auto"/>
              <w:right w:val="single" w:sz="4" w:space="0" w:color="auto"/>
            </w:tcBorders>
            <w:shd w:val="clear" w:color="auto" w:fill="auto"/>
            <w:noWrap/>
            <w:vAlign w:val="center"/>
            <w:hideMark/>
          </w:tcPr>
          <w:p w14:paraId="3883B57E"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1,2</w:t>
            </w:r>
          </w:p>
        </w:tc>
        <w:tc>
          <w:tcPr>
            <w:tcW w:w="709" w:type="dxa"/>
            <w:tcBorders>
              <w:top w:val="nil"/>
              <w:left w:val="nil"/>
              <w:bottom w:val="single" w:sz="4" w:space="0" w:color="auto"/>
              <w:right w:val="single" w:sz="4" w:space="0" w:color="auto"/>
            </w:tcBorders>
            <w:shd w:val="clear" w:color="auto" w:fill="auto"/>
            <w:noWrap/>
            <w:vAlign w:val="center"/>
            <w:hideMark/>
          </w:tcPr>
          <w:p w14:paraId="2FD683A8"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w:t>
            </w:r>
          </w:p>
        </w:tc>
        <w:tc>
          <w:tcPr>
            <w:tcW w:w="709" w:type="dxa"/>
            <w:tcBorders>
              <w:top w:val="nil"/>
              <w:left w:val="nil"/>
              <w:bottom w:val="single" w:sz="4" w:space="0" w:color="auto"/>
              <w:right w:val="single" w:sz="4" w:space="0" w:color="auto"/>
            </w:tcBorders>
            <w:shd w:val="clear" w:color="auto" w:fill="auto"/>
            <w:noWrap/>
            <w:vAlign w:val="center"/>
            <w:hideMark/>
          </w:tcPr>
          <w:p w14:paraId="5385988D"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0,7</w:t>
            </w:r>
          </w:p>
        </w:tc>
        <w:tc>
          <w:tcPr>
            <w:tcW w:w="708" w:type="dxa"/>
            <w:tcBorders>
              <w:top w:val="nil"/>
              <w:left w:val="nil"/>
              <w:bottom w:val="single" w:sz="4" w:space="0" w:color="auto"/>
              <w:right w:val="single" w:sz="4" w:space="0" w:color="auto"/>
            </w:tcBorders>
            <w:shd w:val="clear" w:color="auto" w:fill="auto"/>
            <w:noWrap/>
            <w:vAlign w:val="center"/>
            <w:hideMark/>
          </w:tcPr>
          <w:p w14:paraId="473A2EDE"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0,1</w:t>
            </w:r>
          </w:p>
        </w:tc>
        <w:tc>
          <w:tcPr>
            <w:tcW w:w="851" w:type="dxa"/>
            <w:tcBorders>
              <w:top w:val="nil"/>
              <w:left w:val="nil"/>
              <w:bottom w:val="single" w:sz="4" w:space="0" w:color="auto"/>
              <w:right w:val="single" w:sz="4" w:space="0" w:color="auto"/>
            </w:tcBorders>
            <w:shd w:val="clear" w:color="auto" w:fill="auto"/>
            <w:noWrap/>
            <w:vAlign w:val="center"/>
            <w:hideMark/>
          </w:tcPr>
          <w:p w14:paraId="1E24C5BB"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38</w:t>
            </w:r>
          </w:p>
        </w:tc>
        <w:tc>
          <w:tcPr>
            <w:tcW w:w="709" w:type="dxa"/>
            <w:tcBorders>
              <w:top w:val="nil"/>
              <w:left w:val="nil"/>
              <w:bottom w:val="single" w:sz="4" w:space="0" w:color="auto"/>
              <w:right w:val="single" w:sz="4" w:space="0" w:color="auto"/>
            </w:tcBorders>
            <w:shd w:val="clear" w:color="auto" w:fill="auto"/>
            <w:noWrap/>
            <w:vAlign w:val="center"/>
            <w:hideMark/>
          </w:tcPr>
          <w:p w14:paraId="03C24A90"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0,7</w:t>
            </w:r>
          </w:p>
        </w:tc>
        <w:tc>
          <w:tcPr>
            <w:tcW w:w="850" w:type="dxa"/>
            <w:tcBorders>
              <w:top w:val="nil"/>
              <w:left w:val="nil"/>
              <w:bottom w:val="single" w:sz="4" w:space="0" w:color="auto"/>
              <w:right w:val="single" w:sz="4" w:space="0" w:color="auto"/>
            </w:tcBorders>
            <w:shd w:val="clear" w:color="auto" w:fill="auto"/>
            <w:noWrap/>
            <w:vAlign w:val="center"/>
            <w:hideMark/>
          </w:tcPr>
          <w:p w14:paraId="4FB32F8F"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17</w:t>
            </w:r>
          </w:p>
        </w:tc>
        <w:tc>
          <w:tcPr>
            <w:tcW w:w="851" w:type="dxa"/>
            <w:tcBorders>
              <w:top w:val="nil"/>
              <w:left w:val="nil"/>
              <w:bottom w:val="single" w:sz="4" w:space="0" w:color="auto"/>
              <w:right w:val="single" w:sz="4" w:space="0" w:color="auto"/>
            </w:tcBorders>
            <w:shd w:val="clear" w:color="auto" w:fill="auto"/>
            <w:noWrap/>
            <w:vAlign w:val="center"/>
            <w:hideMark/>
          </w:tcPr>
          <w:p w14:paraId="28345219"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21</w:t>
            </w:r>
          </w:p>
        </w:tc>
      </w:tr>
      <w:tr w:rsidR="00E53E70" w:rsidRPr="00EC0FF3" w14:paraId="1BBF7696" w14:textId="77777777" w:rsidTr="006323A4">
        <w:trPr>
          <w:trHeight w:val="289"/>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44C4FC29" w14:textId="77777777" w:rsidR="00EC0FF3" w:rsidRPr="00EC0FF3" w:rsidRDefault="00EC0FF3" w:rsidP="00EC0FF3">
            <w:pPr>
              <w:spacing w:after="0" w:line="240" w:lineRule="auto"/>
              <w:ind w:firstLineChars="100" w:firstLine="160"/>
              <w:rPr>
                <w:rFonts w:cs="Arial"/>
                <w:color w:val="000000"/>
                <w:sz w:val="16"/>
                <w:szCs w:val="16"/>
              </w:rPr>
            </w:pPr>
            <w:r w:rsidRPr="00EC0FF3">
              <w:rPr>
                <w:rFonts w:cs="Arial"/>
                <w:color w:val="000000"/>
                <w:sz w:val="16"/>
                <w:szCs w:val="16"/>
                <w:lang w:eastAsia="en-US"/>
              </w:rPr>
              <w:t>Pardubický kraj</w:t>
            </w:r>
          </w:p>
        </w:tc>
        <w:tc>
          <w:tcPr>
            <w:tcW w:w="709" w:type="dxa"/>
            <w:tcBorders>
              <w:top w:val="nil"/>
              <w:left w:val="nil"/>
              <w:bottom w:val="single" w:sz="4" w:space="0" w:color="auto"/>
              <w:right w:val="single" w:sz="4" w:space="0" w:color="auto"/>
            </w:tcBorders>
            <w:shd w:val="clear" w:color="auto" w:fill="auto"/>
            <w:noWrap/>
            <w:vAlign w:val="center"/>
            <w:hideMark/>
          </w:tcPr>
          <w:p w14:paraId="540A7A19"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13</w:t>
            </w:r>
          </w:p>
        </w:tc>
        <w:tc>
          <w:tcPr>
            <w:tcW w:w="708" w:type="dxa"/>
            <w:tcBorders>
              <w:top w:val="nil"/>
              <w:left w:val="nil"/>
              <w:bottom w:val="single" w:sz="4" w:space="0" w:color="auto"/>
              <w:right w:val="single" w:sz="4" w:space="0" w:color="auto"/>
            </w:tcBorders>
            <w:shd w:val="clear" w:color="auto" w:fill="auto"/>
            <w:noWrap/>
            <w:vAlign w:val="center"/>
            <w:hideMark/>
          </w:tcPr>
          <w:p w14:paraId="30FAFCAE"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3,6</w:t>
            </w:r>
          </w:p>
        </w:tc>
        <w:tc>
          <w:tcPr>
            <w:tcW w:w="709" w:type="dxa"/>
            <w:tcBorders>
              <w:top w:val="nil"/>
              <w:left w:val="nil"/>
              <w:bottom w:val="single" w:sz="4" w:space="0" w:color="auto"/>
              <w:right w:val="single" w:sz="4" w:space="0" w:color="auto"/>
            </w:tcBorders>
            <w:shd w:val="clear" w:color="auto" w:fill="auto"/>
            <w:noWrap/>
            <w:vAlign w:val="center"/>
            <w:hideMark/>
          </w:tcPr>
          <w:p w14:paraId="27BC72C2"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5,5</w:t>
            </w:r>
          </w:p>
        </w:tc>
        <w:tc>
          <w:tcPr>
            <w:tcW w:w="709" w:type="dxa"/>
            <w:tcBorders>
              <w:top w:val="nil"/>
              <w:left w:val="nil"/>
              <w:bottom w:val="single" w:sz="4" w:space="0" w:color="auto"/>
              <w:right w:val="single" w:sz="4" w:space="0" w:color="auto"/>
            </w:tcBorders>
            <w:shd w:val="clear" w:color="auto" w:fill="auto"/>
            <w:noWrap/>
            <w:vAlign w:val="center"/>
            <w:hideMark/>
          </w:tcPr>
          <w:p w14:paraId="038B4443"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16</w:t>
            </w:r>
          </w:p>
        </w:tc>
        <w:tc>
          <w:tcPr>
            <w:tcW w:w="709" w:type="dxa"/>
            <w:tcBorders>
              <w:top w:val="nil"/>
              <w:left w:val="nil"/>
              <w:bottom w:val="single" w:sz="4" w:space="0" w:color="auto"/>
              <w:right w:val="single" w:sz="4" w:space="0" w:color="auto"/>
            </w:tcBorders>
            <w:shd w:val="clear" w:color="auto" w:fill="auto"/>
            <w:noWrap/>
            <w:vAlign w:val="center"/>
            <w:hideMark/>
          </w:tcPr>
          <w:p w14:paraId="10C67245"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3,8</w:t>
            </w:r>
          </w:p>
        </w:tc>
        <w:tc>
          <w:tcPr>
            <w:tcW w:w="708" w:type="dxa"/>
            <w:tcBorders>
              <w:top w:val="nil"/>
              <w:left w:val="nil"/>
              <w:bottom w:val="single" w:sz="4" w:space="0" w:color="auto"/>
              <w:right w:val="single" w:sz="4" w:space="0" w:color="auto"/>
            </w:tcBorders>
            <w:shd w:val="clear" w:color="auto" w:fill="auto"/>
            <w:noWrap/>
            <w:vAlign w:val="center"/>
            <w:hideMark/>
          </w:tcPr>
          <w:p w14:paraId="281A6FD3"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0,7</w:t>
            </w:r>
          </w:p>
        </w:tc>
        <w:tc>
          <w:tcPr>
            <w:tcW w:w="851" w:type="dxa"/>
            <w:tcBorders>
              <w:top w:val="nil"/>
              <w:left w:val="nil"/>
              <w:bottom w:val="single" w:sz="4" w:space="0" w:color="auto"/>
              <w:right w:val="single" w:sz="4" w:space="0" w:color="auto"/>
            </w:tcBorders>
            <w:shd w:val="clear" w:color="auto" w:fill="auto"/>
            <w:noWrap/>
            <w:vAlign w:val="center"/>
            <w:hideMark/>
          </w:tcPr>
          <w:p w14:paraId="1940B251"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199</w:t>
            </w:r>
          </w:p>
        </w:tc>
        <w:tc>
          <w:tcPr>
            <w:tcW w:w="709" w:type="dxa"/>
            <w:tcBorders>
              <w:top w:val="nil"/>
              <w:left w:val="nil"/>
              <w:bottom w:val="single" w:sz="4" w:space="0" w:color="auto"/>
              <w:right w:val="single" w:sz="4" w:space="0" w:color="auto"/>
            </w:tcBorders>
            <w:shd w:val="clear" w:color="auto" w:fill="auto"/>
            <w:noWrap/>
            <w:vAlign w:val="center"/>
            <w:hideMark/>
          </w:tcPr>
          <w:p w14:paraId="62059DE6"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3,8</w:t>
            </w:r>
          </w:p>
        </w:tc>
        <w:tc>
          <w:tcPr>
            <w:tcW w:w="850" w:type="dxa"/>
            <w:tcBorders>
              <w:top w:val="nil"/>
              <w:left w:val="nil"/>
              <w:bottom w:val="single" w:sz="4" w:space="0" w:color="auto"/>
              <w:right w:val="single" w:sz="4" w:space="0" w:color="auto"/>
            </w:tcBorders>
            <w:shd w:val="clear" w:color="auto" w:fill="auto"/>
            <w:noWrap/>
            <w:vAlign w:val="center"/>
            <w:hideMark/>
          </w:tcPr>
          <w:p w14:paraId="0C875D8B"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78</w:t>
            </w:r>
          </w:p>
        </w:tc>
        <w:tc>
          <w:tcPr>
            <w:tcW w:w="851" w:type="dxa"/>
            <w:tcBorders>
              <w:top w:val="nil"/>
              <w:left w:val="nil"/>
              <w:bottom w:val="single" w:sz="4" w:space="0" w:color="auto"/>
              <w:right w:val="single" w:sz="4" w:space="0" w:color="auto"/>
            </w:tcBorders>
            <w:shd w:val="clear" w:color="auto" w:fill="auto"/>
            <w:noWrap/>
            <w:vAlign w:val="center"/>
            <w:hideMark/>
          </w:tcPr>
          <w:p w14:paraId="401C60EF"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121</w:t>
            </w:r>
          </w:p>
        </w:tc>
      </w:tr>
      <w:tr w:rsidR="00E53E70" w:rsidRPr="00EC0FF3" w14:paraId="75F5EAEB" w14:textId="77777777" w:rsidTr="006323A4">
        <w:trPr>
          <w:trHeight w:val="289"/>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1B351017" w14:textId="77777777" w:rsidR="00EC0FF3" w:rsidRPr="00EC0FF3" w:rsidRDefault="00EC0FF3" w:rsidP="00EC0FF3">
            <w:pPr>
              <w:spacing w:after="0" w:line="240" w:lineRule="auto"/>
              <w:ind w:firstLineChars="100" w:firstLine="160"/>
              <w:rPr>
                <w:rFonts w:cs="Arial"/>
                <w:color w:val="000000"/>
                <w:sz w:val="16"/>
                <w:szCs w:val="16"/>
              </w:rPr>
            </w:pPr>
            <w:r w:rsidRPr="00EC0FF3">
              <w:rPr>
                <w:rFonts w:cs="Arial"/>
                <w:color w:val="000000"/>
                <w:sz w:val="16"/>
                <w:szCs w:val="16"/>
                <w:lang w:eastAsia="en-US"/>
              </w:rPr>
              <w:t>Kraj Vysočina</w:t>
            </w:r>
          </w:p>
        </w:tc>
        <w:tc>
          <w:tcPr>
            <w:tcW w:w="709" w:type="dxa"/>
            <w:tcBorders>
              <w:top w:val="nil"/>
              <w:left w:val="nil"/>
              <w:bottom w:val="single" w:sz="4" w:space="0" w:color="auto"/>
              <w:right w:val="single" w:sz="4" w:space="0" w:color="auto"/>
            </w:tcBorders>
            <w:shd w:val="clear" w:color="auto" w:fill="auto"/>
            <w:noWrap/>
            <w:vAlign w:val="center"/>
            <w:hideMark/>
          </w:tcPr>
          <w:p w14:paraId="5DB713A7"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9</w:t>
            </w:r>
          </w:p>
        </w:tc>
        <w:tc>
          <w:tcPr>
            <w:tcW w:w="708" w:type="dxa"/>
            <w:tcBorders>
              <w:top w:val="nil"/>
              <w:left w:val="nil"/>
              <w:bottom w:val="single" w:sz="4" w:space="0" w:color="auto"/>
              <w:right w:val="single" w:sz="4" w:space="0" w:color="auto"/>
            </w:tcBorders>
            <w:shd w:val="clear" w:color="auto" w:fill="auto"/>
            <w:noWrap/>
            <w:vAlign w:val="center"/>
            <w:hideMark/>
          </w:tcPr>
          <w:p w14:paraId="5379CA94"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2,5</w:t>
            </w:r>
          </w:p>
        </w:tc>
        <w:tc>
          <w:tcPr>
            <w:tcW w:w="709" w:type="dxa"/>
            <w:tcBorders>
              <w:top w:val="nil"/>
              <w:left w:val="nil"/>
              <w:bottom w:val="single" w:sz="4" w:space="0" w:color="auto"/>
              <w:right w:val="single" w:sz="4" w:space="0" w:color="auto"/>
            </w:tcBorders>
            <w:shd w:val="clear" w:color="auto" w:fill="auto"/>
            <w:noWrap/>
            <w:vAlign w:val="center"/>
            <w:hideMark/>
          </w:tcPr>
          <w:p w14:paraId="025D729A"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3,5</w:t>
            </w:r>
          </w:p>
        </w:tc>
        <w:tc>
          <w:tcPr>
            <w:tcW w:w="709" w:type="dxa"/>
            <w:tcBorders>
              <w:top w:val="nil"/>
              <w:left w:val="nil"/>
              <w:bottom w:val="single" w:sz="4" w:space="0" w:color="auto"/>
              <w:right w:val="single" w:sz="4" w:space="0" w:color="auto"/>
            </w:tcBorders>
            <w:shd w:val="clear" w:color="auto" w:fill="auto"/>
            <w:noWrap/>
            <w:vAlign w:val="center"/>
            <w:hideMark/>
          </w:tcPr>
          <w:p w14:paraId="56022176"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9</w:t>
            </w:r>
          </w:p>
        </w:tc>
        <w:tc>
          <w:tcPr>
            <w:tcW w:w="709" w:type="dxa"/>
            <w:tcBorders>
              <w:top w:val="nil"/>
              <w:left w:val="nil"/>
              <w:bottom w:val="single" w:sz="4" w:space="0" w:color="auto"/>
              <w:right w:val="single" w:sz="4" w:space="0" w:color="auto"/>
            </w:tcBorders>
            <w:shd w:val="clear" w:color="auto" w:fill="auto"/>
            <w:noWrap/>
            <w:vAlign w:val="center"/>
            <w:hideMark/>
          </w:tcPr>
          <w:p w14:paraId="2ACA8975"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2,2</w:t>
            </w:r>
          </w:p>
        </w:tc>
        <w:tc>
          <w:tcPr>
            <w:tcW w:w="708" w:type="dxa"/>
            <w:tcBorders>
              <w:top w:val="nil"/>
              <w:left w:val="nil"/>
              <w:bottom w:val="single" w:sz="4" w:space="0" w:color="auto"/>
              <w:right w:val="single" w:sz="4" w:space="0" w:color="auto"/>
            </w:tcBorders>
            <w:shd w:val="clear" w:color="auto" w:fill="auto"/>
            <w:noWrap/>
            <w:vAlign w:val="center"/>
            <w:hideMark/>
          </w:tcPr>
          <w:p w14:paraId="370812F7"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0,4</w:t>
            </w:r>
          </w:p>
        </w:tc>
        <w:tc>
          <w:tcPr>
            <w:tcW w:w="851" w:type="dxa"/>
            <w:tcBorders>
              <w:top w:val="nil"/>
              <w:left w:val="nil"/>
              <w:bottom w:val="single" w:sz="4" w:space="0" w:color="auto"/>
              <w:right w:val="single" w:sz="4" w:space="0" w:color="auto"/>
            </w:tcBorders>
            <w:shd w:val="clear" w:color="auto" w:fill="auto"/>
            <w:noWrap/>
            <w:vAlign w:val="center"/>
            <w:hideMark/>
          </w:tcPr>
          <w:p w14:paraId="4BCC4FD1"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138</w:t>
            </w:r>
          </w:p>
        </w:tc>
        <w:tc>
          <w:tcPr>
            <w:tcW w:w="709" w:type="dxa"/>
            <w:tcBorders>
              <w:top w:val="nil"/>
              <w:left w:val="nil"/>
              <w:bottom w:val="single" w:sz="4" w:space="0" w:color="auto"/>
              <w:right w:val="single" w:sz="4" w:space="0" w:color="auto"/>
            </w:tcBorders>
            <w:shd w:val="clear" w:color="auto" w:fill="auto"/>
            <w:noWrap/>
            <w:vAlign w:val="center"/>
            <w:hideMark/>
          </w:tcPr>
          <w:p w14:paraId="781EE6B4"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2,6</w:t>
            </w:r>
          </w:p>
        </w:tc>
        <w:tc>
          <w:tcPr>
            <w:tcW w:w="850" w:type="dxa"/>
            <w:tcBorders>
              <w:top w:val="nil"/>
              <w:left w:val="nil"/>
              <w:bottom w:val="single" w:sz="4" w:space="0" w:color="auto"/>
              <w:right w:val="single" w:sz="4" w:space="0" w:color="auto"/>
            </w:tcBorders>
            <w:shd w:val="clear" w:color="auto" w:fill="auto"/>
            <w:noWrap/>
            <w:vAlign w:val="center"/>
            <w:hideMark/>
          </w:tcPr>
          <w:p w14:paraId="5485892A"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48</w:t>
            </w:r>
          </w:p>
        </w:tc>
        <w:tc>
          <w:tcPr>
            <w:tcW w:w="851" w:type="dxa"/>
            <w:tcBorders>
              <w:top w:val="nil"/>
              <w:left w:val="nil"/>
              <w:bottom w:val="single" w:sz="4" w:space="0" w:color="auto"/>
              <w:right w:val="single" w:sz="4" w:space="0" w:color="auto"/>
            </w:tcBorders>
            <w:shd w:val="clear" w:color="auto" w:fill="auto"/>
            <w:noWrap/>
            <w:vAlign w:val="center"/>
            <w:hideMark/>
          </w:tcPr>
          <w:p w14:paraId="21EC012D"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90</w:t>
            </w:r>
          </w:p>
        </w:tc>
      </w:tr>
      <w:tr w:rsidR="00E53E70" w:rsidRPr="00EC0FF3" w14:paraId="0DFF0C1C" w14:textId="77777777" w:rsidTr="006323A4">
        <w:trPr>
          <w:trHeight w:val="289"/>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764235D3" w14:textId="77777777" w:rsidR="00EC0FF3" w:rsidRPr="00EC0FF3" w:rsidRDefault="00EC0FF3" w:rsidP="00EC0FF3">
            <w:pPr>
              <w:spacing w:after="0" w:line="240" w:lineRule="auto"/>
              <w:ind w:firstLineChars="100" w:firstLine="160"/>
              <w:rPr>
                <w:rFonts w:cs="Arial"/>
                <w:color w:val="000000"/>
                <w:sz w:val="16"/>
                <w:szCs w:val="16"/>
              </w:rPr>
            </w:pPr>
            <w:r w:rsidRPr="00EC0FF3">
              <w:rPr>
                <w:rFonts w:cs="Arial"/>
                <w:color w:val="000000"/>
                <w:sz w:val="16"/>
                <w:szCs w:val="16"/>
                <w:lang w:eastAsia="en-US"/>
              </w:rPr>
              <w:t>Jihomoravský kraj</w:t>
            </w:r>
          </w:p>
        </w:tc>
        <w:tc>
          <w:tcPr>
            <w:tcW w:w="709" w:type="dxa"/>
            <w:tcBorders>
              <w:top w:val="nil"/>
              <w:left w:val="nil"/>
              <w:bottom w:val="single" w:sz="4" w:space="0" w:color="auto"/>
              <w:right w:val="single" w:sz="4" w:space="0" w:color="auto"/>
            </w:tcBorders>
            <w:shd w:val="clear" w:color="auto" w:fill="auto"/>
            <w:noWrap/>
            <w:vAlign w:val="center"/>
            <w:hideMark/>
          </w:tcPr>
          <w:p w14:paraId="6517D49D"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46</w:t>
            </w:r>
          </w:p>
        </w:tc>
        <w:tc>
          <w:tcPr>
            <w:tcW w:w="708" w:type="dxa"/>
            <w:tcBorders>
              <w:top w:val="nil"/>
              <w:left w:val="nil"/>
              <w:bottom w:val="single" w:sz="4" w:space="0" w:color="auto"/>
              <w:right w:val="single" w:sz="4" w:space="0" w:color="auto"/>
            </w:tcBorders>
            <w:shd w:val="clear" w:color="auto" w:fill="auto"/>
            <w:noWrap/>
            <w:vAlign w:val="center"/>
            <w:hideMark/>
          </w:tcPr>
          <w:p w14:paraId="5E4479B4"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12,7</w:t>
            </w:r>
          </w:p>
        </w:tc>
        <w:tc>
          <w:tcPr>
            <w:tcW w:w="709" w:type="dxa"/>
            <w:tcBorders>
              <w:top w:val="nil"/>
              <w:left w:val="nil"/>
              <w:bottom w:val="single" w:sz="4" w:space="0" w:color="auto"/>
              <w:right w:val="single" w:sz="4" w:space="0" w:color="auto"/>
            </w:tcBorders>
            <w:shd w:val="clear" w:color="auto" w:fill="auto"/>
            <w:noWrap/>
            <w:vAlign w:val="center"/>
            <w:hideMark/>
          </w:tcPr>
          <w:p w14:paraId="03FDD319"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10,0</w:t>
            </w:r>
          </w:p>
        </w:tc>
        <w:tc>
          <w:tcPr>
            <w:tcW w:w="709" w:type="dxa"/>
            <w:tcBorders>
              <w:top w:val="nil"/>
              <w:left w:val="nil"/>
              <w:bottom w:val="single" w:sz="4" w:space="0" w:color="auto"/>
              <w:right w:val="single" w:sz="4" w:space="0" w:color="auto"/>
            </w:tcBorders>
            <w:shd w:val="clear" w:color="auto" w:fill="auto"/>
            <w:noWrap/>
            <w:vAlign w:val="center"/>
            <w:hideMark/>
          </w:tcPr>
          <w:p w14:paraId="3B981E5B"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55</w:t>
            </w:r>
          </w:p>
        </w:tc>
        <w:tc>
          <w:tcPr>
            <w:tcW w:w="709" w:type="dxa"/>
            <w:tcBorders>
              <w:top w:val="nil"/>
              <w:left w:val="nil"/>
              <w:bottom w:val="single" w:sz="4" w:space="0" w:color="auto"/>
              <w:right w:val="single" w:sz="4" w:space="0" w:color="auto"/>
            </w:tcBorders>
            <w:shd w:val="clear" w:color="auto" w:fill="auto"/>
            <w:noWrap/>
            <w:vAlign w:val="center"/>
            <w:hideMark/>
          </w:tcPr>
          <w:p w14:paraId="55D14C58"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13,2</w:t>
            </w:r>
          </w:p>
        </w:tc>
        <w:tc>
          <w:tcPr>
            <w:tcW w:w="708" w:type="dxa"/>
            <w:tcBorders>
              <w:top w:val="nil"/>
              <w:left w:val="nil"/>
              <w:bottom w:val="single" w:sz="4" w:space="0" w:color="auto"/>
              <w:right w:val="single" w:sz="4" w:space="0" w:color="auto"/>
            </w:tcBorders>
            <w:shd w:val="clear" w:color="auto" w:fill="auto"/>
            <w:noWrap/>
            <w:vAlign w:val="center"/>
            <w:hideMark/>
          </w:tcPr>
          <w:p w14:paraId="596AAA27"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1,0</w:t>
            </w:r>
          </w:p>
        </w:tc>
        <w:tc>
          <w:tcPr>
            <w:tcW w:w="851" w:type="dxa"/>
            <w:tcBorders>
              <w:top w:val="nil"/>
              <w:left w:val="nil"/>
              <w:bottom w:val="single" w:sz="4" w:space="0" w:color="auto"/>
              <w:right w:val="single" w:sz="4" w:space="0" w:color="auto"/>
            </w:tcBorders>
            <w:shd w:val="clear" w:color="auto" w:fill="auto"/>
            <w:noWrap/>
            <w:vAlign w:val="center"/>
            <w:hideMark/>
          </w:tcPr>
          <w:p w14:paraId="6C0E805E"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673</w:t>
            </w:r>
          </w:p>
        </w:tc>
        <w:tc>
          <w:tcPr>
            <w:tcW w:w="709" w:type="dxa"/>
            <w:tcBorders>
              <w:top w:val="nil"/>
              <w:left w:val="nil"/>
              <w:bottom w:val="single" w:sz="4" w:space="0" w:color="auto"/>
              <w:right w:val="single" w:sz="4" w:space="0" w:color="auto"/>
            </w:tcBorders>
            <w:shd w:val="clear" w:color="auto" w:fill="auto"/>
            <w:noWrap/>
            <w:vAlign w:val="center"/>
            <w:hideMark/>
          </w:tcPr>
          <w:p w14:paraId="035F8D10"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12,7</w:t>
            </w:r>
          </w:p>
        </w:tc>
        <w:tc>
          <w:tcPr>
            <w:tcW w:w="850" w:type="dxa"/>
            <w:tcBorders>
              <w:top w:val="nil"/>
              <w:left w:val="nil"/>
              <w:bottom w:val="single" w:sz="4" w:space="0" w:color="auto"/>
              <w:right w:val="single" w:sz="4" w:space="0" w:color="auto"/>
            </w:tcBorders>
            <w:shd w:val="clear" w:color="auto" w:fill="auto"/>
            <w:noWrap/>
            <w:vAlign w:val="center"/>
            <w:hideMark/>
          </w:tcPr>
          <w:p w14:paraId="03B35C7C"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246</w:t>
            </w:r>
          </w:p>
        </w:tc>
        <w:tc>
          <w:tcPr>
            <w:tcW w:w="851" w:type="dxa"/>
            <w:tcBorders>
              <w:top w:val="nil"/>
              <w:left w:val="nil"/>
              <w:bottom w:val="single" w:sz="4" w:space="0" w:color="auto"/>
              <w:right w:val="single" w:sz="4" w:space="0" w:color="auto"/>
            </w:tcBorders>
            <w:shd w:val="clear" w:color="auto" w:fill="auto"/>
            <w:noWrap/>
            <w:vAlign w:val="center"/>
            <w:hideMark/>
          </w:tcPr>
          <w:p w14:paraId="12EFA0F8"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427</w:t>
            </w:r>
          </w:p>
        </w:tc>
      </w:tr>
      <w:tr w:rsidR="00E53E70" w:rsidRPr="00EC0FF3" w14:paraId="4F75A377" w14:textId="77777777" w:rsidTr="006323A4">
        <w:trPr>
          <w:trHeight w:val="289"/>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0C8042A0" w14:textId="77777777" w:rsidR="00EC0FF3" w:rsidRPr="00EC0FF3" w:rsidRDefault="00EC0FF3" w:rsidP="00EC0FF3">
            <w:pPr>
              <w:spacing w:after="0" w:line="240" w:lineRule="auto"/>
              <w:ind w:firstLineChars="100" w:firstLine="160"/>
              <w:rPr>
                <w:rFonts w:cs="Arial"/>
                <w:color w:val="000000"/>
                <w:sz w:val="16"/>
                <w:szCs w:val="16"/>
              </w:rPr>
            </w:pPr>
            <w:r w:rsidRPr="00EC0FF3">
              <w:rPr>
                <w:rFonts w:cs="Arial"/>
                <w:color w:val="000000"/>
                <w:sz w:val="16"/>
                <w:szCs w:val="16"/>
                <w:lang w:eastAsia="en-US"/>
              </w:rPr>
              <w:t>Olomoucký kraj</w:t>
            </w:r>
          </w:p>
        </w:tc>
        <w:tc>
          <w:tcPr>
            <w:tcW w:w="709" w:type="dxa"/>
            <w:tcBorders>
              <w:top w:val="nil"/>
              <w:left w:val="nil"/>
              <w:bottom w:val="single" w:sz="4" w:space="0" w:color="auto"/>
              <w:right w:val="single" w:sz="4" w:space="0" w:color="auto"/>
            </w:tcBorders>
            <w:shd w:val="clear" w:color="auto" w:fill="auto"/>
            <w:noWrap/>
            <w:vAlign w:val="center"/>
            <w:hideMark/>
          </w:tcPr>
          <w:p w14:paraId="2F88AD4C"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7</w:t>
            </w:r>
          </w:p>
        </w:tc>
        <w:tc>
          <w:tcPr>
            <w:tcW w:w="708" w:type="dxa"/>
            <w:tcBorders>
              <w:top w:val="nil"/>
              <w:left w:val="nil"/>
              <w:bottom w:val="single" w:sz="4" w:space="0" w:color="auto"/>
              <w:right w:val="single" w:sz="4" w:space="0" w:color="auto"/>
            </w:tcBorders>
            <w:shd w:val="clear" w:color="auto" w:fill="auto"/>
            <w:noWrap/>
            <w:vAlign w:val="center"/>
            <w:hideMark/>
          </w:tcPr>
          <w:p w14:paraId="296D06CA"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1,9</w:t>
            </w:r>
          </w:p>
        </w:tc>
        <w:tc>
          <w:tcPr>
            <w:tcW w:w="709" w:type="dxa"/>
            <w:tcBorders>
              <w:top w:val="nil"/>
              <w:left w:val="nil"/>
              <w:bottom w:val="single" w:sz="4" w:space="0" w:color="auto"/>
              <w:right w:val="single" w:sz="4" w:space="0" w:color="auto"/>
            </w:tcBorders>
            <w:shd w:val="clear" w:color="auto" w:fill="auto"/>
            <w:noWrap/>
            <w:vAlign w:val="center"/>
            <w:hideMark/>
          </w:tcPr>
          <w:p w14:paraId="56AA467A"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2,5</w:t>
            </w:r>
          </w:p>
        </w:tc>
        <w:tc>
          <w:tcPr>
            <w:tcW w:w="709" w:type="dxa"/>
            <w:tcBorders>
              <w:top w:val="nil"/>
              <w:left w:val="nil"/>
              <w:bottom w:val="single" w:sz="4" w:space="0" w:color="auto"/>
              <w:right w:val="single" w:sz="4" w:space="0" w:color="auto"/>
            </w:tcBorders>
            <w:shd w:val="clear" w:color="auto" w:fill="auto"/>
            <w:noWrap/>
            <w:vAlign w:val="center"/>
            <w:hideMark/>
          </w:tcPr>
          <w:p w14:paraId="5D5EA104"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8</w:t>
            </w:r>
          </w:p>
        </w:tc>
        <w:tc>
          <w:tcPr>
            <w:tcW w:w="709" w:type="dxa"/>
            <w:tcBorders>
              <w:top w:val="nil"/>
              <w:left w:val="nil"/>
              <w:bottom w:val="single" w:sz="4" w:space="0" w:color="auto"/>
              <w:right w:val="single" w:sz="4" w:space="0" w:color="auto"/>
            </w:tcBorders>
            <w:shd w:val="clear" w:color="auto" w:fill="auto"/>
            <w:noWrap/>
            <w:vAlign w:val="center"/>
            <w:hideMark/>
          </w:tcPr>
          <w:p w14:paraId="12540979"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1,9</w:t>
            </w:r>
          </w:p>
        </w:tc>
        <w:tc>
          <w:tcPr>
            <w:tcW w:w="708" w:type="dxa"/>
            <w:tcBorders>
              <w:top w:val="nil"/>
              <w:left w:val="nil"/>
              <w:bottom w:val="single" w:sz="4" w:space="0" w:color="auto"/>
              <w:right w:val="single" w:sz="4" w:space="0" w:color="auto"/>
            </w:tcBorders>
            <w:shd w:val="clear" w:color="auto" w:fill="auto"/>
            <w:noWrap/>
            <w:vAlign w:val="center"/>
            <w:hideMark/>
          </w:tcPr>
          <w:p w14:paraId="3CFC1377"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0,3</w:t>
            </w:r>
          </w:p>
        </w:tc>
        <w:tc>
          <w:tcPr>
            <w:tcW w:w="851" w:type="dxa"/>
            <w:tcBorders>
              <w:top w:val="nil"/>
              <w:left w:val="nil"/>
              <w:bottom w:val="single" w:sz="4" w:space="0" w:color="auto"/>
              <w:right w:val="single" w:sz="4" w:space="0" w:color="auto"/>
            </w:tcBorders>
            <w:shd w:val="clear" w:color="auto" w:fill="auto"/>
            <w:noWrap/>
            <w:vAlign w:val="center"/>
            <w:hideMark/>
          </w:tcPr>
          <w:p w14:paraId="2D839206"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98</w:t>
            </w:r>
          </w:p>
        </w:tc>
        <w:tc>
          <w:tcPr>
            <w:tcW w:w="709" w:type="dxa"/>
            <w:tcBorders>
              <w:top w:val="nil"/>
              <w:left w:val="nil"/>
              <w:bottom w:val="single" w:sz="4" w:space="0" w:color="auto"/>
              <w:right w:val="single" w:sz="4" w:space="0" w:color="auto"/>
            </w:tcBorders>
            <w:shd w:val="clear" w:color="auto" w:fill="auto"/>
            <w:noWrap/>
            <w:vAlign w:val="center"/>
            <w:hideMark/>
          </w:tcPr>
          <w:p w14:paraId="2B85C932"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1,9</w:t>
            </w:r>
          </w:p>
        </w:tc>
        <w:tc>
          <w:tcPr>
            <w:tcW w:w="850" w:type="dxa"/>
            <w:tcBorders>
              <w:top w:val="nil"/>
              <w:left w:val="nil"/>
              <w:bottom w:val="single" w:sz="4" w:space="0" w:color="auto"/>
              <w:right w:val="single" w:sz="4" w:space="0" w:color="auto"/>
            </w:tcBorders>
            <w:shd w:val="clear" w:color="auto" w:fill="auto"/>
            <w:noWrap/>
            <w:vAlign w:val="center"/>
            <w:hideMark/>
          </w:tcPr>
          <w:p w14:paraId="468454E9"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35</w:t>
            </w:r>
          </w:p>
        </w:tc>
        <w:tc>
          <w:tcPr>
            <w:tcW w:w="851" w:type="dxa"/>
            <w:tcBorders>
              <w:top w:val="nil"/>
              <w:left w:val="nil"/>
              <w:bottom w:val="single" w:sz="4" w:space="0" w:color="auto"/>
              <w:right w:val="single" w:sz="4" w:space="0" w:color="auto"/>
            </w:tcBorders>
            <w:shd w:val="clear" w:color="auto" w:fill="auto"/>
            <w:noWrap/>
            <w:vAlign w:val="center"/>
            <w:hideMark/>
          </w:tcPr>
          <w:p w14:paraId="5DBA4F00"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63</w:t>
            </w:r>
          </w:p>
        </w:tc>
      </w:tr>
      <w:tr w:rsidR="00E53E70" w:rsidRPr="00EC0FF3" w14:paraId="5429D7CF" w14:textId="77777777" w:rsidTr="006323A4">
        <w:trPr>
          <w:trHeight w:val="289"/>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6F0CFEB8" w14:textId="77777777" w:rsidR="00EC0FF3" w:rsidRPr="00EC0FF3" w:rsidRDefault="00EC0FF3" w:rsidP="00EC0FF3">
            <w:pPr>
              <w:spacing w:after="0" w:line="240" w:lineRule="auto"/>
              <w:ind w:firstLineChars="100" w:firstLine="160"/>
              <w:rPr>
                <w:rFonts w:cs="Arial"/>
                <w:color w:val="000000"/>
                <w:sz w:val="16"/>
                <w:szCs w:val="16"/>
              </w:rPr>
            </w:pPr>
            <w:r w:rsidRPr="00EC0FF3">
              <w:rPr>
                <w:rFonts w:cs="Arial"/>
                <w:color w:val="000000"/>
                <w:sz w:val="16"/>
                <w:szCs w:val="16"/>
                <w:lang w:eastAsia="en-US"/>
              </w:rPr>
              <w:t>Zlínský kraj</w:t>
            </w:r>
          </w:p>
        </w:tc>
        <w:tc>
          <w:tcPr>
            <w:tcW w:w="709" w:type="dxa"/>
            <w:tcBorders>
              <w:top w:val="nil"/>
              <w:left w:val="nil"/>
              <w:bottom w:val="single" w:sz="4" w:space="0" w:color="auto"/>
              <w:right w:val="single" w:sz="4" w:space="0" w:color="auto"/>
            </w:tcBorders>
            <w:shd w:val="clear" w:color="auto" w:fill="auto"/>
            <w:noWrap/>
            <w:vAlign w:val="center"/>
            <w:hideMark/>
          </w:tcPr>
          <w:p w14:paraId="6094C7A9"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11</w:t>
            </w:r>
          </w:p>
        </w:tc>
        <w:tc>
          <w:tcPr>
            <w:tcW w:w="708" w:type="dxa"/>
            <w:tcBorders>
              <w:top w:val="nil"/>
              <w:left w:val="nil"/>
              <w:bottom w:val="single" w:sz="4" w:space="0" w:color="auto"/>
              <w:right w:val="single" w:sz="4" w:space="0" w:color="auto"/>
            </w:tcBorders>
            <w:shd w:val="clear" w:color="auto" w:fill="auto"/>
            <w:noWrap/>
            <w:vAlign w:val="center"/>
            <w:hideMark/>
          </w:tcPr>
          <w:p w14:paraId="46BC911C"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w:t>
            </w:r>
          </w:p>
        </w:tc>
        <w:tc>
          <w:tcPr>
            <w:tcW w:w="709" w:type="dxa"/>
            <w:tcBorders>
              <w:top w:val="nil"/>
              <w:left w:val="nil"/>
              <w:bottom w:val="single" w:sz="4" w:space="0" w:color="auto"/>
              <w:right w:val="single" w:sz="4" w:space="0" w:color="auto"/>
            </w:tcBorders>
            <w:shd w:val="clear" w:color="auto" w:fill="auto"/>
            <w:noWrap/>
            <w:vAlign w:val="center"/>
            <w:hideMark/>
          </w:tcPr>
          <w:p w14:paraId="4B17BC88"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4,5</w:t>
            </w:r>
          </w:p>
        </w:tc>
        <w:tc>
          <w:tcPr>
            <w:tcW w:w="709" w:type="dxa"/>
            <w:tcBorders>
              <w:top w:val="nil"/>
              <w:left w:val="nil"/>
              <w:bottom w:val="single" w:sz="4" w:space="0" w:color="auto"/>
              <w:right w:val="single" w:sz="4" w:space="0" w:color="auto"/>
            </w:tcBorders>
            <w:shd w:val="clear" w:color="auto" w:fill="auto"/>
            <w:noWrap/>
            <w:vAlign w:val="center"/>
            <w:hideMark/>
          </w:tcPr>
          <w:p w14:paraId="68A893AE"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11</w:t>
            </w:r>
          </w:p>
        </w:tc>
        <w:tc>
          <w:tcPr>
            <w:tcW w:w="709" w:type="dxa"/>
            <w:tcBorders>
              <w:top w:val="nil"/>
              <w:left w:val="nil"/>
              <w:bottom w:val="single" w:sz="4" w:space="0" w:color="auto"/>
              <w:right w:val="single" w:sz="4" w:space="0" w:color="auto"/>
            </w:tcBorders>
            <w:shd w:val="clear" w:color="auto" w:fill="auto"/>
            <w:noWrap/>
            <w:vAlign w:val="center"/>
            <w:hideMark/>
          </w:tcPr>
          <w:p w14:paraId="26367818"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2,6</w:t>
            </w:r>
          </w:p>
        </w:tc>
        <w:tc>
          <w:tcPr>
            <w:tcW w:w="708" w:type="dxa"/>
            <w:tcBorders>
              <w:top w:val="nil"/>
              <w:left w:val="nil"/>
              <w:bottom w:val="single" w:sz="4" w:space="0" w:color="auto"/>
              <w:right w:val="single" w:sz="4" w:space="0" w:color="auto"/>
            </w:tcBorders>
            <w:shd w:val="clear" w:color="auto" w:fill="auto"/>
            <w:noWrap/>
            <w:vAlign w:val="center"/>
            <w:hideMark/>
          </w:tcPr>
          <w:p w14:paraId="12A9EA31"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0,4</w:t>
            </w:r>
          </w:p>
        </w:tc>
        <w:tc>
          <w:tcPr>
            <w:tcW w:w="851" w:type="dxa"/>
            <w:tcBorders>
              <w:top w:val="nil"/>
              <w:left w:val="nil"/>
              <w:bottom w:val="single" w:sz="4" w:space="0" w:color="auto"/>
              <w:right w:val="single" w:sz="4" w:space="0" w:color="auto"/>
            </w:tcBorders>
            <w:shd w:val="clear" w:color="auto" w:fill="auto"/>
            <w:noWrap/>
            <w:vAlign w:val="center"/>
            <w:hideMark/>
          </w:tcPr>
          <w:p w14:paraId="1B8A197E"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120</w:t>
            </w:r>
          </w:p>
        </w:tc>
        <w:tc>
          <w:tcPr>
            <w:tcW w:w="709" w:type="dxa"/>
            <w:tcBorders>
              <w:top w:val="nil"/>
              <w:left w:val="nil"/>
              <w:bottom w:val="single" w:sz="4" w:space="0" w:color="auto"/>
              <w:right w:val="single" w:sz="4" w:space="0" w:color="auto"/>
            </w:tcBorders>
            <w:shd w:val="clear" w:color="auto" w:fill="auto"/>
            <w:noWrap/>
            <w:vAlign w:val="center"/>
            <w:hideMark/>
          </w:tcPr>
          <w:p w14:paraId="1C00B963"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2,3</w:t>
            </w:r>
          </w:p>
        </w:tc>
        <w:tc>
          <w:tcPr>
            <w:tcW w:w="850" w:type="dxa"/>
            <w:tcBorders>
              <w:top w:val="nil"/>
              <w:left w:val="nil"/>
              <w:bottom w:val="single" w:sz="4" w:space="0" w:color="auto"/>
              <w:right w:val="single" w:sz="4" w:space="0" w:color="auto"/>
            </w:tcBorders>
            <w:shd w:val="clear" w:color="auto" w:fill="auto"/>
            <w:noWrap/>
            <w:vAlign w:val="center"/>
            <w:hideMark/>
          </w:tcPr>
          <w:p w14:paraId="62D4D0CC"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38</w:t>
            </w:r>
          </w:p>
        </w:tc>
        <w:tc>
          <w:tcPr>
            <w:tcW w:w="851" w:type="dxa"/>
            <w:tcBorders>
              <w:top w:val="nil"/>
              <w:left w:val="nil"/>
              <w:bottom w:val="single" w:sz="4" w:space="0" w:color="auto"/>
              <w:right w:val="single" w:sz="4" w:space="0" w:color="auto"/>
            </w:tcBorders>
            <w:shd w:val="clear" w:color="auto" w:fill="auto"/>
            <w:noWrap/>
            <w:vAlign w:val="center"/>
            <w:hideMark/>
          </w:tcPr>
          <w:p w14:paraId="195B070A"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82</w:t>
            </w:r>
          </w:p>
        </w:tc>
      </w:tr>
      <w:tr w:rsidR="00E53E70" w:rsidRPr="00EC0FF3" w14:paraId="5ACDF18B" w14:textId="77777777" w:rsidTr="006323A4">
        <w:trPr>
          <w:trHeight w:val="289"/>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6448FD7C" w14:textId="77777777" w:rsidR="00EC0FF3" w:rsidRPr="00EC0FF3" w:rsidRDefault="00EC0FF3" w:rsidP="00EC0FF3">
            <w:pPr>
              <w:spacing w:after="0" w:line="240" w:lineRule="auto"/>
              <w:ind w:firstLineChars="100" w:firstLine="160"/>
              <w:rPr>
                <w:rFonts w:cs="Arial"/>
                <w:color w:val="000000"/>
                <w:sz w:val="16"/>
                <w:szCs w:val="16"/>
              </w:rPr>
            </w:pPr>
            <w:r w:rsidRPr="00EC0FF3">
              <w:rPr>
                <w:rFonts w:cs="Arial"/>
                <w:color w:val="000000"/>
                <w:sz w:val="16"/>
                <w:szCs w:val="16"/>
                <w:lang w:eastAsia="en-US"/>
              </w:rPr>
              <w:t>Moravskoslezský kraj</w:t>
            </w:r>
          </w:p>
        </w:tc>
        <w:tc>
          <w:tcPr>
            <w:tcW w:w="709" w:type="dxa"/>
            <w:tcBorders>
              <w:top w:val="nil"/>
              <w:left w:val="nil"/>
              <w:bottom w:val="single" w:sz="4" w:space="0" w:color="auto"/>
              <w:right w:val="single" w:sz="4" w:space="0" w:color="auto"/>
            </w:tcBorders>
            <w:shd w:val="clear" w:color="auto" w:fill="auto"/>
            <w:noWrap/>
            <w:vAlign w:val="center"/>
            <w:hideMark/>
          </w:tcPr>
          <w:p w14:paraId="5F315D5B"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28</w:t>
            </w:r>
          </w:p>
        </w:tc>
        <w:tc>
          <w:tcPr>
            <w:tcW w:w="708" w:type="dxa"/>
            <w:tcBorders>
              <w:top w:val="nil"/>
              <w:left w:val="nil"/>
              <w:bottom w:val="single" w:sz="4" w:space="0" w:color="auto"/>
              <w:right w:val="single" w:sz="4" w:space="0" w:color="auto"/>
            </w:tcBorders>
            <w:shd w:val="clear" w:color="auto" w:fill="auto"/>
            <w:noWrap/>
            <w:vAlign w:val="center"/>
            <w:hideMark/>
          </w:tcPr>
          <w:p w14:paraId="03D747B3"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7,7</w:t>
            </w:r>
          </w:p>
        </w:tc>
        <w:tc>
          <w:tcPr>
            <w:tcW w:w="709" w:type="dxa"/>
            <w:tcBorders>
              <w:top w:val="nil"/>
              <w:left w:val="nil"/>
              <w:bottom w:val="single" w:sz="4" w:space="0" w:color="auto"/>
              <w:right w:val="single" w:sz="4" w:space="0" w:color="auto"/>
            </w:tcBorders>
            <w:shd w:val="clear" w:color="auto" w:fill="auto"/>
            <w:noWrap/>
            <w:vAlign w:val="center"/>
            <w:hideMark/>
          </w:tcPr>
          <w:p w14:paraId="74E6571F"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6,8</w:t>
            </w:r>
          </w:p>
        </w:tc>
        <w:tc>
          <w:tcPr>
            <w:tcW w:w="709" w:type="dxa"/>
            <w:tcBorders>
              <w:top w:val="nil"/>
              <w:left w:val="nil"/>
              <w:bottom w:val="single" w:sz="4" w:space="0" w:color="auto"/>
              <w:right w:val="single" w:sz="4" w:space="0" w:color="auto"/>
            </w:tcBorders>
            <w:shd w:val="clear" w:color="auto" w:fill="auto"/>
            <w:noWrap/>
            <w:vAlign w:val="center"/>
            <w:hideMark/>
          </w:tcPr>
          <w:p w14:paraId="43A929D6"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29</w:t>
            </w:r>
          </w:p>
        </w:tc>
        <w:tc>
          <w:tcPr>
            <w:tcW w:w="709" w:type="dxa"/>
            <w:tcBorders>
              <w:top w:val="nil"/>
              <w:left w:val="nil"/>
              <w:bottom w:val="single" w:sz="4" w:space="0" w:color="auto"/>
              <w:right w:val="single" w:sz="4" w:space="0" w:color="auto"/>
            </w:tcBorders>
            <w:shd w:val="clear" w:color="auto" w:fill="auto"/>
            <w:noWrap/>
            <w:vAlign w:val="center"/>
            <w:hideMark/>
          </w:tcPr>
          <w:p w14:paraId="4BB6CE09"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7</w:t>
            </w:r>
          </w:p>
        </w:tc>
        <w:tc>
          <w:tcPr>
            <w:tcW w:w="708" w:type="dxa"/>
            <w:tcBorders>
              <w:top w:val="nil"/>
              <w:left w:val="nil"/>
              <w:bottom w:val="single" w:sz="4" w:space="0" w:color="auto"/>
              <w:right w:val="single" w:sz="4" w:space="0" w:color="auto"/>
            </w:tcBorders>
            <w:shd w:val="clear" w:color="auto" w:fill="auto"/>
            <w:noWrap/>
            <w:vAlign w:val="center"/>
            <w:hideMark/>
          </w:tcPr>
          <w:p w14:paraId="3F0AFA33"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0,6</w:t>
            </w:r>
          </w:p>
        </w:tc>
        <w:tc>
          <w:tcPr>
            <w:tcW w:w="851" w:type="dxa"/>
            <w:tcBorders>
              <w:top w:val="nil"/>
              <w:left w:val="nil"/>
              <w:bottom w:val="single" w:sz="4" w:space="0" w:color="auto"/>
              <w:right w:val="single" w:sz="4" w:space="0" w:color="auto"/>
            </w:tcBorders>
            <w:shd w:val="clear" w:color="auto" w:fill="auto"/>
            <w:noWrap/>
            <w:vAlign w:val="center"/>
            <w:hideMark/>
          </w:tcPr>
          <w:p w14:paraId="232D4295"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366</w:t>
            </w:r>
          </w:p>
        </w:tc>
        <w:tc>
          <w:tcPr>
            <w:tcW w:w="709" w:type="dxa"/>
            <w:tcBorders>
              <w:top w:val="nil"/>
              <w:left w:val="nil"/>
              <w:bottom w:val="single" w:sz="4" w:space="0" w:color="auto"/>
              <w:right w:val="single" w:sz="4" w:space="0" w:color="auto"/>
            </w:tcBorders>
            <w:shd w:val="clear" w:color="auto" w:fill="auto"/>
            <w:noWrap/>
            <w:vAlign w:val="center"/>
            <w:hideMark/>
          </w:tcPr>
          <w:p w14:paraId="1A600F9E"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6,9</w:t>
            </w:r>
          </w:p>
        </w:tc>
        <w:tc>
          <w:tcPr>
            <w:tcW w:w="850" w:type="dxa"/>
            <w:tcBorders>
              <w:top w:val="nil"/>
              <w:left w:val="nil"/>
              <w:bottom w:val="single" w:sz="4" w:space="0" w:color="auto"/>
              <w:right w:val="single" w:sz="4" w:space="0" w:color="auto"/>
            </w:tcBorders>
            <w:shd w:val="clear" w:color="auto" w:fill="auto"/>
            <w:noWrap/>
            <w:vAlign w:val="center"/>
            <w:hideMark/>
          </w:tcPr>
          <w:p w14:paraId="7243F0CB"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139</w:t>
            </w:r>
          </w:p>
        </w:tc>
        <w:tc>
          <w:tcPr>
            <w:tcW w:w="851" w:type="dxa"/>
            <w:tcBorders>
              <w:top w:val="nil"/>
              <w:left w:val="nil"/>
              <w:bottom w:val="single" w:sz="4" w:space="0" w:color="auto"/>
              <w:right w:val="single" w:sz="4" w:space="0" w:color="auto"/>
            </w:tcBorders>
            <w:shd w:val="clear" w:color="auto" w:fill="auto"/>
            <w:noWrap/>
            <w:vAlign w:val="center"/>
            <w:hideMark/>
          </w:tcPr>
          <w:p w14:paraId="33799821" w14:textId="77777777" w:rsidR="00EC0FF3" w:rsidRPr="00EC0FF3" w:rsidRDefault="00EC0FF3" w:rsidP="00EC0FF3">
            <w:pPr>
              <w:spacing w:after="0" w:line="240" w:lineRule="auto"/>
              <w:jc w:val="right"/>
              <w:rPr>
                <w:rFonts w:cs="Arial"/>
                <w:color w:val="000000"/>
                <w:sz w:val="16"/>
                <w:szCs w:val="16"/>
              </w:rPr>
            </w:pPr>
            <w:r w:rsidRPr="00EC0FF3">
              <w:rPr>
                <w:rFonts w:cs="Arial"/>
                <w:color w:val="000000"/>
                <w:sz w:val="16"/>
                <w:szCs w:val="16"/>
              </w:rPr>
              <w:t>227</w:t>
            </w:r>
          </w:p>
        </w:tc>
      </w:tr>
    </w:tbl>
    <w:p w14:paraId="7EF2B68E" w14:textId="7CA9E21B" w:rsidR="00A67C12" w:rsidRPr="009F420E" w:rsidRDefault="00A67C12" w:rsidP="00897878">
      <w:pPr>
        <w:keepNext/>
        <w:spacing w:before="120" w:after="0"/>
        <w:jc w:val="both"/>
        <w:rPr>
          <w:rFonts w:cs="Arial"/>
          <w:sz w:val="16"/>
        </w:rPr>
      </w:pPr>
      <w:r w:rsidRPr="009F420E">
        <w:rPr>
          <w:rFonts w:cs="Arial"/>
          <w:sz w:val="16"/>
          <w:vertAlign w:val="superscript"/>
        </w:rPr>
        <w:t>1)</w:t>
      </w:r>
      <w:r w:rsidRPr="009F420E">
        <w:rPr>
          <w:rFonts w:cs="Arial"/>
          <w:sz w:val="16"/>
        </w:rPr>
        <w:t xml:space="preserve"> Podíl na celkovém počtu základních škol </w:t>
      </w:r>
      <w:r w:rsidR="00EC0FF3">
        <w:rPr>
          <w:rFonts w:cs="Arial"/>
          <w:sz w:val="16"/>
        </w:rPr>
        <w:t xml:space="preserve">běžných </w:t>
      </w:r>
      <w:r w:rsidRPr="009F420E">
        <w:rPr>
          <w:rFonts w:cs="Arial"/>
          <w:sz w:val="16"/>
        </w:rPr>
        <w:t>v daném kraji</w:t>
      </w:r>
    </w:p>
    <w:p w14:paraId="405252E8" w14:textId="69D881A1" w:rsidR="00A67C12" w:rsidRPr="009F420E" w:rsidRDefault="00A67C12" w:rsidP="006B6F44">
      <w:pPr>
        <w:keepNext/>
        <w:spacing w:after="0"/>
        <w:jc w:val="both"/>
        <w:rPr>
          <w:rFonts w:cs="Arial"/>
          <w:sz w:val="16"/>
        </w:rPr>
      </w:pPr>
      <w:r w:rsidRPr="009F420E">
        <w:rPr>
          <w:rFonts w:cs="Arial"/>
          <w:sz w:val="16"/>
          <w:vertAlign w:val="superscript"/>
        </w:rPr>
        <w:t>2)</w:t>
      </w:r>
      <w:r w:rsidRPr="009F420E">
        <w:rPr>
          <w:rFonts w:cs="Arial"/>
          <w:sz w:val="16"/>
        </w:rPr>
        <w:t xml:space="preserve"> Podíl na celkovém počtu tříd v základních školách </w:t>
      </w:r>
      <w:r w:rsidR="00EC0FF3">
        <w:rPr>
          <w:rFonts w:cs="Arial"/>
          <w:sz w:val="16"/>
        </w:rPr>
        <w:t xml:space="preserve">běžných </w:t>
      </w:r>
      <w:r w:rsidRPr="009F420E">
        <w:rPr>
          <w:rFonts w:cs="Arial"/>
          <w:sz w:val="16"/>
        </w:rPr>
        <w:t>v daném kraji</w:t>
      </w:r>
    </w:p>
    <w:p w14:paraId="1EA46F05" w14:textId="5432968B" w:rsidR="0028505C" w:rsidRPr="00F708F5" w:rsidRDefault="00CF27F9" w:rsidP="00A2415A">
      <w:pPr>
        <w:spacing w:after="120"/>
        <w:jc w:val="both"/>
        <w:rPr>
          <w:rFonts w:cs="Arial"/>
          <w:sz w:val="18"/>
        </w:rPr>
      </w:pPr>
      <w:r>
        <w:rPr>
          <w:rFonts w:cs="Arial"/>
          <w:sz w:val="18"/>
        </w:rPr>
        <w:t xml:space="preserve">                                                                                                                                                </w:t>
      </w:r>
      <w:r w:rsidR="00A67C12" w:rsidRPr="00F94849">
        <w:rPr>
          <w:rFonts w:cs="Arial"/>
          <w:sz w:val="18"/>
        </w:rPr>
        <w:t>Zdroj: ČSÚ</w:t>
      </w:r>
      <w:r w:rsidR="00A67C12" w:rsidRPr="00F94849">
        <w:rPr>
          <w:rFonts w:cs="Arial"/>
          <w:noProof/>
        </w:rPr>
        <w:t xml:space="preserve"> </w:t>
      </w:r>
      <w:r w:rsidR="00A67C12" w:rsidRPr="00307699">
        <w:rPr>
          <w:rFonts w:cs="Arial"/>
          <w:sz w:val="18"/>
        </w:rPr>
        <w:t>podle údajů MŠMT</w:t>
      </w:r>
    </w:p>
    <w:p w14:paraId="510D527F" w14:textId="6C94F91B" w:rsidR="0028505C" w:rsidRDefault="0028505C" w:rsidP="00A2415A">
      <w:pPr>
        <w:spacing w:after="120"/>
        <w:jc w:val="both"/>
        <w:rPr>
          <w:rFonts w:cs="Arial"/>
          <w:szCs w:val="20"/>
        </w:rPr>
      </w:pPr>
      <w:r>
        <w:rPr>
          <w:rFonts w:cs="Arial"/>
          <w:szCs w:val="20"/>
        </w:rPr>
        <w:t>Přípravné třídy byly ve školním roce 2021/22 častěji zřízeny v základních školách veřejného zřizovatele (disponovalo jimi 9,6 %</w:t>
      </w:r>
      <w:r w:rsidR="00F708F5">
        <w:rPr>
          <w:rFonts w:cs="Arial"/>
          <w:szCs w:val="20"/>
        </w:rPr>
        <w:t xml:space="preserve"> běžných škol) než ve školách s církevním zřizovatelem (na 7,7 % běžných škol) a zejména zřizovatelem soukromým (na 3,6 % běžných škol).</w:t>
      </w:r>
      <w:r>
        <w:rPr>
          <w:rFonts w:cs="Arial"/>
          <w:szCs w:val="20"/>
        </w:rPr>
        <w:t xml:space="preserve"> </w:t>
      </w:r>
    </w:p>
    <w:p w14:paraId="0ECE5146" w14:textId="1DDE0751" w:rsidR="00F708F5" w:rsidRDefault="00AD4BEB" w:rsidP="00A2415A">
      <w:pPr>
        <w:spacing w:after="120"/>
        <w:jc w:val="both"/>
        <w:rPr>
          <w:rFonts w:cs="Arial"/>
          <w:szCs w:val="20"/>
        </w:rPr>
      </w:pPr>
      <w:r>
        <w:rPr>
          <w:rFonts w:cs="Arial"/>
          <w:szCs w:val="20"/>
        </w:rPr>
        <w:t>Jak bylo již zmíněno, v</w:t>
      </w:r>
      <w:r w:rsidR="00A67C12" w:rsidRPr="00CC729A">
        <w:rPr>
          <w:rFonts w:cs="Arial"/>
          <w:szCs w:val="20"/>
        </w:rPr>
        <w:t xml:space="preserve"> </w:t>
      </w:r>
      <w:r w:rsidR="00A67C12" w:rsidRPr="00CC1230">
        <w:rPr>
          <w:rFonts w:cs="Arial"/>
          <w:b/>
          <w:szCs w:val="20"/>
        </w:rPr>
        <w:t>základních školách speciálních</w:t>
      </w:r>
      <w:r>
        <w:rPr>
          <w:rFonts w:cs="Arial"/>
          <w:szCs w:val="20"/>
        </w:rPr>
        <w:t xml:space="preserve"> je žákům k dispozici</w:t>
      </w:r>
      <w:r w:rsidR="00A67C12">
        <w:rPr>
          <w:rFonts w:cs="Arial"/>
          <w:szCs w:val="20"/>
        </w:rPr>
        <w:t xml:space="preserve"> </w:t>
      </w:r>
      <w:r w:rsidR="00A67C12" w:rsidRPr="00CC729A">
        <w:rPr>
          <w:rFonts w:cs="Arial"/>
          <w:szCs w:val="20"/>
        </w:rPr>
        <w:t xml:space="preserve">tzv. </w:t>
      </w:r>
      <w:r w:rsidR="00A67C12" w:rsidRPr="00CC1230">
        <w:rPr>
          <w:rFonts w:cs="Arial"/>
          <w:b/>
          <w:szCs w:val="20"/>
        </w:rPr>
        <w:t>přípravný stupeň</w:t>
      </w:r>
      <w:r w:rsidR="00A67C12" w:rsidRPr="00A2415A">
        <w:rPr>
          <w:rFonts w:cs="Arial"/>
          <w:szCs w:val="20"/>
        </w:rPr>
        <w:t>.</w:t>
      </w:r>
      <w:r w:rsidR="00A67C12" w:rsidRPr="00CC729A">
        <w:rPr>
          <w:rFonts w:cs="Arial"/>
          <w:szCs w:val="20"/>
        </w:rPr>
        <w:t xml:space="preserve"> Ten připravuje na povinnou školní docházku děti se středně těžkým a těžkým mentálním postižením, se souběžným postižením více vadami nebo s</w:t>
      </w:r>
      <w:r w:rsidR="00DF4FB7">
        <w:rPr>
          <w:rFonts w:cs="Arial"/>
          <w:szCs w:val="20"/>
        </w:rPr>
        <w:t> poruchami autistického spektra</w:t>
      </w:r>
      <w:r w:rsidR="00A67C12" w:rsidRPr="00CC729A">
        <w:rPr>
          <w:rFonts w:cs="Arial"/>
          <w:szCs w:val="20"/>
        </w:rPr>
        <w:t>. Dítě může být přijato nejd</w:t>
      </w:r>
      <w:r w:rsidR="00973ED6">
        <w:rPr>
          <w:rFonts w:cs="Arial"/>
          <w:szCs w:val="20"/>
        </w:rPr>
        <w:t>říve ve věku pěti let, a to i </w:t>
      </w:r>
      <w:r w:rsidR="00FF23D7">
        <w:rPr>
          <w:rFonts w:cs="Arial"/>
          <w:szCs w:val="20"/>
        </w:rPr>
        <w:t>v </w:t>
      </w:r>
      <w:r w:rsidR="00A67C12" w:rsidRPr="00CC729A">
        <w:rPr>
          <w:rFonts w:cs="Arial"/>
          <w:szCs w:val="20"/>
        </w:rPr>
        <w:t>průběhu školního roku. Na přípravném stupni setrvává až do zahájení povinné školní docházky, přičemž jeho docházka do přípravného stupně nesmí přesáhnout tři školní roky.</w:t>
      </w:r>
      <w:r w:rsidR="00A67C12">
        <w:rPr>
          <w:rFonts w:cs="Arial"/>
          <w:szCs w:val="20"/>
        </w:rPr>
        <w:t xml:space="preserve"> </w:t>
      </w:r>
      <w:r w:rsidR="00A67C12" w:rsidRPr="005C2717">
        <w:rPr>
          <w:rFonts w:cs="Arial"/>
          <w:szCs w:val="20"/>
        </w:rPr>
        <w:t>Vzdělávání v přípravném stupni základních škol spe</w:t>
      </w:r>
      <w:r w:rsidR="00D265CF">
        <w:rPr>
          <w:rFonts w:cs="Arial"/>
          <w:szCs w:val="20"/>
        </w:rPr>
        <w:t>ciálních se ve školním roce 2021/22</w:t>
      </w:r>
      <w:r w:rsidR="00A67C12" w:rsidRPr="005C2717">
        <w:rPr>
          <w:rFonts w:cs="Arial"/>
          <w:szCs w:val="20"/>
        </w:rPr>
        <w:t xml:space="preserve"> účastnilo celkem </w:t>
      </w:r>
      <w:r w:rsidR="00D265CF">
        <w:rPr>
          <w:rFonts w:cs="Arial"/>
          <w:b/>
          <w:szCs w:val="20"/>
        </w:rPr>
        <w:t>210</w:t>
      </w:r>
      <w:r w:rsidR="00A67C12" w:rsidRPr="00CC1230">
        <w:rPr>
          <w:rFonts w:cs="Arial"/>
          <w:b/>
          <w:szCs w:val="20"/>
        </w:rPr>
        <w:t xml:space="preserve"> dětí</w:t>
      </w:r>
      <w:r w:rsidR="00D265CF">
        <w:rPr>
          <w:rFonts w:cs="Arial"/>
          <w:szCs w:val="20"/>
        </w:rPr>
        <w:t xml:space="preserve"> a z toho 70</w:t>
      </w:r>
      <w:r w:rsidR="00A67C12" w:rsidRPr="005C2717">
        <w:rPr>
          <w:rFonts w:cs="Arial"/>
          <w:szCs w:val="20"/>
        </w:rPr>
        <w:t xml:space="preserve"> % chlapců. Na jednoho učitele zde </w:t>
      </w:r>
      <w:r w:rsidR="00A67C12">
        <w:rPr>
          <w:rFonts w:cs="Arial"/>
          <w:szCs w:val="20"/>
        </w:rPr>
        <w:t xml:space="preserve">v průměru </w:t>
      </w:r>
      <w:r w:rsidR="009B682E">
        <w:rPr>
          <w:rFonts w:cs="Arial"/>
          <w:szCs w:val="20"/>
        </w:rPr>
        <w:t>připadalo 5,3</w:t>
      </w:r>
      <w:r w:rsidR="002B3A9F">
        <w:rPr>
          <w:rFonts w:cs="Arial"/>
          <w:szCs w:val="20"/>
        </w:rPr>
        <w:t xml:space="preserve"> dítěte</w:t>
      </w:r>
      <w:r w:rsidR="00A67C12" w:rsidRPr="005C2717">
        <w:rPr>
          <w:rFonts w:cs="Arial"/>
          <w:szCs w:val="20"/>
        </w:rPr>
        <w:t>.</w:t>
      </w:r>
      <w:bookmarkEnd w:id="0"/>
      <w:r w:rsidR="00F708F5">
        <w:rPr>
          <w:rFonts w:cs="Arial"/>
          <w:szCs w:val="20"/>
        </w:rPr>
        <w:t xml:space="preserve"> Přípravným stupněm disponovalo 9,2 % </w:t>
      </w:r>
      <w:r w:rsidR="00F708F5">
        <w:rPr>
          <w:rFonts w:cs="Arial"/>
          <w:szCs w:val="20"/>
        </w:rPr>
        <w:lastRenderedPageBreak/>
        <w:t>veřejných škol určených výhradně pro žáky se SVP (tj. se speciálními vzdělávacími potřebami), neboli 26 z 283. Ze škol pro žáky se SVP se soukromým zřizovatelem přípravné třídy zahrnovaly dvě školy z 29, tj. 6,9 % a ze škol pro žáky se SVP s církevním zřizovatelem pak 6 škol z 9, tj. dvě třetiny.</w:t>
      </w:r>
    </w:p>
    <w:p w14:paraId="2CE2ABD8" w14:textId="0BD79401" w:rsidR="00AD4BEB" w:rsidRDefault="00AD4BEB" w:rsidP="00AD4BEB">
      <w:pPr>
        <w:spacing w:after="120"/>
        <w:jc w:val="both"/>
        <w:rPr>
          <w:rFonts w:cs="Arial"/>
          <w:szCs w:val="20"/>
        </w:rPr>
      </w:pPr>
      <w:r>
        <w:rPr>
          <w:rFonts w:cstheme="minorHAnsi"/>
        </w:rPr>
        <w:t>Graf</w:t>
      </w:r>
      <w:r w:rsidRPr="00AE2AE2">
        <w:rPr>
          <w:rFonts w:cstheme="minorHAnsi"/>
        </w:rPr>
        <w:t xml:space="preserve"> </w:t>
      </w:r>
      <w:r w:rsidR="00150D28">
        <w:rPr>
          <w:rFonts w:cstheme="minorHAnsi"/>
        </w:rPr>
        <w:t>1.2</w:t>
      </w:r>
      <w:r w:rsidR="0041531C">
        <w:rPr>
          <w:rFonts w:cstheme="minorHAnsi"/>
        </w:rPr>
        <w:t>4</w:t>
      </w:r>
      <w:r>
        <w:rPr>
          <w:rFonts w:cstheme="minorHAnsi"/>
        </w:rPr>
        <w:t xml:space="preserve"> </w:t>
      </w:r>
      <w:r w:rsidRPr="00AE2AE2">
        <w:rPr>
          <w:rFonts w:cstheme="minorHAnsi"/>
        </w:rPr>
        <w:t>představ</w:t>
      </w:r>
      <w:r>
        <w:rPr>
          <w:rFonts w:cstheme="minorHAnsi"/>
        </w:rPr>
        <w:t xml:space="preserve">uje vývoj počtu a podílu </w:t>
      </w:r>
      <w:r w:rsidRPr="00AE2AE2">
        <w:rPr>
          <w:rFonts w:cstheme="minorHAnsi"/>
        </w:rPr>
        <w:t xml:space="preserve">šestiletých a starších </w:t>
      </w:r>
      <w:r>
        <w:rPr>
          <w:rFonts w:cstheme="minorHAnsi"/>
        </w:rPr>
        <w:t>dětí z celkového počtu dětí v předškolním vzdělávání</w:t>
      </w:r>
      <w:r w:rsidRPr="00AE2AE2">
        <w:rPr>
          <w:rFonts w:cstheme="minorHAnsi"/>
        </w:rPr>
        <w:t>, a to ať už jsou zapsáni v mateřské škole, v přípravné třídě</w:t>
      </w:r>
      <w:r w:rsidR="005370C4">
        <w:rPr>
          <w:rFonts w:cstheme="minorHAnsi"/>
        </w:rPr>
        <w:t xml:space="preserve"> na běžné základní škole, nebo v přípravném stupni základní školy</w:t>
      </w:r>
      <w:r>
        <w:rPr>
          <w:rFonts w:cstheme="minorHAnsi"/>
        </w:rPr>
        <w:t xml:space="preserve"> speciální</w:t>
      </w:r>
      <w:r w:rsidRPr="00AE2AE2">
        <w:rPr>
          <w:rFonts w:cstheme="minorHAnsi"/>
        </w:rPr>
        <w:t xml:space="preserve">. </w:t>
      </w:r>
      <w:r>
        <w:rPr>
          <w:rFonts w:cs="Arial"/>
          <w:szCs w:val="20"/>
        </w:rPr>
        <w:t>Jak je patrné, tento podíl</w:t>
      </w:r>
      <w:r w:rsidR="00D56CD4">
        <w:rPr>
          <w:rFonts w:cs="Arial"/>
          <w:szCs w:val="20"/>
        </w:rPr>
        <w:t xml:space="preserve"> má v posledních třech letech</w:t>
      </w:r>
      <w:r w:rsidRPr="00AE2AE2">
        <w:rPr>
          <w:rFonts w:cs="Arial"/>
          <w:szCs w:val="20"/>
        </w:rPr>
        <w:t xml:space="preserve"> tendenci mírně narůstat</w:t>
      </w:r>
      <w:r w:rsidR="00D56CD4">
        <w:rPr>
          <w:rFonts w:cs="Arial"/>
          <w:szCs w:val="20"/>
        </w:rPr>
        <w:t>, přičemž nejvýraznější nárůst zaznamenal v uplynulém školním roce</w:t>
      </w:r>
      <w:r w:rsidR="00D12107">
        <w:rPr>
          <w:rFonts w:cs="Arial"/>
          <w:szCs w:val="20"/>
        </w:rPr>
        <w:t xml:space="preserve"> (2021/22)</w:t>
      </w:r>
      <w:r w:rsidR="00D56CD4">
        <w:rPr>
          <w:rFonts w:cs="Arial"/>
          <w:szCs w:val="20"/>
        </w:rPr>
        <w:t xml:space="preserve">. Je možné, že během pandemie byla u žáků mateřských škol větší absence a i díky uzavírkám škol se nestihli dobře připravit na nástup do základní školy. </w:t>
      </w:r>
      <w:r w:rsidR="00D23CB7">
        <w:rPr>
          <w:rFonts w:cs="Arial"/>
          <w:szCs w:val="20"/>
        </w:rPr>
        <w:t xml:space="preserve">Řada rodičů se navíc mohla obávat dalšího uzavírání škol a úskalí distanční výuky v prvním ročníku. </w:t>
      </w:r>
      <w:r w:rsidR="00D56CD4">
        <w:rPr>
          <w:rFonts w:cs="Arial"/>
          <w:szCs w:val="20"/>
        </w:rPr>
        <w:t>Jak uvidíme u základních škol, v </w:t>
      </w:r>
      <w:r w:rsidR="00D12107">
        <w:rPr>
          <w:rFonts w:cs="Arial"/>
          <w:szCs w:val="20"/>
        </w:rPr>
        <w:t>uplynulém</w:t>
      </w:r>
      <w:r w:rsidR="00D56CD4">
        <w:rPr>
          <w:rFonts w:cs="Arial"/>
          <w:szCs w:val="20"/>
        </w:rPr>
        <w:t xml:space="preserve"> školním roce</w:t>
      </w:r>
      <w:r w:rsidR="00D12107">
        <w:rPr>
          <w:rFonts w:cs="Arial"/>
          <w:szCs w:val="20"/>
        </w:rPr>
        <w:t xml:space="preserve"> </w:t>
      </w:r>
      <w:r w:rsidR="00D56CD4">
        <w:rPr>
          <w:rFonts w:cs="Arial"/>
          <w:szCs w:val="20"/>
        </w:rPr>
        <w:t xml:space="preserve">se také </w:t>
      </w:r>
      <w:r w:rsidR="00D12107">
        <w:rPr>
          <w:rFonts w:cs="Arial"/>
          <w:szCs w:val="20"/>
        </w:rPr>
        <w:t xml:space="preserve">výrazně </w:t>
      </w:r>
      <w:r w:rsidR="00D56CD4">
        <w:rPr>
          <w:rFonts w:cs="Arial"/>
          <w:szCs w:val="20"/>
        </w:rPr>
        <w:t>zvýšil počet žáků základních škol opakujících ročník.</w:t>
      </w:r>
      <w:r w:rsidRPr="00AE2AE2">
        <w:rPr>
          <w:rFonts w:cs="Arial"/>
          <w:szCs w:val="20"/>
        </w:rPr>
        <w:t xml:space="preserve">  </w:t>
      </w:r>
    </w:p>
    <w:p w14:paraId="361FC3A3" w14:textId="605A43AA" w:rsidR="00AD4BEB" w:rsidRDefault="00150D28" w:rsidP="00AD4BEB">
      <w:pPr>
        <w:spacing w:after="120"/>
        <w:jc w:val="both"/>
        <w:rPr>
          <w:rFonts w:cs="Arial"/>
          <w:b/>
          <w:szCs w:val="20"/>
        </w:rPr>
      </w:pPr>
      <w:r>
        <w:rPr>
          <w:rFonts w:cs="Arial"/>
          <w:b/>
          <w:szCs w:val="20"/>
        </w:rPr>
        <w:t>Graf 1.2</w:t>
      </w:r>
      <w:r w:rsidR="000564AE">
        <w:rPr>
          <w:rFonts w:cs="Arial"/>
          <w:b/>
          <w:szCs w:val="20"/>
        </w:rPr>
        <w:t>4</w:t>
      </w:r>
      <w:r w:rsidR="00AD4BEB" w:rsidRPr="00AD4BEB">
        <w:rPr>
          <w:rFonts w:cs="Arial"/>
          <w:b/>
          <w:szCs w:val="20"/>
        </w:rPr>
        <w:t xml:space="preserve"> Počet a podíl šestiletých a starších dětí v předškolním vzdělávání (tj.</w:t>
      </w:r>
      <w:r w:rsidR="00AD4BEB">
        <w:rPr>
          <w:rFonts w:cs="Arial"/>
          <w:b/>
          <w:szCs w:val="20"/>
        </w:rPr>
        <w:t xml:space="preserve"> </w:t>
      </w:r>
      <w:r w:rsidR="00AD4BEB" w:rsidRPr="00AD4BEB">
        <w:rPr>
          <w:rFonts w:cs="Arial"/>
          <w:b/>
          <w:szCs w:val="20"/>
        </w:rPr>
        <w:t xml:space="preserve">v </w:t>
      </w:r>
      <w:r w:rsidR="00AD4BEB">
        <w:rPr>
          <w:rFonts w:cs="Arial"/>
          <w:b/>
          <w:szCs w:val="20"/>
        </w:rPr>
        <w:t>mateřských školách</w:t>
      </w:r>
      <w:r w:rsidR="00AD4BEB" w:rsidRPr="00AD4BEB">
        <w:rPr>
          <w:rFonts w:cs="Arial"/>
          <w:b/>
          <w:szCs w:val="20"/>
        </w:rPr>
        <w:t xml:space="preserve">, </w:t>
      </w:r>
      <w:r w:rsidR="00AD4BEB">
        <w:rPr>
          <w:rFonts w:cs="Arial"/>
          <w:b/>
          <w:szCs w:val="20"/>
        </w:rPr>
        <w:t xml:space="preserve">na </w:t>
      </w:r>
      <w:r w:rsidR="00AD4BEB" w:rsidRPr="00AD4BEB">
        <w:rPr>
          <w:rFonts w:cs="Arial"/>
          <w:b/>
          <w:szCs w:val="20"/>
        </w:rPr>
        <w:t xml:space="preserve">přípravném stupni či </w:t>
      </w:r>
      <w:r w:rsidR="00AD4BEB">
        <w:rPr>
          <w:rFonts w:cs="Arial"/>
          <w:b/>
          <w:szCs w:val="20"/>
        </w:rPr>
        <w:t xml:space="preserve">v </w:t>
      </w:r>
      <w:r w:rsidR="00AD4BEB" w:rsidRPr="00AD4BEB">
        <w:rPr>
          <w:rFonts w:cs="Arial"/>
          <w:b/>
          <w:szCs w:val="20"/>
        </w:rPr>
        <w:t>příprav</w:t>
      </w:r>
      <w:r w:rsidR="00AD4BEB">
        <w:rPr>
          <w:rFonts w:cs="Arial"/>
          <w:b/>
          <w:szCs w:val="20"/>
        </w:rPr>
        <w:t>ných třídách</w:t>
      </w:r>
      <w:r w:rsidR="00AD4BEB" w:rsidRPr="00AD4BEB">
        <w:rPr>
          <w:rFonts w:cs="Arial"/>
          <w:b/>
          <w:szCs w:val="20"/>
        </w:rPr>
        <w:t>)</w:t>
      </w:r>
    </w:p>
    <w:p w14:paraId="78F6481F" w14:textId="78B1FF61" w:rsidR="00AD4BEB" w:rsidRPr="00D56CD4" w:rsidRDefault="00D56CD4" w:rsidP="00AD4BEB">
      <w:pPr>
        <w:spacing w:after="120"/>
        <w:jc w:val="both"/>
        <w:rPr>
          <w:rFonts w:cs="Arial"/>
          <w:b/>
          <w:szCs w:val="20"/>
        </w:rPr>
      </w:pPr>
      <w:r w:rsidRPr="00D56CD4">
        <w:rPr>
          <w:rFonts w:cs="Arial"/>
          <w:b/>
          <w:noProof/>
          <w:szCs w:val="20"/>
        </w:rPr>
        <w:drawing>
          <wp:inline distT="0" distB="0" distL="0" distR="0" wp14:anchorId="460F7C00" wp14:editId="4D9A5543">
            <wp:extent cx="6124575" cy="2056765"/>
            <wp:effectExtent l="0" t="0" r="9525" b="635"/>
            <wp:docPr id="93" name="Graf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FA79A75" w14:textId="453A78E0" w:rsidR="009E4D9A" w:rsidRPr="009E4D9A" w:rsidRDefault="009E4D9A" w:rsidP="00AD4BEB">
      <w:pPr>
        <w:spacing w:after="120"/>
        <w:jc w:val="both"/>
        <w:rPr>
          <w:rFonts w:cs="Arial"/>
          <w:sz w:val="18"/>
        </w:rPr>
      </w:pPr>
      <w:r>
        <w:rPr>
          <w:rFonts w:cs="Arial"/>
          <w:sz w:val="18"/>
        </w:rPr>
        <w:t xml:space="preserve">                                                                                                                                                </w:t>
      </w:r>
      <w:r w:rsidRPr="00F94849">
        <w:rPr>
          <w:rFonts w:cs="Arial"/>
          <w:sz w:val="18"/>
        </w:rPr>
        <w:t>Zdroj: ČSÚ</w:t>
      </w:r>
      <w:r w:rsidRPr="00F94849">
        <w:rPr>
          <w:rFonts w:cs="Arial"/>
          <w:noProof/>
        </w:rPr>
        <w:t xml:space="preserve"> </w:t>
      </w:r>
      <w:r w:rsidRPr="00307699">
        <w:rPr>
          <w:rFonts w:cs="Arial"/>
          <w:sz w:val="18"/>
        </w:rPr>
        <w:t>podle údajů MŠMT</w:t>
      </w:r>
    </w:p>
    <w:p w14:paraId="1124680E" w14:textId="4CA5131E" w:rsidR="009E4D9A" w:rsidRDefault="009E4D9A" w:rsidP="00AD4BEB">
      <w:pPr>
        <w:spacing w:after="120"/>
        <w:jc w:val="both"/>
        <w:rPr>
          <w:rFonts w:cs="Arial"/>
          <w:szCs w:val="20"/>
        </w:rPr>
      </w:pPr>
      <w:r>
        <w:rPr>
          <w:rFonts w:cs="Arial"/>
          <w:szCs w:val="20"/>
        </w:rPr>
        <w:t>Další</w:t>
      </w:r>
      <w:r w:rsidR="00AD4BEB" w:rsidRPr="00AE2AE2">
        <w:rPr>
          <w:rFonts w:cs="Arial"/>
          <w:szCs w:val="20"/>
        </w:rPr>
        <w:t xml:space="preserve"> graf</w:t>
      </w:r>
      <w:r w:rsidR="00150D28">
        <w:rPr>
          <w:rFonts w:cs="Arial"/>
          <w:szCs w:val="20"/>
        </w:rPr>
        <w:t xml:space="preserve"> (1.2</w:t>
      </w:r>
      <w:r w:rsidR="000564AE">
        <w:rPr>
          <w:rFonts w:cs="Arial"/>
          <w:szCs w:val="20"/>
        </w:rPr>
        <w:t>5</w:t>
      </w:r>
      <w:r w:rsidR="00150D28">
        <w:rPr>
          <w:rFonts w:cs="Arial"/>
          <w:szCs w:val="20"/>
        </w:rPr>
        <w:t xml:space="preserve">) </w:t>
      </w:r>
      <w:r w:rsidR="00AD4BEB" w:rsidRPr="00AE2AE2">
        <w:rPr>
          <w:rFonts w:cs="Arial"/>
          <w:szCs w:val="20"/>
        </w:rPr>
        <w:t xml:space="preserve">ukazuje, jaký podíl </w:t>
      </w:r>
      <w:r w:rsidR="00F7181C">
        <w:rPr>
          <w:rFonts w:cs="Arial"/>
          <w:szCs w:val="20"/>
        </w:rPr>
        <w:t>dětí ve věku 6 a více let, které nenastoupily</w:t>
      </w:r>
      <w:r w:rsidR="00AD4BEB" w:rsidRPr="00AE2AE2">
        <w:rPr>
          <w:rFonts w:cs="Arial"/>
          <w:szCs w:val="20"/>
        </w:rPr>
        <w:t xml:space="preserve"> do </w:t>
      </w:r>
      <w:r w:rsidR="00FF23D7">
        <w:rPr>
          <w:rFonts w:cs="Arial"/>
          <w:szCs w:val="20"/>
        </w:rPr>
        <w:t xml:space="preserve">první třídy </w:t>
      </w:r>
      <w:r w:rsidR="00AD4BEB" w:rsidRPr="00AE2AE2">
        <w:rPr>
          <w:rFonts w:cs="Arial"/>
          <w:szCs w:val="20"/>
        </w:rPr>
        <w:t>základní školy, docházel v uvedených letech do mateřských škol a jaký do přípravných tříd</w:t>
      </w:r>
      <w:r w:rsidR="00AD4BEB">
        <w:rPr>
          <w:rFonts w:cs="Arial"/>
          <w:szCs w:val="20"/>
        </w:rPr>
        <w:t xml:space="preserve"> </w:t>
      </w:r>
      <w:r w:rsidR="009D3312">
        <w:rPr>
          <w:rFonts w:cs="Arial"/>
          <w:szCs w:val="20"/>
        </w:rPr>
        <w:t xml:space="preserve">běžné základní školy </w:t>
      </w:r>
      <w:r w:rsidR="00AD4BEB">
        <w:rPr>
          <w:rFonts w:cs="Arial"/>
          <w:szCs w:val="20"/>
        </w:rPr>
        <w:t xml:space="preserve">či </w:t>
      </w:r>
      <w:r w:rsidR="009D3312">
        <w:rPr>
          <w:rFonts w:cs="Arial"/>
          <w:szCs w:val="20"/>
        </w:rPr>
        <w:t xml:space="preserve">do </w:t>
      </w:r>
      <w:r w:rsidR="00AD4BEB">
        <w:rPr>
          <w:rFonts w:cs="Arial"/>
          <w:szCs w:val="20"/>
        </w:rPr>
        <w:t>přípravného stupně</w:t>
      </w:r>
      <w:r w:rsidR="009D3312">
        <w:rPr>
          <w:rFonts w:cs="Arial"/>
          <w:szCs w:val="20"/>
        </w:rPr>
        <w:t xml:space="preserve"> základní školy speciální</w:t>
      </w:r>
      <w:r w:rsidR="00AD4BEB" w:rsidRPr="00AE2AE2">
        <w:rPr>
          <w:rFonts w:cs="Arial"/>
          <w:szCs w:val="20"/>
        </w:rPr>
        <w:t>. Jak je</w:t>
      </w:r>
      <w:r w:rsidR="00AD4BEB">
        <w:rPr>
          <w:rFonts w:cs="Arial"/>
          <w:szCs w:val="20"/>
        </w:rPr>
        <w:t xml:space="preserve"> </w:t>
      </w:r>
      <w:r w:rsidR="00AD4BEB" w:rsidRPr="00AE2AE2">
        <w:rPr>
          <w:rFonts w:cs="Arial"/>
          <w:szCs w:val="20"/>
        </w:rPr>
        <w:t>patrné, podíl dětí v přípravných třídách</w:t>
      </w:r>
      <w:r w:rsidR="00AD4BEB">
        <w:rPr>
          <w:rFonts w:cs="Arial"/>
          <w:szCs w:val="20"/>
        </w:rPr>
        <w:t xml:space="preserve"> či v přípravném stupni</w:t>
      </w:r>
      <w:r w:rsidR="00FD763A">
        <w:rPr>
          <w:rFonts w:cs="Arial"/>
          <w:szCs w:val="20"/>
        </w:rPr>
        <w:t xml:space="preserve"> se za pět let zvýšil z 12,5 % na 15,1 %</w:t>
      </w:r>
      <w:r w:rsidR="00AD4BEB" w:rsidRPr="00AE2AE2">
        <w:rPr>
          <w:rFonts w:cs="Arial"/>
          <w:szCs w:val="20"/>
        </w:rPr>
        <w:t xml:space="preserve">. </w:t>
      </w:r>
    </w:p>
    <w:p w14:paraId="77586FCC" w14:textId="5A86755B" w:rsidR="009E4D9A" w:rsidRDefault="00150D28" w:rsidP="00AD4BEB">
      <w:pPr>
        <w:spacing w:after="120"/>
        <w:jc w:val="both"/>
        <w:rPr>
          <w:rFonts w:cs="Arial"/>
          <w:b/>
          <w:szCs w:val="20"/>
        </w:rPr>
      </w:pPr>
      <w:r>
        <w:rPr>
          <w:rFonts w:cs="Arial"/>
          <w:b/>
          <w:szCs w:val="20"/>
        </w:rPr>
        <w:t>Graf 1.2</w:t>
      </w:r>
      <w:r w:rsidR="000564AE">
        <w:rPr>
          <w:rFonts w:cs="Arial"/>
          <w:b/>
          <w:szCs w:val="20"/>
        </w:rPr>
        <w:t>5</w:t>
      </w:r>
      <w:r w:rsidR="009E4D9A" w:rsidRPr="009E4D9A">
        <w:rPr>
          <w:rFonts w:cs="Arial"/>
          <w:b/>
          <w:szCs w:val="20"/>
        </w:rPr>
        <w:t xml:space="preserve"> Podíl dětí předškolního vzdělávání ve věku 6 let a více navštěvujících přípravné třídy</w:t>
      </w:r>
      <w:r w:rsidR="00FF23D7">
        <w:rPr>
          <w:rFonts w:cs="Arial"/>
          <w:b/>
          <w:szCs w:val="20"/>
        </w:rPr>
        <w:t xml:space="preserve"> ZŠ běžné</w:t>
      </w:r>
      <w:r w:rsidR="009E4D9A" w:rsidRPr="009E4D9A">
        <w:rPr>
          <w:rFonts w:cs="Arial"/>
          <w:b/>
          <w:szCs w:val="20"/>
        </w:rPr>
        <w:t xml:space="preserve"> či přípravný stupeň </w:t>
      </w:r>
      <w:r w:rsidR="00FF23D7">
        <w:rPr>
          <w:rFonts w:cs="Arial"/>
          <w:b/>
          <w:szCs w:val="20"/>
        </w:rPr>
        <w:t xml:space="preserve">ZŠ speciální </w:t>
      </w:r>
      <w:r w:rsidR="009E4D9A" w:rsidRPr="009E4D9A">
        <w:rPr>
          <w:rFonts w:cs="Arial"/>
          <w:b/>
          <w:szCs w:val="20"/>
        </w:rPr>
        <w:t>a docházejících do mateřských škol</w:t>
      </w:r>
      <w:r w:rsidR="004E0056">
        <w:rPr>
          <w:rFonts w:cs="Arial"/>
          <w:b/>
          <w:szCs w:val="20"/>
        </w:rPr>
        <w:t xml:space="preserve"> (2015/16-2021/22</w:t>
      </w:r>
      <w:r w:rsidR="009E4D9A">
        <w:rPr>
          <w:rFonts w:cs="Arial"/>
          <w:b/>
          <w:szCs w:val="20"/>
        </w:rPr>
        <w:t>)</w:t>
      </w:r>
    </w:p>
    <w:p w14:paraId="70DB24B1" w14:textId="613E0FD3" w:rsidR="009B682E" w:rsidRPr="009E4D9A" w:rsidRDefault="009B682E" w:rsidP="00AD4BEB">
      <w:pPr>
        <w:spacing w:after="120"/>
        <w:jc w:val="both"/>
        <w:rPr>
          <w:rFonts w:cs="Arial"/>
          <w:b/>
          <w:szCs w:val="20"/>
        </w:rPr>
      </w:pPr>
      <w:r>
        <w:rPr>
          <w:noProof/>
        </w:rPr>
        <w:drawing>
          <wp:inline distT="0" distB="0" distL="0" distR="0" wp14:anchorId="24F1ED97" wp14:editId="18FEAD12">
            <wp:extent cx="6120130" cy="2190750"/>
            <wp:effectExtent l="0" t="0" r="13970" b="0"/>
            <wp:docPr id="30" name="Graf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5C67BA1" w14:textId="39F1D5E9" w:rsidR="009E4D9A" w:rsidRPr="00894AE9" w:rsidRDefault="00894AE9" w:rsidP="00894AE9">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703DF2BA" w14:textId="62C3728D" w:rsidR="00AD4BEB" w:rsidRDefault="00AD4BEB" w:rsidP="00AD4BEB">
      <w:pPr>
        <w:spacing w:after="120"/>
        <w:jc w:val="both"/>
        <w:rPr>
          <w:rFonts w:cs="Arial"/>
          <w:szCs w:val="20"/>
        </w:rPr>
      </w:pPr>
      <w:r>
        <w:rPr>
          <w:rFonts w:cs="Arial"/>
          <w:szCs w:val="20"/>
        </w:rPr>
        <w:t xml:space="preserve">V dělení </w:t>
      </w:r>
      <w:r w:rsidR="004D17F6">
        <w:rPr>
          <w:rFonts w:cs="Arial"/>
          <w:szCs w:val="20"/>
        </w:rPr>
        <w:t>dle sídla školy je patrné, že v</w:t>
      </w:r>
      <w:r>
        <w:rPr>
          <w:rFonts w:cs="Arial"/>
          <w:szCs w:val="20"/>
        </w:rPr>
        <w:t xml:space="preserve"> kraji Ústeckém</w:t>
      </w:r>
      <w:r w:rsidR="004D17F6">
        <w:rPr>
          <w:rFonts w:cs="Arial"/>
          <w:szCs w:val="20"/>
        </w:rPr>
        <w:t xml:space="preserve">, </w:t>
      </w:r>
      <w:r>
        <w:rPr>
          <w:rFonts w:cs="Arial"/>
          <w:szCs w:val="20"/>
        </w:rPr>
        <w:t xml:space="preserve">v Praze </w:t>
      </w:r>
      <w:r w:rsidR="004D17F6">
        <w:rPr>
          <w:rFonts w:cs="Arial"/>
          <w:szCs w:val="20"/>
        </w:rPr>
        <w:t xml:space="preserve">a v kraji Karlovarském </w:t>
      </w:r>
      <w:r>
        <w:rPr>
          <w:rFonts w:cs="Arial"/>
          <w:szCs w:val="20"/>
        </w:rPr>
        <w:t xml:space="preserve">dochází cca třetina dětí s odkladem školní docházky do přípravné třídy či přípravného stupně. Oproti tomu v kraji Jihočeském je podíl </w:t>
      </w:r>
      <w:r>
        <w:rPr>
          <w:rFonts w:cs="Arial"/>
          <w:szCs w:val="20"/>
        </w:rPr>
        <w:lastRenderedPageBreak/>
        <w:t>žáků s odkladem v přípravných třídách či v přípravném stu</w:t>
      </w:r>
      <w:r w:rsidR="002A2746">
        <w:rPr>
          <w:rFonts w:cs="Arial"/>
          <w:szCs w:val="20"/>
        </w:rPr>
        <w:t>pni zanedbatelný a tvoří jen 1,8</w:t>
      </w:r>
      <w:r>
        <w:rPr>
          <w:rFonts w:cs="Arial"/>
          <w:szCs w:val="20"/>
        </w:rPr>
        <w:t> %. Méně než 5 % takových žáků zaznamenal též kraj Králo</w:t>
      </w:r>
      <w:r w:rsidR="002A2746">
        <w:rPr>
          <w:rFonts w:cs="Arial"/>
          <w:szCs w:val="20"/>
        </w:rPr>
        <w:t>véhradecký a</w:t>
      </w:r>
      <w:r w:rsidR="009E4D9A">
        <w:rPr>
          <w:rFonts w:cs="Arial"/>
          <w:szCs w:val="20"/>
        </w:rPr>
        <w:t xml:space="preserve"> Olomoucký</w:t>
      </w:r>
      <w:r w:rsidR="002A2746">
        <w:rPr>
          <w:rFonts w:cs="Arial"/>
          <w:szCs w:val="20"/>
        </w:rPr>
        <w:t xml:space="preserve"> </w:t>
      </w:r>
      <w:r w:rsidR="009E4D9A">
        <w:rPr>
          <w:rFonts w:cs="Arial"/>
          <w:szCs w:val="20"/>
        </w:rPr>
        <w:t>–</w:t>
      </w:r>
      <w:r w:rsidR="00864CB6">
        <w:rPr>
          <w:rFonts w:cs="Arial"/>
          <w:szCs w:val="20"/>
        </w:rPr>
        <w:t xml:space="preserve"> viz graf</w:t>
      </w:r>
      <w:r w:rsidR="00150D28">
        <w:rPr>
          <w:rFonts w:cs="Arial"/>
          <w:szCs w:val="20"/>
        </w:rPr>
        <w:t xml:space="preserve"> 1.2</w:t>
      </w:r>
      <w:r w:rsidR="000564AE">
        <w:rPr>
          <w:rFonts w:cs="Arial"/>
          <w:szCs w:val="20"/>
        </w:rPr>
        <w:t>6</w:t>
      </w:r>
      <w:r w:rsidR="009E4D9A">
        <w:rPr>
          <w:rFonts w:cs="Arial"/>
          <w:szCs w:val="20"/>
        </w:rPr>
        <w:t>.</w:t>
      </w:r>
    </w:p>
    <w:p w14:paraId="1A4C3B46" w14:textId="674BBB1D" w:rsidR="009E4D9A" w:rsidRDefault="009E4D9A" w:rsidP="00E34FDA">
      <w:pPr>
        <w:keepNext/>
        <w:spacing w:after="120"/>
        <w:jc w:val="both"/>
        <w:rPr>
          <w:rFonts w:cs="Arial"/>
          <w:b/>
          <w:szCs w:val="20"/>
        </w:rPr>
      </w:pPr>
      <w:r w:rsidRPr="009E4D9A">
        <w:rPr>
          <w:rFonts w:cs="Arial"/>
          <w:b/>
          <w:szCs w:val="20"/>
        </w:rPr>
        <w:t>G</w:t>
      </w:r>
      <w:r w:rsidR="00150D28">
        <w:rPr>
          <w:rFonts w:cs="Arial"/>
          <w:b/>
          <w:szCs w:val="20"/>
        </w:rPr>
        <w:t>raf 1.2</w:t>
      </w:r>
      <w:r w:rsidR="000564AE">
        <w:rPr>
          <w:rFonts w:cs="Arial"/>
          <w:b/>
          <w:szCs w:val="20"/>
        </w:rPr>
        <w:t>6</w:t>
      </w:r>
      <w:r w:rsidRPr="009E4D9A">
        <w:rPr>
          <w:rFonts w:cs="Arial"/>
          <w:b/>
          <w:szCs w:val="20"/>
        </w:rPr>
        <w:t xml:space="preserve"> Podíl dětí předškolního vzdělávání ve věku 6 let a více navštěvujících přípravné třídy či přípravný stupeň a docházejících do mateřských škol</w:t>
      </w:r>
      <w:r w:rsidR="004E0056">
        <w:rPr>
          <w:rFonts w:cs="Arial"/>
          <w:b/>
          <w:szCs w:val="20"/>
        </w:rPr>
        <w:t xml:space="preserve"> – dle kraje (2021/22</w:t>
      </w:r>
      <w:r>
        <w:rPr>
          <w:rFonts w:cs="Arial"/>
          <w:b/>
          <w:szCs w:val="20"/>
        </w:rPr>
        <w:t>)</w:t>
      </w:r>
    </w:p>
    <w:p w14:paraId="0F45A27D" w14:textId="28969AF4" w:rsidR="00E34FDA" w:rsidRDefault="00E34FDA" w:rsidP="00E34FDA">
      <w:pPr>
        <w:keepNext/>
        <w:spacing w:after="120"/>
        <w:jc w:val="both"/>
        <w:rPr>
          <w:rFonts w:cs="Arial"/>
          <w:b/>
          <w:szCs w:val="20"/>
        </w:rPr>
      </w:pPr>
      <w:r>
        <w:rPr>
          <w:noProof/>
        </w:rPr>
        <w:drawing>
          <wp:inline distT="0" distB="0" distL="0" distR="0" wp14:anchorId="34C33D89" wp14:editId="6DED977E">
            <wp:extent cx="6120130" cy="5105400"/>
            <wp:effectExtent l="0" t="0" r="13970" b="0"/>
            <wp:docPr id="81" name="Graf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43C81D8" w14:textId="4E220886" w:rsidR="002A2746" w:rsidRPr="00C22AC1" w:rsidRDefault="00894AE9" w:rsidP="00C22AC1">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44DBE616" w14:textId="6806A3AD" w:rsidR="00AD4BEB" w:rsidRDefault="00622A88" w:rsidP="00AD4BEB">
      <w:pPr>
        <w:spacing w:after="120"/>
        <w:jc w:val="both"/>
        <w:rPr>
          <w:rFonts w:cs="Arial"/>
          <w:szCs w:val="20"/>
        </w:rPr>
      </w:pPr>
      <w:r>
        <w:rPr>
          <w:rFonts w:cs="Arial"/>
          <w:szCs w:val="20"/>
        </w:rPr>
        <w:t xml:space="preserve">Z výše uvedeného </w:t>
      </w:r>
      <w:r w:rsidR="0079785C">
        <w:rPr>
          <w:rFonts w:cs="Arial"/>
          <w:szCs w:val="20"/>
        </w:rPr>
        <w:t>je patrné</w:t>
      </w:r>
      <w:r>
        <w:rPr>
          <w:rFonts w:cs="Arial"/>
          <w:szCs w:val="20"/>
        </w:rPr>
        <w:t xml:space="preserve">, </w:t>
      </w:r>
      <w:r w:rsidR="009873D7">
        <w:rPr>
          <w:rFonts w:cs="Arial"/>
          <w:szCs w:val="20"/>
        </w:rPr>
        <w:t>že kraje se mezi sebou liší v míře, do jaké dávají rodičům m</w:t>
      </w:r>
      <w:r>
        <w:rPr>
          <w:rFonts w:cs="Arial"/>
          <w:szCs w:val="20"/>
        </w:rPr>
        <w:t>ožnost vybrat si mezi mateřskou školou a přípravnou třídou či stupněm</w:t>
      </w:r>
      <w:r w:rsidR="009873D7">
        <w:rPr>
          <w:rFonts w:cs="Arial"/>
          <w:szCs w:val="20"/>
        </w:rPr>
        <w:t>. Zde doplňme, že na</w:t>
      </w:r>
      <w:r w:rsidR="00AD4BEB">
        <w:rPr>
          <w:rFonts w:cs="Arial"/>
          <w:szCs w:val="20"/>
        </w:rPr>
        <w:t xml:space="preserve"> jednu</w:t>
      </w:r>
      <w:r w:rsidR="009873D7">
        <w:rPr>
          <w:rFonts w:cs="Arial"/>
          <w:szCs w:val="20"/>
        </w:rPr>
        <w:t xml:space="preserve"> přípravnou</w:t>
      </w:r>
      <w:r w:rsidR="00AD4BEB">
        <w:rPr>
          <w:rFonts w:cs="Arial"/>
          <w:szCs w:val="20"/>
        </w:rPr>
        <w:t xml:space="preserve"> třídu </w:t>
      </w:r>
      <w:r w:rsidR="009873D7">
        <w:rPr>
          <w:rFonts w:cs="Arial"/>
          <w:szCs w:val="20"/>
        </w:rPr>
        <w:t>na základní škole</w:t>
      </w:r>
      <w:r w:rsidR="00150D28">
        <w:rPr>
          <w:rFonts w:cs="Arial"/>
          <w:szCs w:val="20"/>
        </w:rPr>
        <w:t xml:space="preserve"> </w:t>
      </w:r>
      <w:r w:rsidR="009873D7">
        <w:rPr>
          <w:rFonts w:cs="Arial"/>
          <w:szCs w:val="20"/>
        </w:rPr>
        <w:t>či třídu přípravného</w:t>
      </w:r>
      <w:r w:rsidR="00AD4BEB">
        <w:rPr>
          <w:rFonts w:cs="Arial"/>
          <w:szCs w:val="20"/>
        </w:rPr>
        <w:t xml:space="preserve"> stupně</w:t>
      </w:r>
      <w:r w:rsidR="00150D28">
        <w:rPr>
          <w:rFonts w:cs="Arial"/>
          <w:szCs w:val="20"/>
        </w:rPr>
        <w:t xml:space="preserve"> základní školy speciální</w:t>
      </w:r>
      <w:r w:rsidR="00EA4AE7">
        <w:rPr>
          <w:rFonts w:cs="Arial"/>
          <w:szCs w:val="20"/>
        </w:rPr>
        <w:t xml:space="preserve"> připadal ve školním roce 2021/22</w:t>
      </w:r>
      <w:r w:rsidR="009873D7">
        <w:rPr>
          <w:rFonts w:cs="Arial"/>
          <w:szCs w:val="20"/>
        </w:rPr>
        <w:t xml:space="preserve"> nejnižší počet prvních</w:t>
      </w:r>
      <w:r w:rsidR="00AD4BEB">
        <w:rPr>
          <w:rFonts w:cs="Arial"/>
          <w:szCs w:val="20"/>
        </w:rPr>
        <w:t xml:space="preserve"> tříd základních škol v kraji Ústeckém, Karlovarském a v Praze (6,1, 6,4, resp. 7,1). </w:t>
      </w:r>
      <w:r w:rsidR="00131A45">
        <w:rPr>
          <w:rFonts w:cs="Arial"/>
          <w:szCs w:val="20"/>
        </w:rPr>
        <w:t>V těchto třech</w:t>
      </w:r>
      <w:r w:rsidR="009873D7">
        <w:rPr>
          <w:rFonts w:cs="Arial"/>
          <w:szCs w:val="20"/>
        </w:rPr>
        <w:t xml:space="preserve"> krajích si tedy rodiče častěji mohli zvolit, zda dítě s odkladem nechají v mateřské škole, nebo jej zapíší do přípravné třídy. </w:t>
      </w:r>
      <w:r w:rsidR="00AD4BEB">
        <w:rPr>
          <w:rFonts w:cs="Arial"/>
          <w:szCs w:val="20"/>
        </w:rPr>
        <w:t xml:space="preserve">Naopak </w:t>
      </w:r>
      <w:r w:rsidR="009873D7">
        <w:rPr>
          <w:rFonts w:cs="Arial"/>
          <w:szCs w:val="20"/>
        </w:rPr>
        <w:t>v </w:t>
      </w:r>
      <w:r w:rsidR="00AD4BEB">
        <w:rPr>
          <w:rFonts w:cs="Arial"/>
          <w:szCs w:val="20"/>
        </w:rPr>
        <w:t xml:space="preserve">Jihočeském kraji dosáhl počet 1. tříd na jednu přípravnou třídu hodnoty </w:t>
      </w:r>
      <w:r w:rsidR="00EA4AE7">
        <w:rPr>
          <w:rFonts w:cs="Arial"/>
          <w:szCs w:val="20"/>
        </w:rPr>
        <w:t xml:space="preserve">95,3, </w:t>
      </w:r>
      <w:r w:rsidR="00AD4BEB">
        <w:rPr>
          <w:rFonts w:cs="Arial"/>
          <w:szCs w:val="20"/>
        </w:rPr>
        <w:t xml:space="preserve"> v Královéhradeckém </w:t>
      </w:r>
      <w:r w:rsidR="009873D7">
        <w:rPr>
          <w:rFonts w:cs="Arial"/>
          <w:szCs w:val="20"/>
        </w:rPr>
        <w:t xml:space="preserve">kraji </w:t>
      </w:r>
      <w:r w:rsidR="00EA4AE7">
        <w:rPr>
          <w:rFonts w:cs="Arial"/>
          <w:szCs w:val="20"/>
        </w:rPr>
        <w:t xml:space="preserve">66,2 </w:t>
      </w:r>
      <w:r w:rsidR="00AD4BEB">
        <w:rPr>
          <w:rFonts w:cs="Arial"/>
          <w:szCs w:val="20"/>
        </w:rPr>
        <w:t xml:space="preserve">a </w:t>
      </w:r>
      <w:r w:rsidR="00EA4AE7">
        <w:rPr>
          <w:rFonts w:cs="Arial"/>
          <w:szCs w:val="20"/>
        </w:rPr>
        <w:t>v Olomouckém 41,7</w:t>
      </w:r>
      <w:r w:rsidR="00AD4BEB">
        <w:rPr>
          <w:rFonts w:cs="Arial"/>
          <w:szCs w:val="20"/>
        </w:rPr>
        <w:t xml:space="preserve">.  </w:t>
      </w:r>
      <w:r>
        <w:rPr>
          <w:rFonts w:cs="Arial"/>
          <w:szCs w:val="20"/>
        </w:rPr>
        <w:t xml:space="preserve">Oproti předchozímu školnímu roku se přitom </w:t>
      </w:r>
      <w:r w:rsidR="009873D7">
        <w:rPr>
          <w:rFonts w:cs="Arial"/>
          <w:szCs w:val="20"/>
        </w:rPr>
        <w:t>ve všech krajích i </w:t>
      </w:r>
      <w:r>
        <w:rPr>
          <w:rFonts w:cs="Arial"/>
          <w:szCs w:val="20"/>
        </w:rPr>
        <w:t xml:space="preserve">celkově tento poměr snížil, pouze s výjimkou kraje Královéhradeckého </w:t>
      </w:r>
      <w:r w:rsidR="00150D28">
        <w:rPr>
          <w:rFonts w:cs="Arial"/>
          <w:szCs w:val="20"/>
        </w:rPr>
        <w:t xml:space="preserve"> – viz graf 1.2</w:t>
      </w:r>
      <w:r w:rsidR="000564AE">
        <w:rPr>
          <w:rFonts w:cs="Arial"/>
          <w:szCs w:val="20"/>
        </w:rPr>
        <w:t>7</w:t>
      </w:r>
      <w:r w:rsidR="00150D28">
        <w:rPr>
          <w:rFonts w:cs="Arial"/>
          <w:szCs w:val="20"/>
        </w:rPr>
        <w:t>.</w:t>
      </w:r>
    </w:p>
    <w:p w14:paraId="0655F886" w14:textId="2FBBB078" w:rsidR="00131A45" w:rsidRDefault="00150D28" w:rsidP="00150D28">
      <w:pPr>
        <w:keepNext/>
        <w:spacing w:after="120"/>
        <w:jc w:val="both"/>
        <w:rPr>
          <w:rFonts w:cs="Arial"/>
          <w:b/>
          <w:szCs w:val="20"/>
        </w:rPr>
      </w:pPr>
      <w:r w:rsidRPr="009E4D9A">
        <w:rPr>
          <w:rFonts w:cs="Arial"/>
          <w:b/>
          <w:szCs w:val="20"/>
        </w:rPr>
        <w:lastRenderedPageBreak/>
        <w:t>G</w:t>
      </w:r>
      <w:r w:rsidR="00E425E3">
        <w:rPr>
          <w:rFonts w:cs="Arial"/>
          <w:b/>
          <w:szCs w:val="20"/>
        </w:rPr>
        <w:t>raf 1.2</w:t>
      </w:r>
      <w:r w:rsidR="000564AE">
        <w:rPr>
          <w:rFonts w:cs="Arial"/>
          <w:b/>
          <w:szCs w:val="20"/>
        </w:rPr>
        <w:t>7</w:t>
      </w:r>
      <w:r w:rsidRPr="009E4D9A">
        <w:rPr>
          <w:rFonts w:cs="Arial"/>
          <w:b/>
          <w:szCs w:val="20"/>
        </w:rPr>
        <w:t xml:space="preserve"> </w:t>
      </w:r>
      <w:r w:rsidRPr="00150D28">
        <w:rPr>
          <w:rFonts w:cs="Arial"/>
          <w:b/>
          <w:szCs w:val="20"/>
        </w:rPr>
        <w:t>P</w:t>
      </w:r>
      <w:r w:rsidR="00AD4BEB" w:rsidRPr="00150D28">
        <w:rPr>
          <w:rFonts w:cs="Arial"/>
          <w:b/>
          <w:szCs w:val="20"/>
        </w:rPr>
        <w:t xml:space="preserve">očet 1. tříd </w:t>
      </w:r>
      <w:r w:rsidRPr="00150D28">
        <w:rPr>
          <w:rFonts w:cs="Arial"/>
          <w:b/>
          <w:szCs w:val="20"/>
        </w:rPr>
        <w:t xml:space="preserve">základních škol </w:t>
      </w:r>
      <w:r w:rsidR="00AD4BEB" w:rsidRPr="00150D28">
        <w:rPr>
          <w:rFonts w:cs="Arial"/>
          <w:b/>
          <w:szCs w:val="20"/>
        </w:rPr>
        <w:t xml:space="preserve">na jednu třídu přípravnou či </w:t>
      </w:r>
      <w:r w:rsidRPr="00150D28">
        <w:rPr>
          <w:rFonts w:cs="Arial"/>
          <w:b/>
          <w:szCs w:val="20"/>
        </w:rPr>
        <w:t xml:space="preserve">třídu </w:t>
      </w:r>
      <w:r w:rsidR="00AD4BEB" w:rsidRPr="00150D28">
        <w:rPr>
          <w:rFonts w:cs="Arial"/>
          <w:b/>
          <w:szCs w:val="20"/>
        </w:rPr>
        <w:t>přípravného stupně</w:t>
      </w:r>
      <w:r w:rsidR="00EA4AE7">
        <w:rPr>
          <w:rFonts w:cs="Arial"/>
          <w:b/>
          <w:szCs w:val="20"/>
        </w:rPr>
        <w:t xml:space="preserve"> </w:t>
      </w:r>
    </w:p>
    <w:p w14:paraId="4E6DAA3C" w14:textId="4A14710E" w:rsidR="0079785C" w:rsidRDefault="0079785C" w:rsidP="00150D28">
      <w:pPr>
        <w:keepNext/>
        <w:spacing w:after="120"/>
        <w:jc w:val="both"/>
        <w:rPr>
          <w:rFonts w:cs="Arial"/>
          <w:b/>
          <w:szCs w:val="20"/>
        </w:rPr>
      </w:pPr>
      <w:r>
        <w:rPr>
          <w:noProof/>
        </w:rPr>
        <w:drawing>
          <wp:inline distT="0" distB="0" distL="0" distR="0" wp14:anchorId="0D421356" wp14:editId="1340465B">
            <wp:extent cx="6120130" cy="1676400"/>
            <wp:effectExtent l="0" t="0" r="13970" b="0"/>
            <wp:docPr id="97" name="Graf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9C50128" w14:textId="580ED7A0" w:rsidR="00622A88" w:rsidRPr="0079785C" w:rsidRDefault="00A87568" w:rsidP="0079785C">
      <w:pPr>
        <w:keepNext/>
        <w:spacing w:after="120"/>
        <w:jc w:val="both"/>
        <w:rPr>
          <w:rFonts w:cs="Arial"/>
          <w:b/>
          <w:szCs w:val="20"/>
        </w:rPr>
      </w:pPr>
      <w:r>
        <w:rPr>
          <w:noProof/>
        </w:rPr>
        <w:drawing>
          <wp:inline distT="0" distB="0" distL="0" distR="0" wp14:anchorId="78B5F5C3" wp14:editId="0BABF6D1">
            <wp:extent cx="6120130" cy="1569720"/>
            <wp:effectExtent l="0" t="0" r="13970" b="11430"/>
            <wp:docPr id="32" name="Graf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EBBB135" w14:textId="77777777" w:rsidR="00622A88" w:rsidRDefault="00622A88" w:rsidP="00622A88">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37F5499B" w14:textId="77777777" w:rsidR="00622A88" w:rsidRPr="00894AE9" w:rsidRDefault="00622A88" w:rsidP="00894AE9">
      <w:pPr>
        <w:spacing w:after="120"/>
        <w:jc w:val="right"/>
        <w:rPr>
          <w:rFonts w:cs="Arial"/>
          <w:sz w:val="18"/>
        </w:rPr>
      </w:pPr>
    </w:p>
    <w:p w14:paraId="51558575" w14:textId="15C0AAEB" w:rsidR="00FF6B7E" w:rsidRDefault="00FF6B7E" w:rsidP="00314806">
      <w:pPr>
        <w:pStyle w:val="Nadpis1"/>
        <w:spacing w:before="240" w:after="240"/>
        <w:rPr>
          <w:rFonts w:eastAsia="Times New Roman"/>
        </w:rPr>
      </w:pPr>
      <w:bookmarkStart w:id="7" w:name="_Toc112069071"/>
      <w:r w:rsidRPr="00476432">
        <w:rPr>
          <w:rFonts w:eastAsia="Times New Roman"/>
        </w:rPr>
        <w:t>2. Základní vzdělávání</w:t>
      </w:r>
      <w:bookmarkEnd w:id="7"/>
    </w:p>
    <w:p w14:paraId="58EDB2E4" w14:textId="7A5EA66A" w:rsidR="00FF6B7E" w:rsidRPr="004300A2" w:rsidRDefault="0032326A" w:rsidP="00FF6B7E">
      <w:pPr>
        <w:spacing w:after="120"/>
        <w:jc w:val="both"/>
        <w:rPr>
          <w:rFonts w:cs="Arial"/>
          <w:szCs w:val="20"/>
        </w:rPr>
      </w:pPr>
      <w:r>
        <w:t>Základní vzdělávání vede</w:t>
      </w:r>
      <w:r w:rsidR="00FF6B7E" w:rsidRPr="004300A2">
        <w:rPr>
          <w:rFonts w:cs="Arial"/>
          <w:szCs w:val="20"/>
        </w:rPr>
        <w:t xml:space="preserve"> </w:t>
      </w:r>
      <w:r>
        <w:rPr>
          <w:rFonts w:cs="Arial"/>
          <w:szCs w:val="20"/>
        </w:rPr>
        <w:t xml:space="preserve">dle </w:t>
      </w:r>
      <w:r>
        <w:t>par. 44 školského zákona k tomu, aby si</w:t>
      </w:r>
      <w:r w:rsidRPr="0032326A">
        <w:t xml:space="preserve"> </w:t>
      </w:r>
      <w:r>
        <w:t>žáci osvojili potřebné strategie učení a na jejich základě byli motivováni k celoživotnímu učení, aby se učili tvořivě myslet a řešit přiměřené problémy, účinně komunikovat a spolupracovat, chránit své fyzické i duševní zdraví, vytvořené hodnoty a životní prostředí, být ohleduplní a tolerantní k jiným lidem, k odlišným kulturním a duchovním hodnotám, poznávat své schopnosti a reálné možnosti a uplatňovat je spolu s osvojenými vědomostmi a dovednostmi při rozhodování o své další životní dráze a svém profesním uplatnění.</w:t>
      </w:r>
      <w:r w:rsidR="00FF6B7E" w:rsidRPr="004300A2">
        <w:rPr>
          <w:rFonts w:cs="Arial"/>
          <w:szCs w:val="20"/>
        </w:rPr>
        <w:t xml:space="preserve"> Základní vzdělávání je povinné pro všechny děti v České republice. Uskutečňuje se na</w:t>
      </w:r>
      <w:r w:rsidR="00FF6B7E" w:rsidRPr="000457ED">
        <w:rPr>
          <w:rFonts w:cs="Arial"/>
          <w:b/>
          <w:szCs w:val="20"/>
        </w:rPr>
        <w:t xml:space="preserve"> základní škole, na nižším stupni víceletých gymnázií a konzervatoří v osmiletém oboru vzdělání tanec.</w:t>
      </w:r>
      <w:r w:rsidR="00FF6B7E" w:rsidRPr="004300A2">
        <w:rPr>
          <w:rFonts w:cs="Arial"/>
          <w:szCs w:val="20"/>
        </w:rPr>
        <w:t xml:space="preserve"> Základní vzdělávání lze na prvním i na druhém stupni uskutečňovat také formou </w:t>
      </w:r>
      <w:r w:rsidR="00FF6B7E" w:rsidRPr="000457ED">
        <w:rPr>
          <w:rFonts w:cs="Arial"/>
          <w:b/>
          <w:szCs w:val="20"/>
        </w:rPr>
        <w:t>individuálního vzdělávání</w:t>
      </w:r>
      <w:r w:rsidR="00FF6B7E" w:rsidRPr="004300A2">
        <w:rPr>
          <w:rFonts w:cs="Arial"/>
          <w:szCs w:val="20"/>
        </w:rPr>
        <w:t>.</w:t>
      </w:r>
    </w:p>
    <w:p w14:paraId="7C6EEEED" w14:textId="50F63B35" w:rsidR="00EA1042" w:rsidRPr="004300A2" w:rsidRDefault="00FF6B7E" w:rsidP="00FF6B7E">
      <w:pPr>
        <w:spacing w:after="120"/>
        <w:jc w:val="both"/>
        <w:rPr>
          <w:rFonts w:cs="Arial"/>
          <w:szCs w:val="20"/>
        </w:rPr>
      </w:pPr>
      <w:r w:rsidRPr="004300A2">
        <w:rPr>
          <w:rFonts w:cs="Arial"/>
          <w:szCs w:val="20"/>
        </w:rPr>
        <w:t xml:space="preserve">Základní vzdělávání </w:t>
      </w:r>
      <w:r w:rsidR="000129C3">
        <w:rPr>
          <w:rFonts w:cs="Arial"/>
          <w:b/>
          <w:szCs w:val="20"/>
        </w:rPr>
        <w:t>má devět</w:t>
      </w:r>
      <w:r w:rsidRPr="000457ED">
        <w:rPr>
          <w:rFonts w:cs="Arial"/>
          <w:b/>
          <w:szCs w:val="20"/>
        </w:rPr>
        <w:t xml:space="preserve"> ročníků</w:t>
      </w:r>
      <w:r w:rsidRPr="004300A2">
        <w:rPr>
          <w:rFonts w:cs="Arial"/>
          <w:szCs w:val="20"/>
        </w:rPr>
        <w:t xml:space="preserve"> a člení se na první a druhý stupeň. </w:t>
      </w:r>
      <w:r w:rsidRPr="000457ED">
        <w:rPr>
          <w:rFonts w:cs="Arial"/>
          <w:b/>
          <w:szCs w:val="20"/>
        </w:rPr>
        <w:t>První stupeň</w:t>
      </w:r>
      <w:r w:rsidRPr="004300A2">
        <w:rPr>
          <w:rFonts w:cs="Arial"/>
          <w:szCs w:val="20"/>
        </w:rPr>
        <w:t xml:space="preserve"> je tvořen prvním až pátým ročníkem a </w:t>
      </w:r>
      <w:r w:rsidRPr="000457ED">
        <w:rPr>
          <w:rFonts w:cs="Arial"/>
          <w:b/>
          <w:szCs w:val="20"/>
        </w:rPr>
        <w:t>druhý stupeň</w:t>
      </w:r>
      <w:r w:rsidRPr="004300A2">
        <w:rPr>
          <w:rFonts w:cs="Arial"/>
          <w:szCs w:val="20"/>
        </w:rPr>
        <w:t xml:space="preserve"> šestým až devátým ročníkem základní školy (příp. odpovídajícími ročníky víceletých gymnázií či osmiletých konzervatoří). </w:t>
      </w:r>
      <w:r w:rsidR="002F0C16" w:rsidRPr="00BA121F">
        <w:rPr>
          <w:rFonts w:cs="Arial"/>
          <w:color w:val="000000"/>
          <w:szCs w:val="20"/>
        </w:rPr>
        <w:t>Výjimku tvoří vzdělávání v základní škole speciální, kde první stupeň je tvořen 1. až 6. ročníkem a druhý stupeň 7. až 10. ročníkem.</w:t>
      </w:r>
      <w:r w:rsidRPr="004300A2">
        <w:rPr>
          <w:rFonts w:cs="Arial"/>
          <w:szCs w:val="20"/>
        </w:rPr>
        <w:t xml:space="preserve"> Jinou možností </w:t>
      </w:r>
      <w:r w:rsidR="00337DB8">
        <w:rPr>
          <w:rFonts w:cs="Arial"/>
          <w:szCs w:val="20"/>
        </w:rPr>
        <w:t xml:space="preserve">plnění povinné školní docházky </w:t>
      </w:r>
      <w:r w:rsidRPr="004300A2">
        <w:rPr>
          <w:rFonts w:cs="Arial"/>
          <w:szCs w:val="20"/>
        </w:rPr>
        <w:t>je přestup na víceleté gymnázium, které poskytuje osmileté studium</w:t>
      </w:r>
      <w:r w:rsidR="004D0963">
        <w:rPr>
          <w:rFonts w:cs="Arial"/>
          <w:szCs w:val="20"/>
        </w:rPr>
        <w:t xml:space="preserve"> po ukončení 5. třídy</w:t>
      </w:r>
      <w:r w:rsidRPr="004300A2">
        <w:rPr>
          <w:rFonts w:cs="Arial"/>
          <w:szCs w:val="20"/>
        </w:rPr>
        <w:t>, resp. šestileté</w:t>
      </w:r>
      <w:r w:rsidR="00432466">
        <w:rPr>
          <w:rFonts w:cs="Arial"/>
          <w:szCs w:val="20"/>
        </w:rPr>
        <w:t xml:space="preserve"> studium po ukončení 7. třídy základní školy</w:t>
      </w:r>
      <w:r w:rsidRPr="004300A2">
        <w:rPr>
          <w:rFonts w:cs="Arial"/>
          <w:szCs w:val="20"/>
        </w:rPr>
        <w:t>. Přestup na gymnázium je podmíněn přijímacími zkouškami</w:t>
      </w:r>
      <w:r w:rsidR="00337DB8">
        <w:rPr>
          <w:rFonts w:cs="Arial"/>
          <w:szCs w:val="20"/>
        </w:rPr>
        <w:t>. Přechod na osmiletou konzervatoř taneční je podmíněn talentovými zkouškami.</w:t>
      </w:r>
    </w:p>
    <w:p w14:paraId="58B8C4CC" w14:textId="077D56EF" w:rsidR="00D74353" w:rsidRDefault="00FF6B7E" w:rsidP="00D773B1">
      <w:pPr>
        <w:keepNext/>
        <w:spacing w:after="120"/>
        <w:jc w:val="both"/>
        <w:rPr>
          <w:rFonts w:cs="Arial"/>
          <w:b/>
          <w:szCs w:val="20"/>
        </w:rPr>
      </w:pPr>
      <w:r w:rsidRPr="002E5300">
        <w:rPr>
          <w:rFonts w:cs="Arial"/>
          <w:b/>
          <w:szCs w:val="20"/>
        </w:rPr>
        <w:lastRenderedPageBreak/>
        <w:t xml:space="preserve">Graf </w:t>
      </w:r>
      <w:r>
        <w:rPr>
          <w:rFonts w:cs="Arial"/>
          <w:b/>
          <w:szCs w:val="20"/>
        </w:rPr>
        <w:t>2</w:t>
      </w:r>
      <w:r w:rsidR="007C1D85">
        <w:rPr>
          <w:rFonts w:cs="Arial"/>
          <w:b/>
          <w:szCs w:val="20"/>
        </w:rPr>
        <w:t xml:space="preserve">.1 </w:t>
      </w:r>
      <w:r w:rsidRPr="000337B5">
        <w:rPr>
          <w:rFonts w:cs="Arial"/>
          <w:b/>
          <w:szCs w:val="20"/>
        </w:rPr>
        <w:t>Počet žáků v základním vzdělávání (v tis.)</w:t>
      </w:r>
    </w:p>
    <w:p w14:paraId="24AC9B1B" w14:textId="58195B98" w:rsidR="00FF6B7E" w:rsidRPr="00EA1042" w:rsidRDefault="007C3D62" w:rsidP="007C3D62">
      <w:pPr>
        <w:keepNext/>
        <w:spacing w:after="120"/>
        <w:jc w:val="both"/>
        <w:rPr>
          <w:rFonts w:cs="Arial"/>
          <w:b/>
          <w:szCs w:val="20"/>
        </w:rPr>
      </w:pPr>
      <w:r>
        <w:rPr>
          <w:noProof/>
        </w:rPr>
        <w:drawing>
          <wp:inline distT="0" distB="0" distL="0" distR="0" wp14:anchorId="7F4376A6" wp14:editId="7CA5DA02">
            <wp:extent cx="6162675" cy="3409950"/>
            <wp:effectExtent l="0" t="0" r="9525" b="0"/>
            <wp:docPr id="19" name="Graf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CC71555" w14:textId="37684F1A" w:rsidR="00FF6B7E" w:rsidRDefault="00FF6B7E" w:rsidP="00FF6B7E">
      <w:pPr>
        <w:spacing w:after="120"/>
        <w:jc w:val="both"/>
        <w:rPr>
          <w:rFonts w:cs="Arial"/>
          <w:sz w:val="18"/>
        </w:rPr>
      </w:pPr>
      <w:r w:rsidRPr="002F1BFB">
        <w:rPr>
          <w:rFonts w:cs="Arial"/>
          <w:sz w:val="18"/>
          <w:vertAlign w:val="superscript"/>
        </w:rPr>
        <w:t>1)</w:t>
      </w:r>
      <w:r w:rsidRPr="009E34FC">
        <w:rPr>
          <w:rFonts w:cs="Arial"/>
          <w:sz w:val="18"/>
        </w:rPr>
        <w:t xml:space="preserve"> </w:t>
      </w:r>
      <w:r>
        <w:rPr>
          <w:rFonts w:cs="Arial"/>
          <w:sz w:val="18"/>
        </w:rPr>
        <w:t xml:space="preserve">bez žáků </w:t>
      </w:r>
      <w:r w:rsidRPr="000337B5">
        <w:rPr>
          <w:rFonts w:cs="Arial"/>
          <w:sz w:val="18"/>
        </w:rPr>
        <w:t>plnící</w:t>
      </w:r>
      <w:r>
        <w:rPr>
          <w:rFonts w:cs="Arial"/>
          <w:sz w:val="18"/>
        </w:rPr>
        <w:t>ch</w:t>
      </w:r>
      <w:r w:rsidRPr="000337B5">
        <w:rPr>
          <w:rFonts w:cs="Arial"/>
          <w:sz w:val="18"/>
        </w:rPr>
        <w:t xml:space="preserve"> povinnou školní docházku</w:t>
      </w:r>
      <w:r>
        <w:rPr>
          <w:rFonts w:cs="Arial"/>
          <w:sz w:val="18"/>
        </w:rPr>
        <w:t xml:space="preserve"> </w:t>
      </w:r>
      <w:r w:rsidRPr="000337B5">
        <w:rPr>
          <w:rFonts w:cs="Arial"/>
          <w:sz w:val="18"/>
        </w:rPr>
        <w:t>v zahraničí nebo na zahraniční škole</w:t>
      </w:r>
      <w:r>
        <w:rPr>
          <w:rFonts w:cs="Arial"/>
          <w:sz w:val="18"/>
        </w:rPr>
        <w:t xml:space="preserve"> v ČR</w:t>
      </w:r>
      <w:r w:rsidRPr="000337B5">
        <w:rPr>
          <w:rFonts w:cs="Arial"/>
          <w:sz w:val="18"/>
        </w:rPr>
        <w:t xml:space="preserve"> </w:t>
      </w:r>
      <w:r>
        <w:rPr>
          <w:rFonts w:cs="Arial"/>
          <w:sz w:val="18"/>
        </w:rPr>
        <w:t>či formou in</w:t>
      </w:r>
      <w:r w:rsidRPr="000337B5">
        <w:rPr>
          <w:rFonts w:cs="Arial"/>
          <w:sz w:val="18"/>
        </w:rPr>
        <w:t>dividuální</w:t>
      </w:r>
      <w:r>
        <w:rPr>
          <w:rFonts w:cs="Arial"/>
          <w:sz w:val="18"/>
        </w:rPr>
        <w:t>ho</w:t>
      </w:r>
      <w:r w:rsidRPr="000337B5">
        <w:rPr>
          <w:rFonts w:cs="Arial"/>
          <w:sz w:val="18"/>
        </w:rPr>
        <w:t xml:space="preserve"> vzdělávání</w:t>
      </w:r>
      <w:r>
        <w:rPr>
          <w:rFonts w:cs="Arial"/>
          <w:sz w:val="18"/>
        </w:rPr>
        <w:t xml:space="preserve"> podle </w:t>
      </w:r>
      <w:r w:rsidRPr="000337B5">
        <w:rPr>
          <w:rFonts w:cs="Arial"/>
          <w:sz w:val="18"/>
        </w:rPr>
        <w:t xml:space="preserve">§ </w:t>
      </w:r>
      <w:r>
        <w:rPr>
          <w:rFonts w:cs="Arial"/>
          <w:sz w:val="18"/>
        </w:rPr>
        <w:t xml:space="preserve">38 a </w:t>
      </w:r>
      <w:r w:rsidRPr="00053937">
        <w:rPr>
          <w:rFonts w:cs="Arial"/>
          <w:sz w:val="18"/>
        </w:rPr>
        <w:t xml:space="preserve">§ </w:t>
      </w:r>
      <w:r>
        <w:rPr>
          <w:rFonts w:cs="Arial"/>
          <w:sz w:val="18"/>
        </w:rPr>
        <w:t>41</w:t>
      </w:r>
      <w:r w:rsidRPr="00053937">
        <w:rPr>
          <w:rFonts w:cs="Arial"/>
          <w:sz w:val="18"/>
        </w:rPr>
        <w:t xml:space="preserve"> Školského zákona</w:t>
      </w:r>
      <w:r w:rsidR="00EF73DD">
        <w:rPr>
          <w:rFonts w:cs="Arial"/>
          <w:sz w:val="18"/>
        </w:rPr>
        <w:t>, kteří jsou také zapsáni do kmenové základní školy</w:t>
      </w:r>
    </w:p>
    <w:p w14:paraId="30835B2C" w14:textId="57D392FA" w:rsidR="00D54FF6" w:rsidRPr="00D54FF6" w:rsidRDefault="00FF6B7E" w:rsidP="00D54FF6">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4BCF52D9" w14:textId="5D060593" w:rsidR="0037313F" w:rsidRDefault="00FF6B7E" w:rsidP="00FF6B7E">
      <w:pPr>
        <w:spacing w:after="120"/>
        <w:jc w:val="both"/>
        <w:rPr>
          <w:rFonts w:cs="Arial"/>
          <w:szCs w:val="20"/>
        </w:rPr>
      </w:pPr>
      <w:r w:rsidRPr="00D74353">
        <w:rPr>
          <w:rFonts w:cs="Arial"/>
          <w:szCs w:val="20"/>
        </w:rPr>
        <w:t xml:space="preserve">Základního vzdělávání se </w:t>
      </w:r>
      <w:r w:rsidR="00597650" w:rsidRPr="00D74353">
        <w:rPr>
          <w:rFonts w:cs="Arial"/>
          <w:szCs w:val="20"/>
        </w:rPr>
        <w:t>ve školním roce 2021/22</w:t>
      </w:r>
      <w:r w:rsidRPr="00D74353">
        <w:rPr>
          <w:rFonts w:cs="Arial"/>
          <w:szCs w:val="20"/>
        </w:rPr>
        <w:t xml:space="preserve"> účastnilo</w:t>
      </w:r>
      <w:r>
        <w:rPr>
          <w:rFonts w:cs="Arial"/>
          <w:szCs w:val="20"/>
        </w:rPr>
        <w:t xml:space="preserve"> </w:t>
      </w:r>
      <w:r w:rsidRPr="004300A2">
        <w:rPr>
          <w:rFonts w:cs="Arial"/>
          <w:szCs w:val="20"/>
        </w:rPr>
        <w:t xml:space="preserve">celkem </w:t>
      </w:r>
      <w:r w:rsidR="00597650" w:rsidRPr="00597650">
        <w:rPr>
          <w:rFonts w:cs="Arial"/>
          <w:b/>
          <w:szCs w:val="20"/>
        </w:rPr>
        <w:t>1</w:t>
      </w:r>
      <w:r w:rsidR="00597650">
        <w:rPr>
          <w:rFonts w:cs="Arial"/>
          <w:b/>
          <w:szCs w:val="20"/>
        </w:rPr>
        <w:t> </w:t>
      </w:r>
      <w:r w:rsidR="00597650" w:rsidRPr="00597650">
        <w:rPr>
          <w:rFonts w:cs="Arial"/>
          <w:b/>
          <w:szCs w:val="20"/>
        </w:rPr>
        <w:t>006</w:t>
      </w:r>
      <w:r w:rsidR="00597650">
        <w:rPr>
          <w:rFonts w:cs="Arial"/>
          <w:b/>
          <w:szCs w:val="20"/>
        </w:rPr>
        <w:t> </w:t>
      </w:r>
      <w:r w:rsidR="00597650" w:rsidRPr="00597650">
        <w:rPr>
          <w:rFonts w:cs="Arial"/>
          <w:b/>
          <w:szCs w:val="20"/>
        </w:rPr>
        <w:t>455</w:t>
      </w:r>
      <w:r w:rsidR="00597650">
        <w:rPr>
          <w:rFonts w:cs="Arial"/>
          <w:b/>
          <w:szCs w:val="20"/>
        </w:rPr>
        <w:t xml:space="preserve"> </w:t>
      </w:r>
      <w:r w:rsidR="00EA1042">
        <w:rPr>
          <w:rFonts w:cs="Arial"/>
          <w:b/>
          <w:szCs w:val="20"/>
        </w:rPr>
        <w:t xml:space="preserve"> </w:t>
      </w:r>
      <w:r w:rsidRPr="000457ED">
        <w:rPr>
          <w:rFonts w:cs="Arial"/>
          <w:b/>
          <w:szCs w:val="20"/>
        </w:rPr>
        <w:t>žáků</w:t>
      </w:r>
      <w:r w:rsidRPr="004300A2">
        <w:rPr>
          <w:rFonts w:cs="Arial"/>
          <w:szCs w:val="20"/>
        </w:rPr>
        <w:t>, tj. nejvíce za posledních deset let.</w:t>
      </w:r>
      <w:r w:rsidR="00EA1042">
        <w:rPr>
          <w:rFonts w:cs="Arial"/>
          <w:szCs w:val="20"/>
        </w:rPr>
        <w:t xml:space="preserve"> Za deset let se zvýšil počet žáků v základním vzdělávání </w:t>
      </w:r>
      <w:r w:rsidR="0037313F">
        <w:rPr>
          <w:rFonts w:cs="Arial"/>
          <w:szCs w:val="20"/>
        </w:rPr>
        <w:t>o pětinu (20,4</w:t>
      </w:r>
      <w:r w:rsidR="00F64BCC">
        <w:rPr>
          <w:rFonts w:cs="Arial"/>
          <w:szCs w:val="20"/>
        </w:rPr>
        <w:t> %), z toh</w:t>
      </w:r>
      <w:r w:rsidR="0037313F">
        <w:rPr>
          <w:rFonts w:cs="Arial"/>
          <w:szCs w:val="20"/>
        </w:rPr>
        <w:t>o v posledních pěti letech o 6,2</w:t>
      </w:r>
      <w:r w:rsidR="00EA1042">
        <w:rPr>
          <w:rFonts w:cs="Arial"/>
          <w:szCs w:val="20"/>
        </w:rPr>
        <w:t xml:space="preserve"> %. </w:t>
      </w:r>
      <w:r w:rsidR="0037313F">
        <w:rPr>
          <w:rFonts w:cs="Arial"/>
          <w:szCs w:val="20"/>
        </w:rPr>
        <w:t xml:space="preserve">Výraznější byl růst </w:t>
      </w:r>
      <w:r w:rsidR="00131A45">
        <w:rPr>
          <w:rFonts w:cs="Arial"/>
          <w:szCs w:val="20"/>
        </w:rPr>
        <w:t>v období mezi škol</w:t>
      </w:r>
      <w:r w:rsidR="002C5C25">
        <w:rPr>
          <w:rFonts w:cs="Arial"/>
          <w:szCs w:val="20"/>
        </w:rPr>
        <w:t>ními roky 2012/12</w:t>
      </w:r>
      <w:r w:rsidR="00131A45">
        <w:rPr>
          <w:rFonts w:cs="Arial"/>
          <w:szCs w:val="20"/>
        </w:rPr>
        <w:t xml:space="preserve"> až 2017/1</w:t>
      </w:r>
      <w:r w:rsidR="0037313F">
        <w:rPr>
          <w:rFonts w:cs="Arial"/>
          <w:szCs w:val="20"/>
        </w:rPr>
        <w:t>8. Mezi jednotlivými školními roky v tomto období přibylo žáků základního vzdělávání vždy o více než 2 %</w:t>
      </w:r>
      <w:r w:rsidR="002C5C25">
        <w:rPr>
          <w:rFonts w:cs="Arial"/>
          <w:szCs w:val="20"/>
        </w:rPr>
        <w:t xml:space="preserve"> (</w:t>
      </w:r>
      <w:r w:rsidR="008259F4">
        <w:rPr>
          <w:rFonts w:cs="Arial"/>
          <w:szCs w:val="20"/>
        </w:rPr>
        <w:t>v rozmezí od 2,1% nárůstu do 3,1</w:t>
      </w:r>
      <w:r w:rsidR="002C5C25">
        <w:rPr>
          <w:rFonts w:cs="Arial"/>
          <w:szCs w:val="20"/>
        </w:rPr>
        <w:t>% nárůstu</w:t>
      </w:r>
      <w:r w:rsidR="007B5262">
        <w:rPr>
          <w:rFonts w:cs="Arial"/>
          <w:szCs w:val="20"/>
        </w:rPr>
        <w:t>)</w:t>
      </w:r>
      <w:r w:rsidR="0037313F">
        <w:rPr>
          <w:rFonts w:cs="Arial"/>
          <w:szCs w:val="20"/>
        </w:rPr>
        <w:t xml:space="preserve">. Od školního roku 2017/18 tento růst neustále zpomaluje a mezi školními roky 2020/21 a 2021/22 se počet žáků základního vzdělávání zvýšil již jen o 0,2 %. </w:t>
      </w:r>
      <w:r w:rsidR="00B35603">
        <w:rPr>
          <w:rFonts w:cs="Arial"/>
          <w:szCs w:val="20"/>
        </w:rPr>
        <w:t>Jak dále uvidíme, populační vlna se nyní přelévá ze základních škol na střední školy, které v posledních třech letech již zaznamenávají růst počtu žáků.</w:t>
      </w:r>
    </w:p>
    <w:p w14:paraId="66FC8AE9" w14:textId="2BFD6367" w:rsidR="00FF6B7E" w:rsidRPr="00637E4A" w:rsidRDefault="00FF6B7E" w:rsidP="00FF6B7E">
      <w:pPr>
        <w:spacing w:after="120"/>
        <w:jc w:val="both"/>
        <w:rPr>
          <w:rFonts w:cs="Arial"/>
          <w:i/>
          <w:szCs w:val="20"/>
        </w:rPr>
      </w:pPr>
      <w:r w:rsidRPr="005241D8">
        <w:rPr>
          <w:rFonts w:cs="Arial"/>
          <w:szCs w:val="20"/>
        </w:rPr>
        <w:t>Kromě základních škol</w:t>
      </w:r>
      <w:r>
        <w:rPr>
          <w:rFonts w:cs="Arial"/>
          <w:szCs w:val="20"/>
        </w:rPr>
        <w:t xml:space="preserve">, </w:t>
      </w:r>
      <w:r w:rsidR="00EF73DD">
        <w:rPr>
          <w:rFonts w:cs="Arial"/>
          <w:szCs w:val="20"/>
        </w:rPr>
        <w:t>do kterých bylo celkově zapsáno</w:t>
      </w:r>
      <w:r w:rsidRPr="005241D8">
        <w:rPr>
          <w:rFonts w:cs="Arial"/>
          <w:szCs w:val="20"/>
        </w:rPr>
        <w:t xml:space="preserve"> celkem </w:t>
      </w:r>
      <w:r w:rsidR="0037313F" w:rsidRPr="0037313F">
        <w:rPr>
          <w:rFonts w:cs="Arial"/>
          <w:szCs w:val="20"/>
        </w:rPr>
        <w:t>964</w:t>
      </w:r>
      <w:r w:rsidR="0037313F">
        <w:rPr>
          <w:rFonts w:cs="Arial"/>
          <w:szCs w:val="20"/>
        </w:rPr>
        <w:t xml:space="preserve"> </w:t>
      </w:r>
      <w:r w:rsidR="0037313F" w:rsidRPr="0037313F">
        <w:rPr>
          <w:rFonts w:cs="Arial"/>
          <w:szCs w:val="20"/>
        </w:rPr>
        <w:t xml:space="preserve">571 </w:t>
      </w:r>
      <w:r>
        <w:rPr>
          <w:rFonts w:cs="Arial"/>
          <w:szCs w:val="20"/>
        </w:rPr>
        <w:t xml:space="preserve">žáků, si </w:t>
      </w:r>
      <w:r w:rsidR="0037313F" w:rsidRPr="0037313F">
        <w:rPr>
          <w:rFonts w:cs="Arial"/>
          <w:szCs w:val="20"/>
        </w:rPr>
        <w:t>41</w:t>
      </w:r>
      <w:r w:rsidR="0037313F">
        <w:rPr>
          <w:rFonts w:cs="Arial"/>
          <w:szCs w:val="20"/>
        </w:rPr>
        <w:t xml:space="preserve"> </w:t>
      </w:r>
      <w:r w:rsidR="0037313F" w:rsidRPr="0037313F">
        <w:rPr>
          <w:rFonts w:cs="Arial"/>
          <w:szCs w:val="20"/>
        </w:rPr>
        <w:t xml:space="preserve">566 </w:t>
      </w:r>
      <w:r w:rsidRPr="005241D8">
        <w:rPr>
          <w:rFonts w:cs="Arial"/>
          <w:szCs w:val="20"/>
        </w:rPr>
        <w:t xml:space="preserve">žáků povinnou školní docházku plnilo v nižších ročnících </w:t>
      </w:r>
      <w:r w:rsidRPr="000457ED">
        <w:rPr>
          <w:rFonts w:cs="Arial"/>
          <w:b/>
          <w:szCs w:val="20"/>
        </w:rPr>
        <w:t>víceletých gymnázií</w:t>
      </w:r>
      <w:r w:rsidR="0037313F">
        <w:rPr>
          <w:rFonts w:cs="Arial"/>
          <w:szCs w:val="20"/>
        </w:rPr>
        <w:t xml:space="preserve"> a 318</w:t>
      </w:r>
      <w:r>
        <w:rPr>
          <w:rFonts w:cs="Arial"/>
          <w:szCs w:val="20"/>
        </w:rPr>
        <w:t xml:space="preserve"> na </w:t>
      </w:r>
      <w:r w:rsidRPr="000457ED">
        <w:rPr>
          <w:rFonts w:cs="Arial"/>
          <w:b/>
          <w:szCs w:val="20"/>
        </w:rPr>
        <w:t>osmiletých konzervatořích</w:t>
      </w:r>
      <w:r>
        <w:rPr>
          <w:rFonts w:cs="Arial"/>
          <w:szCs w:val="20"/>
        </w:rPr>
        <w:t xml:space="preserve">. </w:t>
      </w:r>
      <w:r w:rsidR="00FE3AFE">
        <w:rPr>
          <w:rFonts w:cs="Arial"/>
          <w:szCs w:val="20"/>
        </w:rPr>
        <w:t>Oproti předchozímu školnímu roku přibylo o 0,2 % žáků v základních školách a naopak ubylo o 0,6 % žáků v nižších ročnících víceletých gymnázií a snížil se též počet žáků v nižších ročnících osmileté konzervatoře (o 1,5</w:t>
      </w:r>
      <w:r w:rsidR="004C07FA">
        <w:rPr>
          <w:rFonts w:cs="Arial"/>
          <w:szCs w:val="20"/>
        </w:rPr>
        <w:t> </w:t>
      </w:r>
      <w:r w:rsidR="00FE3AFE">
        <w:rPr>
          <w:rFonts w:cs="Arial"/>
          <w:szCs w:val="20"/>
        </w:rPr>
        <w:t>%). Je patrné, že nárůst počtu dětí se nepromítl do počtu míst v nižších ročnících víceletých gymnázií</w:t>
      </w:r>
      <w:r w:rsidR="00A26719">
        <w:rPr>
          <w:rFonts w:cs="Arial"/>
          <w:szCs w:val="20"/>
        </w:rPr>
        <w:t xml:space="preserve"> a </w:t>
      </w:r>
      <w:r w:rsidR="002A1622">
        <w:rPr>
          <w:rFonts w:cs="Arial"/>
          <w:szCs w:val="20"/>
        </w:rPr>
        <w:t>víceletých konzervatoří</w:t>
      </w:r>
      <w:r w:rsidR="00FE3AFE">
        <w:rPr>
          <w:rFonts w:cs="Arial"/>
          <w:szCs w:val="20"/>
        </w:rPr>
        <w:t>. Z</w:t>
      </w:r>
      <w:r w:rsidR="00A26719">
        <w:rPr>
          <w:rFonts w:cs="Arial"/>
          <w:szCs w:val="20"/>
        </w:rPr>
        <w:t>atímco počet žáků na druhém stupni</w:t>
      </w:r>
      <w:r w:rsidR="00FE3AFE">
        <w:rPr>
          <w:rFonts w:cs="Arial"/>
          <w:szCs w:val="20"/>
        </w:rPr>
        <w:t xml:space="preserve"> základních </w:t>
      </w:r>
      <w:r w:rsidR="00A26719">
        <w:rPr>
          <w:rFonts w:cs="Arial"/>
          <w:szCs w:val="20"/>
        </w:rPr>
        <w:t>škol</w:t>
      </w:r>
      <w:r w:rsidR="00FE3AFE">
        <w:rPr>
          <w:rFonts w:cs="Arial"/>
          <w:szCs w:val="20"/>
        </w:rPr>
        <w:t xml:space="preserve"> </w:t>
      </w:r>
      <w:r w:rsidR="00A26719">
        <w:rPr>
          <w:rFonts w:cs="Arial"/>
          <w:szCs w:val="20"/>
        </w:rPr>
        <w:t>od školního roku 2012/13 trvale stoupá, počet žáků v nižších ročnících víceletých gymnázií v posledních dvou školních rocích o 1 % poklesl a počet žáků v nižších ročnících osmiletých konzervatoří se za posledních pět let snížil o 3,3 %.</w:t>
      </w:r>
    </w:p>
    <w:p w14:paraId="7FAD28D3" w14:textId="0A63F07F" w:rsidR="00D74353" w:rsidRDefault="00F56E07" w:rsidP="00FF6B7E">
      <w:pPr>
        <w:spacing w:after="120"/>
        <w:jc w:val="both"/>
        <w:rPr>
          <w:rFonts w:cs="Arial"/>
          <w:szCs w:val="20"/>
        </w:rPr>
      </w:pPr>
      <w:r>
        <w:rPr>
          <w:rFonts w:cs="Arial"/>
          <w:szCs w:val="20"/>
        </w:rPr>
        <w:t xml:space="preserve">Žáků, kteří si </w:t>
      </w:r>
      <w:r w:rsidR="00A26719">
        <w:rPr>
          <w:rFonts w:cs="Arial"/>
          <w:szCs w:val="20"/>
        </w:rPr>
        <w:t xml:space="preserve">ve školním roce 2021/22 </w:t>
      </w:r>
      <w:r>
        <w:rPr>
          <w:rFonts w:cs="Arial"/>
          <w:szCs w:val="20"/>
        </w:rPr>
        <w:t>plnili povinnou školní docházku v </w:t>
      </w:r>
      <w:r w:rsidR="00FF6B7E" w:rsidRPr="000457ED">
        <w:rPr>
          <w:rFonts w:cs="Arial"/>
          <w:b/>
          <w:szCs w:val="20"/>
        </w:rPr>
        <w:t>zahraničí</w:t>
      </w:r>
      <w:r>
        <w:rPr>
          <w:rFonts w:cs="Arial"/>
          <w:b/>
          <w:szCs w:val="20"/>
        </w:rPr>
        <w:t xml:space="preserve"> či na zahraniční škole,</w:t>
      </w:r>
      <w:r w:rsidR="00FF6B7E" w:rsidRPr="005241D8">
        <w:rPr>
          <w:rFonts w:cs="Arial"/>
          <w:szCs w:val="20"/>
        </w:rPr>
        <w:t xml:space="preserve"> </w:t>
      </w:r>
      <w:r w:rsidR="00A26719">
        <w:rPr>
          <w:rFonts w:cs="Arial"/>
          <w:szCs w:val="20"/>
        </w:rPr>
        <w:t xml:space="preserve">bylo </w:t>
      </w:r>
      <w:r w:rsidR="00FF6B7E" w:rsidRPr="005241D8">
        <w:rPr>
          <w:rFonts w:cs="Arial"/>
          <w:szCs w:val="20"/>
        </w:rPr>
        <w:t>9</w:t>
      </w:r>
      <w:r w:rsidR="00C200FA">
        <w:rPr>
          <w:rFonts w:cs="Arial"/>
          <w:szCs w:val="20"/>
        </w:rPr>
        <w:t> </w:t>
      </w:r>
      <w:r w:rsidR="00A26719">
        <w:rPr>
          <w:rFonts w:cs="Arial"/>
          <w:szCs w:val="20"/>
        </w:rPr>
        <w:t>550</w:t>
      </w:r>
      <w:r w:rsidR="00C200FA">
        <w:rPr>
          <w:rFonts w:cs="Arial"/>
          <w:szCs w:val="20"/>
        </w:rPr>
        <w:t xml:space="preserve"> (započteni jsou pouze ti, kteří byli </w:t>
      </w:r>
      <w:r w:rsidR="00EF73DD">
        <w:rPr>
          <w:rFonts w:cs="Arial"/>
          <w:szCs w:val="20"/>
        </w:rPr>
        <w:t>zapsáni do kmenové školy</w:t>
      </w:r>
      <w:r w:rsidR="00C200FA">
        <w:rPr>
          <w:rFonts w:cs="Arial"/>
          <w:szCs w:val="20"/>
        </w:rPr>
        <w:t xml:space="preserve"> v ČR)</w:t>
      </w:r>
      <w:r w:rsidR="00FF6B7E">
        <w:rPr>
          <w:rFonts w:cs="Arial"/>
          <w:szCs w:val="20"/>
        </w:rPr>
        <w:t xml:space="preserve"> </w:t>
      </w:r>
      <w:r w:rsidR="00FF6B7E" w:rsidRPr="005241D8">
        <w:rPr>
          <w:rFonts w:cs="Arial"/>
          <w:szCs w:val="20"/>
        </w:rPr>
        <w:t xml:space="preserve">a </w:t>
      </w:r>
      <w:r w:rsidR="00FF6B7E" w:rsidRPr="000457ED">
        <w:rPr>
          <w:rFonts w:cs="Arial"/>
          <w:b/>
          <w:szCs w:val="20"/>
        </w:rPr>
        <w:t>formu individuálního vzdělávání</w:t>
      </w:r>
      <w:r w:rsidR="00FF6B7E" w:rsidRPr="005241D8">
        <w:rPr>
          <w:rFonts w:cs="Arial"/>
          <w:szCs w:val="20"/>
        </w:rPr>
        <w:t xml:space="preserve"> využilo </w:t>
      </w:r>
      <w:r w:rsidR="00A26719">
        <w:rPr>
          <w:rFonts w:cs="Arial"/>
          <w:szCs w:val="20"/>
        </w:rPr>
        <w:t>5 815</w:t>
      </w:r>
      <w:r w:rsidR="00FF6B7E">
        <w:rPr>
          <w:rFonts w:cs="Arial"/>
          <w:szCs w:val="20"/>
        </w:rPr>
        <w:t xml:space="preserve"> </w:t>
      </w:r>
      <w:r w:rsidR="00FF6B7E" w:rsidRPr="005241D8">
        <w:rPr>
          <w:rFonts w:cs="Arial"/>
          <w:szCs w:val="20"/>
        </w:rPr>
        <w:t xml:space="preserve">dětí. </w:t>
      </w:r>
      <w:r>
        <w:rPr>
          <w:rFonts w:cs="Arial"/>
          <w:szCs w:val="20"/>
        </w:rPr>
        <w:t>Zde lze poznamenat, že zájem o indiv</w:t>
      </w:r>
      <w:r w:rsidR="00D74353">
        <w:rPr>
          <w:rFonts w:cs="Arial"/>
          <w:szCs w:val="20"/>
        </w:rPr>
        <w:t>iduální vzdělávání trvale roste. Oproti školnímu roku 2016/17 (tj. před pěti lety) byl ve školním roce 2021/22 téměř trojnásobný a oproti školnímu roku 2011/12 více než desetinásobný. Za poslední školní rok se přitom zvýšil o 27,6 %.</w:t>
      </w:r>
      <w:r>
        <w:rPr>
          <w:rFonts w:cs="Arial"/>
          <w:szCs w:val="20"/>
        </w:rPr>
        <w:t xml:space="preserve"> </w:t>
      </w:r>
    </w:p>
    <w:p w14:paraId="5FAA06F6" w14:textId="07246C1E" w:rsidR="00D74353" w:rsidRDefault="003D3E71" w:rsidP="00FF6B7E">
      <w:pPr>
        <w:spacing w:after="120"/>
        <w:jc w:val="both"/>
        <w:rPr>
          <w:rFonts w:cs="Arial"/>
          <w:szCs w:val="20"/>
        </w:rPr>
      </w:pPr>
      <w:r>
        <w:rPr>
          <w:rFonts w:cs="Arial"/>
          <w:szCs w:val="20"/>
        </w:rPr>
        <w:t>Žáků vzdělávajících se v zahraničí či na zahraniční škole také v posledních deseti letech př</w:t>
      </w:r>
      <w:r w:rsidR="00AA6078">
        <w:rPr>
          <w:rFonts w:cs="Arial"/>
          <w:szCs w:val="20"/>
        </w:rPr>
        <w:t>ibývalo. Mezi školními roky 2016/17</w:t>
      </w:r>
      <w:r>
        <w:rPr>
          <w:rFonts w:cs="Arial"/>
          <w:szCs w:val="20"/>
        </w:rPr>
        <w:t xml:space="preserve"> a 2021/22 se více než zdvojnásobil (stoupl o 111,6 %), za posledních 5 školních roků pak stoupl již jen o 15,6 %. Za posledních </w:t>
      </w:r>
      <w:r w:rsidR="00EF73DD">
        <w:rPr>
          <w:rFonts w:cs="Arial"/>
          <w:szCs w:val="20"/>
        </w:rPr>
        <w:t>10</w:t>
      </w:r>
      <w:r>
        <w:rPr>
          <w:rFonts w:cs="Arial"/>
          <w:szCs w:val="20"/>
        </w:rPr>
        <w:t xml:space="preserve"> let se přitom pouze v jednom</w:t>
      </w:r>
      <w:r w:rsidR="00EF73DD">
        <w:rPr>
          <w:rFonts w:cs="Arial"/>
          <w:szCs w:val="20"/>
        </w:rPr>
        <w:t xml:space="preserve"> roce počet těchto žáků snížil (tj. mezi</w:t>
      </w:r>
      <w:r>
        <w:rPr>
          <w:rFonts w:cs="Arial"/>
          <w:szCs w:val="20"/>
        </w:rPr>
        <w:t xml:space="preserve"> školními roky 2019/20 a 2020/21</w:t>
      </w:r>
      <w:r w:rsidR="00EF73DD">
        <w:rPr>
          <w:rFonts w:cs="Arial"/>
          <w:szCs w:val="20"/>
        </w:rPr>
        <w:t>)</w:t>
      </w:r>
      <w:r>
        <w:rPr>
          <w:rFonts w:cs="Arial"/>
          <w:szCs w:val="20"/>
        </w:rPr>
        <w:t>, zřejmě kvůli opatřením spojeným s pandemií onemocnění covid-19.</w:t>
      </w:r>
    </w:p>
    <w:p w14:paraId="0169FE17" w14:textId="239D5FFA" w:rsidR="00FF6B7E" w:rsidRDefault="000C78D0" w:rsidP="00FF6B7E">
      <w:pPr>
        <w:spacing w:after="120"/>
        <w:jc w:val="both"/>
        <w:rPr>
          <w:rFonts w:cs="Arial"/>
          <w:szCs w:val="20"/>
        </w:rPr>
      </w:pPr>
      <w:r>
        <w:rPr>
          <w:rFonts w:cs="Arial"/>
          <w:i/>
          <w:szCs w:val="20"/>
        </w:rPr>
        <w:t xml:space="preserve">Podrobnější informace k těmto dvěma způsobům </w:t>
      </w:r>
      <w:r w:rsidR="00FF6B7E" w:rsidRPr="00053937">
        <w:rPr>
          <w:rFonts w:cs="Arial"/>
          <w:i/>
          <w:szCs w:val="20"/>
        </w:rPr>
        <w:t>vzděl</w:t>
      </w:r>
      <w:r w:rsidR="00864CB6">
        <w:rPr>
          <w:rFonts w:cs="Arial"/>
          <w:i/>
          <w:szCs w:val="20"/>
        </w:rPr>
        <w:t>ávání jsou uvedeny v kapitole</w:t>
      </w:r>
      <w:r w:rsidR="00FF6B7E" w:rsidRPr="00053937">
        <w:rPr>
          <w:rFonts w:cs="Arial"/>
          <w:i/>
          <w:szCs w:val="20"/>
        </w:rPr>
        <w:t xml:space="preserve"> 2.7.</w:t>
      </w:r>
    </w:p>
    <w:p w14:paraId="5A456BFB" w14:textId="1EFB71EC" w:rsidR="00FF6B7E" w:rsidRPr="007D3898" w:rsidRDefault="00FF6B7E" w:rsidP="00D54FF6">
      <w:pPr>
        <w:pStyle w:val="Nadpis2"/>
        <w:spacing w:before="240" w:after="240"/>
        <w:rPr>
          <w:color w:val="FF0000"/>
          <w:sz w:val="24"/>
        </w:rPr>
      </w:pPr>
      <w:bookmarkStart w:id="8" w:name="_Toc112069072"/>
      <w:r>
        <w:lastRenderedPageBreak/>
        <w:t>2.1 Základní školy – z</w:t>
      </w:r>
      <w:r w:rsidR="003D3E71">
        <w:t>ákladní údaje za školní rok 2021</w:t>
      </w:r>
      <w:r>
        <w:t>/202</w:t>
      </w:r>
      <w:r w:rsidR="003D3E71">
        <w:t>2</w:t>
      </w:r>
      <w:bookmarkEnd w:id="8"/>
      <w:r>
        <w:t xml:space="preserve"> </w:t>
      </w:r>
    </w:p>
    <w:p w14:paraId="344C5BCB" w14:textId="7F6390CC" w:rsidR="00FF6B7E" w:rsidRDefault="00C63A95" w:rsidP="00FF6B7E">
      <w:pPr>
        <w:spacing w:after="120"/>
        <w:jc w:val="both"/>
        <w:rPr>
          <w:rFonts w:cs="Arial"/>
          <w:szCs w:val="20"/>
        </w:rPr>
      </w:pPr>
      <w:r>
        <w:rPr>
          <w:rFonts w:cs="Arial"/>
          <w:szCs w:val="20"/>
        </w:rPr>
        <w:t xml:space="preserve">K </w:t>
      </w:r>
      <w:r w:rsidR="00113341">
        <w:rPr>
          <w:rFonts w:cs="Arial"/>
          <w:szCs w:val="20"/>
        </w:rPr>
        <w:t>30. září 2021</w:t>
      </w:r>
      <w:r w:rsidR="00FF6B7E">
        <w:rPr>
          <w:rFonts w:cs="Arial"/>
          <w:szCs w:val="20"/>
        </w:rPr>
        <w:t xml:space="preserve"> </w:t>
      </w:r>
      <w:r w:rsidR="00FF6B7E" w:rsidRPr="00DF686B">
        <w:rPr>
          <w:rFonts w:cs="Arial"/>
          <w:szCs w:val="20"/>
        </w:rPr>
        <w:t xml:space="preserve">bylo v České republice </w:t>
      </w:r>
      <w:r w:rsidR="00113341">
        <w:rPr>
          <w:rFonts w:cs="Arial"/>
          <w:b/>
          <w:szCs w:val="20"/>
        </w:rPr>
        <w:t>4 238</w:t>
      </w:r>
      <w:r w:rsidR="00FF6B7E" w:rsidRPr="006952AB">
        <w:rPr>
          <w:rFonts w:cs="Arial"/>
          <w:b/>
          <w:szCs w:val="20"/>
        </w:rPr>
        <w:t xml:space="preserve"> základních škol</w:t>
      </w:r>
      <w:r w:rsidR="00182836">
        <w:rPr>
          <w:rStyle w:val="Znakapoznpodarou"/>
          <w:rFonts w:cs="Arial"/>
          <w:b/>
          <w:szCs w:val="20"/>
        </w:rPr>
        <w:footnoteReference w:id="14"/>
      </w:r>
      <w:r w:rsidR="00113341">
        <w:rPr>
          <w:rFonts w:cs="Arial"/>
          <w:szCs w:val="20"/>
        </w:rPr>
        <w:t xml:space="preserve"> s </w:t>
      </w:r>
      <w:r w:rsidR="00113341">
        <w:rPr>
          <w:rFonts w:cs="Arial"/>
          <w:b/>
          <w:szCs w:val="20"/>
        </w:rPr>
        <w:t>50 050</w:t>
      </w:r>
      <w:r w:rsidR="00FF6B7E" w:rsidRPr="006952AB">
        <w:rPr>
          <w:rFonts w:cs="Arial"/>
          <w:b/>
          <w:szCs w:val="20"/>
        </w:rPr>
        <w:t xml:space="preserve"> třídami</w:t>
      </w:r>
      <w:r>
        <w:rPr>
          <w:rFonts w:cs="Arial"/>
          <w:b/>
          <w:szCs w:val="20"/>
        </w:rPr>
        <w:t xml:space="preserve"> </w:t>
      </w:r>
      <w:r w:rsidRPr="00C63A95">
        <w:rPr>
          <w:rFonts w:cs="Arial"/>
          <w:szCs w:val="20"/>
        </w:rPr>
        <w:t>a</w:t>
      </w:r>
      <w:r>
        <w:t xml:space="preserve"> na</w:t>
      </w:r>
      <w:r w:rsidR="00FF6B7E">
        <w:t xml:space="preserve"> </w:t>
      </w:r>
      <w:r>
        <w:t>nich působilo</w:t>
      </w:r>
      <w:r w:rsidR="00FF6B7E">
        <w:t xml:space="preserve"> celkem </w:t>
      </w:r>
      <w:r w:rsidR="00113341">
        <w:t>88 759</w:t>
      </w:r>
      <w:r w:rsidR="00BB5D0E">
        <w:t xml:space="preserve"> </w:t>
      </w:r>
      <w:r w:rsidR="00FF6B7E">
        <w:t xml:space="preserve">učitelů </w:t>
      </w:r>
      <w:r w:rsidR="00FF6B7E" w:rsidRPr="00336F8A">
        <w:rPr>
          <w:rFonts w:cs="Arial"/>
          <w:szCs w:val="20"/>
        </w:rPr>
        <w:t xml:space="preserve">na plný či částečný </w:t>
      </w:r>
      <w:r w:rsidR="00FF6B7E">
        <w:rPr>
          <w:rFonts w:cs="Arial"/>
          <w:szCs w:val="20"/>
        </w:rPr>
        <w:t xml:space="preserve">pracovní </w:t>
      </w:r>
      <w:r w:rsidR="00FF6B7E" w:rsidRPr="00336F8A">
        <w:rPr>
          <w:rFonts w:cs="Arial"/>
          <w:szCs w:val="20"/>
        </w:rPr>
        <w:t xml:space="preserve">úvazek. </w:t>
      </w:r>
      <w:r w:rsidR="00FF6B7E">
        <w:rPr>
          <w:rFonts w:cs="Arial"/>
          <w:szCs w:val="20"/>
        </w:rPr>
        <w:t xml:space="preserve">Při jejich přepočtení na </w:t>
      </w:r>
      <w:r w:rsidR="00FF6B7E" w:rsidRPr="00336F8A">
        <w:rPr>
          <w:rFonts w:cs="Arial"/>
          <w:szCs w:val="20"/>
        </w:rPr>
        <w:t>pln</w:t>
      </w:r>
      <w:r w:rsidR="00FF6B7E">
        <w:rPr>
          <w:rFonts w:cs="Arial"/>
          <w:szCs w:val="20"/>
        </w:rPr>
        <w:t xml:space="preserve">é pracovní úvazky (plně zaměstnané) to představovalo </w:t>
      </w:r>
      <w:r w:rsidR="00113341" w:rsidRPr="00113341">
        <w:rPr>
          <w:b/>
        </w:rPr>
        <w:t>71</w:t>
      </w:r>
      <w:r w:rsidR="00113341">
        <w:rPr>
          <w:b/>
        </w:rPr>
        <w:t> </w:t>
      </w:r>
      <w:r w:rsidR="00113341" w:rsidRPr="00113341">
        <w:rPr>
          <w:b/>
        </w:rPr>
        <w:t>325</w:t>
      </w:r>
      <w:r w:rsidR="00113341">
        <w:t xml:space="preserve"> </w:t>
      </w:r>
      <w:r w:rsidR="00FF6B7E" w:rsidRPr="006952AB">
        <w:rPr>
          <w:rFonts w:cs="Arial"/>
          <w:b/>
          <w:szCs w:val="20"/>
        </w:rPr>
        <w:t>učitelů</w:t>
      </w:r>
      <w:r w:rsidR="00FF6B7E">
        <w:rPr>
          <w:rFonts w:cs="Arial"/>
          <w:b/>
          <w:szCs w:val="20"/>
        </w:rPr>
        <w:t xml:space="preserve">. </w:t>
      </w:r>
      <w:r w:rsidR="00FF6B7E" w:rsidRPr="008C43CE">
        <w:rPr>
          <w:rFonts w:cs="Arial"/>
          <w:i/>
          <w:szCs w:val="20"/>
        </w:rPr>
        <w:t>Dále v této publikaci budeme pracovat, pokud není uvedeno jinak, pouze s počtem učitelů přepočteným na plné pracovní úvazky.</w:t>
      </w:r>
      <w:r w:rsidR="00FF6B7E">
        <w:rPr>
          <w:rFonts w:cs="Arial"/>
          <w:b/>
          <w:szCs w:val="20"/>
        </w:rPr>
        <w:t xml:space="preserve"> </w:t>
      </w:r>
      <w:r w:rsidR="00FF6B7E" w:rsidRPr="008C43CE">
        <w:rPr>
          <w:rFonts w:cs="Arial"/>
          <w:szCs w:val="20"/>
        </w:rPr>
        <w:t xml:space="preserve">Tito učitelé na základních školách </w:t>
      </w:r>
      <w:r w:rsidR="00FF6B7E">
        <w:rPr>
          <w:rFonts w:cs="Arial"/>
          <w:szCs w:val="20"/>
        </w:rPr>
        <w:t xml:space="preserve">vzdělávali celkem </w:t>
      </w:r>
      <w:r w:rsidR="00BB5D0E">
        <w:rPr>
          <w:rFonts w:cs="Arial"/>
          <w:b/>
          <w:szCs w:val="20"/>
        </w:rPr>
        <w:t>96</w:t>
      </w:r>
      <w:r w:rsidR="00113341">
        <w:rPr>
          <w:rFonts w:cs="Arial"/>
          <w:b/>
          <w:szCs w:val="20"/>
        </w:rPr>
        <w:t>4 571</w:t>
      </w:r>
      <w:r w:rsidR="00FF6B7E" w:rsidRPr="006952AB">
        <w:rPr>
          <w:rFonts w:cs="Arial"/>
          <w:b/>
          <w:szCs w:val="20"/>
        </w:rPr>
        <w:t xml:space="preserve"> žáků</w:t>
      </w:r>
      <w:r w:rsidR="00FF6B7E">
        <w:rPr>
          <w:rFonts w:cs="Arial"/>
          <w:szCs w:val="20"/>
        </w:rPr>
        <w:t>.</w:t>
      </w:r>
    </w:p>
    <w:p w14:paraId="706A575B" w14:textId="68D4976F" w:rsidR="00FF6B7E" w:rsidRDefault="00FF6B7E" w:rsidP="00FF6B7E">
      <w:pPr>
        <w:spacing w:after="120"/>
        <w:jc w:val="both"/>
        <w:rPr>
          <w:rFonts w:cs="Arial"/>
          <w:szCs w:val="20"/>
        </w:rPr>
      </w:pPr>
      <w:r w:rsidRPr="00980CFA">
        <w:rPr>
          <w:rFonts w:cs="Arial"/>
          <w:szCs w:val="20"/>
        </w:rPr>
        <w:t>Výuk</w:t>
      </w:r>
      <w:r>
        <w:rPr>
          <w:rFonts w:cs="Arial"/>
          <w:szCs w:val="20"/>
        </w:rPr>
        <w:t>a</w:t>
      </w:r>
      <w:r w:rsidRPr="00980CFA">
        <w:rPr>
          <w:rFonts w:cs="Arial"/>
          <w:szCs w:val="20"/>
        </w:rPr>
        <w:t xml:space="preserve"> </w:t>
      </w:r>
      <w:r>
        <w:rPr>
          <w:rFonts w:cs="Arial"/>
          <w:szCs w:val="20"/>
        </w:rPr>
        <w:t xml:space="preserve">na </w:t>
      </w:r>
      <w:r>
        <w:rPr>
          <w:rFonts w:cs="Arial"/>
          <w:b/>
          <w:szCs w:val="20"/>
        </w:rPr>
        <w:t xml:space="preserve">1. stupni </w:t>
      </w:r>
      <w:r w:rsidRPr="00E41E6F">
        <w:rPr>
          <w:rFonts w:cs="Arial"/>
          <w:szCs w:val="20"/>
        </w:rPr>
        <w:t>byla zajišťována na 4 </w:t>
      </w:r>
      <w:r w:rsidR="000A0794">
        <w:rPr>
          <w:rFonts w:cs="Arial"/>
          <w:szCs w:val="20"/>
        </w:rPr>
        <w:t>220</w:t>
      </w:r>
      <w:r w:rsidRPr="00E41E6F">
        <w:rPr>
          <w:rFonts w:cs="Arial"/>
          <w:szCs w:val="20"/>
        </w:rPr>
        <w:t xml:space="preserve"> školách</w:t>
      </w:r>
      <w:r w:rsidR="00BB5D0E">
        <w:rPr>
          <w:rFonts w:cs="Arial"/>
          <w:szCs w:val="20"/>
        </w:rPr>
        <w:t>.</w:t>
      </w:r>
      <w:r>
        <w:rPr>
          <w:rFonts w:cs="Arial"/>
          <w:b/>
          <w:szCs w:val="20"/>
        </w:rPr>
        <w:t xml:space="preserve"> </w:t>
      </w:r>
      <w:r w:rsidR="00BB5D0E">
        <w:rPr>
          <w:rFonts w:cs="Arial"/>
          <w:szCs w:val="20"/>
        </w:rPr>
        <w:t>V nich</w:t>
      </w:r>
      <w:r w:rsidRPr="00E41E6F">
        <w:rPr>
          <w:rFonts w:cs="Arial"/>
          <w:szCs w:val="20"/>
        </w:rPr>
        <w:t xml:space="preserve"> se nacházelo </w:t>
      </w:r>
      <w:r w:rsidR="000A0794">
        <w:rPr>
          <w:rFonts w:cs="Arial"/>
          <w:szCs w:val="20"/>
        </w:rPr>
        <w:t>29 304</w:t>
      </w:r>
      <w:r w:rsidRPr="00E41E6F">
        <w:rPr>
          <w:rFonts w:cs="Arial"/>
          <w:szCs w:val="20"/>
        </w:rPr>
        <w:t xml:space="preserve"> tříd</w:t>
      </w:r>
      <w:r>
        <w:rPr>
          <w:rFonts w:cs="Arial"/>
          <w:szCs w:val="20"/>
        </w:rPr>
        <w:t>,</w:t>
      </w:r>
      <w:r w:rsidRPr="00E41E6F">
        <w:rPr>
          <w:rFonts w:cs="Arial"/>
          <w:szCs w:val="20"/>
        </w:rPr>
        <w:t xml:space="preserve"> d</w:t>
      </w:r>
      <w:r w:rsidR="00BB5D0E">
        <w:rPr>
          <w:rFonts w:cs="Arial"/>
          <w:szCs w:val="20"/>
        </w:rPr>
        <w:t xml:space="preserve">o kterých chodilo </w:t>
      </w:r>
      <w:r w:rsidR="000A0794">
        <w:rPr>
          <w:rFonts w:cs="Arial"/>
          <w:szCs w:val="20"/>
        </w:rPr>
        <w:t>545 711</w:t>
      </w:r>
      <w:r w:rsidR="00BB5D0E">
        <w:rPr>
          <w:rFonts w:cs="Arial"/>
          <w:szCs w:val="20"/>
        </w:rPr>
        <w:t xml:space="preserve"> žáků a </w:t>
      </w:r>
      <w:r>
        <w:rPr>
          <w:rFonts w:cs="Arial"/>
          <w:szCs w:val="20"/>
        </w:rPr>
        <w:t>vzdělávalo</w:t>
      </w:r>
      <w:r w:rsidR="00BB5D0E">
        <w:rPr>
          <w:rFonts w:cs="Arial"/>
          <w:szCs w:val="20"/>
        </w:rPr>
        <w:t xml:space="preserve"> je</w:t>
      </w:r>
      <w:r>
        <w:rPr>
          <w:rFonts w:cs="Arial"/>
          <w:szCs w:val="20"/>
        </w:rPr>
        <w:t xml:space="preserve"> </w:t>
      </w:r>
      <w:r w:rsidR="00BB5D0E">
        <w:rPr>
          <w:rFonts w:cs="Arial"/>
          <w:szCs w:val="20"/>
        </w:rPr>
        <w:t>34 </w:t>
      </w:r>
      <w:r w:rsidR="000A0794">
        <w:rPr>
          <w:rFonts w:cs="Arial"/>
          <w:szCs w:val="20"/>
        </w:rPr>
        <w:t>422</w:t>
      </w:r>
      <w:r>
        <w:rPr>
          <w:rFonts w:cs="Arial"/>
          <w:szCs w:val="20"/>
        </w:rPr>
        <w:t xml:space="preserve"> </w:t>
      </w:r>
      <w:r w:rsidR="00C63A95">
        <w:rPr>
          <w:rFonts w:cs="Arial"/>
          <w:szCs w:val="20"/>
        </w:rPr>
        <w:t>učitelů přepočtených na plné úvazky</w:t>
      </w:r>
      <w:r>
        <w:rPr>
          <w:rFonts w:cs="Arial"/>
          <w:szCs w:val="20"/>
        </w:rPr>
        <w:t xml:space="preserve">. Na </w:t>
      </w:r>
      <w:r w:rsidRPr="00E41E6F">
        <w:rPr>
          <w:rFonts w:cs="Arial"/>
          <w:b/>
          <w:szCs w:val="20"/>
        </w:rPr>
        <w:t>2.</w:t>
      </w:r>
      <w:r>
        <w:rPr>
          <w:rFonts w:cs="Arial"/>
          <w:b/>
          <w:szCs w:val="20"/>
        </w:rPr>
        <w:t xml:space="preserve"> stupni </w:t>
      </w:r>
      <w:r w:rsidR="00AA6078">
        <w:rPr>
          <w:rFonts w:cs="Arial"/>
          <w:szCs w:val="20"/>
        </w:rPr>
        <w:t>byli učitelé zaměstna</w:t>
      </w:r>
      <w:r w:rsidR="00E7691C">
        <w:rPr>
          <w:rFonts w:cs="Arial"/>
          <w:szCs w:val="20"/>
        </w:rPr>
        <w:t>ní na</w:t>
      </w:r>
      <w:r w:rsidRPr="00A30823">
        <w:rPr>
          <w:rFonts w:cs="Arial"/>
          <w:szCs w:val="20"/>
        </w:rPr>
        <w:t xml:space="preserve"> </w:t>
      </w:r>
      <w:r w:rsidR="000A0794">
        <w:rPr>
          <w:rFonts w:cs="Arial"/>
          <w:szCs w:val="20"/>
        </w:rPr>
        <w:t>36 904</w:t>
      </w:r>
      <w:r w:rsidRPr="00A30823">
        <w:rPr>
          <w:rFonts w:cs="Arial"/>
          <w:szCs w:val="20"/>
        </w:rPr>
        <w:t xml:space="preserve"> </w:t>
      </w:r>
      <w:r w:rsidR="00E7691C">
        <w:rPr>
          <w:rFonts w:cs="Arial"/>
          <w:szCs w:val="20"/>
        </w:rPr>
        <w:t>plných úvazků a</w:t>
      </w:r>
      <w:r>
        <w:rPr>
          <w:rFonts w:cs="Arial"/>
          <w:b/>
          <w:szCs w:val="20"/>
        </w:rPr>
        <w:t xml:space="preserve"> </w:t>
      </w:r>
      <w:r>
        <w:rPr>
          <w:rFonts w:cs="Arial"/>
          <w:szCs w:val="20"/>
        </w:rPr>
        <w:t xml:space="preserve">vzdělávali </w:t>
      </w:r>
      <w:r w:rsidR="000A0794" w:rsidRPr="000A0794">
        <w:rPr>
          <w:rFonts w:cs="Arial"/>
          <w:szCs w:val="20"/>
        </w:rPr>
        <w:t>418</w:t>
      </w:r>
      <w:r w:rsidR="000A0794">
        <w:rPr>
          <w:rFonts w:cs="Arial"/>
          <w:szCs w:val="20"/>
        </w:rPr>
        <w:t> </w:t>
      </w:r>
      <w:r w:rsidR="000A0794" w:rsidRPr="000A0794">
        <w:rPr>
          <w:rFonts w:cs="Arial"/>
          <w:szCs w:val="20"/>
        </w:rPr>
        <w:t xml:space="preserve">860 </w:t>
      </w:r>
      <w:r w:rsidR="00BB5D0E">
        <w:rPr>
          <w:rFonts w:cs="Arial"/>
          <w:szCs w:val="20"/>
        </w:rPr>
        <w:t>žáků v</w:t>
      </w:r>
      <w:r w:rsidR="000A0794">
        <w:rPr>
          <w:rFonts w:cs="Arial"/>
          <w:szCs w:val="20"/>
        </w:rPr>
        <w:t>e</w:t>
      </w:r>
      <w:r w:rsidR="00BB5D0E">
        <w:rPr>
          <w:rFonts w:cs="Arial"/>
          <w:szCs w:val="20"/>
        </w:rPr>
        <w:t> </w:t>
      </w:r>
      <w:r w:rsidR="000A0794" w:rsidRPr="000A0794">
        <w:rPr>
          <w:rFonts w:cs="Arial"/>
          <w:szCs w:val="20"/>
        </w:rPr>
        <w:t>20</w:t>
      </w:r>
      <w:r w:rsidR="000A0794">
        <w:rPr>
          <w:rFonts w:cs="Arial"/>
          <w:szCs w:val="20"/>
        </w:rPr>
        <w:t> </w:t>
      </w:r>
      <w:r w:rsidR="000A0794" w:rsidRPr="000A0794">
        <w:rPr>
          <w:rFonts w:cs="Arial"/>
          <w:szCs w:val="20"/>
        </w:rPr>
        <w:t xml:space="preserve">746 </w:t>
      </w:r>
      <w:r>
        <w:rPr>
          <w:rFonts w:cs="Arial"/>
          <w:szCs w:val="20"/>
        </w:rPr>
        <w:t>třídách na 2 </w:t>
      </w:r>
      <w:r w:rsidR="000A0794">
        <w:rPr>
          <w:rFonts w:cs="Arial"/>
          <w:szCs w:val="20"/>
        </w:rPr>
        <w:t>8</w:t>
      </w:r>
      <w:r w:rsidR="00BB5D0E">
        <w:rPr>
          <w:rFonts w:cs="Arial"/>
          <w:szCs w:val="20"/>
        </w:rPr>
        <w:t>3</w:t>
      </w:r>
      <w:r w:rsidR="000A0794">
        <w:rPr>
          <w:rFonts w:cs="Arial"/>
          <w:szCs w:val="20"/>
        </w:rPr>
        <w:t>0</w:t>
      </w:r>
      <w:r>
        <w:rPr>
          <w:rFonts w:cs="Arial"/>
          <w:szCs w:val="20"/>
        </w:rPr>
        <w:t xml:space="preserve"> školách. </w:t>
      </w:r>
    </w:p>
    <w:p w14:paraId="3AA62B61" w14:textId="7B79DFCC" w:rsidR="00FF6B7E" w:rsidRDefault="00FF6B7E" w:rsidP="00FF6B7E">
      <w:pPr>
        <w:spacing w:after="120"/>
        <w:jc w:val="both"/>
        <w:rPr>
          <w:b/>
        </w:rPr>
      </w:pPr>
      <w:r w:rsidRPr="00FF3C6B">
        <w:rPr>
          <w:rFonts w:cs="Arial"/>
          <w:b/>
          <w:szCs w:val="20"/>
        </w:rPr>
        <w:t xml:space="preserve">Tab. </w:t>
      </w:r>
      <w:r>
        <w:rPr>
          <w:rFonts w:cs="Arial"/>
          <w:b/>
          <w:szCs w:val="20"/>
        </w:rPr>
        <w:t>2</w:t>
      </w:r>
      <w:r w:rsidRPr="00FF3C6B">
        <w:rPr>
          <w:rFonts w:cs="Arial"/>
          <w:b/>
          <w:szCs w:val="20"/>
        </w:rPr>
        <w:t xml:space="preserve">.1 </w:t>
      </w:r>
      <w:r>
        <w:rPr>
          <w:rFonts w:cs="Arial"/>
          <w:b/>
          <w:szCs w:val="20"/>
        </w:rPr>
        <w:t>Základní</w:t>
      </w:r>
      <w:r w:rsidRPr="00FF3C6B">
        <w:rPr>
          <w:rFonts w:cs="Arial"/>
          <w:b/>
          <w:szCs w:val="20"/>
        </w:rPr>
        <w:t xml:space="preserve"> školy - počet škol, tříd, dětí a učitelů </w:t>
      </w:r>
      <w:r>
        <w:rPr>
          <w:rFonts w:cs="Arial"/>
          <w:b/>
          <w:szCs w:val="20"/>
        </w:rPr>
        <w:t>na 1. a 2. stupni</w:t>
      </w:r>
      <w:r w:rsidR="000A0794">
        <w:rPr>
          <w:rFonts w:cs="Arial"/>
          <w:b/>
          <w:szCs w:val="20"/>
        </w:rPr>
        <w:t xml:space="preserve"> (2021/22</w:t>
      </w:r>
      <w:r w:rsidRPr="00FF3C6B">
        <w:rPr>
          <w:rFonts w:cs="Arial"/>
          <w:b/>
          <w:szCs w:val="20"/>
        </w:rPr>
        <w:t>)</w:t>
      </w:r>
    </w:p>
    <w:tbl>
      <w:tblPr>
        <w:tblW w:w="9738" w:type="dxa"/>
        <w:tblLayout w:type="fixed"/>
        <w:tblLook w:val="04A0" w:firstRow="1" w:lastRow="0" w:firstColumn="1" w:lastColumn="0" w:noHBand="0" w:noVBand="1"/>
      </w:tblPr>
      <w:tblGrid>
        <w:gridCol w:w="997"/>
        <w:gridCol w:w="846"/>
        <w:gridCol w:w="851"/>
        <w:gridCol w:w="1007"/>
        <w:gridCol w:w="854"/>
        <w:gridCol w:w="997"/>
        <w:gridCol w:w="843"/>
        <w:gridCol w:w="1118"/>
        <w:gridCol w:w="723"/>
        <w:gridCol w:w="751"/>
        <w:gridCol w:w="751"/>
      </w:tblGrid>
      <w:tr w:rsidR="00FF6B7E" w:rsidRPr="00A204DA" w14:paraId="6CA9B98B" w14:textId="77777777" w:rsidTr="00774213">
        <w:trPr>
          <w:trHeight w:val="340"/>
        </w:trPr>
        <w:tc>
          <w:tcPr>
            <w:tcW w:w="997" w:type="dxa"/>
            <w:vMerge w:val="restart"/>
            <w:tcBorders>
              <w:top w:val="single" w:sz="4" w:space="0" w:color="auto"/>
              <w:left w:val="single" w:sz="4" w:space="0" w:color="auto"/>
              <w:bottom w:val="single" w:sz="8" w:space="0" w:color="000000"/>
              <w:right w:val="nil"/>
            </w:tcBorders>
            <w:shd w:val="clear" w:color="000000" w:fill="C00000"/>
            <w:noWrap/>
            <w:vAlign w:val="center"/>
            <w:hideMark/>
          </w:tcPr>
          <w:p w14:paraId="13DB02AE" w14:textId="77777777" w:rsidR="00FF6B7E" w:rsidRPr="00A204DA" w:rsidRDefault="00FF6B7E" w:rsidP="001210D7">
            <w:pPr>
              <w:spacing w:after="0" w:line="240" w:lineRule="auto"/>
              <w:jc w:val="center"/>
              <w:rPr>
                <w:rFonts w:cs="Arial"/>
                <w:b/>
                <w:bCs/>
                <w:color w:val="FFFFFF"/>
                <w:sz w:val="16"/>
                <w:szCs w:val="16"/>
                <w:lang w:eastAsia="en-US"/>
              </w:rPr>
            </w:pPr>
            <w:r w:rsidRPr="00A204DA">
              <w:rPr>
                <w:rFonts w:cs="Arial"/>
                <w:b/>
                <w:bCs/>
                <w:color w:val="FFFFFF"/>
                <w:sz w:val="16"/>
                <w:szCs w:val="16"/>
                <w:lang w:eastAsia="en-US"/>
              </w:rPr>
              <w:t> </w:t>
            </w:r>
          </w:p>
        </w:tc>
        <w:tc>
          <w:tcPr>
            <w:tcW w:w="1697" w:type="dxa"/>
            <w:gridSpan w:val="2"/>
            <w:tcBorders>
              <w:top w:val="single" w:sz="4" w:space="0" w:color="auto"/>
              <w:left w:val="single" w:sz="4" w:space="0" w:color="auto"/>
              <w:bottom w:val="single" w:sz="4" w:space="0" w:color="auto"/>
              <w:right w:val="single" w:sz="4" w:space="0" w:color="auto"/>
            </w:tcBorders>
            <w:shd w:val="clear" w:color="000000" w:fill="C00000"/>
            <w:noWrap/>
            <w:vAlign w:val="center"/>
            <w:hideMark/>
          </w:tcPr>
          <w:p w14:paraId="540289E7" w14:textId="77777777" w:rsidR="00FF6B7E" w:rsidRPr="00A204DA" w:rsidRDefault="00FF6B7E" w:rsidP="001210D7">
            <w:pPr>
              <w:spacing w:after="0" w:line="240" w:lineRule="auto"/>
              <w:jc w:val="center"/>
              <w:rPr>
                <w:rFonts w:cs="Arial"/>
                <w:b/>
                <w:bCs/>
                <w:color w:val="FFFFFF"/>
                <w:sz w:val="16"/>
                <w:szCs w:val="16"/>
                <w:lang w:eastAsia="en-US"/>
              </w:rPr>
            </w:pPr>
            <w:r w:rsidRPr="00A204DA">
              <w:rPr>
                <w:rFonts w:cs="Arial"/>
                <w:b/>
                <w:bCs/>
                <w:color w:val="FFFFFF"/>
                <w:sz w:val="16"/>
                <w:szCs w:val="16"/>
                <w:lang w:eastAsia="en-US"/>
              </w:rPr>
              <w:t>Školy</w:t>
            </w:r>
          </w:p>
        </w:tc>
        <w:tc>
          <w:tcPr>
            <w:tcW w:w="1861" w:type="dxa"/>
            <w:gridSpan w:val="2"/>
            <w:tcBorders>
              <w:top w:val="single" w:sz="4" w:space="0" w:color="auto"/>
              <w:left w:val="nil"/>
              <w:bottom w:val="single" w:sz="4" w:space="0" w:color="auto"/>
              <w:right w:val="single" w:sz="4" w:space="0" w:color="auto"/>
            </w:tcBorders>
            <w:shd w:val="clear" w:color="000000" w:fill="C00000"/>
            <w:noWrap/>
            <w:vAlign w:val="center"/>
            <w:hideMark/>
          </w:tcPr>
          <w:p w14:paraId="007141B5" w14:textId="77777777" w:rsidR="00FF6B7E" w:rsidRPr="00A204DA" w:rsidRDefault="00FF6B7E" w:rsidP="001210D7">
            <w:pPr>
              <w:spacing w:after="0" w:line="240" w:lineRule="auto"/>
              <w:jc w:val="center"/>
              <w:rPr>
                <w:rFonts w:cs="Arial"/>
                <w:b/>
                <w:bCs/>
                <w:color w:val="FFFFFF"/>
                <w:sz w:val="16"/>
                <w:szCs w:val="16"/>
                <w:lang w:eastAsia="en-US"/>
              </w:rPr>
            </w:pPr>
            <w:r w:rsidRPr="00A204DA">
              <w:rPr>
                <w:rFonts w:cs="Arial"/>
                <w:b/>
                <w:bCs/>
                <w:color w:val="FFFFFF"/>
                <w:sz w:val="16"/>
                <w:szCs w:val="16"/>
                <w:lang w:eastAsia="en-US"/>
              </w:rPr>
              <w:t>Třídy</w:t>
            </w:r>
          </w:p>
        </w:tc>
        <w:tc>
          <w:tcPr>
            <w:tcW w:w="1840" w:type="dxa"/>
            <w:gridSpan w:val="2"/>
            <w:tcBorders>
              <w:top w:val="single" w:sz="4" w:space="0" w:color="auto"/>
              <w:left w:val="nil"/>
              <w:bottom w:val="single" w:sz="4" w:space="0" w:color="auto"/>
              <w:right w:val="single" w:sz="4" w:space="0" w:color="auto"/>
            </w:tcBorders>
            <w:shd w:val="clear" w:color="000000" w:fill="C00000"/>
            <w:noWrap/>
            <w:vAlign w:val="center"/>
            <w:hideMark/>
          </w:tcPr>
          <w:p w14:paraId="13F2679E" w14:textId="77777777" w:rsidR="00FF6B7E" w:rsidRPr="00A204DA" w:rsidRDefault="00FF6B7E" w:rsidP="001210D7">
            <w:pPr>
              <w:spacing w:after="0" w:line="240" w:lineRule="auto"/>
              <w:jc w:val="center"/>
              <w:rPr>
                <w:rFonts w:cs="Arial"/>
                <w:b/>
                <w:bCs/>
                <w:color w:val="FFFFFF"/>
                <w:sz w:val="16"/>
                <w:szCs w:val="16"/>
                <w:lang w:eastAsia="en-US"/>
              </w:rPr>
            </w:pPr>
            <w:r w:rsidRPr="00A204DA">
              <w:rPr>
                <w:rFonts w:cs="Arial"/>
                <w:b/>
                <w:bCs/>
                <w:color w:val="FFFFFF"/>
                <w:sz w:val="16"/>
                <w:szCs w:val="16"/>
                <w:lang w:eastAsia="en-US"/>
              </w:rPr>
              <w:t>Žáci</w:t>
            </w:r>
          </w:p>
        </w:tc>
        <w:tc>
          <w:tcPr>
            <w:tcW w:w="1841" w:type="dxa"/>
            <w:gridSpan w:val="2"/>
            <w:tcBorders>
              <w:top w:val="single" w:sz="4" w:space="0" w:color="auto"/>
              <w:left w:val="nil"/>
              <w:bottom w:val="single" w:sz="4" w:space="0" w:color="auto"/>
              <w:right w:val="single" w:sz="4" w:space="0" w:color="auto"/>
            </w:tcBorders>
            <w:shd w:val="clear" w:color="000000" w:fill="C00000"/>
            <w:noWrap/>
            <w:vAlign w:val="center"/>
            <w:hideMark/>
          </w:tcPr>
          <w:p w14:paraId="557DC7FA" w14:textId="77777777" w:rsidR="00FF6B7E" w:rsidRPr="00A204DA" w:rsidRDefault="00FF6B7E" w:rsidP="001210D7">
            <w:pPr>
              <w:spacing w:after="0" w:line="240" w:lineRule="auto"/>
              <w:jc w:val="center"/>
              <w:rPr>
                <w:rFonts w:cs="Arial"/>
                <w:b/>
                <w:bCs/>
                <w:color w:val="FFFFFF"/>
                <w:sz w:val="16"/>
                <w:szCs w:val="16"/>
                <w:lang w:eastAsia="en-US"/>
              </w:rPr>
            </w:pPr>
            <w:r w:rsidRPr="00A204DA">
              <w:rPr>
                <w:rFonts w:cs="Arial"/>
                <w:b/>
                <w:bCs/>
                <w:color w:val="FFFFFF"/>
                <w:sz w:val="16"/>
                <w:szCs w:val="16"/>
                <w:lang w:eastAsia="en-US"/>
              </w:rPr>
              <w:t>Učitelé</w:t>
            </w:r>
            <w:r w:rsidRPr="00A204DA">
              <w:rPr>
                <w:rFonts w:cs="Arial"/>
                <w:b/>
                <w:bCs/>
                <w:color w:val="FFFFFF"/>
                <w:sz w:val="16"/>
                <w:szCs w:val="16"/>
                <w:vertAlign w:val="superscript"/>
                <w:lang w:eastAsia="en-US"/>
              </w:rPr>
              <w:t>1)</w:t>
            </w:r>
          </w:p>
        </w:tc>
        <w:tc>
          <w:tcPr>
            <w:tcW w:w="1502" w:type="dxa"/>
            <w:gridSpan w:val="2"/>
            <w:tcBorders>
              <w:top w:val="single" w:sz="4" w:space="0" w:color="auto"/>
              <w:left w:val="nil"/>
              <w:bottom w:val="single" w:sz="4" w:space="0" w:color="auto"/>
              <w:right w:val="single" w:sz="4" w:space="0" w:color="auto"/>
            </w:tcBorders>
            <w:shd w:val="clear" w:color="000000" w:fill="C00000"/>
            <w:noWrap/>
            <w:vAlign w:val="center"/>
            <w:hideMark/>
          </w:tcPr>
          <w:p w14:paraId="556DB446" w14:textId="77777777" w:rsidR="00FF6B7E" w:rsidRPr="00A204DA" w:rsidRDefault="00FF6B7E" w:rsidP="001210D7">
            <w:pPr>
              <w:spacing w:after="0" w:line="240" w:lineRule="auto"/>
              <w:jc w:val="center"/>
              <w:rPr>
                <w:rFonts w:cs="Arial"/>
                <w:b/>
                <w:bCs/>
                <w:i/>
                <w:iCs/>
                <w:color w:val="FFFFFF"/>
                <w:sz w:val="16"/>
                <w:szCs w:val="16"/>
                <w:lang w:eastAsia="en-US"/>
              </w:rPr>
            </w:pPr>
            <w:r w:rsidRPr="00A204DA">
              <w:rPr>
                <w:rFonts w:cs="Arial"/>
                <w:b/>
                <w:bCs/>
                <w:i/>
                <w:iCs/>
                <w:color w:val="FFFFFF"/>
                <w:sz w:val="16"/>
                <w:szCs w:val="16"/>
                <w:lang w:eastAsia="en-US"/>
              </w:rPr>
              <w:t>Žáci na 1:</w:t>
            </w:r>
          </w:p>
        </w:tc>
      </w:tr>
      <w:tr w:rsidR="00FF6B7E" w:rsidRPr="00A204DA" w14:paraId="60703F0C" w14:textId="77777777" w:rsidTr="00774213">
        <w:trPr>
          <w:trHeight w:val="340"/>
        </w:trPr>
        <w:tc>
          <w:tcPr>
            <w:tcW w:w="997" w:type="dxa"/>
            <w:vMerge/>
            <w:tcBorders>
              <w:top w:val="single" w:sz="8" w:space="0" w:color="auto"/>
              <w:left w:val="single" w:sz="4" w:space="0" w:color="auto"/>
              <w:bottom w:val="single" w:sz="8" w:space="0" w:color="000000"/>
              <w:right w:val="nil"/>
            </w:tcBorders>
            <w:vAlign w:val="center"/>
            <w:hideMark/>
          </w:tcPr>
          <w:p w14:paraId="463FFAB6" w14:textId="77777777" w:rsidR="00FF6B7E" w:rsidRPr="00A204DA" w:rsidRDefault="00FF6B7E" w:rsidP="001210D7">
            <w:pPr>
              <w:spacing w:after="0" w:line="240" w:lineRule="auto"/>
              <w:rPr>
                <w:rFonts w:cs="Arial"/>
                <w:b/>
                <w:bCs/>
                <w:color w:val="FFFFFF"/>
                <w:sz w:val="16"/>
                <w:szCs w:val="16"/>
                <w:lang w:eastAsia="en-US"/>
              </w:rPr>
            </w:pPr>
          </w:p>
        </w:tc>
        <w:tc>
          <w:tcPr>
            <w:tcW w:w="846" w:type="dxa"/>
            <w:tcBorders>
              <w:top w:val="nil"/>
              <w:left w:val="single" w:sz="4" w:space="0" w:color="auto"/>
              <w:bottom w:val="single" w:sz="8" w:space="0" w:color="auto"/>
              <w:right w:val="single" w:sz="4" w:space="0" w:color="auto"/>
            </w:tcBorders>
            <w:shd w:val="clear" w:color="000000" w:fill="F4B084"/>
            <w:noWrap/>
            <w:vAlign w:val="center"/>
            <w:hideMark/>
          </w:tcPr>
          <w:p w14:paraId="1F8203A4" w14:textId="77777777" w:rsidR="00FF6B7E" w:rsidRPr="00A204DA" w:rsidRDefault="00FF6B7E" w:rsidP="001210D7">
            <w:pPr>
              <w:spacing w:after="0" w:line="240" w:lineRule="auto"/>
              <w:jc w:val="center"/>
              <w:rPr>
                <w:rFonts w:cs="Arial"/>
                <w:color w:val="000000"/>
                <w:sz w:val="16"/>
                <w:szCs w:val="16"/>
                <w:lang w:eastAsia="en-US"/>
              </w:rPr>
            </w:pPr>
            <w:r w:rsidRPr="00A204DA">
              <w:rPr>
                <w:rFonts w:cs="Arial"/>
                <w:color w:val="000000"/>
                <w:sz w:val="16"/>
                <w:szCs w:val="16"/>
                <w:lang w:eastAsia="en-US"/>
              </w:rPr>
              <w:t>Abs.</w:t>
            </w:r>
          </w:p>
        </w:tc>
        <w:tc>
          <w:tcPr>
            <w:tcW w:w="851" w:type="dxa"/>
            <w:tcBorders>
              <w:top w:val="nil"/>
              <w:left w:val="nil"/>
              <w:bottom w:val="single" w:sz="8" w:space="0" w:color="auto"/>
              <w:right w:val="single" w:sz="4" w:space="0" w:color="auto"/>
            </w:tcBorders>
            <w:shd w:val="clear" w:color="000000" w:fill="F4B084"/>
            <w:noWrap/>
            <w:vAlign w:val="center"/>
            <w:hideMark/>
          </w:tcPr>
          <w:p w14:paraId="59D27727" w14:textId="77777777" w:rsidR="00FF6B7E" w:rsidRPr="00A204DA" w:rsidRDefault="00FF6B7E" w:rsidP="001210D7">
            <w:pPr>
              <w:spacing w:after="0" w:line="240" w:lineRule="auto"/>
              <w:jc w:val="center"/>
              <w:rPr>
                <w:rFonts w:cs="Arial"/>
                <w:color w:val="000000"/>
                <w:sz w:val="16"/>
                <w:szCs w:val="16"/>
                <w:lang w:eastAsia="en-US"/>
              </w:rPr>
            </w:pPr>
            <w:r w:rsidRPr="00A204DA">
              <w:rPr>
                <w:rFonts w:cs="Arial"/>
                <w:color w:val="000000"/>
                <w:sz w:val="16"/>
                <w:szCs w:val="16"/>
                <w:lang w:eastAsia="en-US"/>
              </w:rPr>
              <w:t>%</w:t>
            </w:r>
          </w:p>
        </w:tc>
        <w:tc>
          <w:tcPr>
            <w:tcW w:w="1007" w:type="dxa"/>
            <w:tcBorders>
              <w:top w:val="nil"/>
              <w:left w:val="nil"/>
              <w:bottom w:val="single" w:sz="8" w:space="0" w:color="auto"/>
              <w:right w:val="single" w:sz="4" w:space="0" w:color="auto"/>
            </w:tcBorders>
            <w:shd w:val="clear" w:color="000000" w:fill="F4B084"/>
            <w:noWrap/>
            <w:vAlign w:val="center"/>
            <w:hideMark/>
          </w:tcPr>
          <w:p w14:paraId="7A32056E" w14:textId="77777777" w:rsidR="00FF6B7E" w:rsidRPr="00A204DA" w:rsidRDefault="00FF6B7E" w:rsidP="001210D7">
            <w:pPr>
              <w:spacing w:after="0" w:line="240" w:lineRule="auto"/>
              <w:jc w:val="center"/>
              <w:rPr>
                <w:rFonts w:cs="Arial"/>
                <w:color w:val="000000"/>
                <w:sz w:val="16"/>
                <w:szCs w:val="16"/>
                <w:lang w:eastAsia="en-US"/>
              </w:rPr>
            </w:pPr>
            <w:r w:rsidRPr="00A204DA">
              <w:rPr>
                <w:rFonts w:cs="Arial"/>
                <w:color w:val="000000"/>
                <w:sz w:val="16"/>
                <w:szCs w:val="16"/>
                <w:lang w:eastAsia="en-US"/>
              </w:rPr>
              <w:t>Abs.</w:t>
            </w:r>
          </w:p>
        </w:tc>
        <w:tc>
          <w:tcPr>
            <w:tcW w:w="854" w:type="dxa"/>
            <w:tcBorders>
              <w:top w:val="nil"/>
              <w:left w:val="nil"/>
              <w:bottom w:val="single" w:sz="8" w:space="0" w:color="auto"/>
              <w:right w:val="single" w:sz="4" w:space="0" w:color="auto"/>
            </w:tcBorders>
            <w:shd w:val="clear" w:color="000000" w:fill="F4B084"/>
            <w:noWrap/>
            <w:vAlign w:val="center"/>
            <w:hideMark/>
          </w:tcPr>
          <w:p w14:paraId="6C074D3C" w14:textId="77777777" w:rsidR="00FF6B7E" w:rsidRPr="00A204DA" w:rsidRDefault="00FF6B7E" w:rsidP="001210D7">
            <w:pPr>
              <w:spacing w:after="0" w:line="240" w:lineRule="auto"/>
              <w:jc w:val="center"/>
              <w:rPr>
                <w:rFonts w:cs="Arial"/>
                <w:color w:val="000000"/>
                <w:sz w:val="16"/>
                <w:szCs w:val="16"/>
                <w:lang w:eastAsia="en-US"/>
              </w:rPr>
            </w:pPr>
            <w:r w:rsidRPr="00A204DA">
              <w:rPr>
                <w:rFonts w:cs="Arial"/>
                <w:color w:val="000000"/>
                <w:sz w:val="16"/>
                <w:szCs w:val="16"/>
                <w:lang w:eastAsia="en-US"/>
              </w:rPr>
              <w:t>%</w:t>
            </w:r>
          </w:p>
        </w:tc>
        <w:tc>
          <w:tcPr>
            <w:tcW w:w="997" w:type="dxa"/>
            <w:tcBorders>
              <w:top w:val="nil"/>
              <w:left w:val="nil"/>
              <w:bottom w:val="single" w:sz="8" w:space="0" w:color="auto"/>
              <w:right w:val="single" w:sz="4" w:space="0" w:color="auto"/>
            </w:tcBorders>
            <w:shd w:val="clear" w:color="000000" w:fill="F4B084"/>
            <w:noWrap/>
            <w:vAlign w:val="center"/>
            <w:hideMark/>
          </w:tcPr>
          <w:p w14:paraId="6F2AF5CC" w14:textId="77777777" w:rsidR="00FF6B7E" w:rsidRPr="00A204DA" w:rsidRDefault="00FF6B7E" w:rsidP="001210D7">
            <w:pPr>
              <w:spacing w:after="0" w:line="240" w:lineRule="auto"/>
              <w:jc w:val="center"/>
              <w:rPr>
                <w:rFonts w:cs="Arial"/>
                <w:color w:val="000000"/>
                <w:sz w:val="16"/>
                <w:szCs w:val="16"/>
                <w:lang w:eastAsia="en-US"/>
              </w:rPr>
            </w:pPr>
            <w:r w:rsidRPr="00A204DA">
              <w:rPr>
                <w:rFonts w:cs="Arial"/>
                <w:color w:val="000000"/>
                <w:sz w:val="16"/>
                <w:szCs w:val="16"/>
                <w:lang w:eastAsia="en-US"/>
              </w:rPr>
              <w:t>Abs.</w:t>
            </w:r>
          </w:p>
        </w:tc>
        <w:tc>
          <w:tcPr>
            <w:tcW w:w="843" w:type="dxa"/>
            <w:tcBorders>
              <w:top w:val="nil"/>
              <w:left w:val="nil"/>
              <w:bottom w:val="single" w:sz="8" w:space="0" w:color="auto"/>
              <w:right w:val="single" w:sz="4" w:space="0" w:color="auto"/>
            </w:tcBorders>
            <w:shd w:val="clear" w:color="000000" w:fill="F4B084"/>
            <w:noWrap/>
            <w:vAlign w:val="center"/>
            <w:hideMark/>
          </w:tcPr>
          <w:p w14:paraId="5E248ED1" w14:textId="77777777" w:rsidR="00FF6B7E" w:rsidRPr="00A204DA" w:rsidRDefault="00FF6B7E" w:rsidP="001210D7">
            <w:pPr>
              <w:spacing w:after="0" w:line="240" w:lineRule="auto"/>
              <w:jc w:val="center"/>
              <w:rPr>
                <w:rFonts w:cs="Arial"/>
                <w:color w:val="000000"/>
                <w:sz w:val="16"/>
                <w:szCs w:val="16"/>
                <w:lang w:eastAsia="en-US"/>
              </w:rPr>
            </w:pPr>
            <w:r w:rsidRPr="00A204DA">
              <w:rPr>
                <w:rFonts w:cs="Arial"/>
                <w:color w:val="000000"/>
                <w:sz w:val="16"/>
                <w:szCs w:val="16"/>
                <w:lang w:eastAsia="en-US"/>
              </w:rPr>
              <w:t>%</w:t>
            </w:r>
          </w:p>
        </w:tc>
        <w:tc>
          <w:tcPr>
            <w:tcW w:w="1118" w:type="dxa"/>
            <w:tcBorders>
              <w:top w:val="nil"/>
              <w:left w:val="nil"/>
              <w:bottom w:val="single" w:sz="8" w:space="0" w:color="auto"/>
              <w:right w:val="single" w:sz="4" w:space="0" w:color="auto"/>
            </w:tcBorders>
            <w:shd w:val="clear" w:color="000000" w:fill="F4B084"/>
            <w:noWrap/>
            <w:vAlign w:val="center"/>
            <w:hideMark/>
          </w:tcPr>
          <w:p w14:paraId="3B87BD92" w14:textId="77777777" w:rsidR="00FF6B7E" w:rsidRPr="00A204DA" w:rsidRDefault="00FF6B7E" w:rsidP="001210D7">
            <w:pPr>
              <w:spacing w:after="0" w:line="240" w:lineRule="auto"/>
              <w:jc w:val="center"/>
              <w:rPr>
                <w:rFonts w:cs="Arial"/>
                <w:color w:val="000000"/>
                <w:sz w:val="16"/>
                <w:szCs w:val="16"/>
                <w:lang w:eastAsia="en-US"/>
              </w:rPr>
            </w:pPr>
            <w:r w:rsidRPr="00A204DA">
              <w:rPr>
                <w:rFonts w:cs="Arial"/>
                <w:color w:val="000000"/>
                <w:sz w:val="16"/>
                <w:szCs w:val="16"/>
                <w:lang w:eastAsia="en-US"/>
              </w:rPr>
              <w:t>Abs.</w:t>
            </w:r>
          </w:p>
        </w:tc>
        <w:tc>
          <w:tcPr>
            <w:tcW w:w="723" w:type="dxa"/>
            <w:tcBorders>
              <w:top w:val="nil"/>
              <w:left w:val="nil"/>
              <w:bottom w:val="single" w:sz="8" w:space="0" w:color="auto"/>
              <w:right w:val="single" w:sz="4" w:space="0" w:color="auto"/>
            </w:tcBorders>
            <w:shd w:val="clear" w:color="000000" w:fill="F4B084"/>
            <w:noWrap/>
            <w:vAlign w:val="center"/>
            <w:hideMark/>
          </w:tcPr>
          <w:p w14:paraId="6180551E" w14:textId="77777777" w:rsidR="00FF6B7E" w:rsidRPr="00A204DA" w:rsidRDefault="00FF6B7E" w:rsidP="001210D7">
            <w:pPr>
              <w:spacing w:after="0" w:line="240" w:lineRule="auto"/>
              <w:jc w:val="center"/>
              <w:rPr>
                <w:rFonts w:cs="Arial"/>
                <w:color w:val="000000"/>
                <w:sz w:val="16"/>
                <w:szCs w:val="16"/>
                <w:lang w:eastAsia="en-US"/>
              </w:rPr>
            </w:pPr>
            <w:r w:rsidRPr="00A204DA">
              <w:rPr>
                <w:rFonts w:cs="Arial"/>
                <w:color w:val="000000"/>
                <w:sz w:val="16"/>
                <w:szCs w:val="16"/>
                <w:lang w:eastAsia="en-US"/>
              </w:rPr>
              <w:t>%</w:t>
            </w:r>
          </w:p>
        </w:tc>
        <w:tc>
          <w:tcPr>
            <w:tcW w:w="751" w:type="dxa"/>
            <w:tcBorders>
              <w:top w:val="single" w:sz="4" w:space="0" w:color="auto"/>
              <w:left w:val="nil"/>
              <w:bottom w:val="single" w:sz="8" w:space="0" w:color="auto"/>
              <w:right w:val="single" w:sz="4" w:space="0" w:color="auto"/>
            </w:tcBorders>
            <w:shd w:val="clear" w:color="000000" w:fill="C00000"/>
            <w:noWrap/>
            <w:vAlign w:val="center"/>
            <w:hideMark/>
          </w:tcPr>
          <w:p w14:paraId="134E39E4" w14:textId="77777777" w:rsidR="00FF6B7E" w:rsidRPr="00A204DA" w:rsidRDefault="00FF6B7E" w:rsidP="001210D7">
            <w:pPr>
              <w:spacing w:after="0" w:line="240" w:lineRule="auto"/>
              <w:jc w:val="center"/>
              <w:rPr>
                <w:rFonts w:cs="Arial"/>
                <w:b/>
                <w:bCs/>
                <w:i/>
                <w:iCs/>
                <w:color w:val="FFFFFF"/>
                <w:sz w:val="16"/>
                <w:szCs w:val="16"/>
                <w:lang w:eastAsia="en-US"/>
              </w:rPr>
            </w:pPr>
            <w:r w:rsidRPr="00A204DA">
              <w:rPr>
                <w:rFonts w:cs="Arial"/>
                <w:b/>
                <w:bCs/>
                <w:i/>
                <w:iCs/>
                <w:color w:val="FFFFFF"/>
                <w:sz w:val="16"/>
                <w:szCs w:val="16"/>
                <w:lang w:eastAsia="en-US"/>
              </w:rPr>
              <w:t>třídu</w:t>
            </w:r>
          </w:p>
        </w:tc>
        <w:tc>
          <w:tcPr>
            <w:tcW w:w="751" w:type="dxa"/>
            <w:tcBorders>
              <w:top w:val="single" w:sz="4" w:space="0" w:color="auto"/>
              <w:left w:val="nil"/>
              <w:bottom w:val="single" w:sz="8" w:space="0" w:color="auto"/>
              <w:right w:val="single" w:sz="4" w:space="0" w:color="auto"/>
            </w:tcBorders>
            <w:shd w:val="clear" w:color="000000" w:fill="C00000"/>
            <w:noWrap/>
            <w:vAlign w:val="center"/>
            <w:hideMark/>
          </w:tcPr>
          <w:p w14:paraId="3B0F9913" w14:textId="77777777" w:rsidR="00FF6B7E" w:rsidRPr="00A204DA" w:rsidRDefault="00FF6B7E" w:rsidP="001210D7">
            <w:pPr>
              <w:spacing w:after="0" w:line="240" w:lineRule="auto"/>
              <w:jc w:val="center"/>
              <w:rPr>
                <w:rFonts w:cs="Arial"/>
                <w:b/>
                <w:bCs/>
                <w:i/>
                <w:iCs/>
                <w:color w:val="FFFFFF"/>
                <w:sz w:val="16"/>
                <w:szCs w:val="16"/>
                <w:lang w:eastAsia="en-US"/>
              </w:rPr>
            </w:pPr>
            <w:r w:rsidRPr="00A204DA">
              <w:rPr>
                <w:rFonts w:cs="Arial"/>
                <w:b/>
                <w:bCs/>
                <w:i/>
                <w:iCs/>
                <w:color w:val="FFFFFF"/>
                <w:sz w:val="16"/>
                <w:szCs w:val="16"/>
                <w:lang w:eastAsia="en-US"/>
              </w:rPr>
              <w:t>učitele</w:t>
            </w:r>
          </w:p>
        </w:tc>
      </w:tr>
      <w:tr w:rsidR="00610A6E" w:rsidRPr="00A204DA" w14:paraId="5A1E4128" w14:textId="77777777" w:rsidTr="00774213">
        <w:trPr>
          <w:trHeight w:val="340"/>
        </w:trPr>
        <w:tc>
          <w:tcPr>
            <w:tcW w:w="997" w:type="dxa"/>
            <w:tcBorders>
              <w:top w:val="single" w:sz="8" w:space="0" w:color="auto"/>
              <w:left w:val="single" w:sz="4" w:space="0" w:color="auto"/>
              <w:bottom w:val="nil"/>
              <w:right w:val="nil"/>
            </w:tcBorders>
            <w:shd w:val="clear" w:color="auto" w:fill="auto"/>
            <w:noWrap/>
            <w:vAlign w:val="center"/>
            <w:hideMark/>
          </w:tcPr>
          <w:p w14:paraId="4D2FA4B2" w14:textId="77777777" w:rsidR="00610A6E" w:rsidRPr="00A204DA" w:rsidRDefault="00610A6E" w:rsidP="00610A6E">
            <w:pPr>
              <w:spacing w:after="0" w:line="240" w:lineRule="auto"/>
              <w:rPr>
                <w:rFonts w:cs="Arial"/>
                <w:color w:val="000000"/>
                <w:sz w:val="16"/>
                <w:szCs w:val="16"/>
                <w:lang w:eastAsia="en-US"/>
              </w:rPr>
            </w:pPr>
            <w:r w:rsidRPr="00A204DA">
              <w:rPr>
                <w:rFonts w:cs="Arial"/>
                <w:color w:val="000000"/>
                <w:sz w:val="16"/>
                <w:szCs w:val="16"/>
                <w:lang w:eastAsia="en-US"/>
              </w:rPr>
              <w:t xml:space="preserve"> 1. stupeň</w:t>
            </w:r>
          </w:p>
        </w:tc>
        <w:tc>
          <w:tcPr>
            <w:tcW w:w="846" w:type="dxa"/>
            <w:tcBorders>
              <w:top w:val="single" w:sz="8" w:space="0" w:color="auto"/>
              <w:left w:val="single" w:sz="4" w:space="0" w:color="auto"/>
              <w:bottom w:val="nil"/>
              <w:right w:val="nil"/>
            </w:tcBorders>
            <w:shd w:val="clear" w:color="auto" w:fill="auto"/>
            <w:noWrap/>
            <w:vAlign w:val="center"/>
            <w:hideMark/>
          </w:tcPr>
          <w:p w14:paraId="37CE2BBD" w14:textId="73A927E5" w:rsidR="00610A6E" w:rsidRPr="00A204DA" w:rsidRDefault="00610A6E" w:rsidP="00610A6E">
            <w:pPr>
              <w:spacing w:after="0" w:line="240" w:lineRule="auto"/>
              <w:ind w:firstLineChars="100" w:firstLine="160"/>
              <w:jc w:val="right"/>
              <w:rPr>
                <w:rFonts w:cs="Arial"/>
                <w:color w:val="000000"/>
                <w:sz w:val="16"/>
                <w:szCs w:val="16"/>
                <w:lang w:eastAsia="en-US"/>
              </w:rPr>
            </w:pPr>
            <w:r w:rsidRPr="00113341">
              <w:rPr>
                <w:rFonts w:cs="Arial"/>
                <w:color w:val="000000"/>
                <w:sz w:val="16"/>
                <w:szCs w:val="16"/>
                <w:lang w:eastAsia="en-US"/>
              </w:rPr>
              <w:t>4</w:t>
            </w:r>
            <w:r>
              <w:rPr>
                <w:rFonts w:cs="Arial"/>
                <w:color w:val="000000"/>
                <w:sz w:val="16"/>
                <w:szCs w:val="16"/>
                <w:lang w:eastAsia="en-US"/>
              </w:rPr>
              <w:t> </w:t>
            </w:r>
            <w:r w:rsidRPr="00113341">
              <w:rPr>
                <w:rFonts w:cs="Arial"/>
                <w:color w:val="000000"/>
                <w:sz w:val="16"/>
                <w:szCs w:val="16"/>
                <w:lang w:eastAsia="en-US"/>
              </w:rPr>
              <w:t>220</w:t>
            </w:r>
          </w:p>
        </w:tc>
        <w:tc>
          <w:tcPr>
            <w:tcW w:w="851" w:type="dxa"/>
            <w:tcBorders>
              <w:top w:val="single" w:sz="8" w:space="0" w:color="auto"/>
              <w:left w:val="nil"/>
              <w:bottom w:val="nil"/>
              <w:right w:val="single" w:sz="4" w:space="0" w:color="auto"/>
            </w:tcBorders>
            <w:shd w:val="clear" w:color="auto" w:fill="auto"/>
            <w:noWrap/>
            <w:vAlign w:val="center"/>
            <w:hideMark/>
          </w:tcPr>
          <w:p w14:paraId="7B70BAC9" w14:textId="77777777" w:rsidR="00610A6E" w:rsidRPr="00756F12" w:rsidRDefault="00610A6E" w:rsidP="00610A6E">
            <w:pPr>
              <w:spacing w:after="0" w:line="240" w:lineRule="auto"/>
              <w:ind w:firstLineChars="100" w:firstLine="160"/>
              <w:jc w:val="right"/>
              <w:rPr>
                <w:rFonts w:cs="Arial"/>
                <w:color w:val="000000"/>
                <w:sz w:val="16"/>
                <w:szCs w:val="16"/>
                <w:lang w:eastAsia="en-US"/>
              </w:rPr>
            </w:pPr>
            <w:r w:rsidRPr="00756F12">
              <w:rPr>
                <w:rFonts w:cs="Arial"/>
                <w:color w:val="000000"/>
                <w:sz w:val="16"/>
                <w:szCs w:val="16"/>
                <w:lang w:eastAsia="en-US"/>
              </w:rPr>
              <w:t>99,6</w:t>
            </w:r>
          </w:p>
        </w:tc>
        <w:tc>
          <w:tcPr>
            <w:tcW w:w="1007" w:type="dxa"/>
            <w:tcBorders>
              <w:top w:val="single" w:sz="8" w:space="0" w:color="auto"/>
              <w:left w:val="nil"/>
              <w:bottom w:val="nil"/>
              <w:right w:val="nil"/>
            </w:tcBorders>
            <w:shd w:val="clear" w:color="auto" w:fill="auto"/>
            <w:noWrap/>
            <w:vAlign w:val="center"/>
            <w:hideMark/>
          </w:tcPr>
          <w:p w14:paraId="2EBABC03" w14:textId="4763028E" w:rsidR="00610A6E" w:rsidRPr="00A204DA" w:rsidRDefault="00610A6E" w:rsidP="00610A6E">
            <w:pPr>
              <w:spacing w:after="0" w:line="240" w:lineRule="auto"/>
              <w:ind w:firstLineChars="100" w:firstLine="160"/>
              <w:jc w:val="right"/>
              <w:rPr>
                <w:rFonts w:cs="Arial"/>
                <w:color w:val="000000"/>
                <w:sz w:val="16"/>
                <w:szCs w:val="16"/>
                <w:lang w:eastAsia="en-US"/>
              </w:rPr>
            </w:pPr>
            <w:r w:rsidRPr="00113341">
              <w:rPr>
                <w:rFonts w:cs="Arial"/>
                <w:color w:val="000000"/>
                <w:sz w:val="16"/>
                <w:szCs w:val="16"/>
                <w:lang w:eastAsia="en-US"/>
              </w:rPr>
              <w:t>29</w:t>
            </w:r>
            <w:r>
              <w:rPr>
                <w:rFonts w:cs="Arial"/>
                <w:color w:val="000000"/>
                <w:sz w:val="16"/>
                <w:szCs w:val="16"/>
                <w:lang w:eastAsia="en-US"/>
              </w:rPr>
              <w:t> </w:t>
            </w:r>
            <w:r w:rsidRPr="00113341">
              <w:rPr>
                <w:rFonts w:cs="Arial"/>
                <w:color w:val="000000"/>
                <w:sz w:val="16"/>
                <w:szCs w:val="16"/>
                <w:lang w:eastAsia="en-US"/>
              </w:rPr>
              <w:t>304</w:t>
            </w:r>
          </w:p>
        </w:tc>
        <w:tc>
          <w:tcPr>
            <w:tcW w:w="854" w:type="dxa"/>
            <w:tcBorders>
              <w:top w:val="single" w:sz="8" w:space="0" w:color="auto"/>
              <w:left w:val="nil"/>
              <w:bottom w:val="nil"/>
              <w:right w:val="single" w:sz="4" w:space="0" w:color="auto"/>
            </w:tcBorders>
            <w:shd w:val="clear" w:color="auto" w:fill="auto"/>
            <w:noWrap/>
            <w:vAlign w:val="center"/>
            <w:hideMark/>
          </w:tcPr>
          <w:p w14:paraId="4CCB96D5" w14:textId="5D929AE2" w:rsidR="00610A6E" w:rsidRPr="00756F12" w:rsidRDefault="00610A6E" w:rsidP="00610A6E">
            <w:pPr>
              <w:spacing w:after="0" w:line="240" w:lineRule="auto"/>
              <w:ind w:firstLineChars="100" w:firstLine="160"/>
              <w:jc w:val="right"/>
              <w:rPr>
                <w:rFonts w:cs="Arial"/>
                <w:color w:val="000000"/>
                <w:sz w:val="16"/>
                <w:szCs w:val="16"/>
                <w:lang w:eastAsia="en-US"/>
              </w:rPr>
            </w:pPr>
            <w:r>
              <w:rPr>
                <w:rFonts w:cs="Arial"/>
                <w:color w:val="000000"/>
                <w:sz w:val="16"/>
                <w:szCs w:val="16"/>
                <w:lang w:eastAsia="en-US"/>
              </w:rPr>
              <w:t>58,5</w:t>
            </w:r>
          </w:p>
        </w:tc>
        <w:tc>
          <w:tcPr>
            <w:tcW w:w="997" w:type="dxa"/>
            <w:tcBorders>
              <w:top w:val="single" w:sz="8" w:space="0" w:color="auto"/>
              <w:left w:val="nil"/>
              <w:bottom w:val="nil"/>
              <w:right w:val="nil"/>
            </w:tcBorders>
            <w:shd w:val="clear" w:color="auto" w:fill="auto"/>
            <w:noWrap/>
            <w:vAlign w:val="center"/>
            <w:hideMark/>
          </w:tcPr>
          <w:p w14:paraId="396637C1" w14:textId="3AF2210B" w:rsidR="00610A6E" w:rsidRPr="00756F12" w:rsidRDefault="00610A6E" w:rsidP="00610A6E">
            <w:pPr>
              <w:spacing w:after="0" w:line="240" w:lineRule="auto"/>
              <w:ind w:firstLineChars="100" w:firstLine="160"/>
              <w:jc w:val="right"/>
              <w:rPr>
                <w:rFonts w:cs="Arial"/>
                <w:color w:val="000000"/>
                <w:sz w:val="16"/>
                <w:szCs w:val="16"/>
                <w:lang w:eastAsia="en-US"/>
              </w:rPr>
            </w:pPr>
            <w:r w:rsidRPr="00113341">
              <w:rPr>
                <w:rFonts w:cs="Arial"/>
                <w:color w:val="000000"/>
                <w:sz w:val="16"/>
                <w:szCs w:val="16"/>
                <w:lang w:eastAsia="en-US"/>
              </w:rPr>
              <w:t>545</w:t>
            </w:r>
            <w:r>
              <w:rPr>
                <w:rFonts w:cs="Arial"/>
                <w:color w:val="000000"/>
                <w:sz w:val="16"/>
                <w:szCs w:val="16"/>
                <w:lang w:eastAsia="en-US"/>
              </w:rPr>
              <w:t> </w:t>
            </w:r>
            <w:r w:rsidRPr="00113341">
              <w:rPr>
                <w:rFonts w:cs="Arial"/>
                <w:color w:val="000000"/>
                <w:sz w:val="16"/>
                <w:szCs w:val="16"/>
                <w:lang w:eastAsia="en-US"/>
              </w:rPr>
              <w:t>711</w:t>
            </w:r>
          </w:p>
        </w:tc>
        <w:tc>
          <w:tcPr>
            <w:tcW w:w="843" w:type="dxa"/>
            <w:tcBorders>
              <w:top w:val="single" w:sz="8" w:space="0" w:color="auto"/>
              <w:left w:val="nil"/>
              <w:bottom w:val="nil"/>
              <w:right w:val="single" w:sz="4" w:space="0" w:color="auto"/>
            </w:tcBorders>
            <w:shd w:val="clear" w:color="auto" w:fill="auto"/>
            <w:noWrap/>
            <w:vAlign w:val="center"/>
            <w:hideMark/>
          </w:tcPr>
          <w:p w14:paraId="2175C0CE" w14:textId="1507C558" w:rsidR="00610A6E" w:rsidRPr="00756F12" w:rsidRDefault="00610A6E" w:rsidP="00610A6E">
            <w:pPr>
              <w:spacing w:after="0" w:line="240" w:lineRule="auto"/>
              <w:ind w:firstLineChars="100" w:firstLine="160"/>
              <w:jc w:val="right"/>
              <w:rPr>
                <w:rFonts w:cs="Arial"/>
                <w:color w:val="000000"/>
                <w:sz w:val="16"/>
                <w:szCs w:val="16"/>
                <w:lang w:eastAsia="en-US"/>
              </w:rPr>
            </w:pPr>
            <w:r>
              <w:rPr>
                <w:rFonts w:cs="Arial"/>
                <w:color w:val="000000"/>
                <w:sz w:val="16"/>
                <w:szCs w:val="16"/>
                <w:lang w:eastAsia="en-US"/>
              </w:rPr>
              <w:t>56,6</w:t>
            </w:r>
          </w:p>
        </w:tc>
        <w:tc>
          <w:tcPr>
            <w:tcW w:w="1118" w:type="dxa"/>
            <w:tcBorders>
              <w:top w:val="single" w:sz="8" w:space="0" w:color="auto"/>
              <w:left w:val="nil"/>
              <w:bottom w:val="nil"/>
              <w:right w:val="nil"/>
            </w:tcBorders>
            <w:shd w:val="clear" w:color="auto" w:fill="auto"/>
            <w:noWrap/>
            <w:vAlign w:val="center"/>
            <w:hideMark/>
          </w:tcPr>
          <w:p w14:paraId="3D726292" w14:textId="1AD9A706" w:rsidR="00610A6E" w:rsidRPr="00756F12" w:rsidRDefault="00610A6E" w:rsidP="00610A6E">
            <w:pPr>
              <w:spacing w:after="0" w:line="240" w:lineRule="auto"/>
              <w:ind w:firstLineChars="100" w:firstLine="160"/>
              <w:jc w:val="right"/>
              <w:rPr>
                <w:rFonts w:cs="Arial"/>
                <w:color w:val="000000"/>
                <w:sz w:val="16"/>
                <w:szCs w:val="16"/>
                <w:lang w:eastAsia="en-US"/>
              </w:rPr>
            </w:pPr>
            <w:r w:rsidRPr="00113341">
              <w:rPr>
                <w:rFonts w:cs="Arial"/>
                <w:color w:val="000000"/>
                <w:sz w:val="16"/>
                <w:szCs w:val="16"/>
                <w:lang w:eastAsia="en-US"/>
              </w:rPr>
              <w:t>34</w:t>
            </w:r>
            <w:r>
              <w:rPr>
                <w:rFonts w:cs="Arial"/>
                <w:color w:val="000000"/>
                <w:sz w:val="16"/>
                <w:szCs w:val="16"/>
                <w:lang w:eastAsia="en-US"/>
              </w:rPr>
              <w:t> </w:t>
            </w:r>
            <w:r w:rsidRPr="00113341">
              <w:rPr>
                <w:rFonts w:cs="Arial"/>
                <w:color w:val="000000"/>
                <w:sz w:val="16"/>
                <w:szCs w:val="16"/>
                <w:lang w:eastAsia="en-US"/>
              </w:rPr>
              <w:t>421,8</w:t>
            </w:r>
          </w:p>
        </w:tc>
        <w:tc>
          <w:tcPr>
            <w:tcW w:w="723" w:type="dxa"/>
            <w:tcBorders>
              <w:top w:val="single" w:sz="8" w:space="0" w:color="auto"/>
              <w:left w:val="nil"/>
              <w:bottom w:val="nil"/>
              <w:right w:val="single" w:sz="4" w:space="0" w:color="auto"/>
            </w:tcBorders>
            <w:shd w:val="clear" w:color="auto" w:fill="auto"/>
            <w:noWrap/>
            <w:vAlign w:val="center"/>
            <w:hideMark/>
          </w:tcPr>
          <w:p w14:paraId="683C5CAB" w14:textId="708BC2A5" w:rsidR="00610A6E" w:rsidRPr="00A204DA" w:rsidRDefault="00610A6E" w:rsidP="00610A6E">
            <w:pPr>
              <w:spacing w:after="0" w:line="240" w:lineRule="auto"/>
              <w:ind w:firstLineChars="100" w:firstLine="160"/>
              <w:jc w:val="right"/>
              <w:rPr>
                <w:rFonts w:cs="Arial"/>
                <w:color w:val="000000"/>
                <w:sz w:val="16"/>
                <w:szCs w:val="16"/>
                <w:lang w:eastAsia="en-US"/>
              </w:rPr>
            </w:pPr>
            <w:r>
              <w:rPr>
                <w:rFonts w:cs="Arial"/>
                <w:color w:val="000000"/>
                <w:sz w:val="16"/>
                <w:szCs w:val="16"/>
                <w:lang w:eastAsia="en-US"/>
              </w:rPr>
              <w:t>48,3</w:t>
            </w:r>
          </w:p>
        </w:tc>
        <w:tc>
          <w:tcPr>
            <w:tcW w:w="751" w:type="dxa"/>
            <w:tcBorders>
              <w:top w:val="single" w:sz="8" w:space="0" w:color="auto"/>
              <w:left w:val="nil"/>
              <w:bottom w:val="nil"/>
              <w:right w:val="nil"/>
            </w:tcBorders>
            <w:shd w:val="clear" w:color="auto" w:fill="auto"/>
            <w:noWrap/>
            <w:vAlign w:val="center"/>
            <w:hideMark/>
          </w:tcPr>
          <w:p w14:paraId="6EBBFFF5" w14:textId="4B5C7000" w:rsidR="00610A6E" w:rsidRPr="00610A6E" w:rsidRDefault="00610A6E" w:rsidP="00610A6E">
            <w:pPr>
              <w:spacing w:after="0" w:line="240" w:lineRule="auto"/>
              <w:ind w:firstLineChars="100" w:firstLine="160"/>
              <w:jc w:val="right"/>
              <w:rPr>
                <w:rFonts w:cs="Arial"/>
                <w:i/>
                <w:iCs/>
                <w:color w:val="000000"/>
                <w:sz w:val="16"/>
                <w:szCs w:val="16"/>
                <w:lang w:eastAsia="en-US"/>
              </w:rPr>
            </w:pPr>
            <w:r w:rsidRPr="00610A6E">
              <w:rPr>
                <w:i/>
                <w:sz w:val="16"/>
                <w:szCs w:val="16"/>
              </w:rPr>
              <w:t>18,6</w:t>
            </w:r>
          </w:p>
        </w:tc>
        <w:tc>
          <w:tcPr>
            <w:tcW w:w="751" w:type="dxa"/>
            <w:tcBorders>
              <w:top w:val="single" w:sz="8" w:space="0" w:color="auto"/>
              <w:left w:val="single" w:sz="4" w:space="0" w:color="auto"/>
              <w:bottom w:val="nil"/>
              <w:right w:val="single" w:sz="4" w:space="0" w:color="auto"/>
            </w:tcBorders>
            <w:shd w:val="clear" w:color="auto" w:fill="auto"/>
            <w:noWrap/>
            <w:vAlign w:val="center"/>
            <w:hideMark/>
          </w:tcPr>
          <w:p w14:paraId="3D57532A" w14:textId="506BD91F" w:rsidR="00610A6E" w:rsidRPr="00610A6E" w:rsidRDefault="00610A6E" w:rsidP="00610A6E">
            <w:pPr>
              <w:spacing w:after="0" w:line="240" w:lineRule="auto"/>
              <w:ind w:firstLineChars="100" w:firstLine="160"/>
              <w:jc w:val="right"/>
              <w:rPr>
                <w:rFonts w:cs="Arial"/>
                <w:i/>
                <w:iCs/>
                <w:color w:val="000000"/>
                <w:sz w:val="16"/>
                <w:szCs w:val="16"/>
                <w:lang w:eastAsia="en-US"/>
              </w:rPr>
            </w:pPr>
            <w:r w:rsidRPr="00610A6E">
              <w:rPr>
                <w:i/>
                <w:sz w:val="16"/>
                <w:szCs w:val="16"/>
              </w:rPr>
              <w:t>15,9</w:t>
            </w:r>
          </w:p>
        </w:tc>
      </w:tr>
      <w:tr w:rsidR="00610A6E" w:rsidRPr="00A204DA" w14:paraId="2EDAAB8C" w14:textId="77777777" w:rsidTr="00774213">
        <w:trPr>
          <w:trHeight w:val="340"/>
        </w:trPr>
        <w:tc>
          <w:tcPr>
            <w:tcW w:w="997" w:type="dxa"/>
            <w:tcBorders>
              <w:top w:val="nil"/>
              <w:left w:val="single" w:sz="4" w:space="0" w:color="auto"/>
              <w:bottom w:val="nil"/>
              <w:right w:val="nil"/>
            </w:tcBorders>
            <w:shd w:val="clear" w:color="auto" w:fill="auto"/>
            <w:noWrap/>
            <w:vAlign w:val="center"/>
            <w:hideMark/>
          </w:tcPr>
          <w:p w14:paraId="55B67FA2" w14:textId="77777777" w:rsidR="00610A6E" w:rsidRPr="00A204DA" w:rsidRDefault="00610A6E" w:rsidP="00610A6E">
            <w:pPr>
              <w:spacing w:after="0" w:line="240" w:lineRule="auto"/>
              <w:rPr>
                <w:rFonts w:cs="Arial"/>
                <w:color w:val="000000"/>
                <w:sz w:val="16"/>
                <w:szCs w:val="16"/>
                <w:lang w:eastAsia="en-US"/>
              </w:rPr>
            </w:pPr>
            <w:r w:rsidRPr="00A204DA">
              <w:rPr>
                <w:rFonts w:cs="Arial"/>
                <w:color w:val="000000"/>
                <w:sz w:val="16"/>
                <w:szCs w:val="16"/>
                <w:lang w:eastAsia="en-US"/>
              </w:rPr>
              <w:t xml:space="preserve"> 2. stupeň</w:t>
            </w:r>
          </w:p>
        </w:tc>
        <w:tc>
          <w:tcPr>
            <w:tcW w:w="846" w:type="dxa"/>
            <w:tcBorders>
              <w:top w:val="nil"/>
              <w:left w:val="single" w:sz="4" w:space="0" w:color="auto"/>
              <w:bottom w:val="nil"/>
              <w:right w:val="nil"/>
            </w:tcBorders>
            <w:shd w:val="clear" w:color="auto" w:fill="auto"/>
            <w:noWrap/>
            <w:vAlign w:val="center"/>
            <w:hideMark/>
          </w:tcPr>
          <w:p w14:paraId="554B5D77" w14:textId="3082C431" w:rsidR="00610A6E" w:rsidRPr="00A204DA" w:rsidRDefault="00610A6E" w:rsidP="00610A6E">
            <w:pPr>
              <w:spacing w:after="0" w:line="240" w:lineRule="auto"/>
              <w:ind w:firstLineChars="100" w:firstLine="160"/>
              <w:jc w:val="right"/>
              <w:rPr>
                <w:rFonts w:cs="Arial"/>
                <w:color w:val="000000"/>
                <w:sz w:val="16"/>
                <w:szCs w:val="16"/>
                <w:lang w:eastAsia="en-US"/>
              </w:rPr>
            </w:pPr>
            <w:r w:rsidRPr="00113341">
              <w:rPr>
                <w:rFonts w:cs="Arial"/>
                <w:color w:val="000000"/>
                <w:sz w:val="16"/>
                <w:szCs w:val="16"/>
                <w:lang w:eastAsia="en-US"/>
              </w:rPr>
              <w:t>2</w:t>
            </w:r>
            <w:r>
              <w:rPr>
                <w:rFonts w:cs="Arial"/>
                <w:color w:val="000000"/>
                <w:sz w:val="16"/>
                <w:szCs w:val="16"/>
                <w:lang w:eastAsia="en-US"/>
              </w:rPr>
              <w:t> </w:t>
            </w:r>
            <w:r w:rsidRPr="00113341">
              <w:rPr>
                <w:rFonts w:cs="Arial"/>
                <w:color w:val="000000"/>
                <w:sz w:val="16"/>
                <w:szCs w:val="16"/>
                <w:lang w:eastAsia="en-US"/>
              </w:rPr>
              <w:t>830</w:t>
            </w:r>
          </w:p>
        </w:tc>
        <w:tc>
          <w:tcPr>
            <w:tcW w:w="851" w:type="dxa"/>
            <w:tcBorders>
              <w:top w:val="nil"/>
              <w:left w:val="nil"/>
              <w:bottom w:val="nil"/>
              <w:right w:val="single" w:sz="4" w:space="0" w:color="auto"/>
            </w:tcBorders>
            <w:shd w:val="clear" w:color="auto" w:fill="auto"/>
            <w:noWrap/>
            <w:vAlign w:val="center"/>
            <w:hideMark/>
          </w:tcPr>
          <w:p w14:paraId="474D827C" w14:textId="4791A40B" w:rsidR="00610A6E" w:rsidRPr="00756F12" w:rsidRDefault="00610A6E" w:rsidP="00610A6E">
            <w:pPr>
              <w:spacing w:after="0" w:line="240" w:lineRule="auto"/>
              <w:ind w:firstLineChars="100" w:firstLine="160"/>
              <w:jc w:val="right"/>
              <w:rPr>
                <w:rFonts w:cs="Arial"/>
                <w:color w:val="000000"/>
                <w:sz w:val="16"/>
                <w:szCs w:val="16"/>
                <w:lang w:eastAsia="en-US"/>
              </w:rPr>
            </w:pPr>
            <w:r>
              <w:rPr>
                <w:rFonts w:cs="Arial"/>
                <w:color w:val="000000"/>
                <w:sz w:val="16"/>
                <w:szCs w:val="16"/>
                <w:lang w:eastAsia="en-US"/>
              </w:rPr>
              <w:t>66,8</w:t>
            </w:r>
          </w:p>
        </w:tc>
        <w:tc>
          <w:tcPr>
            <w:tcW w:w="1007" w:type="dxa"/>
            <w:tcBorders>
              <w:top w:val="nil"/>
              <w:left w:val="nil"/>
              <w:bottom w:val="nil"/>
              <w:right w:val="nil"/>
            </w:tcBorders>
            <w:shd w:val="clear" w:color="auto" w:fill="auto"/>
            <w:noWrap/>
            <w:vAlign w:val="center"/>
            <w:hideMark/>
          </w:tcPr>
          <w:p w14:paraId="0393AA3D" w14:textId="2061939A" w:rsidR="00610A6E" w:rsidRPr="00A204DA" w:rsidRDefault="00610A6E" w:rsidP="00610A6E">
            <w:pPr>
              <w:spacing w:after="0" w:line="240" w:lineRule="auto"/>
              <w:ind w:firstLineChars="100" w:firstLine="160"/>
              <w:jc w:val="right"/>
              <w:rPr>
                <w:rFonts w:cs="Arial"/>
                <w:color w:val="000000"/>
                <w:sz w:val="16"/>
                <w:szCs w:val="16"/>
                <w:lang w:eastAsia="en-US"/>
              </w:rPr>
            </w:pPr>
            <w:r w:rsidRPr="00113341">
              <w:rPr>
                <w:rFonts w:cs="Arial"/>
                <w:color w:val="000000"/>
                <w:sz w:val="16"/>
                <w:szCs w:val="16"/>
                <w:lang w:eastAsia="en-US"/>
              </w:rPr>
              <w:t>20</w:t>
            </w:r>
            <w:r>
              <w:rPr>
                <w:rFonts w:cs="Arial"/>
                <w:color w:val="000000"/>
                <w:sz w:val="16"/>
                <w:szCs w:val="16"/>
                <w:lang w:eastAsia="en-US"/>
              </w:rPr>
              <w:t> </w:t>
            </w:r>
            <w:r w:rsidRPr="00113341">
              <w:rPr>
                <w:rFonts w:cs="Arial"/>
                <w:color w:val="000000"/>
                <w:sz w:val="16"/>
                <w:szCs w:val="16"/>
                <w:lang w:eastAsia="en-US"/>
              </w:rPr>
              <w:t>746</w:t>
            </w:r>
          </w:p>
        </w:tc>
        <w:tc>
          <w:tcPr>
            <w:tcW w:w="854" w:type="dxa"/>
            <w:tcBorders>
              <w:top w:val="nil"/>
              <w:left w:val="nil"/>
              <w:bottom w:val="nil"/>
              <w:right w:val="single" w:sz="4" w:space="0" w:color="auto"/>
            </w:tcBorders>
            <w:shd w:val="clear" w:color="auto" w:fill="auto"/>
            <w:noWrap/>
            <w:vAlign w:val="center"/>
            <w:hideMark/>
          </w:tcPr>
          <w:p w14:paraId="52F69BCF" w14:textId="1D9E090A" w:rsidR="00610A6E" w:rsidRPr="00756F12" w:rsidRDefault="00610A6E" w:rsidP="00610A6E">
            <w:pPr>
              <w:spacing w:after="0" w:line="240" w:lineRule="auto"/>
              <w:ind w:firstLineChars="100" w:firstLine="160"/>
              <w:jc w:val="right"/>
              <w:rPr>
                <w:rFonts w:cs="Arial"/>
                <w:color w:val="000000"/>
                <w:sz w:val="16"/>
                <w:szCs w:val="16"/>
                <w:lang w:eastAsia="en-US"/>
              </w:rPr>
            </w:pPr>
            <w:r>
              <w:rPr>
                <w:rFonts w:cs="Arial"/>
                <w:color w:val="000000"/>
                <w:sz w:val="16"/>
                <w:szCs w:val="16"/>
                <w:lang w:eastAsia="en-US"/>
              </w:rPr>
              <w:t>41,5</w:t>
            </w:r>
          </w:p>
        </w:tc>
        <w:tc>
          <w:tcPr>
            <w:tcW w:w="997" w:type="dxa"/>
            <w:tcBorders>
              <w:top w:val="nil"/>
              <w:left w:val="nil"/>
              <w:bottom w:val="nil"/>
              <w:right w:val="nil"/>
            </w:tcBorders>
            <w:shd w:val="clear" w:color="auto" w:fill="auto"/>
            <w:noWrap/>
            <w:vAlign w:val="center"/>
            <w:hideMark/>
          </w:tcPr>
          <w:p w14:paraId="59C43023" w14:textId="3375C7C3" w:rsidR="00610A6E" w:rsidRPr="00756F12" w:rsidRDefault="00610A6E" w:rsidP="00610A6E">
            <w:pPr>
              <w:spacing w:after="0" w:line="240" w:lineRule="auto"/>
              <w:ind w:firstLineChars="100" w:firstLine="160"/>
              <w:jc w:val="right"/>
              <w:rPr>
                <w:rFonts w:cs="Arial"/>
                <w:color w:val="000000"/>
                <w:sz w:val="16"/>
                <w:szCs w:val="16"/>
                <w:lang w:eastAsia="en-US"/>
              </w:rPr>
            </w:pPr>
            <w:r w:rsidRPr="00113341">
              <w:rPr>
                <w:rFonts w:cs="Arial"/>
                <w:color w:val="000000"/>
                <w:sz w:val="16"/>
                <w:szCs w:val="16"/>
                <w:lang w:eastAsia="en-US"/>
              </w:rPr>
              <w:t>418</w:t>
            </w:r>
            <w:r>
              <w:rPr>
                <w:rFonts w:cs="Arial"/>
                <w:color w:val="000000"/>
                <w:sz w:val="16"/>
                <w:szCs w:val="16"/>
                <w:lang w:eastAsia="en-US"/>
              </w:rPr>
              <w:t> </w:t>
            </w:r>
            <w:r w:rsidRPr="00113341">
              <w:rPr>
                <w:rFonts w:cs="Arial"/>
                <w:color w:val="000000"/>
                <w:sz w:val="16"/>
                <w:szCs w:val="16"/>
                <w:lang w:eastAsia="en-US"/>
              </w:rPr>
              <w:t>860</w:t>
            </w:r>
          </w:p>
        </w:tc>
        <w:tc>
          <w:tcPr>
            <w:tcW w:w="843" w:type="dxa"/>
            <w:tcBorders>
              <w:top w:val="nil"/>
              <w:left w:val="nil"/>
              <w:bottom w:val="nil"/>
              <w:right w:val="single" w:sz="4" w:space="0" w:color="auto"/>
            </w:tcBorders>
            <w:shd w:val="clear" w:color="auto" w:fill="auto"/>
            <w:noWrap/>
            <w:vAlign w:val="center"/>
            <w:hideMark/>
          </w:tcPr>
          <w:p w14:paraId="567783AF" w14:textId="1589FDA4" w:rsidR="00610A6E" w:rsidRPr="00756F12" w:rsidRDefault="00610A6E" w:rsidP="00610A6E">
            <w:pPr>
              <w:spacing w:after="0" w:line="240" w:lineRule="auto"/>
              <w:ind w:firstLineChars="100" w:firstLine="160"/>
              <w:jc w:val="right"/>
              <w:rPr>
                <w:rFonts w:cs="Arial"/>
                <w:color w:val="000000"/>
                <w:sz w:val="16"/>
                <w:szCs w:val="16"/>
                <w:lang w:eastAsia="en-US"/>
              </w:rPr>
            </w:pPr>
            <w:r>
              <w:rPr>
                <w:rFonts w:cs="Arial"/>
                <w:color w:val="000000"/>
                <w:sz w:val="16"/>
                <w:szCs w:val="16"/>
                <w:lang w:eastAsia="en-US"/>
              </w:rPr>
              <w:t>43,4</w:t>
            </w:r>
          </w:p>
        </w:tc>
        <w:tc>
          <w:tcPr>
            <w:tcW w:w="1118" w:type="dxa"/>
            <w:tcBorders>
              <w:top w:val="nil"/>
              <w:left w:val="nil"/>
              <w:bottom w:val="nil"/>
              <w:right w:val="nil"/>
            </w:tcBorders>
            <w:shd w:val="clear" w:color="auto" w:fill="auto"/>
            <w:noWrap/>
            <w:vAlign w:val="center"/>
            <w:hideMark/>
          </w:tcPr>
          <w:p w14:paraId="4203A9AA" w14:textId="19361FBC" w:rsidR="00610A6E" w:rsidRPr="00756F12" w:rsidRDefault="00610A6E" w:rsidP="00610A6E">
            <w:pPr>
              <w:spacing w:after="0" w:line="240" w:lineRule="auto"/>
              <w:ind w:firstLineChars="100" w:firstLine="160"/>
              <w:jc w:val="right"/>
              <w:rPr>
                <w:rFonts w:cs="Arial"/>
                <w:color w:val="000000"/>
                <w:sz w:val="16"/>
                <w:szCs w:val="16"/>
                <w:lang w:eastAsia="en-US"/>
              </w:rPr>
            </w:pPr>
            <w:r w:rsidRPr="00113341">
              <w:rPr>
                <w:rFonts w:cs="Arial"/>
                <w:color w:val="000000"/>
                <w:sz w:val="16"/>
                <w:szCs w:val="16"/>
                <w:lang w:eastAsia="en-US"/>
              </w:rPr>
              <w:t>36</w:t>
            </w:r>
            <w:r>
              <w:rPr>
                <w:rFonts w:cs="Arial"/>
                <w:color w:val="000000"/>
                <w:sz w:val="16"/>
                <w:szCs w:val="16"/>
                <w:lang w:eastAsia="en-US"/>
              </w:rPr>
              <w:t> </w:t>
            </w:r>
            <w:r w:rsidRPr="00113341">
              <w:rPr>
                <w:rFonts w:cs="Arial"/>
                <w:color w:val="000000"/>
                <w:sz w:val="16"/>
                <w:szCs w:val="16"/>
                <w:lang w:eastAsia="en-US"/>
              </w:rPr>
              <w:t>903,5</w:t>
            </w:r>
          </w:p>
        </w:tc>
        <w:tc>
          <w:tcPr>
            <w:tcW w:w="723" w:type="dxa"/>
            <w:tcBorders>
              <w:top w:val="nil"/>
              <w:left w:val="nil"/>
              <w:bottom w:val="nil"/>
              <w:right w:val="single" w:sz="4" w:space="0" w:color="auto"/>
            </w:tcBorders>
            <w:shd w:val="clear" w:color="auto" w:fill="auto"/>
            <w:noWrap/>
            <w:vAlign w:val="center"/>
            <w:hideMark/>
          </w:tcPr>
          <w:p w14:paraId="2190B77A" w14:textId="68485382" w:rsidR="00610A6E" w:rsidRPr="00A204DA" w:rsidRDefault="00610A6E" w:rsidP="00610A6E">
            <w:pPr>
              <w:spacing w:after="0" w:line="240" w:lineRule="auto"/>
              <w:ind w:firstLineChars="100" w:firstLine="160"/>
              <w:jc w:val="right"/>
              <w:rPr>
                <w:rFonts w:cs="Arial"/>
                <w:color w:val="000000"/>
                <w:sz w:val="16"/>
                <w:szCs w:val="16"/>
                <w:lang w:eastAsia="en-US"/>
              </w:rPr>
            </w:pPr>
            <w:r>
              <w:rPr>
                <w:rFonts w:cs="Arial"/>
                <w:color w:val="000000"/>
                <w:sz w:val="16"/>
                <w:szCs w:val="16"/>
                <w:lang w:eastAsia="en-US"/>
              </w:rPr>
              <w:t>5</w:t>
            </w:r>
            <w:r w:rsidRPr="00A204DA">
              <w:rPr>
                <w:rFonts w:cs="Arial"/>
                <w:color w:val="000000"/>
                <w:sz w:val="16"/>
                <w:szCs w:val="16"/>
                <w:lang w:eastAsia="en-US"/>
              </w:rPr>
              <w:t>1</w:t>
            </w:r>
            <w:r>
              <w:rPr>
                <w:rFonts w:cs="Arial"/>
                <w:color w:val="000000"/>
                <w:sz w:val="16"/>
                <w:szCs w:val="16"/>
                <w:lang w:eastAsia="en-US"/>
              </w:rPr>
              <w:t>,7</w:t>
            </w:r>
          </w:p>
        </w:tc>
        <w:tc>
          <w:tcPr>
            <w:tcW w:w="751" w:type="dxa"/>
            <w:tcBorders>
              <w:top w:val="nil"/>
              <w:left w:val="nil"/>
              <w:bottom w:val="nil"/>
              <w:right w:val="nil"/>
            </w:tcBorders>
            <w:shd w:val="clear" w:color="auto" w:fill="auto"/>
            <w:noWrap/>
            <w:vAlign w:val="center"/>
            <w:hideMark/>
          </w:tcPr>
          <w:p w14:paraId="47DB7932" w14:textId="3780D494" w:rsidR="00610A6E" w:rsidRPr="00610A6E" w:rsidRDefault="00610A6E" w:rsidP="00610A6E">
            <w:pPr>
              <w:spacing w:after="0" w:line="240" w:lineRule="auto"/>
              <w:ind w:firstLineChars="100" w:firstLine="160"/>
              <w:jc w:val="right"/>
              <w:rPr>
                <w:rFonts w:cs="Arial"/>
                <w:i/>
                <w:iCs/>
                <w:color w:val="000000"/>
                <w:sz w:val="16"/>
                <w:szCs w:val="16"/>
                <w:lang w:eastAsia="en-US"/>
              </w:rPr>
            </w:pPr>
            <w:r w:rsidRPr="00610A6E">
              <w:rPr>
                <w:i/>
                <w:sz w:val="16"/>
                <w:szCs w:val="16"/>
              </w:rPr>
              <w:t>20,2</w:t>
            </w:r>
          </w:p>
        </w:tc>
        <w:tc>
          <w:tcPr>
            <w:tcW w:w="751" w:type="dxa"/>
            <w:tcBorders>
              <w:top w:val="nil"/>
              <w:left w:val="single" w:sz="4" w:space="0" w:color="auto"/>
              <w:bottom w:val="nil"/>
              <w:right w:val="single" w:sz="4" w:space="0" w:color="auto"/>
            </w:tcBorders>
            <w:shd w:val="clear" w:color="auto" w:fill="auto"/>
            <w:noWrap/>
            <w:vAlign w:val="center"/>
            <w:hideMark/>
          </w:tcPr>
          <w:p w14:paraId="49C53DA4" w14:textId="066F8C89" w:rsidR="00610A6E" w:rsidRPr="00610A6E" w:rsidRDefault="00610A6E" w:rsidP="00610A6E">
            <w:pPr>
              <w:spacing w:after="0" w:line="240" w:lineRule="auto"/>
              <w:ind w:firstLineChars="100" w:firstLine="160"/>
              <w:jc w:val="right"/>
              <w:rPr>
                <w:rFonts w:cs="Arial"/>
                <w:i/>
                <w:iCs/>
                <w:color w:val="000000"/>
                <w:sz w:val="16"/>
                <w:szCs w:val="16"/>
                <w:lang w:eastAsia="en-US"/>
              </w:rPr>
            </w:pPr>
            <w:r w:rsidRPr="00610A6E">
              <w:rPr>
                <w:i/>
                <w:sz w:val="16"/>
                <w:szCs w:val="16"/>
              </w:rPr>
              <w:t>11,4</w:t>
            </w:r>
          </w:p>
        </w:tc>
      </w:tr>
      <w:tr w:rsidR="00610A6E" w:rsidRPr="00610A6E" w14:paraId="530EA89B" w14:textId="77777777" w:rsidTr="00774213">
        <w:trPr>
          <w:trHeight w:val="283"/>
        </w:trPr>
        <w:tc>
          <w:tcPr>
            <w:tcW w:w="997" w:type="dxa"/>
            <w:tcBorders>
              <w:top w:val="nil"/>
              <w:left w:val="single" w:sz="4" w:space="0" w:color="auto"/>
              <w:bottom w:val="single" w:sz="4" w:space="0" w:color="auto"/>
              <w:right w:val="nil"/>
            </w:tcBorders>
            <w:shd w:val="clear" w:color="auto" w:fill="auto"/>
            <w:noWrap/>
            <w:vAlign w:val="center"/>
            <w:hideMark/>
          </w:tcPr>
          <w:p w14:paraId="15F3F413" w14:textId="77777777" w:rsidR="00610A6E" w:rsidRPr="00A204DA" w:rsidRDefault="00610A6E" w:rsidP="00610A6E">
            <w:pPr>
              <w:spacing w:after="0" w:line="240" w:lineRule="auto"/>
              <w:rPr>
                <w:rFonts w:cs="Arial"/>
                <w:b/>
                <w:bCs/>
                <w:color w:val="000000"/>
                <w:sz w:val="16"/>
                <w:szCs w:val="16"/>
                <w:lang w:eastAsia="en-US"/>
              </w:rPr>
            </w:pPr>
            <w:r w:rsidRPr="00A204DA">
              <w:rPr>
                <w:rFonts w:cs="Arial"/>
                <w:b/>
                <w:bCs/>
                <w:color w:val="000000"/>
                <w:sz w:val="16"/>
                <w:szCs w:val="16"/>
                <w:lang w:eastAsia="en-US"/>
              </w:rPr>
              <w:t>Celkem</w:t>
            </w:r>
          </w:p>
        </w:tc>
        <w:tc>
          <w:tcPr>
            <w:tcW w:w="846" w:type="dxa"/>
            <w:tcBorders>
              <w:top w:val="nil"/>
              <w:left w:val="single" w:sz="4" w:space="0" w:color="auto"/>
              <w:bottom w:val="single" w:sz="4" w:space="0" w:color="auto"/>
              <w:right w:val="nil"/>
            </w:tcBorders>
            <w:shd w:val="clear" w:color="auto" w:fill="auto"/>
            <w:noWrap/>
            <w:vAlign w:val="center"/>
            <w:hideMark/>
          </w:tcPr>
          <w:p w14:paraId="4AE74B0D" w14:textId="5B104AF8" w:rsidR="00610A6E" w:rsidRPr="00A204DA" w:rsidRDefault="00610A6E" w:rsidP="00610A6E">
            <w:pPr>
              <w:spacing w:after="0" w:line="240" w:lineRule="auto"/>
              <w:ind w:firstLineChars="100" w:firstLine="160"/>
              <w:jc w:val="right"/>
              <w:rPr>
                <w:rFonts w:cs="Arial"/>
                <w:b/>
                <w:bCs/>
                <w:color w:val="000000"/>
                <w:sz w:val="16"/>
                <w:szCs w:val="16"/>
                <w:lang w:eastAsia="en-US"/>
              </w:rPr>
            </w:pPr>
            <w:r w:rsidRPr="00113341">
              <w:rPr>
                <w:rFonts w:cs="Arial"/>
                <w:b/>
                <w:bCs/>
                <w:color w:val="000000"/>
                <w:sz w:val="16"/>
                <w:szCs w:val="16"/>
                <w:lang w:eastAsia="en-US"/>
              </w:rPr>
              <w:t>4</w:t>
            </w:r>
            <w:r>
              <w:rPr>
                <w:rFonts w:cs="Arial"/>
                <w:b/>
                <w:bCs/>
                <w:color w:val="000000"/>
                <w:sz w:val="16"/>
                <w:szCs w:val="16"/>
                <w:lang w:eastAsia="en-US"/>
              </w:rPr>
              <w:t> </w:t>
            </w:r>
            <w:r w:rsidRPr="00113341">
              <w:rPr>
                <w:rFonts w:cs="Arial"/>
                <w:b/>
                <w:bCs/>
                <w:color w:val="000000"/>
                <w:sz w:val="16"/>
                <w:szCs w:val="16"/>
                <w:lang w:eastAsia="en-US"/>
              </w:rPr>
              <w:t>238</w:t>
            </w:r>
          </w:p>
        </w:tc>
        <w:tc>
          <w:tcPr>
            <w:tcW w:w="851" w:type="dxa"/>
            <w:tcBorders>
              <w:top w:val="nil"/>
              <w:left w:val="nil"/>
              <w:bottom w:val="single" w:sz="4" w:space="0" w:color="auto"/>
              <w:right w:val="single" w:sz="4" w:space="0" w:color="auto"/>
            </w:tcBorders>
            <w:shd w:val="clear" w:color="auto" w:fill="auto"/>
            <w:noWrap/>
            <w:vAlign w:val="center"/>
            <w:hideMark/>
          </w:tcPr>
          <w:p w14:paraId="26371CDF" w14:textId="566C36B0" w:rsidR="00610A6E" w:rsidRPr="00756F12" w:rsidRDefault="00610A6E" w:rsidP="00610A6E">
            <w:pPr>
              <w:spacing w:after="0" w:line="240" w:lineRule="auto"/>
              <w:ind w:firstLineChars="100" w:firstLine="160"/>
              <w:jc w:val="right"/>
              <w:rPr>
                <w:rFonts w:cs="Arial"/>
                <w:b/>
                <w:bCs/>
                <w:color w:val="000000"/>
                <w:sz w:val="16"/>
                <w:szCs w:val="16"/>
                <w:lang w:eastAsia="en-US"/>
              </w:rPr>
            </w:pPr>
            <w:r>
              <w:rPr>
                <w:rFonts w:cs="Arial"/>
                <w:b/>
                <w:bCs/>
                <w:color w:val="000000"/>
                <w:sz w:val="16"/>
                <w:szCs w:val="16"/>
                <w:lang w:eastAsia="en-US"/>
              </w:rPr>
              <w:t>100</w:t>
            </w:r>
          </w:p>
        </w:tc>
        <w:tc>
          <w:tcPr>
            <w:tcW w:w="1007" w:type="dxa"/>
            <w:tcBorders>
              <w:top w:val="nil"/>
              <w:left w:val="nil"/>
              <w:bottom w:val="single" w:sz="4" w:space="0" w:color="auto"/>
              <w:right w:val="nil"/>
            </w:tcBorders>
            <w:shd w:val="clear" w:color="auto" w:fill="auto"/>
            <w:noWrap/>
            <w:vAlign w:val="center"/>
            <w:hideMark/>
          </w:tcPr>
          <w:p w14:paraId="2B5B671D" w14:textId="60C45BA3" w:rsidR="00610A6E" w:rsidRPr="00A204DA" w:rsidRDefault="00610A6E" w:rsidP="00610A6E">
            <w:pPr>
              <w:spacing w:after="0" w:line="240" w:lineRule="auto"/>
              <w:ind w:firstLineChars="100" w:firstLine="160"/>
              <w:jc w:val="right"/>
              <w:rPr>
                <w:rFonts w:cs="Arial"/>
                <w:b/>
                <w:bCs/>
                <w:color w:val="000000"/>
                <w:sz w:val="16"/>
                <w:szCs w:val="16"/>
                <w:lang w:eastAsia="en-US"/>
              </w:rPr>
            </w:pPr>
            <w:r>
              <w:rPr>
                <w:rFonts w:cs="Arial"/>
                <w:b/>
                <w:bCs/>
                <w:color w:val="000000"/>
                <w:sz w:val="16"/>
                <w:szCs w:val="16"/>
                <w:lang w:eastAsia="en-US"/>
              </w:rPr>
              <w:t>50 050</w:t>
            </w:r>
          </w:p>
        </w:tc>
        <w:tc>
          <w:tcPr>
            <w:tcW w:w="854" w:type="dxa"/>
            <w:tcBorders>
              <w:top w:val="nil"/>
              <w:left w:val="nil"/>
              <w:bottom w:val="single" w:sz="4" w:space="0" w:color="auto"/>
              <w:right w:val="single" w:sz="4" w:space="0" w:color="auto"/>
            </w:tcBorders>
            <w:shd w:val="clear" w:color="auto" w:fill="auto"/>
            <w:noWrap/>
            <w:vAlign w:val="center"/>
            <w:hideMark/>
          </w:tcPr>
          <w:p w14:paraId="6C8F7DAD" w14:textId="32D10BA4" w:rsidR="00610A6E" w:rsidRPr="00756F12" w:rsidRDefault="00610A6E" w:rsidP="00610A6E">
            <w:pPr>
              <w:spacing w:after="0" w:line="240" w:lineRule="auto"/>
              <w:ind w:firstLineChars="100" w:firstLine="160"/>
              <w:jc w:val="right"/>
              <w:rPr>
                <w:rFonts w:cs="Arial"/>
                <w:b/>
                <w:bCs/>
                <w:color w:val="000000"/>
                <w:sz w:val="16"/>
                <w:szCs w:val="16"/>
                <w:lang w:eastAsia="en-US"/>
              </w:rPr>
            </w:pPr>
            <w:r>
              <w:rPr>
                <w:rFonts w:cs="Arial"/>
                <w:b/>
                <w:bCs/>
                <w:color w:val="000000"/>
                <w:sz w:val="16"/>
                <w:szCs w:val="16"/>
                <w:lang w:eastAsia="en-US"/>
              </w:rPr>
              <w:t>100</w:t>
            </w:r>
          </w:p>
        </w:tc>
        <w:tc>
          <w:tcPr>
            <w:tcW w:w="997" w:type="dxa"/>
            <w:tcBorders>
              <w:top w:val="nil"/>
              <w:left w:val="nil"/>
              <w:bottom w:val="single" w:sz="4" w:space="0" w:color="auto"/>
              <w:right w:val="nil"/>
            </w:tcBorders>
            <w:shd w:val="clear" w:color="auto" w:fill="auto"/>
            <w:noWrap/>
            <w:vAlign w:val="center"/>
            <w:hideMark/>
          </w:tcPr>
          <w:p w14:paraId="57D55440" w14:textId="464CCA4B" w:rsidR="00610A6E" w:rsidRPr="00756F12" w:rsidRDefault="00610A6E" w:rsidP="00610A6E">
            <w:pPr>
              <w:spacing w:after="0" w:line="240" w:lineRule="auto"/>
              <w:ind w:firstLineChars="100" w:firstLine="160"/>
              <w:jc w:val="right"/>
              <w:rPr>
                <w:rFonts w:cs="Arial"/>
                <w:b/>
                <w:bCs/>
                <w:color w:val="000000"/>
                <w:sz w:val="16"/>
                <w:szCs w:val="16"/>
                <w:lang w:eastAsia="en-US"/>
              </w:rPr>
            </w:pPr>
            <w:r w:rsidRPr="00113341">
              <w:rPr>
                <w:rFonts w:cs="Arial"/>
                <w:b/>
                <w:bCs/>
                <w:color w:val="000000"/>
                <w:sz w:val="16"/>
                <w:szCs w:val="16"/>
                <w:lang w:eastAsia="en-US"/>
              </w:rPr>
              <w:t>964</w:t>
            </w:r>
            <w:r>
              <w:rPr>
                <w:rFonts w:cs="Arial"/>
                <w:b/>
                <w:bCs/>
                <w:color w:val="000000"/>
                <w:sz w:val="16"/>
                <w:szCs w:val="16"/>
                <w:lang w:eastAsia="en-US"/>
              </w:rPr>
              <w:t> </w:t>
            </w:r>
            <w:r w:rsidRPr="00113341">
              <w:rPr>
                <w:rFonts w:cs="Arial"/>
                <w:b/>
                <w:bCs/>
                <w:color w:val="000000"/>
                <w:sz w:val="16"/>
                <w:szCs w:val="16"/>
                <w:lang w:eastAsia="en-US"/>
              </w:rPr>
              <w:t>571</w:t>
            </w:r>
          </w:p>
        </w:tc>
        <w:tc>
          <w:tcPr>
            <w:tcW w:w="843" w:type="dxa"/>
            <w:tcBorders>
              <w:top w:val="nil"/>
              <w:left w:val="nil"/>
              <w:bottom w:val="single" w:sz="4" w:space="0" w:color="auto"/>
              <w:right w:val="single" w:sz="4" w:space="0" w:color="auto"/>
            </w:tcBorders>
            <w:shd w:val="clear" w:color="auto" w:fill="auto"/>
            <w:noWrap/>
            <w:vAlign w:val="center"/>
            <w:hideMark/>
          </w:tcPr>
          <w:p w14:paraId="2E0E0593" w14:textId="77777777" w:rsidR="00610A6E" w:rsidRPr="00756F12" w:rsidRDefault="00610A6E" w:rsidP="00610A6E">
            <w:pPr>
              <w:spacing w:after="0" w:line="240" w:lineRule="auto"/>
              <w:ind w:firstLineChars="100" w:firstLine="160"/>
              <w:jc w:val="right"/>
              <w:rPr>
                <w:rFonts w:cs="Arial"/>
                <w:b/>
                <w:bCs/>
                <w:color w:val="000000"/>
                <w:sz w:val="16"/>
                <w:szCs w:val="16"/>
                <w:lang w:eastAsia="en-US"/>
              </w:rPr>
            </w:pPr>
            <w:r w:rsidRPr="00756F12">
              <w:rPr>
                <w:rFonts w:cs="Arial"/>
                <w:b/>
                <w:bCs/>
                <w:color w:val="000000"/>
                <w:sz w:val="16"/>
                <w:szCs w:val="16"/>
                <w:lang w:eastAsia="en-US"/>
              </w:rPr>
              <w:t>100,0</w:t>
            </w:r>
          </w:p>
        </w:tc>
        <w:tc>
          <w:tcPr>
            <w:tcW w:w="1118" w:type="dxa"/>
            <w:tcBorders>
              <w:top w:val="nil"/>
              <w:left w:val="nil"/>
              <w:bottom w:val="single" w:sz="4" w:space="0" w:color="auto"/>
              <w:right w:val="nil"/>
            </w:tcBorders>
            <w:shd w:val="clear" w:color="auto" w:fill="auto"/>
            <w:noWrap/>
            <w:vAlign w:val="center"/>
            <w:hideMark/>
          </w:tcPr>
          <w:p w14:paraId="6AF8A893" w14:textId="43EC5069" w:rsidR="00610A6E" w:rsidRPr="00756F12" w:rsidRDefault="00610A6E" w:rsidP="00610A6E">
            <w:pPr>
              <w:spacing w:after="0" w:line="240" w:lineRule="auto"/>
              <w:ind w:firstLineChars="100" w:firstLine="160"/>
              <w:jc w:val="right"/>
              <w:rPr>
                <w:rFonts w:cs="Arial"/>
                <w:b/>
                <w:bCs/>
                <w:color w:val="000000"/>
                <w:sz w:val="16"/>
                <w:szCs w:val="16"/>
                <w:lang w:eastAsia="en-US"/>
              </w:rPr>
            </w:pPr>
            <w:r w:rsidRPr="00113341">
              <w:rPr>
                <w:rFonts w:cs="Arial"/>
                <w:b/>
                <w:bCs/>
                <w:color w:val="000000"/>
                <w:sz w:val="16"/>
                <w:szCs w:val="16"/>
                <w:lang w:eastAsia="en-US"/>
              </w:rPr>
              <w:t>71</w:t>
            </w:r>
            <w:r>
              <w:rPr>
                <w:rFonts w:cs="Arial"/>
                <w:b/>
                <w:bCs/>
                <w:color w:val="000000"/>
                <w:sz w:val="16"/>
                <w:szCs w:val="16"/>
                <w:lang w:eastAsia="en-US"/>
              </w:rPr>
              <w:t> </w:t>
            </w:r>
            <w:r w:rsidRPr="00113341">
              <w:rPr>
                <w:rFonts w:cs="Arial"/>
                <w:b/>
                <w:bCs/>
                <w:color w:val="000000"/>
                <w:sz w:val="16"/>
                <w:szCs w:val="16"/>
                <w:lang w:eastAsia="en-US"/>
              </w:rPr>
              <w:t>325,3</w:t>
            </w:r>
          </w:p>
        </w:tc>
        <w:tc>
          <w:tcPr>
            <w:tcW w:w="723" w:type="dxa"/>
            <w:tcBorders>
              <w:top w:val="nil"/>
              <w:left w:val="nil"/>
              <w:bottom w:val="single" w:sz="4" w:space="0" w:color="auto"/>
              <w:right w:val="single" w:sz="4" w:space="0" w:color="auto"/>
            </w:tcBorders>
            <w:shd w:val="clear" w:color="auto" w:fill="auto"/>
            <w:noWrap/>
            <w:vAlign w:val="center"/>
            <w:hideMark/>
          </w:tcPr>
          <w:p w14:paraId="6067F6E0" w14:textId="52471DD7" w:rsidR="00610A6E" w:rsidRPr="00A204DA" w:rsidRDefault="00610A6E" w:rsidP="00610A6E">
            <w:pPr>
              <w:spacing w:after="0" w:line="240" w:lineRule="auto"/>
              <w:ind w:firstLineChars="100" w:firstLine="160"/>
              <w:jc w:val="right"/>
              <w:rPr>
                <w:rFonts w:cs="Arial"/>
                <w:b/>
                <w:bCs/>
                <w:color w:val="000000"/>
                <w:sz w:val="16"/>
                <w:szCs w:val="16"/>
                <w:lang w:eastAsia="en-US"/>
              </w:rPr>
            </w:pPr>
            <w:r>
              <w:rPr>
                <w:rFonts w:cs="Arial"/>
                <w:b/>
                <w:bCs/>
                <w:color w:val="000000"/>
                <w:sz w:val="16"/>
                <w:szCs w:val="16"/>
                <w:lang w:eastAsia="en-US"/>
              </w:rPr>
              <w:t>100</w:t>
            </w:r>
          </w:p>
        </w:tc>
        <w:tc>
          <w:tcPr>
            <w:tcW w:w="751" w:type="dxa"/>
            <w:tcBorders>
              <w:top w:val="nil"/>
              <w:left w:val="nil"/>
              <w:bottom w:val="single" w:sz="4" w:space="0" w:color="auto"/>
              <w:right w:val="nil"/>
            </w:tcBorders>
            <w:shd w:val="clear" w:color="auto" w:fill="auto"/>
            <w:noWrap/>
            <w:vAlign w:val="center"/>
            <w:hideMark/>
          </w:tcPr>
          <w:p w14:paraId="0F76E9BC" w14:textId="4273CB32" w:rsidR="00610A6E" w:rsidRPr="00610A6E" w:rsidRDefault="00610A6E" w:rsidP="00610A6E">
            <w:pPr>
              <w:spacing w:after="0" w:line="240" w:lineRule="auto"/>
              <w:ind w:firstLineChars="100" w:firstLine="160"/>
              <w:jc w:val="right"/>
              <w:rPr>
                <w:rFonts w:cs="Arial"/>
                <w:b/>
                <w:bCs/>
                <w:i/>
                <w:iCs/>
                <w:color w:val="000000"/>
                <w:sz w:val="16"/>
                <w:szCs w:val="16"/>
                <w:lang w:eastAsia="en-US"/>
              </w:rPr>
            </w:pPr>
            <w:r w:rsidRPr="00610A6E">
              <w:rPr>
                <w:b/>
                <w:i/>
                <w:sz w:val="16"/>
                <w:szCs w:val="16"/>
              </w:rPr>
              <w:t>19,3</w:t>
            </w:r>
          </w:p>
        </w:tc>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5FF19C86" w14:textId="13C37017" w:rsidR="00610A6E" w:rsidRPr="00610A6E" w:rsidRDefault="00610A6E" w:rsidP="00610A6E">
            <w:pPr>
              <w:spacing w:after="0" w:line="240" w:lineRule="auto"/>
              <w:ind w:firstLineChars="100" w:firstLine="160"/>
              <w:jc w:val="right"/>
              <w:rPr>
                <w:rFonts w:cs="Arial"/>
                <w:b/>
                <w:bCs/>
                <w:i/>
                <w:iCs/>
                <w:color w:val="000000"/>
                <w:sz w:val="16"/>
                <w:szCs w:val="16"/>
                <w:lang w:eastAsia="en-US"/>
              </w:rPr>
            </w:pPr>
            <w:r w:rsidRPr="00610A6E">
              <w:rPr>
                <w:b/>
                <w:i/>
                <w:sz w:val="16"/>
                <w:szCs w:val="16"/>
              </w:rPr>
              <w:t>13,5</w:t>
            </w:r>
          </w:p>
        </w:tc>
      </w:tr>
    </w:tbl>
    <w:p w14:paraId="746719AC" w14:textId="77777777" w:rsidR="00FF6B7E" w:rsidRDefault="00FF6B7E" w:rsidP="00FF6B7E">
      <w:pPr>
        <w:spacing w:after="120"/>
        <w:jc w:val="both"/>
        <w:rPr>
          <w:rFonts w:cs="Arial"/>
          <w:sz w:val="18"/>
        </w:rPr>
      </w:pPr>
      <w:r w:rsidRPr="002F1BFB">
        <w:rPr>
          <w:rFonts w:cs="Arial"/>
          <w:sz w:val="18"/>
          <w:vertAlign w:val="superscript"/>
        </w:rPr>
        <w:t>1)</w:t>
      </w:r>
      <w:r w:rsidRPr="009E34FC">
        <w:rPr>
          <w:rFonts w:cs="Arial"/>
          <w:sz w:val="18"/>
        </w:rPr>
        <w:t xml:space="preserve"> přepočtení na plně zaměstnané</w:t>
      </w:r>
    </w:p>
    <w:p w14:paraId="096D4B92" w14:textId="486698A8" w:rsidR="00B83A3F" w:rsidRPr="00B83A3F" w:rsidRDefault="00FF6B7E" w:rsidP="00C63A95">
      <w:pPr>
        <w:spacing w:after="120"/>
        <w:jc w:val="right"/>
        <w:rPr>
          <w:rFonts w:cs="Arial"/>
          <w:sz w:val="18"/>
        </w:rPr>
      </w:pPr>
      <w:r w:rsidRPr="004472A9">
        <w:rPr>
          <w:rFonts w:cs="Arial"/>
          <w:sz w:val="18"/>
        </w:rPr>
        <w:t>Zdroj: ČSÚ</w:t>
      </w:r>
      <w:r w:rsidRPr="004472A9">
        <w:rPr>
          <w:rFonts w:cs="Arial"/>
          <w:noProof/>
        </w:rPr>
        <w:t xml:space="preserve"> </w:t>
      </w:r>
      <w:r w:rsidRPr="004472A9">
        <w:rPr>
          <w:rFonts w:cs="Arial"/>
          <w:sz w:val="18"/>
        </w:rPr>
        <w:t>podle údajů MŠMT</w:t>
      </w:r>
    </w:p>
    <w:p w14:paraId="397DFD83" w14:textId="1E960A58" w:rsidR="00AD4D36" w:rsidRDefault="00FF6B7E" w:rsidP="00FF6B7E">
      <w:pPr>
        <w:spacing w:after="120"/>
        <w:jc w:val="both"/>
        <w:rPr>
          <w:rFonts w:cs="Arial"/>
          <w:szCs w:val="20"/>
        </w:rPr>
      </w:pPr>
      <w:r w:rsidRPr="00BD3339">
        <w:rPr>
          <w:rFonts w:cs="Arial"/>
          <w:szCs w:val="20"/>
        </w:rPr>
        <w:t>Na jednu třídu na základních školách připadalo v min</w:t>
      </w:r>
      <w:r w:rsidR="00756F12" w:rsidRPr="00BD3339">
        <w:rPr>
          <w:rFonts w:cs="Arial"/>
          <w:szCs w:val="20"/>
        </w:rPr>
        <w:t xml:space="preserve">ulém školním roce v průměru </w:t>
      </w:r>
      <w:r w:rsidR="00AF50E3">
        <w:rPr>
          <w:rFonts w:cs="Arial"/>
          <w:szCs w:val="20"/>
        </w:rPr>
        <w:t>19,3</w:t>
      </w:r>
      <w:r w:rsidRPr="00BD3339">
        <w:rPr>
          <w:rFonts w:cs="Arial"/>
          <w:szCs w:val="20"/>
        </w:rPr>
        <w:t xml:space="preserve"> žáka</w:t>
      </w:r>
      <w:r w:rsidRPr="00102E55">
        <w:rPr>
          <w:rFonts w:cs="Arial"/>
          <w:szCs w:val="20"/>
        </w:rPr>
        <w:t xml:space="preserve"> a na </w:t>
      </w:r>
      <w:r>
        <w:rPr>
          <w:rFonts w:cs="Arial"/>
          <w:szCs w:val="20"/>
        </w:rPr>
        <w:t>jednoho</w:t>
      </w:r>
      <w:r w:rsidRPr="00102E55">
        <w:rPr>
          <w:rFonts w:cs="Arial"/>
          <w:szCs w:val="20"/>
        </w:rPr>
        <w:t xml:space="preserve"> přepočteného učitele </w:t>
      </w:r>
      <w:r w:rsidR="00AF50E3">
        <w:rPr>
          <w:rFonts w:cs="Arial"/>
          <w:szCs w:val="20"/>
        </w:rPr>
        <w:t>13,5</w:t>
      </w:r>
      <w:r w:rsidRPr="00102E55">
        <w:rPr>
          <w:rFonts w:cs="Arial"/>
          <w:szCs w:val="20"/>
        </w:rPr>
        <w:t xml:space="preserve"> žáka. </w:t>
      </w:r>
    </w:p>
    <w:p w14:paraId="102FE97D" w14:textId="46CD683C" w:rsidR="00840579" w:rsidRDefault="00840579" w:rsidP="00FF6B7E">
      <w:pPr>
        <w:spacing w:after="120"/>
        <w:jc w:val="both"/>
        <w:rPr>
          <w:rFonts w:cs="Arial"/>
          <w:szCs w:val="20"/>
        </w:rPr>
      </w:pPr>
      <w:r>
        <w:rPr>
          <w:rFonts w:cs="Arial"/>
          <w:szCs w:val="20"/>
        </w:rPr>
        <w:t xml:space="preserve">Pokud se jedná o průměrný počet žáků </w:t>
      </w:r>
      <w:r w:rsidRPr="00AF50E3">
        <w:rPr>
          <w:rFonts w:cs="Arial"/>
          <w:b/>
          <w:szCs w:val="20"/>
        </w:rPr>
        <w:t>na</w:t>
      </w:r>
      <w:r w:rsidR="00446283" w:rsidRPr="00AF50E3">
        <w:rPr>
          <w:rFonts w:cs="Arial"/>
          <w:b/>
          <w:szCs w:val="20"/>
        </w:rPr>
        <w:t xml:space="preserve"> </w:t>
      </w:r>
      <w:r w:rsidRPr="00AF50E3">
        <w:rPr>
          <w:rFonts w:cs="Arial"/>
          <w:b/>
          <w:szCs w:val="20"/>
        </w:rPr>
        <w:t>jeden plný úvaze</w:t>
      </w:r>
      <w:r w:rsidR="00AD4D36" w:rsidRPr="00AF50E3">
        <w:rPr>
          <w:rFonts w:cs="Arial"/>
          <w:b/>
          <w:szCs w:val="20"/>
        </w:rPr>
        <w:t>k učitele</w:t>
      </w:r>
      <w:r w:rsidR="00AD4D36">
        <w:rPr>
          <w:rFonts w:cs="Arial"/>
          <w:szCs w:val="20"/>
        </w:rPr>
        <w:t>, od školního roku 2011/12</w:t>
      </w:r>
      <w:r>
        <w:rPr>
          <w:rFonts w:cs="Arial"/>
          <w:szCs w:val="20"/>
        </w:rPr>
        <w:t xml:space="preserve"> do školního roku 2016/17 postupně </w:t>
      </w:r>
      <w:r w:rsidR="00AD4D36">
        <w:rPr>
          <w:rFonts w:cs="Arial"/>
          <w:szCs w:val="20"/>
        </w:rPr>
        <w:t>rostl a celkově se zvýšil z 13,7</w:t>
      </w:r>
      <w:r w:rsidR="00610A6E">
        <w:rPr>
          <w:rFonts w:cs="Arial"/>
          <w:szCs w:val="20"/>
        </w:rPr>
        <w:t xml:space="preserve"> žáka na 14,7 žáka na jeden plný úvazek</w:t>
      </w:r>
      <w:r>
        <w:rPr>
          <w:rFonts w:cs="Arial"/>
          <w:szCs w:val="20"/>
        </w:rPr>
        <w:t xml:space="preserve"> učitele. Poté naopak postupně klesal</w:t>
      </w:r>
      <w:r w:rsidR="00610A6E">
        <w:rPr>
          <w:rFonts w:cs="Arial"/>
          <w:szCs w:val="20"/>
        </w:rPr>
        <w:t xml:space="preserve"> až na 13,5 žáka na jeden plný úvazek</w:t>
      </w:r>
      <w:r w:rsidR="00AD4D36">
        <w:rPr>
          <w:rFonts w:cs="Arial"/>
          <w:szCs w:val="20"/>
        </w:rPr>
        <w:t xml:space="preserve"> učitele</w:t>
      </w:r>
      <w:r>
        <w:rPr>
          <w:rFonts w:cs="Arial"/>
          <w:szCs w:val="20"/>
        </w:rPr>
        <w:t>. Průměrn</w:t>
      </w:r>
      <w:r w:rsidR="00610A6E">
        <w:rPr>
          <w:rFonts w:cs="Arial"/>
          <w:szCs w:val="20"/>
        </w:rPr>
        <w:t xml:space="preserve">ý počet žáků </w:t>
      </w:r>
      <w:r w:rsidR="00610A6E" w:rsidRPr="00AF50E3">
        <w:rPr>
          <w:rFonts w:cs="Arial"/>
          <w:b/>
          <w:szCs w:val="20"/>
        </w:rPr>
        <w:t>na jednu třídu</w:t>
      </w:r>
      <w:r w:rsidR="00610A6E">
        <w:rPr>
          <w:rFonts w:cs="Arial"/>
          <w:szCs w:val="20"/>
        </w:rPr>
        <w:t xml:space="preserve"> v prvních </w:t>
      </w:r>
      <w:r w:rsidR="00CF2AB4">
        <w:rPr>
          <w:rFonts w:cs="Arial"/>
          <w:szCs w:val="20"/>
        </w:rPr>
        <w:t>pěti</w:t>
      </w:r>
      <w:r w:rsidR="00610A6E">
        <w:rPr>
          <w:rFonts w:cs="Arial"/>
          <w:szCs w:val="20"/>
        </w:rPr>
        <w:t xml:space="preserve"> letech poslední dekády stoupal </w:t>
      </w:r>
      <w:r w:rsidR="002D6E13">
        <w:rPr>
          <w:rFonts w:cs="Arial"/>
          <w:szCs w:val="20"/>
        </w:rPr>
        <w:t>(</w:t>
      </w:r>
      <w:r w:rsidR="00610A6E">
        <w:rPr>
          <w:rFonts w:cs="Arial"/>
          <w:szCs w:val="20"/>
        </w:rPr>
        <w:t>z 18,</w:t>
      </w:r>
      <w:r w:rsidR="002D6E13">
        <w:rPr>
          <w:rFonts w:cs="Arial"/>
          <w:szCs w:val="20"/>
        </w:rPr>
        <w:t>9 žáka</w:t>
      </w:r>
      <w:r w:rsidR="00610A6E">
        <w:rPr>
          <w:rFonts w:cs="Arial"/>
          <w:szCs w:val="20"/>
        </w:rPr>
        <w:t xml:space="preserve"> na třídu ve školním roce 2011/12 na 20</w:t>
      </w:r>
      <w:r w:rsidR="00CF2AB4">
        <w:rPr>
          <w:rFonts w:cs="Arial"/>
          <w:szCs w:val="20"/>
        </w:rPr>
        <w:t>,1 žáka</w:t>
      </w:r>
      <w:r w:rsidR="00610A6E">
        <w:rPr>
          <w:rFonts w:cs="Arial"/>
          <w:szCs w:val="20"/>
        </w:rPr>
        <w:t xml:space="preserve"> na třídu</w:t>
      </w:r>
      <w:r w:rsidR="00CF2AB4">
        <w:rPr>
          <w:rFonts w:cs="Arial"/>
          <w:szCs w:val="20"/>
        </w:rPr>
        <w:t xml:space="preserve"> ve školním roce 2016/17</w:t>
      </w:r>
      <w:r w:rsidR="00610A6E">
        <w:rPr>
          <w:rFonts w:cs="Arial"/>
          <w:szCs w:val="20"/>
        </w:rPr>
        <w:t xml:space="preserve">), poté se růst </w:t>
      </w:r>
      <w:r w:rsidR="00CF2AB4">
        <w:rPr>
          <w:rFonts w:cs="Arial"/>
          <w:szCs w:val="20"/>
        </w:rPr>
        <w:t>zastavil</w:t>
      </w:r>
      <w:r w:rsidR="00610A6E">
        <w:rPr>
          <w:rFonts w:cs="Arial"/>
          <w:szCs w:val="20"/>
        </w:rPr>
        <w:t xml:space="preserve"> a v posledních třech školních rocích </w:t>
      </w:r>
      <w:r w:rsidR="00CF2AB4">
        <w:rPr>
          <w:rFonts w:cs="Arial"/>
          <w:szCs w:val="20"/>
        </w:rPr>
        <w:t>začal klesat</w:t>
      </w:r>
      <w:r w:rsidR="00610A6E">
        <w:rPr>
          <w:rFonts w:cs="Arial"/>
          <w:szCs w:val="20"/>
        </w:rPr>
        <w:t xml:space="preserve"> (poklesl z 20,1 žáků na třídu ve školním roce 2018/19 na 19,3 žáka na třídu ve školním roce 2021/22).</w:t>
      </w:r>
      <w:r>
        <w:rPr>
          <w:rFonts w:cs="Arial"/>
          <w:szCs w:val="20"/>
        </w:rPr>
        <w:t xml:space="preserve"> </w:t>
      </w:r>
    </w:p>
    <w:p w14:paraId="38AD0186" w14:textId="67768F60" w:rsidR="00FF6B7E" w:rsidRDefault="00F5645E" w:rsidP="00FF6B7E">
      <w:pPr>
        <w:jc w:val="both"/>
        <w:rPr>
          <w:rFonts w:cs="Arial"/>
          <w:szCs w:val="20"/>
        </w:rPr>
      </w:pPr>
      <w:r>
        <w:rPr>
          <w:rFonts w:cs="Arial"/>
          <w:szCs w:val="20"/>
        </w:rPr>
        <w:t>Srovnejme nyní počet žáků na 1 třídu a  na 1 učitele na prvním a druhém stupni základních škol. P</w:t>
      </w:r>
      <w:r w:rsidR="00FF6B7E" w:rsidRPr="00F90767">
        <w:rPr>
          <w:rFonts w:cs="Arial"/>
          <w:szCs w:val="20"/>
        </w:rPr>
        <w:t>oč</w:t>
      </w:r>
      <w:r>
        <w:rPr>
          <w:rFonts w:cs="Arial"/>
          <w:szCs w:val="20"/>
        </w:rPr>
        <w:t>et</w:t>
      </w:r>
      <w:r w:rsidR="00FF6B7E" w:rsidRPr="00F90767">
        <w:rPr>
          <w:rFonts w:cs="Arial"/>
          <w:szCs w:val="20"/>
        </w:rPr>
        <w:t xml:space="preserve"> žáků na </w:t>
      </w:r>
      <w:r w:rsidR="00FF6B7E">
        <w:rPr>
          <w:rFonts w:cs="Arial"/>
          <w:szCs w:val="20"/>
        </w:rPr>
        <w:t>jednu</w:t>
      </w:r>
      <w:r w:rsidR="00FF6B7E" w:rsidRPr="00F90767">
        <w:rPr>
          <w:rFonts w:cs="Arial"/>
          <w:szCs w:val="20"/>
        </w:rPr>
        <w:t xml:space="preserve"> třídu byl </w:t>
      </w:r>
      <w:r w:rsidR="00446283">
        <w:rPr>
          <w:rFonts w:cs="Arial"/>
          <w:szCs w:val="20"/>
        </w:rPr>
        <w:t>ve šk</w:t>
      </w:r>
      <w:r w:rsidR="00AF50E3">
        <w:rPr>
          <w:rFonts w:cs="Arial"/>
          <w:szCs w:val="20"/>
        </w:rPr>
        <w:t>olním roce 2021/22</w:t>
      </w:r>
      <w:r w:rsidR="00BD2217">
        <w:rPr>
          <w:rFonts w:cs="Arial"/>
          <w:szCs w:val="20"/>
        </w:rPr>
        <w:t xml:space="preserve"> </w:t>
      </w:r>
      <w:r>
        <w:rPr>
          <w:rFonts w:cs="Arial"/>
          <w:szCs w:val="20"/>
        </w:rPr>
        <w:t xml:space="preserve">na 2. stupni </w:t>
      </w:r>
      <w:r w:rsidR="00BD2217">
        <w:rPr>
          <w:rFonts w:cs="Arial"/>
          <w:szCs w:val="20"/>
        </w:rPr>
        <w:t xml:space="preserve">o </w:t>
      </w:r>
      <w:r w:rsidR="00AF50E3">
        <w:rPr>
          <w:rFonts w:cs="Arial"/>
          <w:szCs w:val="20"/>
        </w:rPr>
        <w:t>1,6</w:t>
      </w:r>
      <w:r w:rsidR="00FF6B7E" w:rsidRPr="00F90767">
        <w:rPr>
          <w:rFonts w:cs="Arial"/>
          <w:szCs w:val="20"/>
        </w:rPr>
        <w:t xml:space="preserve"> žáka vyšší </w:t>
      </w:r>
      <w:r w:rsidR="00AF50E3">
        <w:rPr>
          <w:rFonts w:cs="Arial"/>
          <w:szCs w:val="20"/>
        </w:rPr>
        <w:t xml:space="preserve">než </w:t>
      </w:r>
      <w:r w:rsidR="00FF6B7E" w:rsidRPr="00F90767">
        <w:rPr>
          <w:rFonts w:cs="Arial"/>
          <w:szCs w:val="20"/>
        </w:rPr>
        <w:t xml:space="preserve">v případě </w:t>
      </w:r>
      <w:r w:rsidRPr="00F5645E">
        <w:rPr>
          <w:rFonts w:cs="Arial"/>
          <w:szCs w:val="20"/>
        </w:rPr>
        <w:t>1</w:t>
      </w:r>
      <w:r w:rsidR="00FF6B7E" w:rsidRPr="00F5645E">
        <w:rPr>
          <w:rFonts w:cs="Arial"/>
          <w:szCs w:val="20"/>
        </w:rPr>
        <w:t>. stupně</w:t>
      </w:r>
      <w:r w:rsidR="00FF6B7E" w:rsidRPr="00F90767">
        <w:rPr>
          <w:rFonts w:cs="Arial"/>
          <w:szCs w:val="20"/>
        </w:rPr>
        <w:t xml:space="preserve">. </w:t>
      </w:r>
      <w:r w:rsidR="00CF2AB4">
        <w:t>Zde je třeba vzít v úvahu</w:t>
      </w:r>
      <w:r w:rsidR="00CD7BEB">
        <w:t xml:space="preserve">, že poté, co nezanedbatelná část žáků odejde z 5. ročníku na víceletá gymnázia, </w:t>
      </w:r>
      <w:r w:rsidR="00A07DDE">
        <w:t>přistupují některé školy</w:t>
      </w:r>
      <w:r w:rsidR="00CD7BEB">
        <w:t xml:space="preserve"> ke slučování tříd toho samého ročníku. </w:t>
      </w:r>
      <w:r w:rsidR="00A07DDE">
        <w:t>Navíc je řada škol v méně zalidněných oblastech, které mají jen první stupeň (viz rozdíl ško</w:t>
      </w:r>
      <w:r w:rsidR="00864CB6">
        <w:t>l s 1. a 2. stupněm v tabulce</w:t>
      </w:r>
      <w:r w:rsidR="00A07DDE">
        <w:t xml:space="preserve"> 2.1 výše), zatímco velké školy s 1. i 2. stupněm bývají v místech hustěji zalidněných </w:t>
      </w:r>
      <w:r w:rsidR="00B64393">
        <w:t xml:space="preserve">a </w:t>
      </w:r>
      <w:r w:rsidR="002D612E">
        <w:t>i díky dojíždějícím žákům s větší pravděpodobností</w:t>
      </w:r>
      <w:r w:rsidR="00A07DDE">
        <w:t xml:space="preserve"> naplní svoji kapacitu. </w:t>
      </w:r>
      <w:r w:rsidR="00FF6B7E" w:rsidRPr="00F90767">
        <w:rPr>
          <w:rFonts w:cs="Arial"/>
          <w:szCs w:val="20"/>
        </w:rPr>
        <w:t xml:space="preserve">Naopak, </w:t>
      </w:r>
      <w:r w:rsidR="00FF6B7E">
        <w:rPr>
          <w:rFonts w:cs="Arial"/>
          <w:szCs w:val="20"/>
        </w:rPr>
        <w:t xml:space="preserve">na 2. stupni </w:t>
      </w:r>
      <w:r w:rsidR="00FF6B7E" w:rsidRPr="00F90767">
        <w:rPr>
          <w:rFonts w:cs="Arial"/>
          <w:szCs w:val="20"/>
        </w:rPr>
        <w:t xml:space="preserve">připadá na </w:t>
      </w:r>
      <w:r w:rsidR="00A07DDE">
        <w:rPr>
          <w:rFonts w:cs="Arial"/>
          <w:szCs w:val="20"/>
        </w:rPr>
        <w:t>jeden plný úvazek</w:t>
      </w:r>
      <w:r w:rsidR="00FF6B7E" w:rsidRPr="00F90767">
        <w:rPr>
          <w:rFonts w:cs="Arial"/>
          <w:szCs w:val="20"/>
        </w:rPr>
        <w:t xml:space="preserve"> učitele výrazně méně žáků než je tomu v případě </w:t>
      </w:r>
      <w:r w:rsidR="00FF6B7E" w:rsidRPr="00F5645E">
        <w:rPr>
          <w:rFonts w:cs="Arial"/>
          <w:szCs w:val="20"/>
        </w:rPr>
        <w:t>1. stupně</w:t>
      </w:r>
      <w:r w:rsidR="00A07DDE">
        <w:rPr>
          <w:rFonts w:cs="Arial"/>
          <w:szCs w:val="20"/>
        </w:rPr>
        <w:t>.</w:t>
      </w:r>
      <w:r w:rsidR="00FF6B7E" w:rsidRPr="00F90767">
        <w:rPr>
          <w:rFonts w:cs="Arial"/>
          <w:szCs w:val="20"/>
        </w:rPr>
        <w:t xml:space="preserve"> </w:t>
      </w:r>
      <w:r w:rsidR="00897F49">
        <w:rPr>
          <w:rFonts w:cs="Arial"/>
          <w:szCs w:val="20"/>
        </w:rPr>
        <w:t xml:space="preserve">Zde může sehrát roli využívání </w:t>
      </w:r>
      <w:r w:rsidR="00A07DDE">
        <w:rPr>
          <w:rFonts w:cs="Arial"/>
          <w:szCs w:val="20"/>
        </w:rPr>
        <w:t xml:space="preserve">dělení žáků do skupin, např. dle pokročilosti v cizím jazyce či </w:t>
      </w:r>
      <w:r w:rsidR="002D612E">
        <w:rPr>
          <w:rFonts w:cs="Arial"/>
          <w:szCs w:val="20"/>
        </w:rPr>
        <w:t>v </w:t>
      </w:r>
      <w:r w:rsidR="000C49BD">
        <w:rPr>
          <w:rFonts w:cs="Arial"/>
          <w:szCs w:val="20"/>
        </w:rPr>
        <w:t>případě volitelných předmětů</w:t>
      </w:r>
      <w:r w:rsidR="00962D52">
        <w:rPr>
          <w:rFonts w:cs="Arial"/>
          <w:szCs w:val="20"/>
        </w:rPr>
        <w:t xml:space="preserve"> a měnící se počet žáků </w:t>
      </w:r>
      <w:r w:rsidR="00897F49">
        <w:rPr>
          <w:rFonts w:cs="Arial"/>
          <w:szCs w:val="20"/>
        </w:rPr>
        <w:t xml:space="preserve">2. stupně </w:t>
      </w:r>
      <w:r w:rsidR="00962D52">
        <w:rPr>
          <w:rFonts w:cs="Arial"/>
          <w:szCs w:val="20"/>
        </w:rPr>
        <w:t>dle odchodů do víceletých gymnázií, čemuž se nemusí vždy poč</w:t>
      </w:r>
      <w:r w:rsidR="00521013">
        <w:rPr>
          <w:rFonts w:cs="Arial"/>
          <w:szCs w:val="20"/>
        </w:rPr>
        <w:t xml:space="preserve">ty úvazků učitelů přizpůsobit. </w:t>
      </w:r>
      <w:r w:rsidR="00C00D76">
        <w:rPr>
          <w:rFonts w:cs="Arial"/>
          <w:szCs w:val="20"/>
        </w:rPr>
        <w:t xml:space="preserve">Učební plán pro žáky na 2. stupni navíc zahrnuje v porovnání s učebním plánem pro žáky na 1. stupni více hodin výuky. </w:t>
      </w:r>
    </w:p>
    <w:p w14:paraId="21A507A2" w14:textId="32089C71" w:rsidR="006C02D4" w:rsidRPr="006C02D4" w:rsidRDefault="00275F01" w:rsidP="006C02D4">
      <w:pPr>
        <w:spacing w:after="120"/>
        <w:jc w:val="both"/>
        <w:rPr>
          <w:rFonts w:cs="Arial"/>
          <w:i/>
          <w:szCs w:val="20"/>
        </w:rPr>
      </w:pPr>
      <w:r>
        <w:rPr>
          <w:rFonts w:cs="Arial"/>
          <w:szCs w:val="20"/>
        </w:rPr>
        <w:t>Poměrně velké rozdíly v počtu žáků na jednu třídu a na jednoho učitele najdeme</w:t>
      </w:r>
      <w:r w:rsidR="006C02D4" w:rsidRPr="00905358">
        <w:rPr>
          <w:rFonts w:cs="Arial"/>
          <w:szCs w:val="20"/>
        </w:rPr>
        <w:t xml:space="preserve"> i v závislosti na </w:t>
      </w:r>
      <w:r w:rsidR="006C02D4" w:rsidRPr="00905358">
        <w:rPr>
          <w:rFonts w:cs="Arial"/>
          <w:b/>
          <w:szCs w:val="20"/>
        </w:rPr>
        <w:t>typu zřizovatele</w:t>
      </w:r>
      <w:r w:rsidR="006C02D4" w:rsidRPr="00905358">
        <w:rPr>
          <w:rFonts w:cs="Arial"/>
          <w:szCs w:val="20"/>
        </w:rPr>
        <w:t xml:space="preserve"> základních škol</w:t>
      </w:r>
      <w:r w:rsidR="00905358" w:rsidRPr="00905358">
        <w:rPr>
          <w:rFonts w:cs="Arial"/>
          <w:szCs w:val="20"/>
        </w:rPr>
        <w:t>.</w:t>
      </w:r>
      <w:r w:rsidR="00327CB6">
        <w:rPr>
          <w:rFonts w:cs="Arial"/>
          <w:szCs w:val="20"/>
        </w:rPr>
        <w:t xml:space="preserve"> Ve školním roce 2021/22</w:t>
      </w:r>
      <w:r w:rsidR="006C02D4" w:rsidRPr="004472A9">
        <w:rPr>
          <w:rFonts w:cs="Arial"/>
          <w:szCs w:val="20"/>
        </w:rPr>
        <w:t xml:space="preserve"> byl </w:t>
      </w:r>
      <w:r w:rsidR="00905358">
        <w:rPr>
          <w:rFonts w:cs="Arial"/>
          <w:szCs w:val="20"/>
        </w:rPr>
        <w:t xml:space="preserve">např. </w:t>
      </w:r>
      <w:r w:rsidR="006C02D4">
        <w:rPr>
          <w:rFonts w:cs="Arial"/>
          <w:szCs w:val="20"/>
        </w:rPr>
        <w:t xml:space="preserve">nejvyšší </w:t>
      </w:r>
      <w:r w:rsidR="006C02D4" w:rsidRPr="004472A9">
        <w:rPr>
          <w:rFonts w:cs="Arial"/>
          <w:szCs w:val="20"/>
        </w:rPr>
        <w:t xml:space="preserve">počet žáků </w:t>
      </w:r>
      <w:r w:rsidR="006C02D4">
        <w:rPr>
          <w:rFonts w:cs="Arial"/>
          <w:szCs w:val="20"/>
        </w:rPr>
        <w:t xml:space="preserve">v jedné </w:t>
      </w:r>
      <w:r w:rsidR="006C02D4" w:rsidRPr="004472A9">
        <w:rPr>
          <w:rFonts w:cs="Arial"/>
          <w:szCs w:val="20"/>
        </w:rPr>
        <w:t xml:space="preserve">třídě </w:t>
      </w:r>
      <w:r w:rsidR="006C02D4">
        <w:rPr>
          <w:rFonts w:cs="Arial"/>
          <w:szCs w:val="20"/>
        </w:rPr>
        <w:t xml:space="preserve">v průměru </w:t>
      </w:r>
      <w:r w:rsidR="006C02D4" w:rsidRPr="004472A9">
        <w:rPr>
          <w:rFonts w:cs="Arial"/>
          <w:szCs w:val="20"/>
        </w:rPr>
        <w:t>na veřejných základních školách</w:t>
      </w:r>
      <w:r w:rsidR="006C02D4">
        <w:rPr>
          <w:rFonts w:cs="Arial"/>
          <w:szCs w:val="20"/>
        </w:rPr>
        <w:t xml:space="preserve">, a to </w:t>
      </w:r>
      <w:r w:rsidR="00F341B2">
        <w:rPr>
          <w:rFonts w:cs="Arial"/>
          <w:szCs w:val="20"/>
        </w:rPr>
        <w:t>19,6</w:t>
      </w:r>
      <w:r w:rsidR="006C02D4">
        <w:rPr>
          <w:rFonts w:cs="Arial"/>
          <w:szCs w:val="20"/>
        </w:rPr>
        <w:t xml:space="preserve"> žáka</w:t>
      </w:r>
      <w:r w:rsidR="006C02D4" w:rsidRPr="004472A9">
        <w:rPr>
          <w:rFonts w:cs="Arial"/>
          <w:szCs w:val="20"/>
        </w:rPr>
        <w:t>. Pro porovnání, ve stejném roce v církevních základních</w:t>
      </w:r>
      <w:r w:rsidR="006C02D4">
        <w:rPr>
          <w:rFonts w:cs="Arial"/>
          <w:szCs w:val="20"/>
        </w:rPr>
        <w:t xml:space="preserve"> školách připadlo v průměru na jednu</w:t>
      </w:r>
      <w:r w:rsidR="00F341B2">
        <w:rPr>
          <w:rFonts w:cs="Arial"/>
          <w:szCs w:val="20"/>
        </w:rPr>
        <w:t> třídu 15,9</w:t>
      </w:r>
      <w:r w:rsidR="006C02D4" w:rsidRPr="004472A9">
        <w:rPr>
          <w:rFonts w:cs="Arial"/>
          <w:szCs w:val="20"/>
        </w:rPr>
        <w:t xml:space="preserve"> žáka a v případě soukromých škol do tří</w:t>
      </w:r>
      <w:r w:rsidR="00AA5630">
        <w:rPr>
          <w:rFonts w:cs="Arial"/>
          <w:szCs w:val="20"/>
        </w:rPr>
        <w:t xml:space="preserve">dy v průměru chodilo </w:t>
      </w:r>
      <w:r w:rsidR="00AA5630">
        <w:rPr>
          <w:rFonts w:cs="Arial"/>
          <w:szCs w:val="20"/>
        </w:rPr>
        <w:lastRenderedPageBreak/>
        <w:t>dokonce o osm</w:t>
      </w:r>
      <w:r w:rsidR="006C02D4" w:rsidRPr="004472A9">
        <w:rPr>
          <w:rFonts w:cs="Arial"/>
          <w:szCs w:val="20"/>
        </w:rPr>
        <w:t xml:space="preserve"> žáků méně než do základních škol s veřejným zřizovatelem.</w:t>
      </w:r>
      <w:r w:rsidR="00AA5630">
        <w:rPr>
          <w:rStyle w:val="Znakapoznpodarou"/>
          <w:rFonts w:cs="Arial"/>
          <w:szCs w:val="20"/>
        </w:rPr>
        <w:footnoteReference w:id="15"/>
      </w:r>
      <w:r w:rsidR="006C02D4" w:rsidRPr="004472A9">
        <w:rPr>
          <w:rFonts w:cs="Arial"/>
          <w:szCs w:val="20"/>
        </w:rPr>
        <w:t xml:space="preserve"> Obdobně na veřejných</w:t>
      </w:r>
      <w:r w:rsidR="006C02D4">
        <w:rPr>
          <w:rFonts w:cs="Arial"/>
          <w:szCs w:val="20"/>
        </w:rPr>
        <w:t xml:space="preserve"> základních školách </w:t>
      </w:r>
      <w:r w:rsidR="00897F49">
        <w:rPr>
          <w:rFonts w:cs="Arial"/>
          <w:szCs w:val="20"/>
        </w:rPr>
        <w:t>byl poměr žáků</w:t>
      </w:r>
      <w:r w:rsidR="006C02D4">
        <w:rPr>
          <w:rFonts w:cs="Arial"/>
          <w:szCs w:val="20"/>
        </w:rPr>
        <w:t xml:space="preserve"> na jednoho</w:t>
      </w:r>
      <w:r w:rsidR="006C02D4" w:rsidRPr="004472A9">
        <w:rPr>
          <w:rFonts w:cs="Arial"/>
          <w:szCs w:val="20"/>
        </w:rPr>
        <w:t xml:space="preserve"> učitele </w:t>
      </w:r>
      <w:r w:rsidR="00897F49">
        <w:rPr>
          <w:rFonts w:cs="Arial"/>
          <w:szCs w:val="20"/>
        </w:rPr>
        <w:t>vyšší</w:t>
      </w:r>
      <w:r w:rsidR="006C02D4" w:rsidRPr="004472A9">
        <w:rPr>
          <w:rFonts w:cs="Arial"/>
          <w:szCs w:val="20"/>
        </w:rPr>
        <w:t xml:space="preserve"> než v církevních či v</w:t>
      </w:r>
      <w:r w:rsidR="006C02D4">
        <w:rPr>
          <w:rFonts w:cs="Arial"/>
          <w:szCs w:val="20"/>
        </w:rPr>
        <w:t> </w:t>
      </w:r>
      <w:r w:rsidR="006C02D4" w:rsidRPr="004472A9">
        <w:rPr>
          <w:rFonts w:cs="Arial"/>
          <w:szCs w:val="20"/>
        </w:rPr>
        <w:t>soukromých</w:t>
      </w:r>
      <w:r w:rsidR="006C02D4">
        <w:rPr>
          <w:rFonts w:cs="Arial"/>
          <w:szCs w:val="20"/>
        </w:rPr>
        <w:t xml:space="preserve"> školách</w:t>
      </w:r>
      <w:r w:rsidR="006C02D4" w:rsidRPr="004472A9">
        <w:rPr>
          <w:rFonts w:cs="Arial"/>
          <w:szCs w:val="20"/>
        </w:rPr>
        <w:t xml:space="preserve">. </w:t>
      </w:r>
      <w:r w:rsidR="00905358">
        <w:rPr>
          <w:rFonts w:cs="Arial"/>
          <w:szCs w:val="20"/>
        </w:rPr>
        <w:t>Ve</w:t>
      </w:r>
      <w:r w:rsidR="006C02D4">
        <w:rPr>
          <w:rFonts w:cs="Arial"/>
          <w:szCs w:val="20"/>
        </w:rPr>
        <w:t xml:space="preserve"> školním roce </w:t>
      </w:r>
      <w:r w:rsidR="00F341B2">
        <w:rPr>
          <w:rFonts w:cs="Arial"/>
          <w:szCs w:val="20"/>
        </w:rPr>
        <w:t>2021/22</w:t>
      </w:r>
      <w:r w:rsidR="00905358">
        <w:rPr>
          <w:rFonts w:cs="Arial"/>
          <w:szCs w:val="20"/>
        </w:rPr>
        <w:t xml:space="preserve"> připadalo </w:t>
      </w:r>
      <w:r w:rsidR="006C02D4">
        <w:rPr>
          <w:rFonts w:cs="Arial"/>
          <w:szCs w:val="20"/>
        </w:rPr>
        <w:t>na jednoho</w:t>
      </w:r>
      <w:r w:rsidR="006C02D4" w:rsidRPr="004472A9">
        <w:rPr>
          <w:rFonts w:cs="Arial"/>
          <w:szCs w:val="20"/>
        </w:rPr>
        <w:t xml:space="preserve"> učitele v soukromých školách o </w:t>
      </w:r>
      <w:r w:rsidR="00F341B2">
        <w:rPr>
          <w:rFonts w:cs="Arial"/>
          <w:szCs w:val="20"/>
        </w:rPr>
        <w:t>4,2</w:t>
      </w:r>
      <w:r w:rsidR="00905358">
        <w:rPr>
          <w:rFonts w:cs="Arial"/>
          <w:szCs w:val="20"/>
        </w:rPr>
        <w:t xml:space="preserve"> žáka</w:t>
      </w:r>
      <w:r w:rsidR="006C02D4" w:rsidRPr="004472A9">
        <w:rPr>
          <w:rFonts w:cs="Arial"/>
          <w:szCs w:val="20"/>
        </w:rPr>
        <w:t xml:space="preserve"> méně než ve školách veřejných</w:t>
      </w:r>
      <w:r w:rsidR="006C02D4" w:rsidRPr="00053937">
        <w:rPr>
          <w:rFonts w:cs="Arial"/>
          <w:i/>
          <w:szCs w:val="20"/>
        </w:rPr>
        <w:t>.</w:t>
      </w:r>
      <w:r w:rsidR="00AF332B">
        <w:rPr>
          <w:rFonts w:cs="Arial"/>
          <w:szCs w:val="20"/>
        </w:rPr>
        <w:t xml:space="preserve"> Více viz tabulku 2.2.</w:t>
      </w:r>
      <w:r w:rsidR="006C02D4" w:rsidRPr="00053937">
        <w:rPr>
          <w:rFonts w:cs="Arial"/>
          <w:i/>
          <w:szCs w:val="20"/>
        </w:rPr>
        <w:t xml:space="preserve"> </w:t>
      </w:r>
    </w:p>
    <w:p w14:paraId="60203A6F" w14:textId="75622352" w:rsidR="00FF6B7E" w:rsidRDefault="00FF6B7E" w:rsidP="00FF6B7E">
      <w:pPr>
        <w:spacing w:after="120"/>
        <w:jc w:val="both"/>
        <w:rPr>
          <w:rFonts w:cs="Arial"/>
          <w:b/>
          <w:szCs w:val="20"/>
        </w:rPr>
      </w:pPr>
      <w:r w:rsidRPr="00FF3C6B">
        <w:rPr>
          <w:rFonts w:cs="Arial"/>
          <w:b/>
          <w:szCs w:val="20"/>
        </w:rPr>
        <w:t xml:space="preserve">Tab. </w:t>
      </w:r>
      <w:r>
        <w:rPr>
          <w:rFonts w:cs="Arial"/>
          <w:b/>
          <w:szCs w:val="20"/>
        </w:rPr>
        <w:t>2</w:t>
      </w:r>
      <w:r w:rsidRPr="00FF3C6B">
        <w:rPr>
          <w:rFonts w:cs="Arial"/>
          <w:b/>
          <w:szCs w:val="20"/>
        </w:rPr>
        <w:t>.</w:t>
      </w:r>
      <w:r>
        <w:rPr>
          <w:rFonts w:cs="Arial"/>
          <w:b/>
          <w:szCs w:val="20"/>
        </w:rPr>
        <w:t>2</w:t>
      </w:r>
      <w:r w:rsidRPr="00FF3C6B">
        <w:rPr>
          <w:rFonts w:cs="Arial"/>
          <w:b/>
          <w:szCs w:val="20"/>
        </w:rPr>
        <w:t xml:space="preserve"> </w:t>
      </w:r>
      <w:r>
        <w:rPr>
          <w:rFonts w:cs="Arial"/>
          <w:b/>
          <w:szCs w:val="20"/>
        </w:rPr>
        <w:t>Základní</w:t>
      </w:r>
      <w:r w:rsidRPr="00FF3C6B">
        <w:rPr>
          <w:rFonts w:cs="Arial"/>
          <w:b/>
          <w:szCs w:val="20"/>
        </w:rPr>
        <w:t xml:space="preserve"> školy - počet škol, tříd, dětí a učitelů </w:t>
      </w:r>
      <w:r>
        <w:rPr>
          <w:rFonts w:cs="Arial"/>
          <w:b/>
          <w:szCs w:val="20"/>
        </w:rPr>
        <w:t xml:space="preserve">podle zřizovatele školy </w:t>
      </w:r>
      <w:r w:rsidR="00F341B2">
        <w:rPr>
          <w:rFonts w:cs="Arial"/>
          <w:b/>
          <w:szCs w:val="20"/>
        </w:rPr>
        <w:t>(2021/22</w:t>
      </w:r>
      <w:r w:rsidRPr="00FF3C6B">
        <w:rPr>
          <w:rFonts w:cs="Arial"/>
          <w:b/>
          <w:szCs w:val="20"/>
        </w:rPr>
        <w:t>)</w:t>
      </w:r>
    </w:p>
    <w:tbl>
      <w:tblPr>
        <w:tblW w:w="9719" w:type="dxa"/>
        <w:tblInd w:w="-10" w:type="dxa"/>
        <w:tblCellMar>
          <w:left w:w="70" w:type="dxa"/>
          <w:right w:w="70" w:type="dxa"/>
        </w:tblCellMar>
        <w:tblLook w:val="04A0" w:firstRow="1" w:lastRow="0" w:firstColumn="1" w:lastColumn="0" w:noHBand="0" w:noVBand="1"/>
      </w:tblPr>
      <w:tblGrid>
        <w:gridCol w:w="1134"/>
        <w:gridCol w:w="851"/>
        <w:gridCol w:w="850"/>
        <w:gridCol w:w="851"/>
        <w:gridCol w:w="850"/>
        <w:gridCol w:w="993"/>
        <w:gridCol w:w="708"/>
        <w:gridCol w:w="851"/>
        <w:gridCol w:w="992"/>
        <w:gridCol w:w="851"/>
        <w:gridCol w:w="788"/>
      </w:tblGrid>
      <w:tr w:rsidR="00F341B2" w:rsidRPr="00F341B2" w14:paraId="4672714C" w14:textId="77777777" w:rsidTr="00C77964">
        <w:trPr>
          <w:trHeight w:val="300"/>
        </w:trPr>
        <w:tc>
          <w:tcPr>
            <w:tcW w:w="1134" w:type="dxa"/>
            <w:vMerge w:val="restart"/>
            <w:tcBorders>
              <w:top w:val="single" w:sz="8" w:space="0" w:color="auto"/>
              <w:left w:val="single" w:sz="8" w:space="0" w:color="auto"/>
              <w:bottom w:val="single" w:sz="8" w:space="0" w:color="000000"/>
              <w:right w:val="single" w:sz="8" w:space="0" w:color="auto"/>
            </w:tcBorders>
            <w:shd w:val="clear" w:color="000000" w:fill="C00000"/>
            <w:noWrap/>
            <w:vAlign w:val="center"/>
            <w:hideMark/>
          </w:tcPr>
          <w:p w14:paraId="6F31522D" w14:textId="77777777" w:rsidR="00F341B2" w:rsidRPr="00F341B2" w:rsidRDefault="00F341B2" w:rsidP="00F341B2">
            <w:pPr>
              <w:spacing w:after="0" w:line="240" w:lineRule="auto"/>
              <w:jc w:val="center"/>
              <w:rPr>
                <w:rFonts w:cs="Arial"/>
                <w:b/>
                <w:bCs/>
                <w:color w:val="FFFFFF"/>
                <w:sz w:val="16"/>
                <w:szCs w:val="16"/>
              </w:rPr>
            </w:pPr>
            <w:r w:rsidRPr="00F341B2">
              <w:rPr>
                <w:rFonts w:cs="Arial"/>
                <w:b/>
                <w:bCs/>
                <w:color w:val="FFFFFF"/>
                <w:sz w:val="16"/>
                <w:szCs w:val="16"/>
                <w:lang w:eastAsia="en-US"/>
              </w:rPr>
              <w:t>Zřizovatel</w:t>
            </w:r>
          </w:p>
        </w:tc>
        <w:tc>
          <w:tcPr>
            <w:tcW w:w="1701" w:type="dxa"/>
            <w:gridSpan w:val="2"/>
            <w:tcBorders>
              <w:top w:val="single" w:sz="8" w:space="0" w:color="auto"/>
              <w:left w:val="nil"/>
              <w:bottom w:val="single" w:sz="4" w:space="0" w:color="auto"/>
              <w:right w:val="single" w:sz="4" w:space="0" w:color="auto"/>
            </w:tcBorders>
            <w:shd w:val="clear" w:color="000000" w:fill="C00000"/>
            <w:noWrap/>
            <w:vAlign w:val="center"/>
            <w:hideMark/>
          </w:tcPr>
          <w:p w14:paraId="522A8D0B" w14:textId="77777777" w:rsidR="00F341B2" w:rsidRPr="00F341B2" w:rsidRDefault="00F341B2" w:rsidP="00F341B2">
            <w:pPr>
              <w:spacing w:after="0" w:line="240" w:lineRule="auto"/>
              <w:jc w:val="center"/>
              <w:rPr>
                <w:rFonts w:cs="Arial"/>
                <w:b/>
                <w:bCs/>
                <w:color w:val="FFFFFF"/>
                <w:sz w:val="16"/>
                <w:szCs w:val="16"/>
              </w:rPr>
            </w:pPr>
            <w:r w:rsidRPr="00F341B2">
              <w:rPr>
                <w:rFonts w:cs="Arial"/>
                <w:b/>
                <w:bCs/>
                <w:color w:val="FFFFFF"/>
                <w:sz w:val="16"/>
                <w:szCs w:val="16"/>
                <w:lang w:eastAsia="en-US"/>
              </w:rPr>
              <w:t>Školy</w:t>
            </w:r>
          </w:p>
        </w:tc>
        <w:tc>
          <w:tcPr>
            <w:tcW w:w="1701" w:type="dxa"/>
            <w:gridSpan w:val="2"/>
            <w:tcBorders>
              <w:top w:val="single" w:sz="8" w:space="0" w:color="auto"/>
              <w:left w:val="single" w:sz="8" w:space="0" w:color="auto"/>
              <w:bottom w:val="single" w:sz="4" w:space="0" w:color="auto"/>
              <w:right w:val="single" w:sz="8" w:space="0" w:color="000000"/>
            </w:tcBorders>
            <w:shd w:val="clear" w:color="000000" w:fill="C00000"/>
            <w:noWrap/>
            <w:vAlign w:val="center"/>
            <w:hideMark/>
          </w:tcPr>
          <w:p w14:paraId="4571D336" w14:textId="77777777" w:rsidR="00F341B2" w:rsidRPr="00F341B2" w:rsidRDefault="00F341B2" w:rsidP="00F341B2">
            <w:pPr>
              <w:spacing w:after="0" w:line="240" w:lineRule="auto"/>
              <w:jc w:val="center"/>
              <w:rPr>
                <w:rFonts w:cs="Arial"/>
                <w:b/>
                <w:bCs/>
                <w:color w:val="FFFFFF"/>
                <w:sz w:val="16"/>
                <w:szCs w:val="16"/>
              </w:rPr>
            </w:pPr>
            <w:r w:rsidRPr="00F341B2">
              <w:rPr>
                <w:rFonts w:cs="Arial"/>
                <w:b/>
                <w:bCs/>
                <w:color w:val="FFFFFF"/>
                <w:sz w:val="16"/>
                <w:szCs w:val="16"/>
                <w:lang w:eastAsia="en-US"/>
              </w:rPr>
              <w:t>Třídy</w:t>
            </w:r>
          </w:p>
        </w:tc>
        <w:tc>
          <w:tcPr>
            <w:tcW w:w="1701" w:type="dxa"/>
            <w:gridSpan w:val="2"/>
            <w:tcBorders>
              <w:top w:val="single" w:sz="8" w:space="0" w:color="auto"/>
              <w:left w:val="nil"/>
              <w:bottom w:val="single" w:sz="4" w:space="0" w:color="auto"/>
              <w:right w:val="single" w:sz="4" w:space="0" w:color="auto"/>
            </w:tcBorders>
            <w:shd w:val="clear" w:color="000000" w:fill="C00000"/>
            <w:noWrap/>
            <w:vAlign w:val="center"/>
            <w:hideMark/>
          </w:tcPr>
          <w:p w14:paraId="3AC08DE4" w14:textId="77777777" w:rsidR="00F341B2" w:rsidRPr="00F341B2" w:rsidRDefault="00F341B2" w:rsidP="00F341B2">
            <w:pPr>
              <w:spacing w:after="0" w:line="240" w:lineRule="auto"/>
              <w:jc w:val="center"/>
              <w:rPr>
                <w:rFonts w:cs="Arial"/>
                <w:b/>
                <w:bCs/>
                <w:color w:val="FFFFFF"/>
                <w:sz w:val="16"/>
                <w:szCs w:val="16"/>
              </w:rPr>
            </w:pPr>
            <w:r w:rsidRPr="00F341B2">
              <w:rPr>
                <w:rFonts w:cs="Arial"/>
                <w:b/>
                <w:bCs/>
                <w:color w:val="FFFFFF"/>
                <w:sz w:val="16"/>
                <w:szCs w:val="16"/>
                <w:lang w:eastAsia="en-US"/>
              </w:rPr>
              <w:t>Žáci</w:t>
            </w:r>
          </w:p>
        </w:tc>
        <w:tc>
          <w:tcPr>
            <w:tcW w:w="1843" w:type="dxa"/>
            <w:gridSpan w:val="2"/>
            <w:tcBorders>
              <w:top w:val="single" w:sz="8" w:space="0" w:color="auto"/>
              <w:left w:val="single" w:sz="8" w:space="0" w:color="auto"/>
              <w:bottom w:val="single" w:sz="4" w:space="0" w:color="auto"/>
              <w:right w:val="single" w:sz="8" w:space="0" w:color="000000"/>
            </w:tcBorders>
            <w:shd w:val="clear" w:color="000000" w:fill="C00000"/>
            <w:noWrap/>
            <w:vAlign w:val="center"/>
            <w:hideMark/>
          </w:tcPr>
          <w:p w14:paraId="0810446A" w14:textId="77777777" w:rsidR="00F341B2" w:rsidRPr="00F341B2" w:rsidRDefault="00F341B2" w:rsidP="00F341B2">
            <w:pPr>
              <w:spacing w:after="0" w:line="240" w:lineRule="auto"/>
              <w:jc w:val="center"/>
              <w:rPr>
                <w:rFonts w:cs="Arial"/>
                <w:b/>
                <w:bCs/>
                <w:color w:val="FFFFFF"/>
                <w:sz w:val="16"/>
                <w:szCs w:val="16"/>
              </w:rPr>
            </w:pPr>
            <w:r w:rsidRPr="00F341B2">
              <w:rPr>
                <w:rFonts w:cs="Arial"/>
                <w:b/>
                <w:bCs/>
                <w:color w:val="FFFFFF"/>
                <w:sz w:val="16"/>
                <w:szCs w:val="16"/>
                <w:lang w:eastAsia="en-US"/>
              </w:rPr>
              <w:t>Učitelé</w:t>
            </w:r>
            <w:r w:rsidRPr="00F341B2">
              <w:rPr>
                <w:rFonts w:cs="Arial"/>
                <w:b/>
                <w:bCs/>
                <w:color w:val="FFFFFF"/>
                <w:sz w:val="16"/>
                <w:szCs w:val="16"/>
                <w:vertAlign w:val="superscript"/>
                <w:lang w:eastAsia="en-US"/>
              </w:rPr>
              <w:t>1)</w:t>
            </w:r>
          </w:p>
        </w:tc>
        <w:tc>
          <w:tcPr>
            <w:tcW w:w="1639" w:type="dxa"/>
            <w:gridSpan w:val="2"/>
            <w:tcBorders>
              <w:top w:val="single" w:sz="8" w:space="0" w:color="auto"/>
              <w:left w:val="nil"/>
              <w:bottom w:val="single" w:sz="4" w:space="0" w:color="auto"/>
              <w:right w:val="single" w:sz="8" w:space="0" w:color="000000"/>
            </w:tcBorders>
            <w:shd w:val="clear" w:color="000000" w:fill="C00000"/>
            <w:noWrap/>
            <w:vAlign w:val="center"/>
            <w:hideMark/>
          </w:tcPr>
          <w:p w14:paraId="731D4F27" w14:textId="77777777" w:rsidR="00F341B2" w:rsidRPr="00F341B2" w:rsidRDefault="00F341B2" w:rsidP="00F341B2">
            <w:pPr>
              <w:spacing w:after="0" w:line="240" w:lineRule="auto"/>
              <w:jc w:val="center"/>
              <w:rPr>
                <w:rFonts w:cs="Arial"/>
                <w:b/>
                <w:bCs/>
                <w:i/>
                <w:iCs/>
                <w:color w:val="FFFFFF"/>
                <w:sz w:val="16"/>
                <w:szCs w:val="16"/>
              </w:rPr>
            </w:pPr>
            <w:r w:rsidRPr="00F341B2">
              <w:rPr>
                <w:rFonts w:cs="Arial"/>
                <w:b/>
                <w:bCs/>
                <w:i/>
                <w:iCs/>
                <w:color w:val="FFFFFF"/>
                <w:sz w:val="16"/>
                <w:szCs w:val="16"/>
                <w:lang w:eastAsia="en-US"/>
              </w:rPr>
              <w:t>Žáci na 1:</w:t>
            </w:r>
          </w:p>
        </w:tc>
      </w:tr>
      <w:tr w:rsidR="00C77964" w:rsidRPr="00F341B2" w14:paraId="69BD5284" w14:textId="77777777" w:rsidTr="00C77964">
        <w:trPr>
          <w:trHeight w:val="315"/>
        </w:trPr>
        <w:tc>
          <w:tcPr>
            <w:tcW w:w="1134" w:type="dxa"/>
            <w:vMerge/>
            <w:tcBorders>
              <w:top w:val="single" w:sz="8" w:space="0" w:color="auto"/>
              <w:left w:val="single" w:sz="8" w:space="0" w:color="auto"/>
              <w:bottom w:val="single" w:sz="8" w:space="0" w:color="000000"/>
              <w:right w:val="single" w:sz="8" w:space="0" w:color="auto"/>
            </w:tcBorders>
            <w:vAlign w:val="center"/>
            <w:hideMark/>
          </w:tcPr>
          <w:p w14:paraId="2F713A44" w14:textId="77777777" w:rsidR="00F341B2" w:rsidRPr="00F341B2" w:rsidRDefault="00F341B2" w:rsidP="00F341B2">
            <w:pPr>
              <w:spacing w:after="0" w:line="240" w:lineRule="auto"/>
              <w:rPr>
                <w:rFonts w:cs="Arial"/>
                <w:b/>
                <w:bCs/>
                <w:color w:val="FFFFFF"/>
                <w:sz w:val="16"/>
                <w:szCs w:val="16"/>
              </w:rPr>
            </w:pPr>
          </w:p>
        </w:tc>
        <w:tc>
          <w:tcPr>
            <w:tcW w:w="851" w:type="dxa"/>
            <w:tcBorders>
              <w:top w:val="nil"/>
              <w:left w:val="nil"/>
              <w:bottom w:val="single" w:sz="8" w:space="0" w:color="auto"/>
              <w:right w:val="single" w:sz="4" w:space="0" w:color="auto"/>
            </w:tcBorders>
            <w:shd w:val="clear" w:color="000000" w:fill="F4B084"/>
            <w:noWrap/>
            <w:vAlign w:val="center"/>
            <w:hideMark/>
          </w:tcPr>
          <w:p w14:paraId="25D50B63" w14:textId="77777777" w:rsidR="00F341B2" w:rsidRPr="00F341B2" w:rsidRDefault="00F341B2" w:rsidP="00F341B2">
            <w:pPr>
              <w:spacing w:after="0" w:line="240" w:lineRule="auto"/>
              <w:jc w:val="center"/>
              <w:rPr>
                <w:rFonts w:cs="Arial"/>
                <w:color w:val="000000"/>
                <w:sz w:val="16"/>
                <w:szCs w:val="16"/>
              </w:rPr>
            </w:pPr>
            <w:r w:rsidRPr="00F341B2">
              <w:rPr>
                <w:rFonts w:cs="Arial"/>
                <w:color w:val="000000"/>
                <w:sz w:val="16"/>
                <w:szCs w:val="16"/>
                <w:lang w:eastAsia="en-US"/>
              </w:rPr>
              <w:t>Abs.</w:t>
            </w:r>
          </w:p>
        </w:tc>
        <w:tc>
          <w:tcPr>
            <w:tcW w:w="850" w:type="dxa"/>
            <w:tcBorders>
              <w:top w:val="nil"/>
              <w:left w:val="nil"/>
              <w:bottom w:val="single" w:sz="8" w:space="0" w:color="auto"/>
              <w:right w:val="nil"/>
            </w:tcBorders>
            <w:shd w:val="clear" w:color="000000" w:fill="F4B084"/>
            <w:noWrap/>
            <w:vAlign w:val="center"/>
            <w:hideMark/>
          </w:tcPr>
          <w:p w14:paraId="79228FC8" w14:textId="77777777" w:rsidR="00F341B2" w:rsidRPr="00F341B2" w:rsidRDefault="00F341B2" w:rsidP="00F341B2">
            <w:pPr>
              <w:spacing w:after="0" w:line="240" w:lineRule="auto"/>
              <w:jc w:val="center"/>
              <w:rPr>
                <w:rFonts w:cs="Arial"/>
                <w:color w:val="000000"/>
                <w:sz w:val="16"/>
                <w:szCs w:val="16"/>
              </w:rPr>
            </w:pPr>
            <w:r w:rsidRPr="00F341B2">
              <w:rPr>
                <w:rFonts w:cs="Arial"/>
                <w:color w:val="000000"/>
                <w:sz w:val="16"/>
                <w:szCs w:val="16"/>
                <w:lang w:eastAsia="en-US"/>
              </w:rPr>
              <w:t>%</w:t>
            </w:r>
          </w:p>
        </w:tc>
        <w:tc>
          <w:tcPr>
            <w:tcW w:w="851" w:type="dxa"/>
            <w:tcBorders>
              <w:top w:val="nil"/>
              <w:left w:val="single" w:sz="8" w:space="0" w:color="auto"/>
              <w:bottom w:val="single" w:sz="8" w:space="0" w:color="auto"/>
              <w:right w:val="single" w:sz="4" w:space="0" w:color="auto"/>
            </w:tcBorders>
            <w:shd w:val="clear" w:color="000000" w:fill="F4B084"/>
            <w:noWrap/>
            <w:vAlign w:val="center"/>
            <w:hideMark/>
          </w:tcPr>
          <w:p w14:paraId="3DF2DC0D" w14:textId="77777777" w:rsidR="00F341B2" w:rsidRPr="00F341B2" w:rsidRDefault="00F341B2" w:rsidP="00F341B2">
            <w:pPr>
              <w:spacing w:after="0" w:line="240" w:lineRule="auto"/>
              <w:jc w:val="center"/>
              <w:rPr>
                <w:rFonts w:cs="Arial"/>
                <w:color w:val="000000"/>
                <w:sz w:val="16"/>
                <w:szCs w:val="16"/>
              </w:rPr>
            </w:pPr>
            <w:r w:rsidRPr="00F341B2">
              <w:rPr>
                <w:rFonts w:cs="Arial"/>
                <w:color w:val="000000"/>
                <w:sz w:val="16"/>
                <w:szCs w:val="16"/>
                <w:lang w:eastAsia="en-US"/>
              </w:rPr>
              <w:t>Abs.</w:t>
            </w:r>
          </w:p>
        </w:tc>
        <w:tc>
          <w:tcPr>
            <w:tcW w:w="850" w:type="dxa"/>
            <w:tcBorders>
              <w:top w:val="nil"/>
              <w:left w:val="nil"/>
              <w:bottom w:val="single" w:sz="8" w:space="0" w:color="auto"/>
              <w:right w:val="single" w:sz="8" w:space="0" w:color="auto"/>
            </w:tcBorders>
            <w:shd w:val="clear" w:color="000000" w:fill="F4B084"/>
            <w:noWrap/>
            <w:vAlign w:val="center"/>
            <w:hideMark/>
          </w:tcPr>
          <w:p w14:paraId="28F0A3E2" w14:textId="77777777" w:rsidR="00F341B2" w:rsidRPr="00F341B2" w:rsidRDefault="00F341B2" w:rsidP="00F341B2">
            <w:pPr>
              <w:spacing w:after="0" w:line="240" w:lineRule="auto"/>
              <w:jc w:val="center"/>
              <w:rPr>
                <w:rFonts w:cs="Arial"/>
                <w:color w:val="000000"/>
                <w:sz w:val="16"/>
                <w:szCs w:val="16"/>
              </w:rPr>
            </w:pPr>
            <w:r w:rsidRPr="00F341B2">
              <w:rPr>
                <w:rFonts w:cs="Arial"/>
                <w:color w:val="000000"/>
                <w:sz w:val="16"/>
                <w:szCs w:val="16"/>
                <w:lang w:eastAsia="en-US"/>
              </w:rPr>
              <w:t>%</w:t>
            </w:r>
          </w:p>
        </w:tc>
        <w:tc>
          <w:tcPr>
            <w:tcW w:w="993" w:type="dxa"/>
            <w:tcBorders>
              <w:top w:val="nil"/>
              <w:left w:val="nil"/>
              <w:bottom w:val="single" w:sz="8" w:space="0" w:color="auto"/>
              <w:right w:val="single" w:sz="4" w:space="0" w:color="auto"/>
            </w:tcBorders>
            <w:shd w:val="clear" w:color="000000" w:fill="F4B084"/>
            <w:noWrap/>
            <w:vAlign w:val="center"/>
            <w:hideMark/>
          </w:tcPr>
          <w:p w14:paraId="32CBE1AE" w14:textId="77777777" w:rsidR="00F341B2" w:rsidRPr="00F341B2" w:rsidRDefault="00F341B2" w:rsidP="00F341B2">
            <w:pPr>
              <w:spacing w:after="0" w:line="240" w:lineRule="auto"/>
              <w:jc w:val="center"/>
              <w:rPr>
                <w:rFonts w:cs="Arial"/>
                <w:color w:val="000000"/>
                <w:sz w:val="16"/>
                <w:szCs w:val="16"/>
              </w:rPr>
            </w:pPr>
            <w:r w:rsidRPr="00F341B2">
              <w:rPr>
                <w:rFonts w:cs="Arial"/>
                <w:color w:val="000000"/>
                <w:sz w:val="16"/>
                <w:szCs w:val="16"/>
                <w:lang w:eastAsia="en-US"/>
              </w:rPr>
              <w:t>Abs.</w:t>
            </w:r>
          </w:p>
        </w:tc>
        <w:tc>
          <w:tcPr>
            <w:tcW w:w="708" w:type="dxa"/>
            <w:tcBorders>
              <w:top w:val="nil"/>
              <w:left w:val="nil"/>
              <w:bottom w:val="single" w:sz="8" w:space="0" w:color="auto"/>
              <w:right w:val="nil"/>
            </w:tcBorders>
            <w:shd w:val="clear" w:color="000000" w:fill="F4B084"/>
            <w:noWrap/>
            <w:vAlign w:val="center"/>
            <w:hideMark/>
          </w:tcPr>
          <w:p w14:paraId="529D9C1D" w14:textId="77777777" w:rsidR="00F341B2" w:rsidRPr="00F341B2" w:rsidRDefault="00F341B2" w:rsidP="00F341B2">
            <w:pPr>
              <w:spacing w:after="0" w:line="240" w:lineRule="auto"/>
              <w:jc w:val="center"/>
              <w:rPr>
                <w:rFonts w:cs="Arial"/>
                <w:color w:val="000000"/>
                <w:sz w:val="16"/>
                <w:szCs w:val="16"/>
              </w:rPr>
            </w:pPr>
            <w:r w:rsidRPr="00F341B2">
              <w:rPr>
                <w:rFonts w:cs="Arial"/>
                <w:color w:val="000000"/>
                <w:sz w:val="16"/>
                <w:szCs w:val="16"/>
                <w:lang w:eastAsia="en-US"/>
              </w:rPr>
              <w:t>%</w:t>
            </w:r>
          </w:p>
        </w:tc>
        <w:tc>
          <w:tcPr>
            <w:tcW w:w="851" w:type="dxa"/>
            <w:tcBorders>
              <w:top w:val="nil"/>
              <w:left w:val="single" w:sz="8" w:space="0" w:color="auto"/>
              <w:bottom w:val="single" w:sz="8" w:space="0" w:color="auto"/>
              <w:right w:val="single" w:sz="4" w:space="0" w:color="auto"/>
            </w:tcBorders>
            <w:shd w:val="clear" w:color="000000" w:fill="F4B084"/>
            <w:noWrap/>
            <w:vAlign w:val="center"/>
            <w:hideMark/>
          </w:tcPr>
          <w:p w14:paraId="037ADE74" w14:textId="77777777" w:rsidR="00F341B2" w:rsidRPr="00F341B2" w:rsidRDefault="00F341B2" w:rsidP="00F341B2">
            <w:pPr>
              <w:spacing w:after="0" w:line="240" w:lineRule="auto"/>
              <w:jc w:val="center"/>
              <w:rPr>
                <w:rFonts w:cs="Arial"/>
                <w:color w:val="000000"/>
                <w:sz w:val="16"/>
                <w:szCs w:val="16"/>
              </w:rPr>
            </w:pPr>
            <w:r w:rsidRPr="00F341B2">
              <w:rPr>
                <w:rFonts w:cs="Arial"/>
                <w:color w:val="000000"/>
                <w:sz w:val="16"/>
                <w:szCs w:val="16"/>
                <w:lang w:eastAsia="en-US"/>
              </w:rPr>
              <w:t>Abs.</w:t>
            </w:r>
          </w:p>
        </w:tc>
        <w:tc>
          <w:tcPr>
            <w:tcW w:w="992" w:type="dxa"/>
            <w:tcBorders>
              <w:top w:val="nil"/>
              <w:left w:val="nil"/>
              <w:bottom w:val="single" w:sz="8" w:space="0" w:color="auto"/>
              <w:right w:val="single" w:sz="8" w:space="0" w:color="auto"/>
            </w:tcBorders>
            <w:shd w:val="clear" w:color="000000" w:fill="F4B084"/>
            <w:noWrap/>
            <w:vAlign w:val="center"/>
            <w:hideMark/>
          </w:tcPr>
          <w:p w14:paraId="1BB4BA6C" w14:textId="77777777" w:rsidR="00F341B2" w:rsidRPr="00F341B2" w:rsidRDefault="00F341B2" w:rsidP="00F341B2">
            <w:pPr>
              <w:spacing w:after="0" w:line="240" w:lineRule="auto"/>
              <w:jc w:val="center"/>
              <w:rPr>
                <w:rFonts w:cs="Arial"/>
                <w:color w:val="000000"/>
                <w:sz w:val="16"/>
                <w:szCs w:val="16"/>
              </w:rPr>
            </w:pPr>
            <w:r w:rsidRPr="00F341B2">
              <w:rPr>
                <w:rFonts w:cs="Arial"/>
                <w:color w:val="000000"/>
                <w:sz w:val="16"/>
                <w:szCs w:val="16"/>
                <w:lang w:eastAsia="en-US"/>
              </w:rPr>
              <w:t>%</w:t>
            </w:r>
          </w:p>
        </w:tc>
        <w:tc>
          <w:tcPr>
            <w:tcW w:w="851" w:type="dxa"/>
            <w:tcBorders>
              <w:top w:val="nil"/>
              <w:left w:val="nil"/>
              <w:bottom w:val="single" w:sz="8" w:space="0" w:color="auto"/>
              <w:right w:val="single" w:sz="4" w:space="0" w:color="auto"/>
            </w:tcBorders>
            <w:shd w:val="clear" w:color="000000" w:fill="C00000"/>
            <w:noWrap/>
            <w:vAlign w:val="center"/>
            <w:hideMark/>
          </w:tcPr>
          <w:p w14:paraId="7F607023" w14:textId="77777777" w:rsidR="00F341B2" w:rsidRPr="00F341B2" w:rsidRDefault="00F341B2" w:rsidP="00F341B2">
            <w:pPr>
              <w:spacing w:after="0" w:line="240" w:lineRule="auto"/>
              <w:jc w:val="center"/>
              <w:rPr>
                <w:rFonts w:cs="Arial"/>
                <w:b/>
                <w:bCs/>
                <w:i/>
                <w:iCs/>
                <w:color w:val="FFFFFF"/>
                <w:sz w:val="16"/>
                <w:szCs w:val="16"/>
              </w:rPr>
            </w:pPr>
            <w:r w:rsidRPr="00F341B2">
              <w:rPr>
                <w:rFonts w:cs="Arial"/>
                <w:b/>
                <w:bCs/>
                <w:i/>
                <w:iCs/>
                <w:color w:val="FFFFFF"/>
                <w:sz w:val="16"/>
                <w:szCs w:val="16"/>
                <w:lang w:eastAsia="en-US"/>
              </w:rPr>
              <w:t>třídu</w:t>
            </w:r>
          </w:p>
        </w:tc>
        <w:tc>
          <w:tcPr>
            <w:tcW w:w="788" w:type="dxa"/>
            <w:tcBorders>
              <w:top w:val="nil"/>
              <w:left w:val="nil"/>
              <w:bottom w:val="single" w:sz="8" w:space="0" w:color="auto"/>
              <w:right w:val="single" w:sz="8" w:space="0" w:color="auto"/>
            </w:tcBorders>
            <w:shd w:val="clear" w:color="000000" w:fill="C00000"/>
            <w:noWrap/>
            <w:vAlign w:val="center"/>
            <w:hideMark/>
          </w:tcPr>
          <w:p w14:paraId="31BAE3AE" w14:textId="77777777" w:rsidR="00F341B2" w:rsidRPr="00F341B2" w:rsidRDefault="00F341B2" w:rsidP="00F341B2">
            <w:pPr>
              <w:spacing w:after="0" w:line="240" w:lineRule="auto"/>
              <w:jc w:val="center"/>
              <w:rPr>
                <w:rFonts w:cs="Arial"/>
                <w:b/>
                <w:bCs/>
                <w:i/>
                <w:iCs/>
                <w:color w:val="FFFFFF"/>
                <w:sz w:val="16"/>
                <w:szCs w:val="16"/>
              </w:rPr>
            </w:pPr>
            <w:r w:rsidRPr="00F341B2">
              <w:rPr>
                <w:rFonts w:cs="Arial"/>
                <w:b/>
                <w:bCs/>
                <w:i/>
                <w:iCs/>
                <w:color w:val="FFFFFF"/>
                <w:sz w:val="16"/>
                <w:szCs w:val="16"/>
                <w:lang w:eastAsia="en-US"/>
              </w:rPr>
              <w:t>učitele</w:t>
            </w:r>
          </w:p>
        </w:tc>
      </w:tr>
      <w:tr w:rsidR="00F341B2" w:rsidRPr="00F341B2" w14:paraId="7141C49D" w14:textId="77777777" w:rsidTr="00C77964">
        <w:trPr>
          <w:trHeight w:val="300"/>
        </w:trPr>
        <w:tc>
          <w:tcPr>
            <w:tcW w:w="1134" w:type="dxa"/>
            <w:tcBorders>
              <w:top w:val="nil"/>
              <w:left w:val="single" w:sz="8" w:space="0" w:color="auto"/>
              <w:bottom w:val="nil"/>
              <w:right w:val="single" w:sz="8" w:space="0" w:color="auto"/>
            </w:tcBorders>
            <w:shd w:val="clear" w:color="auto" w:fill="auto"/>
            <w:noWrap/>
            <w:vAlign w:val="center"/>
            <w:hideMark/>
          </w:tcPr>
          <w:p w14:paraId="1F1376A9" w14:textId="77777777" w:rsidR="00F341B2" w:rsidRPr="00F341B2" w:rsidRDefault="00F341B2" w:rsidP="00F341B2">
            <w:pPr>
              <w:spacing w:after="0" w:line="240" w:lineRule="auto"/>
              <w:rPr>
                <w:rFonts w:cs="Arial"/>
                <w:color w:val="000000"/>
                <w:sz w:val="16"/>
                <w:szCs w:val="16"/>
              </w:rPr>
            </w:pPr>
            <w:r w:rsidRPr="00F341B2">
              <w:rPr>
                <w:rFonts w:cs="Arial"/>
                <w:color w:val="000000"/>
                <w:sz w:val="16"/>
                <w:szCs w:val="16"/>
                <w:lang w:eastAsia="en-US"/>
              </w:rPr>
              <w:t xml:space="preserve">  veřejný</w:t>
            </w:r>
          </w:p>
        </w:tc>
        <w:tc>
          <w:tcPr>
            <w:tcW w:w="851" w:type="dxa"/>
            <w:tcBorders>
              <w:top w:val="nil"/>
              <w:left w:val="nil"/>
              <w:bottom w:val="nil"/>
              <w:right w:val="nil"/>
            </w:tcBorders>
            <w:shd w:val="clear" w:color="auto" w:fill="auto"/>
            <w:noWrap/>
            <w:vAlign w:val="center"/>
            <w:hideMark/>
          </w:tcPr>
          <w:p w14:paraId="48BBE9AA" w14:textId="77777777" w:rsidR="00F341B2" w:rsidRPr="00F341B2" w:rsidRDefault="00F341B2" w:rsidP="00F341B2">
            <w:pPr>
              <w:spacing w:after="0" w:line="240" w:lineRule="auto"/>
              <w:jc w:val="right"/>
              <w:rPr>
                <w:rFonts w:cs="Arial"/>
                <w:color w:val="000000"/>
                <w:sz w:val="16"/>
                <w:szCs w:val="16"/>
              </w:rPr>
            </w:pPr>
            <w:r w:rsidRPr="00F341B2">
              <w:rPr>
                <w:rFonts w:cs="Arial"/>
                <w:color w:val="000000"/>
                <w:sz w:val="16"/>
                <w:szCs w:val="16"/>
              </w:rPr>
              <w:t xml:space="preserve">3 911 </w:t>
            </w:r>
          </w:p>
        </w:tc>
        <w:tc>
          <w:tcPr>
            <w:tcW w:w="850" w:type="dxa"/>
            <w:tcBorders>
              <w:top w:val="nil"/>
              <w:left w:val="nil"/>
              <w:bottom w:val="nil"/>
              <w:right w:val="nil"/>
            </w:tcBorders>
            <w:shd w:val="clear" w:color="auto" w:fill="auto"/>
            <w:noWrap/>
            <w:vAlign w:val="center"/>
            <w:hideMark/>
          </w:tcPr>
          <w:p w14:paraId="6C000868"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rPr>
              <w:t xml:space="preserve">92,3 </w:t>
            </w:r>
          </w:p>
        </w:tc>
        <w:tc>
          <w:tcPr>
            <w:tcW w:w="851" w:type="dxa"/>
            <w:tcBorders>
              <w:top w:val="nil"/>
              <w:left w:val="single" w:sz="8" w:space="0" w:color="auto"/>
              <w:bottom w:val="nil"/>
              <w:right w:val="nil"/>
            </w:tcBorders>
            <w:shd w:val="clear" w:color="auto" w:fill="auto"/>
            <w:noWrap/>
            <w:vAlign w:val="center"/>
            <w:hideMark/>
          </w:tcPr>
          <w:p w14:paraId="584F5BF7" w14:textId="77777777" w:rsidR="00F341B2" w:rsidRPr="00F341B2" w:rsidRDefault="00F341B2" w:rsidP="00F341B2">
            <w:pPr>
              <w:spacing w:after="0" w:line="240" w:lineRule="auto"/>
              <w:jc w:val="right"/>
              <w:rPr>
                <w:rFonts w:cs="Arial"/>
                <w:color w:val="000000"/>
                <w:sz w:val="16"/>
                <w:szCs w:val="16"/>
              </w:rPr>
            </w:pPr>
            <w:r w:rsidRPr="00F341B2">
              <w:rPr>
                <w:rFonts w:cs="Arial"/>
                <w:color w:val="000000"/>
                <w:sz w:val="16"/>
                <w:szCs w:val="16"/>
              </w:rPr>
              <w:t xml:space="preserve">47 690 </w:t>
            </w:r>
          </w:p>
        </w:tc>
        <w:tc>
          <w:tcPr>
            <w:tcW w:w="850" w:type="dxa"/>
            <w:tcBorders>
              <w:top w:val="nil"/>
              <w:left w:val="nil"/>
              <w:bottom w:val="nil"/>
              <w:right w:val="single" w:sz="8" w:space="0" w:color="auto"/>
            </w:tcBorders>
            <w:shd w:val="clear" w:color="auto" w:fill="auto"/>
            <w:noWrap/>
            <w:vAlign w:val="center"/>
            <w:hideMark/>
          </w:tcPr>
          <w:p w14:paraId="7787F901"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rPr>
              <w:t xml:space="preserve">95,3 </w:t>
            </w:r>
          </w:p>
        </w:tc>
        <w:tc>
          <w:tcPr>
            <w:tcW w:w="993" w:type="dxa"/>
            <w:tcBorders>
              <w:top w:val="nil"/>
              <w:left w:val="nil"/>
              <w:bottom w:val="nil"/>
              <w:right w:val="nil"/>
            </w:tcBorders>
            <w:shd w:val="clear" w:color="auto" w:fill="auto"/>
            <w:noWrap/>
            <w:vAlign w:val="center"/>
            <w:hideMark/>
          </w:tcPr>
          <w:p w14:paraId="3668993E" w14:textId="77777777" w:rsidR="00F341B2" w:rsidRPr="00F341B2" w:rsidRDefault="00F341B2" w:rsidP="00F341B2">
            <w:pPr>
              <w:spacing w:after="0" w:line="240" w:lineRule="auto"/>
              <w:jc w:val="right"/>
              <w:rPr>
                <w:rFonts w:cs="Arial"/>
                <w:color w:val="000000"/>
                <w:sz w:val="16"/>
                <w:szCs w:val="16"/>
              </w:rPr>
            </w:pPr>
            <w:r w:rsidRPr="00F341B2">
              <w:rPr>
                <w:rFonts w:cs="Arial"/>
                <w:color w:val="000000"/>
                <w:sz w:val="16"/>
                <w:szCs w:val="16"/>
              </w:rPr>
              <w:t xml:space="preserve">934 852 </w:t>
            </w:r>
          </w:p>
        </w:tc>
        <w:tc>
          <w:tcPr>
            <w:tcW w:w="708" w:type="dxa"/>
            <w:tcBorders>
              <w:top w:val="nil"/>
              <w:left w:val="nil"/>
              <w:bottom w:val="nil"/>
              <w:right w:val="nil"/>
            </w:tcBorders>
            <w:shd w:val="clear" w:color="auto" w:fill="auto"/>
            <w:noWrap/>
            <w:vAlign w:val="center"/>
            <w:hideMark/>
          </w:tcPr>
          <w:p w14:paraId="65CBBF5B"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rPr>
              <w:t xml:space="preserve">96,9 </w:t>
            </w:r>
          </w:p>
        </w:tc>
        <w:tc>
          <w:tcPr>
            <w:tcW w:w="851" w:type="dxa"/>
            <w:tcBorders>
              <w:top w:val="nil"/>
              <w:left w:val="single" w:sz="8" w:space="0" w:color="auto"/>
              <w:bottom w:val="nil"/>
              <w:right w:val="nil"/>
            </w:tcBorders>
            <w:shd w:val="clear" w:color="auto" w:fill="auto"/>
            <w:noWrap/>
            <w:vAlign w:val="center"/>
            <w:hideMark/>
          </w:tcPr>
          <w:p w14:paraId="5478EC1C" w14:textId="77777777" w:rsidR="00F341B2" w:rsidRPr="00F341B2" w:rsidRDefault="00F341B2" w:rsidP="00F341B2">
            <w:pPr>
              <w:spacing w:after="0" w:line="240" w:lineRule="auto"/>
              <w:jc w:val="right"/>
              <w:rPr>
                <w:rFonts w:cs="Arial"/>
                <w:color w:val="000000"/>
                <w:sz w:val="16"/>
                <w:szCs w:val="16"/>
              </w:rPr>
            </w:pPr>
            <w:r w:rsidRPr="00F341B2">
              <w:rPr>
                <w:rFonts w:cs="Arial"/>
                <w:color w:val="000000"/>
                <w:sz w:val="16"/>
                <w:szCs w:val="16"/>
              </w:rPr>
              <w:t xml:space="preserve">68 352 </w:t>
            </w:r>
          </w:p>
        </w:tc>
        <w:tc>
          <w:tcPr>
            <w:tcW w:w="992" w:type="dxa"/>
            <w:tcBorders>
              <w:top w:val="nil"/>
              <w:left w:val="nil"/>
              <w:bottom w:val="nil"/>
              <w:right w:val="single" w:sz="8" w:space="0" w:color="auto"/>
            </w:tcBorders>
            <w:shd w:val="clear" w:color="auto" w:fill="auto"/>
            <w:noWrap/>
            <w:vAlign w:val="center"/>
            <w:hideMark/>
          </w:tcPr>
          <w:p w14:paraId="3E06D726"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rPr>
              <w:t xml:space="preserve">95,8 </w:t>
            </w:r>
          </w:p>
        </w:tc>
        <w:tc>
          <w:tcPr>
            <w:tcW w:w="851" w:type="dxa"/>
            <w:tcBorders>
              <w:top w:val="nil"/>
              <w:left w:val="nil"/>
              <w:bottom w:val="nil"/>
              <w:right w:val="nil"/>
            </w:tcBorders>
            <w:shd w:val="clear" w:color="auto" w:fill="auto"/>
            <w:noWrap/>
            <w:vAlign w:val="center"/>
            <w:hideMark/>
          </w:tcPr>
          <w:p w14:paraId="277892A4"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rPr>
              <w:t xml:space="preserve">19,6 </w:t>
            </w:r>
          </w:p>
        </w:tc>
        <w:tc>
          <w:tcPr>
            <w:tcW w:w="788" w:type="dxa"/>
            <w:tcBorders>
              <w:top w:val="nil"/>
              <w:left w:val="nil"/>
              <w:bottom w:val="nil"/>
              <w:right w:val="single" w:sz="8" w:space="0" w:color="auto"/>
            </w:tcBorders>
            <w:shd w:val="clear" w:color="auto" w:fill="auto"/>
            <w:noWrap/>
            <w:vAlign w:val="center"/>
            <w:hideMark/>
          </w:tcPr>
          <w:p w14:paraId="579E5C24"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rPr>
              <w:t xml:space="preserve">13,7 </w:t>
            </w:r>
          </w:p>
        </w:tc>
      </w:tr>
      <w:tr w:rsidR="00F341B2" w:rsidRPr="00F341B2" w14:paraId="623CA3B3" w14:textId="77777777" w:rsidTr="00C77964">
        <w:trPr>
          <w:trHeight w:val="300"/>
        </w:trPr>
        <w:tc>
          <w:tcPr>
            <w:tcW w:w="1134" w:type="dxa"/>
            <w:tcBorders>
              <w:top w:val="nil"/>
              <w:left w:val="single" w:sz="8" w:space="0" w:color="auto"/>
              <w:bottom w:val="nil"/>
              <w:right w:val="single" w:sz="8" w:space="0" w:color="auto"/>
            </w:tcBorders>
            <w:shd w:val="clear" w:color="auto" w:fill="auto"/>
            <w:noWrap/>
            <w:vAlign w:val="center"/>
            <w:hideMark/>
          </w:tcPr>
          <w:p w14:paraId="0320BEB0" w14:textId="77777777" w:rsidR="00F341B2" w:rsidRPr="00F341B2" w:rsidRDefault="00F341B2" w:rsidP="00F341B2">
            <w:pPr>
              <w:spacing w:after="0" w:line="240" w:lineRule="auto"/>
              <w:rPr>
                <w:rFonts w:cs="Arial"/>
                <w:color w:val="000000"/>
                <w:sz w:val="16"/>
                <w:szCs w:val="16"/>
              </w:rPr>
            </w:pPr>
            <w:r w:rsidRPr="00F341B2">
              <w:rPr>
                <w:rFonts w:cs="Arial"/>
                <w:color w:val="000000"/>
                <w:sz w:val="16"/>
                <w:szCs w:val="16"/>
                <w:lang w:eastAsia="en-US"/>
              </w:rPr>
              <w:t xml:space="preserve">  soukromý</w:t>
            </w:r>
          </w:p>
        </w:tc>
        <w:tc>
          <w:tcPr>
            <w:tcW w:w="851" w:type="dxa"/>
            <w:tcBorders>
              <w:top w:val="nil"/>
              <w:left w:val="nil"/>
              <w:bottom w:val="nil"/>
              <w:right w:val="nil"/>
            </w:tcBorders>
            <w:shd w:val="clear" w:color="auto" w:fill="auto"/>
            <w:noWrap/>
            <w:vAlign w:val="center"/>
            <w:hideMark/>
          </w:tcPr>
          <w:p w14:paraId="1A401EF6" w14:textId="77777777" w:rsidR="00F341B2" w:rsidRPr="00F341B2" w:rsidRDefault="00F341B2" w:rsidP="00F341B2">
            <w:pPr>
              <w:spacing w:after="0" w:line="240" w:lineRule="auto"/>
              <w:jc w:val="right"/>
              <w:rPr>
                <w:rFonts w:cs="Arial"/>
                <w:color w:val="000000"/>
                <w:sz w:val="16"/>
                <w:szCs w:val="16"/>
              </w:rPr>
            </w:pPr>
            <w:r w:rsidRPr="00F341B2">
              <w:rPr>
                <w:rFonts w:cs="Arial"/>
                <w:color w:val="000000"/>
                <w:sz w:val="16"/>
                <w:szCs w:val="16"/>
              </w:rPr>
              <w:t xml:space="preserve">279 </w:t>
            </w:r>
          </w:p>
        </w:tc>
        <w:tc>
          <w:tcPr>
            <w:tcW w:w="850" w:type="dxa"/>
            <w:tcBorders>
              <w:top w:val="nil"/>
              <w:left w:val="nil"/>
              <w:bottom w:val="nil"/>
              <w:right w:val="nil"/>
            </w:tcBorders>
            <w:shd w:val="clear" w:color="auto" w:fill="auto"/>
            <w:noWrap/>
            <w:vAlign w:val="center"/>
            <w:hideMark/>
          </w:tcPr>
          <w:p w14:paraId="28F07F9D"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lang w:eastAsia="en-US"/>
              </w:rPr>
              <w:t xml:space="preserve">6,6 </w:t>
            </w:r>
          </w:p>
        </w:tc>
        <w:tc>
          <w:tcPr>
            <w:tcW w:w="851" w:type="dxa"/>
            <w:tcBorders>
              <w:top w:val="nil"/>
              <w:left w:val="single" w:sz="8" w:space="0" w:color="auto"/>
              <w:bottom w:val="nil"/>
              <w:right w:val="nil"/>
            </w:tcBorders>
            <w:shd w:val="clear" w:color="auto" w:fill="auto"/>
            <w:noWrap/>
            <w:vAlign w:val="center"/>
            <w:hideMark/>
          </w:tcPr>
          <w:p w14:paraId="2D5C7604" w14:textId="77777777" w:rsidR="00F341B2" w:rsidRPr="00F341B2" w:rsidRDefault="00F341B2" w:rsidP="00F341B2">
            <w:pPr>
              <w:spacing w:after="0" w:line="240" w:lineRule="auto"/>
              <w:jc w:val="right"/>
              <w:rPr>
                <w:rFonts w:cs="Arial"/>
                <w:color w:val="000000"/>
                <w:sz w:val="16"/>
                <w:szCs w:val="16"/>
              </w:rPr>
            </w:pPr>
            <w:r w:rsidRPr="00F341B2">
              <w:rPr>
                <w:rFonts w:cs="Arial"/>
                <w:color w:val="000000"/>
                <w:sz w:val="16"/>
                <w:szCs w:val="16"/>
              </w:rPr>
              <w:t xml:space="preserve">1 891 </w:t>
            </w:r>
          </w:p>
        </w:tc>
        <w:tc>
          <w:tcPr>
            <w:tcW w:w="850" w:type="dxa"/>
            <w:tcBorders>
              <w:top w:val="nil"/>
              <w:left w:val="nil"/>
              <w:bottom w:val="nil"/>
              <w:right w:val="single" w:sz="8" w:space="0" w:color="auto"/>
            </w:tcBorders>
            <w:shd w:val="clear" w:color="auto" w:fill="auto"/>
            <w:noWrap/>
            <w:vAlign w:val="center"/>
            <w:hideMark/>
          </w:tcPr>
          <w:p w14:paraId="4F2831F9"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lang w:eastAsia="en-US"/>
              </w:rPr>
              <w:t xml:space="preserve">3,8 </w:t>
            </w:r>
          </w:p>
        </w:tc>
        <w:tc>
          <w:tcPr>
            <w:tcW w:w="993" w:type="dxa"/>
            <w:tcBorders>
              <w:top w:val="nil"/>
              <w:left w:val="nil"/>
              <w:bottom w:val="nil"/>
              <w:right w:val="nil"/>
            </w:tcBorders>
            <w:shd w:val="clear" w:color="auto" w:fill="auto"/>
            <w:noWrap/>
            <w:vAlign w:val="center"/>
            <w:hideMark/>
          </w:tcPr>
          <w:p w14:paraId="5411F1FA" w14:textId="77777777" w:rsidR="00F341B2" w:rsidRPr="00F341B2" w:rsidRDefault="00F341B2" w:rsidP="00F341B2">
            <w:pPr>
              <w:spacing w:after="0" w:line="240" w:lineRule="auto"/>
              <w:jc w:val="right"/>
              <w:rPr>
                <w:rFonts w:cs="Arial"/>
                <w:color w:val="000000"/>
                <w:sz w:val="16"/>
                <w:szCs w:val="16"/>
              </w:rPr>
            </w:pPr>
            <w:r w:rsidRPr="00F341B2">
              <w:rPr>
                <w:rFonts w:cs="Arial"/>
                <w:color w:val="000000"/>
                <w:sz w:val="16"/>
                <w:szCs w:val="16"/>
              </w:rPr>
              <w:t xml:space="preserve">22 268 </w:t>
            </w:r>
          </w:p>
        </w:tc>
        <w:tc>
          <w:tcPr>
            <w:tcW w:w="708" w:type="dxa"/>
            <w:tcBorders>
              <w:top w:val="nil"/>
              <w:left w:val="nil"/>
              <w:bottom w:val="nil"/>
              <w:right w:val="nil"/>
            </w:tcBorders>
            <w:shd w:val="clear" w:color="auto" w:fill="auto"/>
            <w:noWrap/>
            <w:vAlign w:val="center"/>
            <w:hideMark/>
          </w:tcPr>
          <w:p w14:paraId="4F7CD976"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lang w:eastAsia="en-US"/>
              </w:rPr>
              <w:t xml:space="preserve">2,3 </w:t>
            </w:r>
          </w:p>
        </w:tc>
        <w:tc>
          <w:tcPr>
            <w:tcW w:w="851" w:type="dxa"/>
            <w:tcBorders>
              <w:top w:val="nil"/>
              <w:left w:val="single" w:sz="8" w:space="0" w:color="auto"/>
              <w:bottom w:val="nil"/>
              <w:right w:val="nil"/>
            </w:tcBorders>
            <w:shd w:val="clear" w:color="auto" w:fill="auto"/>
            <w:noWrap/>
            <w:vAlign w:val="center"/>
            <w:hideMark/>
          </w:tcPr>
          <w:p w14:paraId="03AF7550" w14:textId="77777777" w:rsidR="00F341B2" w:rsidRPr="00F341B2" w:rsidRDefault="00F341B2" w:rsidP="00F341B2">
            <w:pPr>
              <w:spacing w:after="0" w:line="240" w:lineRule="auto"/>
              <w:jc w:val="right"/>
              <w:rPr>
                <w:rFonts w:cs="Arial"/>
                <w:color w:val="000000"/>
                <w:sz w:val="16"/>
                <w:szCs w:val="16"/>
              </w:rPr>
            </w:pPr>
            <w:r w:rsidRPr="00F341B2">
              <w:rPr>
                <w:rFonts w:cs="Arial"/>
                <w:color w:val="000000"/>
                <w:sz w:val="16"/>
                <w:szCs w:val="16"/>
              </w:rPr>
              <w:t xml:space="preserve">2 346 </w:t>
            </w:r>
          </w:p>
        </w:tc>
        <w:tc>
          <w:tcPr>
            <w:tcW w:w="992" w:type="dxa"/>
            <w:tcBorders>
              <w:top w:val="nil"/>
              <w:left w:val="nil"/>
              <w:bottom w:val="nil"/>
              <w:right w:val="single" w:sz="8" w:space="0" w:color="auto"/>
            </w:tcBorders>
            <w:shd w:val="clear" w:color="auto" w:fill="auto"/>
            <w:noWrap/>
            <w:vAlign w:val="center"/>
            <w:hideMark/>
          </w:tcPr>
          <w:p w14:paraId="7D3431AF"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lang w:eastAsia="en-US"/>
              </w:rPr>
              <w:t xml:space="preserve">3,3 </w:t>
            </w:r>
          </w:p>
        </w:tc>
        <w:tc>
          <w:tcPr>
            <w:tcW w:w="851" w:type="dxa"/>
            <w:tcBorders>
              <w:top w:val="nil"/>
              <w:left w:val="nil"/>
              <w:bottom w:val="nil"/>
              <w:right w:val="nil"/>
            </w:tcBorders>
            <w:shd w:val="clear" w:color="auto" w:fill="auto"/>
            <w:noWrap/>
            <w:vAlign w:val="center"/>
            <w:hideMark/>
          </w:tcPr>
          <w:p w14:paraId="56630C8C"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rPr>
              <w:t xml:space="preserve">11,8 </w:t>
            </w:r>
          </w:p>
        </w:tc>
        <w:tc>
          <w:tcPr>
            <w:tcW w:w="788" w:type="dxa"/>
            <w:tcBorders>
              <w:top w:val="nil"/>
              <w:left w:val="nil"/>
              <w:bottom w:val="nil"/>
              <w:right w:val="single" w:sz="8" w:space="0" w:color="auto"/>
            </w:tcBorders>
            <w:shd w:val="clear" w:color="auto" w:fill="auto"/>
            <w:noWrap/>
            <w:vAlign w:val="center"/>
            <w:hideMark/>
          </w:tcPr>
          <w:p w14:paraId="30E52802"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rPr>
              <w:t xml:space="preserve">9,5 </w:t>
            </w:r>
          </w:p>
        </w:tc>
      </w:tr>
      <w:tr w:rsidR="00F341B2" w:rsidRPr="00F341B2" w14:paraId="70B34554" w14:textId="77777777" w:rsidTr="00C77964">
        <w:trPr>
          <w:trHeight w:val="300"/>
        </w:trPr>
        <w:tc>
          <w:tcPr>
            <w:tcW w:w="1134" w:type="dxa"/>
            <w:tcBorders>
              <w:top w:val="nil"/>
              <w:left w:val="single" w:sz="8" w:space="0" w:color="auto"/>
              <w:bottom w:val="nil"/>
              <w:right w:val="single" w:sz="8" w:space="0" w:color="auto"/>
            </w:tcBorders>
            <w:shd w:val="clear" w:color="auto" w:fill="auto"/>
            <w:noWrap/>
            <w:vAlign w:val="center"/>
            <w:hideMark/>
          </w:tcPr>
          <w:p w14:paraId="4B60F519" w14:textId="77777777" w:rsidR="00F341B2" w:rsidRPr="00F341B2" w:rsidRDefault="00F341B2" w:rsidP="00F341B2">
            <w:pPr>
              <w:spacing w:after="0" w:line="240" w:lineRule="auto"/>
              <w:rPr>
                <w:rFonts w:cs="Arial"/>
                <w:color w:val="000000"/>
                <w:sz w:val="16"/>
                <w:szCs w:val="16"/>
              </w:rPr>
            </w:pPr>
            <w:r w:rsidRPr="00F341B2">
              <w:rPr>
                <w:rFonts w:cs="Arial"/>
                <w:color w:val="000000"/>
                <w:sz w:val="16"/>
                <w:szCs w:val="16"/>
                <w:lang w:eastAsia="en-US"/>
              </w:rPr>
              <w:t xml:space="preserve">  církevní</w:t>
            </w:r>
          </w:p>
        </w:tc>
        <w:tc>
          <w:tcPr>
            <w:tcW w:w="851" w:type="dxa"/>
            <w:tcBorders>
              <w:top w:val="nil"/>
              <w:left w:val="nil"/>
              <w:bottom w:val="nil"/>
              <w:right w:val="nil"/>
            </w:tcBorders>
            <w:shd w:val="clear" w:color="auto" w:fill="auto"/>
            <w:noWrap/>
            <w:vAlign w:val="center"/>
            <w:hideMark/>
          </w:tcPr>
          <w:p w14:paraId="61A7AF93" w14:textId="77777777" w:rsidR="00F341B2" w:rsidRPr="00F341B2" w:rsidRDefault="00F341B2" w:rsidP="00F341B2">
            <w:pPr>
              <w:spacing w:after="0" w:line="240" w:lineRule="auto"/>
              <w:jc w:val="right"/>
              <w:rPr>
                <w:rFonts w:cs="Arial"/>
                <w:color w:val="000000"/>
                <w:sz w:val="16"/>
                <w:szCs w:val="16"/>
              </w:rPr>
            </w:pPr>
            <w:r w:rsidRPr="00F341B2">
              <w:rPr>
                <w:rFonts w:cs="Arial"/>
                <w:color w:val="000000"/>
                <w:sz w:val="16"/>
                <w:szCs w:val="16"/>
              </w:rPr>
              <w:t xml:space="preserve">48 </w:t>
            </w:r>
          </w:p>
        </w:tc>
        <w:tc>
          <w:tcPr>
            <w:tcW w:w="850" w:type="dxa"/>
            <w:tcBorders>
              <w:top w:val="nil"/>
              <w:left w:val="nil"/>
              <w:bottom w:val="nil"/>
              <w:right w:val="nil"/>
            </w:tcBorders>
            <w:shd w:val="clear" w:color="auto" w:fill="auto"/>
            <w:noWrap/>
            <w:vAlign w:val="center"/>
            <w:hideMark/>
          </w:tcPr>
          <w:p w14:paraId="79077F07"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lang w:eastAsia="en-US"/>
              </w:rPr>
              <w:t xml:space="preserve">1,1 </w:t>
            </w:r>
          </w:p>
        </w:tc>
        <w:tc>
          <w:tcPr>
            <w:tcW w:w="851" w:type="dxa"/>
            <w:tcBorders>
              <w:top w:val="nil"/>
              <w:left w:val="single" w:sz="8" w:space="0" w:color="auto"/>
              <w:bottom w:val="nil"/>
              <w:right w:val="nil"/>
            </w:tcBorders>
            <w:shd w:val="clear" w:color="auto" w:fill="auto"/>
            <w:noWrap/>
            <w:vAlign w:val="center"/>
            <w:hideMark/>
          </w:tcPr>
          <w:p w14:paraId="2FA12D93" w14:textId="77777777" w:rsidR="00F341B2" w:rsidRPr="00F341B2" w:rsidRDefault="00F341B2" w:rsidP="00F341B2">
            <w:pPr>
              <w:spacing w:after="0" w:line="240" w:lineRule="auto"/>
              <w:jc w:val="right"/>
              <w:rPr>
                <w:rFonts w:cs="Arial"/>
                <w:color w:val="000000"/>
                <w:sz w:val="16"/>
                <w:szCs w:val="16"/>
              </w:rPr>
            </w:pPr>
            <w:r w:rsidRPr="00F341B2">
              <w:rPr>
                <w:rFonts w:cs="Arial"/>
                <w:color w:val="000000"/>
                <w:sz w:val="16"/>
                <w:szCs w:val="16"/>
              </w:rPr>
              <w:t xml:space="preserve">469 </w:t>
            </w:r>
          </w:p>
        </w:tc>
        <w:tc>
          <w:tcPr>
            <w:tcW w:w="850" w:type="dxa"/>
            <w:tcBorders>
              <w:top w:val="nil"/>
              <w:left w:val="nil"/>
              <w:bottom w:val="nil"/>
              <w:right w:val="single" w:sz="8" w:space="0" w:color="auto"/>
            </w:tcBorders>
            <w:shd w:val="clear" w:color="auto" w:fill="auto"/>
            <w:noWrap/>
            <w:vAlign w:val="center"/>
            <w:hideMark/>
          </w:tcPr>
          <w:p w14:paraId="555E27F5"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lang w:eastAsia="en-US"/>
              </w:rPr>
              <w:t xml:space="preserve">0,9 </w:t>
            </w:r>
          </w:p>
        </w:tc>
        <w:tc>
          <w:tcPr>
            <w:tcW w:w="993" w:type="dxa"/>
            <w:tcBorders>
              <w:top w:val="nil"/>
              <w:left w:val="nil"/>
              <w:bottom w:val="nil"/>
              <w:right w:val="nil"/>
            </w:tcBorders>
            <w:shd w:val="clear" w:color="auto" w:fill="auto"/>
            <w:noWrap/>
            <w:vAlign w:val="center"/>
            <w:hideMark/>
          </w:tcPr>
          <w:p w14:paraId="182FCDC1" w14:textId="77777777" w:rsidR="00F341B2" w:rsidRPr="00F341B2" w:rsidRDefault="00F341B2" w:rsidP="00F341B2">
            <w:pPr>
              <w:spacing w:after="0" w:line="240" w:lineRule="auto"/>
              <w:jc w:val="right"/>
              <w:rPr>
                <w:rFonts w:cs="Arial"/>
                <w:color w:val="000000"/>
                <w:sz w:val="16"/>
                <w:szCs w:val="16"/>
              </w:rPr>
            </w:pPr>
            <w:r w:rsidRPr="00F341B2">
              <w:rPr>
                <w:rFonts w:cs="Arial"/>
                <w:color w:val="000000"/>
                <w:sz w:val="16"/>
                <w:szCs w:val="16"/>
              </w:rPr>
              <w:t xml:space="preserve">7 451 </w:t>
            </w:r>
          </w:p>
        </w:tc>
        <w:tc>
          <w:tcPr>
            <w:tcW w:w="708" w:type="dxa"/>
            <w:tcBorders>
              <w:top w:val="nil"/>
              <w:left w:val="nil"/>
              <w:bottom w:val="nil"/>
              <w:right w:val="nil"/>
            </w:tcBorders>
            <w:shd w:val="clear" w:color="auto" w:fill="auto"/>
            <w:noWrap/>
            <w:vAlign w:val="center"/>
            <w:hideMark/>
          </w:tcPr>
          <w:p w14:paraId="7CF5203A"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lang w:eastAsia="en-US"/>
              </w:rPr>
              <w:t xml:space="preserve">0,8 </w:t>
            </w:r>
          </w:p>
        </w:tc>
        <w:tc>
          <w:tcPr>
            <w:tcW w:w="851" w:type="dxa"/>
            <w:tcBorders>
              <w:top w:val="nil"/>
              <w:left w:val="single" w:sz="8" w:space="0" w:color="auto"/>
              <w:bottom w:val="nil"/>
              <w:right w:val="nil"/>
            </w:tcBorders>
            <w:shd w:val="clear" w:color="auto" w:fill="auto"/>
            <w:noWrap/>
            <w:vAlign w:val="center"/>
            <w:hideMark/>
          </w:tcPr>
          <w:p w14:paraId="62E25D56" w14:textId="77777777" w:rsidR="00F341B2" w:rsidRPr="00F341B2" w:rsidRDefault="00F341B2" w:rsidP="00F341B2">
            <w:pPr>
              <w:spacing w:after="0" w:line="240" w:lineRule="auto"/>
              <w:jc w:val="right"/>
              <w:rPr>
                <w:rFonts w:cs="Arial"/>
                <w:color w:val="000000"/>
                <w:sz w:val="16"/>
                <w:szCs w:val="16"/>
              </w:rPr>
            </w:pPr>
            <w:r w:rsidRPr="00F341B2">
              <w:rPr>
                <w:rFonts w:cs="Arial"/>
                <w:color w:val="000000"/>
                <w:sz w:val="16"/>
                <w:szCs w:val="16"/>
              </w:rPr>
              <w:t xml:space="preserve">627 </w:t>
            </w:r>
          </w:p>
        </w:tc>
        <w:tc>
          <w:tcPr>
            <w:tcW w:w="992" w:type="dxa"/>
            <w:tcBorders>
              <w:top w:val="nil"/>
              <w:left w:val="nil"/>
              <w:bottom w:val="nil"/>
              <w:right w:val="single" w:sz="8" w:space="0" w:color="auto"/>
            </w:tcBorders>
            <w:shd w:val="clear" w:color="auto" w:fill="auto"/>
            <w:noWrap/>
            <w:vAlign w:val="center"/>
            <w:hideMark/>
          </w:tcPr>
          <w:p w14:paraId="21238748"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lang w:eastAsia="en-US"/>
              </w:rPr>
              <w:t xml:space="preserve">0,9 </w:t>
            </w:r>
          </w:p>
        </w:tc>
        <w:tc>
          <w:tcPr>
            <w:tcW w:w="851" w:type="dxa"/>
            <w:tcBorders>
              <w:top w:val="nil"/>
              <w:left w:val="nil"/>
              <w:bottom w:val="nil"/>
              <w:right w:val="nil"/>
            </w:tcBorders>
            <w:shd w:val="clear" w:color="auto" w:fill="auto"/>
            <w:noWrap/>
            <w:vAlign w:val="center"/>
            <w:hideMark/>
          </w:tcPr>
          <w:p w14:paraId="6B09A33B"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rPr>
              <w:t xml:space="preserve">15,9 </w:t>
            </w:r>
          </w:p>
        </w:tc>
        <w:tc>
          <w:tcPr>
            <w:tcW w:w="788" w:type="dxa"/>
            <w:tcBorders>
              <w:top w:val="nil"/>
              <w:left w:val="nil"/>
              <w:bottom w:val="nil"/>
              <w:right w:val="single" w:sz="8" w:space="0" w:color="auto"/>
            </w:tcBorders>
            <w:shd w:val="clear" w:color="auto" w:fill="auto"/>
            <w:noWrap/>
            <w:vAlign w:val="center"/>
            <w:hideMark/>
          </w:tcPr>
          <w:p w14:paraId="6BC7F29C" w14:textId="77777777" w:rsidR="00F341B2" w:rsidRPr="00F341B2" w:rsidRDefault="00F341B2" w:rsidP="00F341B2">
            <w:pPr>
              <w:spacing w:after="0" w:line="240" w:lineRule="auto"/>
              <w:jc w:val="right"/>
              <w:rPr>
                <w:rFonts w:cs="Arial"/>
                <w:i/>
                <w:iCs/>
                <w:sz w:val="16"/>
                <w:szCs w:val="16"/>
              </w:rPr>
            </w:pPr>
            <w:r w:rsidRPr="00F341B2">
              <w:rPr>
                <w:rFonts w:cs="Arial"/>
                <w:i/>
                <w:iCs/>
                <w:sz w:val="16"/>
                <w:szCs w:val="16"/>
              </w:rPr>
              <w:t xml:space="preserve">11,9 </w:t>
            </w:r>
          </w:p>
        </w:tc>
      </w:tr>
      <w:tr w:rsidR="00F341B2" w:rsidRPr="00F341B2" w14:paraId="085CADA3" w14:textId="77777777" w:rsidTr="00A63BD8">
        <w:trPr>
          <w:trHeight w:val="315"/>
        </w:trPr>
        <w:tc>
          <w:tcPr>
            <w:tcW w:w="1134" w:type="dxa"/>
            <w:tcBorders>
              <w:top w:val="nil"/>
              <w:left w:val="single" w:sz="8" w:space="0" w:color="auto"/>
              <w:bottom w:val="single" w:sz="8" w:space="0" w:color="auto"/>
              <w:right w:val="single" w:sz="8" w:space="0" w:color="auto"/>
            </w:tcBorders>
            <w:shd w:val="clear" w:color="auto" w:fill="auto"/>
            <w:noWrap/>
            <w:vAlign w:val="center"/>
            <w:hideMark/>
          </w:tcPr>
          <w:p w14:paraId="28778EB2" w14:textId="4B218BE7" w:rsidR="00F341B2" w:rsidRPr="00F341B2" w:rsidRDefault="003323A1" w:rsidP="00F341B2">
            <w:pPr>
              <w:spacing w:after="0" w:line="240" w:lineRule="auto"/>
              <w:rPr>
                <w:rFonts w:cs="Arial"/>
                <w:b/>
                <w:bCs/>
                <w:color w:val="000000"/>
                <w:sz w:val="16"/>
                <w:szCs w:val="16"/>
              </w:rPr>
            </w:pPr>
            <w:r>
              <w:rPr>
                <w:rFonts w:cs="Arial"/>
                <w:b/>
                <w:bCs/>
                <w:color w:val="000000"/>
                <w:sz w:val="16"/>
                <w:szCs w:val="16"/>
                <w:lang w:eastAsia="en-US"/>
              </w:rPr>
              <w:t xml:space="preserve">  c</w:t>
            </w:r>
            <w:r w:rsidR="00F341B2" w:rsidRPr="00F341B2">
              <w:rPr>
                <w:rFonts w:cs="Arial"/>
                <w:b/>
                <w:bCs/>
                <w:color w:val="000000"/>
                <w:sz w:val="16"/>
                <w:szCs w:val="16"/>
                <w:lang w:eastAsia="en-US"/>
              </w:rPr>
              <w:t>elkem</w:t>
            </w:r>
          </w:p>
        </w:tc>
        <w:tc>
          <w:tcPr>
            <w:tcW w:w="851" w:type="dxa"/>
            <w:tcBorders>
              <w:top w:val="nil"/>
              <w:left w:val="nil"/>
              <w:bottom w:val="single" w:sz="8" w:space="0" w:color="auto"/>
              <w:right w:val="nil"/>
            </w:tcBorders>
            <w:shd w:val="clear" w:color="auto" w:fill="auto"/>
            <w:noWrap/>
            <w:vAlign w:val="center"/>
            <w:hideMark/>
          </w:tcPr>
          <w:p w14:paraId="0DA9FACA" w14:textId="77777777" w:rsidR="00F341B2" w:rsidRPr="00F341B2" w:rsidRDefault="00F341B2" w:rsidP="00F341B2">
            <w:pPr>
              <w:spacing w:after="0" w:line="240" w:lineRule="auto"/>
              <w:jc w:val="right"/>
              <w:rPr>
                <w:rFonts w:ascii="Calibri" w:hAnsi="Calibri" w:cs="Calibri"/>
                <w:b/>
                <w:bCs/>
                <w:color w:val="000000"/>
                <w:sz w:val="18"/>
                <w:szCs w:val="18"/>
              </w:rPr>
            </w:pPr>
            <w:r w:rsidRPr="00F341B2">
              <w:rPr>
                <w:rFonts w:ascii="Calibri" w:hAnsi="Calibri" w:cs="Calibri"/>
                <w:b/>
                <w:bCs/>
                <w:color w:val="000000"/>
                <w:sz w:val="18"/>
                <w:szCs w:val="18"/>
              </w:rPr>
              <w:t xml:space="preserve">4 238 </w:t>
            </w:r>
          </w:p>
        </w:tc>
        <w:tc>
          <w:tcPr>
            <w:tcW w:w="850" w:type="dxa"/>
            <w:tcBorders>
              <w:top w:val="nil"/>
              <w:left w:val="nil"/>
              <w:bottom w:val="single" w:sz="8" w:space="0" w:color="auto"/>
              <w:right w:val="nil"/>
            </w:tcBorders>
            <w:shd w:val="clear" w:color="auto" w:fill="auto"/>
            <w:noWrap/>
            <w:vAlign w:val="center"/>
            <w:hideMark/>
          </w:tcPr>
          <w:p w14:paraId="4D06CCBB" w14:textId="77777777" w:rsidR="00F341B2" w:rsidRPr="00F341B2" w:rsidRDefault="00F341B2" w:rsidP="00F341B2">
            <w:pPr>
              <w:spacing w:after="0" w:line="240" w:lineRule="auto"/>
              <w:jc w:val="right"/>
              <w:rPr>
                <w:rFonts w:cs="Arial"/>
                <w:b/>
                <w:bCs/>
                <w:color w:val="000000"/>
                <w:sz w:val="16"/>
                <w:szCs w:val="16"/>
              </w:rPr>
            </w:pPr>
            <w:r w:rsidRPr="00F341B2">
              <w:rPr>
                <w:rFonts w:cs="Arial"/>
                <w:b/>
                <w:bCs/>
                <w:color w:val="000000"/>
                <w:sz w:val="16"/>
                <w:szCs w:val="16"/>
                <w:lang w:eastAsia="en-US"/>
              </w:rPr>
              <w:t xml:space="preserve">100,0 </w:t>
            </w:r>
          </w:p>
        </w:tc>
        <w:tc>
          <w:tcPr>
            <w:tcW w:w="851" w:type="dxa"/>
            <w:tcBorders>
              <w:top w:val="nil"/>
              <w:left w:val="single" w:sz="8" w:space="0" w:color="auto"/>
              <w:bottom w:val="single" w:sz="8" w:space="0" w:color="auto"/>
              <w:right w:val="nil"/>
            </w:tcBorders>
            <w:shd w:val="clear" w:color="auto" w:fill="auto"/>
            <w:noWrap/>
            <w:vAlign w:val="center"/>
            <w:hideMark/>
          </w:tcPr>
          <w:p w14:paraId="18E9085D" w14:textId="77777777" w:rsidR="00F341B2" w:rsidRPr="00F341B2" w:rsidRDefault="00F341B2" w:rsidP="00F341B2">
            <w:pPr>
              <w:spacing w:after="0" w:line="240" w:lineRule="auto"/>
              <w:jc w:val="right"/>
              <w:rPr>
                <w:rFonts w:ascii="Calibri" w:hAnsi="Calibri" w:cs="Calibri"/>
                <w:b/>
                <w:bCs/>
                <w:color w:val="000000"/>
                <w:sz w:val="18"/>
                <w:szCs w:val="18"/>
              </w:rPr>
            </w:pPr>
            <w:r w:rsidRPr="00F341B2">
              <w:rPr>
                <w:rFonts w:ascii="Calibri" w:hAnsi="Calibri" w:cs="Calibri"/>
                <w:b/>
                <w:bCs/>
                <w:color w:val="000000"/>
                <w:sz w:val="18"/>
                <w:szCs w:val="18"/>
              </w:rPr>
              <w:t xml:space="preserve">50 050 </w:t>
            </w:r>
          </w:p>
        </w:tc>
        <w:tc>
          <w:tcPr>
            <w:tcW w:w="850" w:type="dxa"/>
            <w:tcBorders>
              <w:top w:val="nil"/>
              <w:left w:val="nil"/>
              <w:bottom w:val="single" w:sz="8" w:space="0" w:color="auto"/>
              <w:right w:val="single" w:sz="8" w:space="0" w:color="auto"/>
            </w:tcBorders>
            <w:shd w:val="clear" w:color="auto" w:fill="auto"/>
            <w:noWrap/>
            <w:vAlign w:val="center"/>
            <w:hideMark/>
          </w:tcPr>
          <w:p w14:paraId="3EF296E0" w14:textId="77777777" w:rsidR="00F341B2" w:rsidRPr="00F341B2" w:rsidRDefault="00F341B2" w:rsidP="00F341B2">
            <w:pPr>
              <w:spacing w:after="0" w:line="240" w:lineRule="auto"/>
              <w:jc w:val="right"/>
              <w:rPr>
                <w:rFonts w:cs="Arial"/>
                <w:b/>
                <w:bCs/>
                <w:color w:val="000000"/>
                <w:sz w:val="16"/>
                <w:szCs w:val="16"/>
              </w:rPr>
            </w:pPr>
            <w:r w:rsidRPr="00F341B2">
              <w:rPr>
                <w:rFonts w:cs="Arial"/>
                <w:b/>
                <w:bCs/>
                <w:color w:val="000000"/>
                <w:sz w:val="16"/>
                <w:szCs w:val="16"/>
                <w:lang w:eastAsia="en-US"/>
              </w:rPr>
              <w:t xml:space="preserve">100,0 </w:t>
            </w:r>
          </w:p>
        </w:tc>
        <w:tc>
          <w:tcPr>
            <w:tcW w:w="993" w:type="dxa"/>
            <w:tcBorders>
              <w:top w:val="nil"/>
              <w:left w:val="nil"/>
              <w:bottom w:val="single" w:sz="8" w:space="0" w:color="auto"/>
              <w:right w:val="nil"/>
            </w:tcBorders>
            <w:shd w:val="clear" w:color="auto" w:fill="auto"/>
            <w:noWrap/>
            <w:vAlign w:val="center"/>
            <w:hideMark/>
          </w:tcPr>
          <w:p w14:paraId="7B92E6F6" w14:textId="77777777" w:rsidR="00F341B2" w:rsidRPr="00F341B2" w:rsidRDefault="00F341B2" w:rsidP="00F341B2">
            <w:pPr>
              <w:spacing w:after="0" w:line="240" w:lineRule="auto"/>
              <w:jc w:val="right"/>
              <w:rPr>
                <w:rFonts w:ascii="Calibri" w:hAnsi="Calibri" w:cs="Calibri"/>
                <w:b/>
                <w:bCs/>
                <w:color w:val="000000"/>
                <w:sz w:val="18"/>
                <w:szCs w:val="18"/>
              </w:rPr>
            </w:pPr>
            <w:r w:rsidRPr="00F341B2">
              <w:rPr>
                <w:rFonts w:ascii="Calibri" w:hAnsi="Calibri" w:cs="Calibri"/>
                <w:b/>
                <w:bCs/>
                <w:color w:val="000000"/>
                <w:sz w:val="18"/>
                <w:szCs w:val="18"/>
              </w:rPr>
              <w:t xml:space="preserve">964 571 </w:t>
            </w:r>
          </w:p>
        </w:tc>
        <w:tc>
          <w:tcPr>
            <w:tcW w:w="708" w:type="dxa"/>
            <w:tcBorders>
              <w:top w:val="nil"/>
              <w:left w:val="nil"/>
              <w:bottom w:val="single" w:sz="8" w:space="0" w:color="auto"/>
              <w:right w:val="nil"/>
            </w:tcBorders>
            <w:shd w:val="clear" w:color="auto" w:fill="auto"/>
            <w:noWrap/>
            <w:vAlign w:val="center"/>
            <w:hideMark/>
          </w:tcPr>
          <w:p w14:paraId="4DB37888" w14:textId="77777777" w:rsidR="00F341B2" w:rsidRPr="00F341B2" w:rsidRDefault="00F341B2" w:rsidP="00F341B2">
            <w:pPr>
              <w:spacing w:after="0" w:line="240" w:lineRule="auto"/>
              <w:jc w:val="right"/>
              <w:rPr>
                <w:rFonts w:cs="Arial"/>
                <w:b/>
                <w:bCs/>
                <w:color w:val="000000"/>
                <w:sz w:val="16"/>
                <w:szCs w:val="16"/>
              </w:rPr>
            </w:pPr>
            <w:r w:rsidRPr="00F341B2">
              <w:rPr>
                <w:rFonts w:cs="Arial"/>
                <w:b/>
                <w:bCs/>
                <w:color w:val="000000"/>
                <w:sz w:val="16"/>
                <w:szCs w:val="16"/>
                <w:lang w:eastAsia="en-US"/>
              </w:rPr>
              <w:t xml:space="preserve">100,0 </w:t>
            </w:r>
          </w:p>
        </w:tc>
        <w:tc>
          <w:tcPr>
            <w:tcW w:w="851" w:type="dxa"/>
            <w:tcBorders>
              <w:top w:val="nil"/>
              <w:left w:val="single" w:sz="8" w:space="0" w:color="auto"/>
              <w:bottom w:val="single" w:sz="8" w:space="0" w:color="auto"/>
              <w:right w:val="nil"/>
            </w:tcBorders>
            <w:shd w:val="clear" w:color="auto" w:fill="auto"/>
            <w:noWrap/>
            <w:vAlign w:val="center"/>
            <w:hideMark/>
          </w:tcPr>
          <w:p w14:paraId="7923DB56" w14:textId="77777777" w:rsidR="00F341B2" w:rsidRPr="00F341B2" w:rsidRDefault="00F341B2" w:rsidP="00F341B2">
            <w:pPr>
              <w:spacing w:after="0" w:line="240" w:lineRule="auto"/>
              <w:jc w:val="right"/>
              <w:rPr>
                <w:rFonts w:cs="Arial"/>
                <w:b/>
                <w:bCs/>
                <w:sz w:val="16"/>
                <w:szCs w:val="16"/>
              </w:rPr>
            </w:pPr>
            <w:r w:rsidRPr="00F341B2">
              <w:rPr>
                <w:rFonts w:cs="Arial"/>
                <w:b/>
                <w:bCs/>
                <w:sz w:val="16"/>
                <w:szCs w:val="16"/>
              </w:rPr>
              <w:t xml:space="preserve">71 325 </w:t>
            </w:r>
          </w:p>
        </w:tc>
        <w:tc>
          <w:tcPr>
            <w:tcW w:w="992" w:type="dxa"/>
            <w:tcBorders>
              <w:top w:val="nil"/>
              <w:left w:val="nil"/>
              <w:bottom w:val="single" w:sz="8" w:space="0" w:color="auto"/>
              <w:right w:val="single" w:sz="8" w:space="0" w:color="auto"/>
            </w:tcBorders>
            <w:shd w:val="clear" w:color="auto" w:fill="auto"/>
            <w:noWrap/>
            <w:vAlign w:val="center"/>
            <w:hideMark/>
          </w:tcPr>
          <w:p w14:paraId="6FA25B97" w14:textId="77777777" w:rsidR="00F341B2" w:rsidRPr="00F341B2" w:rsidRDefault="00F341B2" w:rsidP="00F341B2">
            <w:pPr>
              <w:spacing w:after="0" w:line="240" w:lineRule="auto"/>
              <w:jc w:val="right"/>
              <w:rPr>
                <w:rFonts w:cs="Arial"/>
                <w:b/>
                <w:bCs/>
                <w:color w:val="000000"/>
                <w:sz w:val="16"/>
                <w:szCs w:val="16"/>
              </w:rPr>
            </w:pPr>
            <w:r w:rsidRPr="00F341B2">
              <w:rPr>
                <w:rFonts w:cs="Arial"/>
                <w:b/>
                <w:bCs/>
                <w:color w:val="000000"/>
                <w:sz w:val="16"/>
                <w:szCs w:val="16"/>
                <w:lang w:eastAsia="en-US"/>
              </w:rPr>
              <w:t xml:space="preserve">100,0 </w:t>
            </w:r>
          </w:p>
        </w:tc>
        <w:tc>
          <w:tcPr>
            <w:tcW w:w="851" w:type="dxa"/>
            <w:tcBorders>
              <w:top w:val="nil"/>
              <w:left w:val="nil"/>
              <w:bottom w:val="single" w:sz="8" w:space="0" w:color="auto"/>
              <w:right w:val="nil"/>
            </w:tcBorders>
            <w:shd w:val="clear" w:color="auto" w:fill="auto"/>
            <w:noWrap/>
            <w:vAlign w:val="center"/>
            <w:hideMark/>
          </w:tcPr>
          <w:p w14:paraId="42A098AE" w14:textId="77777777" w:rsidR="00F341B2" w:rsidRPr="00F341B2" w:rsidRDefault="00F341B2" w:rsidP="00F341B2">
            <w:pPr>
              <w:spacing w:after="0" w:line="240" w:lineRule="auto"/>
              <w:jc w:val="right"/>
              <w:rPr>
                <w:rFonts w:cs="Arial"/>
                <w:b/>
                <w:bCs/>
                <w:i/>
                <w:iCs/>
                <w:sz w:val="16"/>
                <w:szCs w:val="16"/>
              </w:rPr>
            </w:pPr>
            <w:r w:rsidRPr="00F341B2">
              <w:rPr>
                <w:rFonts w:cs="Arial"/>
                <w:b/>
                <w:bCs/>
                <w:i/>
                <w:iCs/>
                <w:sz w:val="16"/>
                <w:szCs w:val="16"/>
              </w:rPr>
              <w:t xml:space="preserve">19,3 </w:t>
            </w:r>
          </w:p>
        </w:tc>
        <w:tc>
          <w:tcPr>
            <w:tcW w:w="788" w:type="dxa"/>
            <w:tcBorders>
              <w:top w:val="nil"/>
              <w:left w:val="nil"/>
              <w:bottom w:val="single" w:sz="8" w:space="0" w:color="auto"/>
              <w:right w:val="single" w:sz="8" w:space="0" w:color="auto"/>
            </w:tcBorders>
            <w:shd w:val="clear" w:color="auto" w:fill="auto"/>
            <w:noWrap/>
            <w:vAlign w:val="center"/>
            <w:hideMark/>
          </w:tcPr>
          <w:p w14:paraId="260E298C" w14:textId="77777777" w:rsidR="00F341B2" w:rsidRPr="00F341B2" w:rsidRDefault="00F341B2" w:rsidP="00F341B2">
            <w:pPr>
              <w:spacing w:after="0" w:line="240" w:lineRule="auto"/>
              <w:jc w:val="right"/>
              <w:rPr>
                <w:rFonts w:cs="Arial"/>
                <w:b/>
                <w:bCs/>
                <w:i/>
                <w:iCs/>
                <w:sz w:val="16"/>
                <w:szCs w:val="16"/>
              </w:rPr>
            </w:pPr>
            <w:r w:rsidRPr="00F341B2">
              <w:rPr>
                <w:rFonts w:cs="Arial"/>
                <w:b/>
                <w:bCs/>
                <w:i/>
                <w:iCs/>
                <w:sz w:val="16"/>
                <w:szCs w:val="16"/>
              </w:rPr>
              <w:t xml:space="preserve">13,5 </w:t>
            </w:r>
          </w:p>
        </w:tc>
      </w:tr>
    </w:tbl>
    <w:p w14:paraId="4DAA04DE" w14:textId="7275A811" w:rsidR="00FF6B7E" w:rsidRPr="003C6725" w:rsidRDefault="00FF6B7E" w:rsidP="00F4384B">
      <w:pPr>
        <w:spacing w:before="120" w:after="0"/>
        <w:jc w:val="both"/>
        <w:rPr>
          <w:rFonts w:cs="Arial"/>
          <w:sz w:val="16"/>
          <w:szCs w:val="16"/>
        </w:rPr>
      </w:pPr>
      <w:r w:rsidRPr="003C6725">
        <w:rPr>
          <w:rFonts w:cs="Arial"/>
          <w:sz w:val="16"/>
          <w:szCs w:val="16"/>
          <w:vertAlign w:val="superscript"/>
        </w:rPr>
        <w:t>1)</w:t>
      </w:r>
      <w:r w:rsidRPr="003C6725">
        <w:rPr>
          <w:rFonts w:cs="Arial"/>
          <w:sz w:val="16"/>
          <w:szCs w:val="16"/>
        </w:rPr>
        <w:t xml:space="preserve"> přepočtení na plně zaměstnané</w:t>
      </w:r>
    </w:p>
    <w:p w14:paraId="0E89A825" w14:textId="77ECF9BC" w:rsidR="00FF6B7E" w:rsidRDefault="00FF6B7E" w:rsidP="00C63A95">
      <w:pPr>
        <w:spacing w:after="120"/>
        <w:jc w:val="right"/>
        <w:rPr>
          <w:rFonts w:cs="Arial"/>
          <w:sz w:val="18"/>
        </w:rPr>
      </w:pPr>
      <w:r w:rsidRPr="004472A9">
        <w:rPr>
          <w:rFonts w:cs="Arial"/>
          <w:sz w:val="18"/>
        </w:rPr>
        <w:t>Zdroj: ČSÚ</w:t>
      </w:r>
      <w:r w:rsidRPr="004472A9">
        <w:rPr>
          <w:rFonts w:cs="Arial"/>
          <w:noProof/>
        </w:rPr>
        <w:t xml:space="preserve"> </w:t>
      </w:r>
      <w:r w:rsidRPr="004472A9">
        <w:rPr>
          <w:rFonts w:cs="Arial"/>
          <w:sz w:val="18"/>
        </w:rPr>
        <w:t>podle údajů MŠMT</w:t>
      </w:r>
    </w:p>
    <w:p w14:paraId="5935A5D8" w14:textId="77777777" w:rsidR="008737D3" w:rsidRPr="004472A9" w:rsidRDefault="008737D3" w:rsidP="00C63A95">
      <w:pPr>
        <w:spacing w:after="120"/>
        <w:jc w:val="right"/>
        <w:rPr>
          <w:rFonts w:cs="Arial"/>
          <w:iCs/>
        </w:rPr>
      </w:pPr>
    </w:p>
    <w:p w14:paraId="0ABF646C" w14:textId="21FC8D58" w:rsidR="00FF6B7E" w:rsidRPr="007D3898" w:rsidRDefault="00FF6B7E" w:rsidP="00FF6B7E">
      <w:pPr>
        <w:pStyle w:val="Nadpis2"/>
        <w:spacing w:after="120"/>
        <w:rPr>
          <w:color w:val="FF0000"/>
          <w:sz w:val="24"/>
        </w:rPr>
      </w:pPr>
      <w:bookmarkStart w:id="9" w:name="_Toc112069073"/>
      <w:r w:rsidRPr="00AC1AA3">
        <w:t>2.2 Základní školy podle typu a zřizovatele – školy a třídy</w:t>
      </w:r>
      <w:bookmarkEnd w:id="9"/>
      <w:r>
        <w:t xml:space="preserve"> </w:t>
      </w:r>
    </w:p>
    <w:p w14:paraId="07A5D318" w14:textId="05771C24" w:rsidR="00FF6B7E" w:rsidRDefault="00FF6B7E" w:rsidP="00FF6B7E">
      <w:pPr>
        <w:spacing w:after="120"/>
        <w:jc w:val="both"/>
        <w:rPr>
          <w:rFonts w:cs="Arial"/>
          <w:szCs w:val="20"/>
        </w:rPr>
      </w:pPr>
      <w:r w:rsidRPr="005E3099">
        <w:rPr>
          <w:rFonts w:cs="Arial"/>
          <w:szCs w:val="20"/>
        </w:rPr>
        <w:t xml:space="preserve">Z výše uvedených 4 </w:t>
      </w:r>
      <w:r w:rsidR="009943A7">
        <w:rPr>
          <w:rFonts w:cs="Arial"/>
          <w:szCs w:val="20"/>
        </w:rPr>
        <w:t>238</w:t>
      </w:r>
      <w:r w:rsidR="00AC1AA3">
        <w:rPr>
          <w:rFonts w:cs="Arial"/>
          <w:szCs w:val="20"/>
        </w:rPr>
        <w:t xml:space="preserve"> škol bylo 92,4</w:t>
      </w:r>
      <w:r w:rsidR="009943A7">
        <w:rPr>
          <w:rFonts w:cs="Arial"/>
          <w:szCs w:val="20"/>
        </w:rPr>
        <w:t xml:space="preserve"> % (3 917</w:t>
      </w:r>
      <w:r w:rsidRPr="005E3099">
        <w:rPr>
          <w:rFonts w:cs="Arial"/>
          <w:szCs w:val="20"/>
        </w:rPr>
        <w:t>) běž</w:t>
      </w:r>
      <w:r w:rsidR="009943A7">
        <w:rPr>
          <w:rFonts w:cs="Arial"/>
          <w:szCs w:val="20"/>
        </w:rPr>
        <w:t>ných škol a zbylých 321</w:t>
      </w:r>
      <w:r w:rsidR="00AC1AA3">
        <w:rPr>
          <w:rFonts w:cs="Arial"/>
          <w:szCs w:val="20"/>
        </w:rPr>
        <w:t xml:space="preserve"> škol</w:t>
      </w:r>
      <w:r w:rsidRPr="005E3099">
        <w:rPr>
          <w:rFonts w:cs="Arial"/>
          <w:szCs w:val="20"/>
        </w:rPr>
        <w:t xml:space="preserve"> tvořily </w:t>
      </w:r>
      <w:r w:rsidRPr="005E3099">
        <w:rPr>
          <w:rFonts w:cs="Arial"/>
          <w:b/>
          <w:szCs w:val="20"/>
        </w:rPr>
        <w:t>školy pro žáky se speciálními vzdělávacími potřebami (SVP).</w:t>
      </w:r>
      <w:r w:rsidRPr="005E3099">
        <w:rPr>
          <w:rFonts w:cs="Arial"/>
          <w:szCs w:val="20"/>
        </w:rPr>
        <w:t xml:space="preserve"> </w:t>
      </w:r>
      <w:r w:rsidR="00C36ECC">
        <w:rPr>
          <w:rFonts w:cs="Arial"/>
          <w:szCs w:val="20"/>
        </w:rPr>
        <w:t xml:space="preserve">Počet těchto škol v posledních deseti letech postupně klesal, pouze ve školním roce 2020/21 bylo o jednu takovou školu více (322) než v předchozím školním </w:t>
      </w:r>
      <w:r w:rsidR="00AB1C66">
        <w:rPr>
          <w:rFonts w:cs="Arial"/>
          <w:szCs w:val="20"/>
        </w:rPr>
        <w:t>roce (321). Před deseti lety, tj. v</w:t>
      </w:r>
      <w:r w:rsidR="00BD0155">
        <w:rPr>
          <w:rFonts w:cs="Arial"/>
          <w:szCs w:val="20"/>
        </w:rPr>
        <w:t>e školním roce 2011/12</w:t>
      </w:r>
      <w:r w:rsidR="00AB1C66">
        <w:rPr>
          <w:rFonts w:cs="Arial"/>
          <w:szCs w:val="20"/>
        </w:rPr>
        <w:t xml:space="preserve">, </w:t>
      </w:r>
      <w:r w:rsidR="00C36ECC">
        <w:rPr>
          <w:rFonts w:cs="Arial"/>
          <w:szCs w:val="20"/>
        </w:rPr>
        <w:t xml:space="preserve">však bylo </w:t>
      </w:r>
      <w:r w:rsidR="00BD0155">
        <w:rPr>
          <w:rFonts w:cs="Arial"/>
          <w:szCs w:val="20"/>
        </w:rPr>
        <w:t xml:space="preserve">o pětinu </w:t>
      </w:r>
      <w:r w:rsidR="00D26C4E">
        <w:rPr>
          <w:rFonts w:cs="Arial"/>
          <w:szCs w:val="20"/>
        </w:rPr>
        <w:t xml:space="preserve">takových </w:t>
      </w:r>
      <w:r w:rsidR="00AB1C66">
        <w:rPr>
          <w:rFonts w:cs="Arial"/>
          <w:szCs w:val="20"/>
        </w:rPr>
        <w:t xml:space="preserve">škol </w:t>
      </w:r>
      <w:r w:rsidR="00BD0155">
        <w:rPr>
          <w:rFonts w:cs="Arial"/>
          <w:szCs w:val="20"/>
        </w:rPr>
        <w:t>více (404</w:t>
      </w:r>
      <w:r w:rsidR="00C36ECC">
        <w:rPr>
          <w:rFonts w:cs="Arial"/>
          <w:szCs w:val="20"/>
        </w:rPr>
        <w:t>)</w:t>
      </w:r>
      <w:r w:rsidR="00BD0155">
        <w:rPr>
          <w:rFonts w:cs="Arial"/>
          <w:szCs w:val="20"/>
        </w:rPr>
        <w:t xml:space="preserve"> než ve školním roce 2021/22</w:t>
      </w:r>
      <w:r w:rsidR="001B0FE4">
        <w:rPr>
          <w:rFonts w:cs="Arial"/>
          <w:szCs w:val="20"/>
        </w:rPr>
        <w:t xml:space="preserve">. </w:t>
      </w:r>
      <w:r w:rsidR="00AC1AA3">
        <w:rPr>
          <w:rFonts w:cs="Arial"/>
          <w:szCs w:val="20"/>
        </w:rPr>
        <w:t xml:space="preserve">Podíl žáků ve školách určených výhradně pro žáky se SVP ze všech žáků základních škol </w:t>
      </w:r>
      <w:r w:rsidR="00D06DA3">
        <w:rPr>
          <w:rFonts w:cs="Arial"/>
          <w:szCs w:val="20"/>
        </w:rPr>
        <w:t xml:space="preserve">mezi školními roky 2011/12 a 2018/19 postupně klesal, </w:t>
      </w:r>
      <w:r w:rsidR="00BD0155">
        <w:rPr>
          <w:rFonts w:cs="Arial"/>
          <w:szCs w:val="20"/>
        </w:rPr>
        <w:t xml:space="preserve">a sice z 3,3 % </w:t>
      </w:r>
      <w:r w:rsidR="00D06DA3">
        <w:rPr>
          <w:rFonts w:cs="Arial"/>
          <w:szCs w:val="20"/>
        </w:rPr>
        <w:t>na 2,4</w:t>
      </w:r>
      <w:r w:rsidR="00AC1AA3">
        <w:rPr>
          <w:rFonts w:cs="Arial"/>
          <w:szCs w:val="20"/>
        </w:rPr>
        <w:t> %</w:t>
      </w:r>
      <w:r w:rsidR="000C3380">
        <w:rPr>
          <w:rFonts w:cs="Arial"/>
          <w:szCs w:val="20"/>
        </w:rPr>
        <w:t>, na kterých se udržel do školního roku 2019/20. V následujícím</w:t>
      </w:r>
      <w:r w:rsidR="00AC1AA3">
        <w:rPr>
          <w:rFonts w:cs="Arial"/>
          <w:szCs w:val="20"/>
        </w:rPr>
        <w:t xml:space="preserve"> školním roce </w:t>
      </w:r>
      <w:r w:rsidR="000C3380">
        <w:rPr>
          <w:rFonts w:cs="Arial"/>
          <w:szCs w:val="20"/>
        </w:rPr>
        <w:t>o desetinu procentního bodu poklesl, k 30.</w:t>
      </w:r>
      <w:r w:rsidR="000C3380">
        <w:t> </w:t>
      </w:r>
      <w:r w:rsidR="000C3380">
        <w:rPr>
          <w:rFonts w:cs="Arial"/>
          <w:szCs w:val="20"/>
        </w:rPr>
        <w:t>9. 2021 však již činil opět 2,4 %</w:t>
      </w:r>
      <w:r w:rsidR="00AC1AA3">
        <w:rPr>
          <w:rFonts w:cs="Arial"/>
          <w:szCs w:val="20"/>
        </w:rPr>
        <w:t xml:space="preserve">. </w:t>
      </w:r>
      <w:r w:rsidRPr="005E3099">
        <w:rPr>
          <w:rFonts w:cs="Arial"/>
          <w:szCs w:val="20"/>
        </w:rPr>
        <w:t>Podrobněji se žákům se speciálními vzdělávacími potřebami a jejich integraci do běžných škol zabýváme</w:t>
      </w:r>
      <w:r>
        <w:rPr>
          <w:rFonts w:cs="Arial"/>
          <w:szCs w:val="20"/>
        </w:rPr>
        <w:t xml:space="preserve"> v kapitole 2.12.</w:t>
      </w:r>
    </w:p>
    <w:p w14:paraId="7F9FFB6F" w14:textId="4A7FF7A0" w:rsidR="00FF6B7E" w:rsidRDefault="00FF6B7E" w:rsidP="00275F01">
      <w:pPr>
        <w:keepNext/>
        <w:spacing w:after="120"/>
        <w:jc w:val="both"/>
        <w:rPr>
          <w:rFonts w:cs="Arial"/>
          <w:b/>
          <w:szCs w:val="20"/>
        </w:rPr>
      </w:pPr>
      <w:r w:rsidRPr="002E5300">
        <w:rPr>
          <w:rFonts w:cs="Arial"/>
          <w:b/>
          <w:szCs w:val="20"/>
        </w:rPr>
        <w:t xml:space="preserve">Graf </w:t>
      </w:r>
      <w:r>
        <w:rPr>
          <w:rFonts w:cs="Arial"/>
          <w:b/>
          <w:szCs w:val="20"/>
        </w:rPr>
        <w:t>2</w:t>
      </w:r>
      <w:r w:rsidRPr="002E5300">
        <w:rPr>
          <w:rFonts w:cs="Arial"/>
          <w:b/>
          <w:szCs w:val="20"/>
        </w:rPr>
        <w:t>.</w:t>
      </w:r>
      <w:r w:rsidR="00196337">
        <w:rPr>
          <w:rFonts w:cs="Arial"/>
          <w:b/>
          <w:szCs w:val="20"/>
        </w:rPr>
        <w:t>2</w:t>
      </w:r>
      <w:r w:rsidRPr="002E5300">
        <w:rPr>
          <w:rFonts w:cs="Arial"/>
          <w:b/>
          <w:szCs w:val="20"/>
        </w:rPr>
        <w:t xml:space="preserve"> </w:t>
      </w:r>
      <w:r w:rsidRPr="005E3099">
        <w:rPr>
          <w:rFonts w:cs="Arial"/>
          <w:b/>
          <w:szCs w:val="20"/>
        </w:rPr>
        <w:t xml:space="preserve">Základní školy určené </w:t>
      </w:r>
      <w:r w:rsidR="00552D10">
        <w:rPr>
          <w:rFonts w:cs="Arial"/>
          <w:b/>
          <w:szCs w:val="20"/>
        </w:rPr>
        <w:t xml:space="preserve">výhradně </w:t>
      </w:r>
      <w:r w:rsidRPr="005E3099">
        <w:rPr>
          <w:rFonts w:cs="Arial"/>
          <w:b/>
          <w:szCs w:val="20"/>
        </w:rPr>
        <w:t>pro děti se speciálními vzdělávacími potřebami</w:t>
      </w:r>
    </w:p>
    <w:p w14:paraId="74FE0397" w14:textId="6E37E7C3" w:rsidR="00552D10" w:rsidRDefault="00743769" w:rsidP="00743769">
      <w:pPr>
        <w:keepNext/>
        <w:spacing w:after="120"/>
        <w:jc w:val="both"/>
        <w:rPr>
          <w:rFonts w:cs="Arial"/>
          <w:b/>
          <w:szCs w:val="20"/>
        </w:rPr>
      </w:pPr>
      <w:r>
        <w:rPr>
          <w:noProof/>
        </w:rPr>
        <w:drawing>
          <wp:inline distT="0" distB="0" distL="0" distR="0" wp14:anchorId="049D3D8E" wp14:editId="13B75A09">
            <wp:extent cx="3162300" cy="2676525"/>
            <wp:effectExtent l="0" t="0" r="0" b="9525"/>
            <wp:docPr id="41" name="Graf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Pr>
          <w:noProof/>
        </w:rPr>
        <w:drawing>
          <wp:inline distT="0" distB="0" distL="0" distR="0" wp14:anchorId="4B9899C5" wp14:editId="08687B38">
            <wp:extent cx="2945765" cy="2702560"/>
            <wp:effectExtent l="0" t="0" r="6985" b="2540"/>
            <wp:docPr id="43" name="Graf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F85E91A" w14:textId="677E50EF" w:rsidR="00FF6B7E" w:rsidRPr="00552D10" w:rsidRDefault="00CF27F9" w:rsidP="00FF6B7E">
      <w:pPr>
        <w:spacing w:after="120"/>
        <w:jc w:val="both"/>
        <w:rPr>
          <w:noProof/>
          <w:lang w:val="en-US" w:eastAsia="en-US"/>
        </w:rPr>
      </w:pPr>
      <w:r>
        <w:rPr>
          <w:noProof/>
          <w:lang w:val="en-US" w:eastAsia="en-US"/>
        </w:rPr>
        <w:t xml:space="preserve">                                                                                                                            </w:t>
      </w:r>
      <w:r w:rsidR="00FF6B7E" w:rsidRPr="005E3099">
        <w:rPr>
          <w:noProof/>
          <w:lang w:val="en-US" w:eastAsia="en-US"/>
        </w:rPr>
        <w:t xml:space="preserve"> </w:t>
      </w:r>
      <w:r w:rsidR="00FF6B7E" w:rsidRPr="00F94849">
        <w:rPr>
          <w:rFonts w:cs="Arial"/>
          <w:sz w:val="18"/>
        </w:rPr>
        <w:t>Zdroj: ČSÚ</w:t>
      </w:r>
      <w:r w:rsidR="00FF6B7E" w:rsidRPr="00F94849">
        <w:rPr>
          <w:rFonts w:cs="Arial"/>
          <w:noProof/>
        </w:rPr>
        <w:t xml:space="preserve"> </w:t>
      </w:r>
      <w:r w:rsidR="00FF6B7E" w:rsidRPr="00307699">
        <w:rPr>
          <w:rFonts w:cs="Arial"/>
          <w:sz w:val="18"/>
        </w:rPr>
        <w:t>podle údajů MŠMT</w:t>
      </w:r>
    </w:p>
    <w:p w14:paraId="7F4C81E1" w14:textId="7BD5E130" w:rsidR="00FF6B7E" w:rsidRDefault="00FF6B7E" w:rsidP="00FF6B7E">
      <w:pPr>
        <w:spacing w:after="120"/>
        <w:jc w:val="both"/>
        <w:rPr>
          <w:rFonts w:cs="Arial"/>
          <w:szCs w:val="20"/>
        </w:rPr>
      </w:pPr>
      <w:r w:rsidRPr="00095BD5">
        <w:rPr>
          <w:rFonts w:cs="Arial"/>
          <w:szCs w:val="20"/>
        </w:rPr>
        <w:lastRenderedPageBreak/>
        <w:t xml:space="preserve">Většina </w:t>
      </w:r>
      <w:r w:rsidR="00693910">
        <w:rPr>
          <w:rFonts w:cs="Arial"/>
          <w:szCs w:val="20"/>
        </w:rPr>
        <w:t>základních škol v České republice</w:t>
      </w:r>
      <w:r>
        <w:rPr>
          <w:rFonts w:cs="Arial"/>
          <w:szCs w:val="20"/>
        </w:rPr>
        <w:t xml:space="preserve"> má </w:t>
      </w:r>
      <w:r w:rsidRPr="00980CFA">
        <w:rPr>
          <w:rFonts w:cs="Arial"/>
          <w:b/>
          <w:szCs w:val="20"/>
        </w:rPr>
        <w:t>veřejného zřizovatele</w:t>
      </w:r>
      <w:r w:rsidR="00693910">
        <w:rPr>
          <w:rFonts w:cs="Arial"/>
          <w:szCs w:val="20"/>
        </w:rPr>
        <w:t>. Ve šk</w:t>
      </w:r>
      <w:r w:rsidR="009D384B">
        <w:rPr>
          <w:rFonts w:cs="Arial"/>
          <w:szCs w:val="20"/>
        </w:rPr>
        <w:t>olním roce 2021/22 bylo těchto škol 3 911</w:t>
      </w:r>
      <w:r w:rsidRPr="00095BD5">
        <w:rPr>
          <w:rFonts w:cs="Arial"/>
          <w:szCs w:val="20"/>
        </w:rPr>
        <w:t xml:space="preserve">, </w:t>
      </w:r>
      <w:r>
        <w:rPr>
          <w:rFonts w:cs="Arial"/>
          <w:szCs w:val="20"/>
        </w:rPr>
        <w:t xml:space="preserve">tj. </w:t>
      </w:r>
      <w:r w:rsidRPr="00095BD5">
        <w:rPr>
          <w:rFonts w:cs="Arial"/>
          <w:szCs w:val="20"/>
        </w:rPr>
        <w:t>9</w:t>
      </w:r>
      <w:r w:rsidR="00693910">
        <w:rPr>
          <w:rFonts w:cs="Arial"/>
          <w:szCs w:val="20"/>
        </w:rPr>
        <w:t>2</w:t>
      </w:r>
      <w:r w:rsidRPr="00095BD5">
        <w:rPr>
          <w:rFonts w:cs="Arial"/>
          <w:szCs w:val="20"/>
        </w:rPr>
        <w:t>,</w:t>
      </w:r>
      <w:r w:rsidR="009D384B">
        <w:rPr>
          <w:rFonts w:cs="Arial"/>
          <w:szCs w:val="20"/>
        </w:rPr>
        <w:t>3</w:t>
      </w:r>
      <w:r w:rsidRPr="00095BD5">
        <w:rPr>
          <w:rFonts w:cs="Arial"/>
          <w:szCs w:val="20"/>
        </w:rPr>
        <w:t xml:space="preserve"> %</w:t>
      </w:r>
      <w:r>
        <w:rPr>
          <w:rFonts w:cs="Arial"/>
          <w:szCs w:val="20"/>
        </w:rPr>
        <w:t xml:space="preserve"> všech základních škol.</w:t>
      </w:r>
      <w:r w:rsidRPr="00095BD5">
        <w:rPr>
          <w:rFonts w:cs="Arial"/>
          <w:szCs w:val="20"/>
        </w:rPr>
        <w:t xml:space="preserve"> </w:t>
      </w:r>
      <w:r w:rsidRPr="00852DBD">
        <w:rPr>
          <w:rFonts w:cs="Arial"/>
          <w:szCs w:val="20"/>
        </w:rPr>
        <w:t xml:space="preserve">Jedná se </w:t>
      </w:r>
      <w:r>
        <w:rPr>
          <w:rFonts w:cs="Arial"/>
          <w:szCs w:val="20"/>
        </w:rPr>
        <w:t xml:space="preserve">převážně </w:t>
      </w:r>
      <w:r w:rsidRPr="00852DBD">
        <w:rPr>
          <w:rFonts w:cs="Arial"/>
          <w:szCs w:val="20"/>
        </w:rPr>
        <w:t>o školy, kde j</w:t>
      </w:r>
      <w:r>
        <w:rPr>
          <w:rFonts w:cs="Arial"/>
          <w:szCs w:val="20"/>
        </w:rPr>
        <w:t>e</w:t>
      </w:r>
      <w:r w:rsidRPr="00852DBD">
        <w:rPr>
          <w:rFonts w:cs="Arial"/>
          <w:szCs w:val="20"/>
        </w:rPr>
        <w:t xml:space="preserve"> jejich zřizovatelem </w:t>
      </w:r>
      <w:r w:rsidRPr="004472A9">
        <w:rPr>
          <w:rFonts w:cs="Arial"/>
          <w:b/>
          <w:szCs w:val="20"/>
        </w:rPr>
        <w:t xml:space="preserve">obec či její místní část </w:t>
      </w:r>
      <w:r w:rsidRPr="00852DBD">
        <w:rPr>
          <w:rFonts w:cs="Arial"/>
          <w:szCs w:val="20"/>
        </w:rPr>
        <w:t>(např. Praha 10)</w:t>
      </w:r>
      <w:r w:rsidR="00BE65BD">
        <w:rPr>
          <w:rFonts w:cs="Arial"/>
          <w:szCs w:val="20"/>
        </w:rPr>
        <w:t>. Takových škol je 3 623</w:t>
      </w:r>
      <w:r w:rsidRPr="00852DBD">
        <w:rPr>
          <w:rFonts w:cs="Arial"/>
          <w:szCs w:val="20"/>
        </w:rPr>
        <w:t xml:space="preserve">. V Česku existuje i </w:t>
      </w:r>
      <w:r w:rsidR="00BE65BD">
        <w:rPr>
          <w:rFonts w:cs="Arial"/>
          <w:szCs w:val="20"/>
        </w:rPr>
        <w:t>244</w:t>
      </w:r>
      <w:r w:rsidRPr="00852DBD">
        <w:rPr>
          <w:rFonts w:cs="Arial"/>
          <w:szCs w:val="20"/>
        </w:rPr>
        <w:t xml:space="preserve"> </w:t>
      </w:r>
      <w:r>
        <w:rPr>
          <w:rFonts w:cs="Arial"/>
          <w:szCs w:val="20"/>
        </w:rPr>
        <w:t xml:space="preserve">základních </w:t>
      </w:r>
      <w:r w:rsidRPr="00852DBD">
        <w:rPr>
          <w:rFonts w:cs="Arial"/>
          <w:szCs w:val="20"/>
        </w:rPr>
        <w:t xml:space="preserve">škol, kde jsou zřizovatelem jednotlivé </w:t>
      </w:r>
      <w:r w:rsidRPr="004472A9">
        <w:rPr>
          <w:rFonts w:cs="Arial"/>
          <w:b/>
          <w:szCs w:val="20"/>
        </w:rPr>
        <w:t>kraje</w:t>
      </w:r>
      <w:r>
        <w:rPr>
          <w:rFonts w:cs="Arial"/>
          <w:szCs w:val="20"/>
        </w:rPr>
        <w:t xml:space="preserve"> a</w:t>
      </w:r>
      <w:r w:rsidRPr="00852DBD">
        <w:rPr>
          <w:rFonts w:cs="Arial"/>
          <w:szCs w:val="20"/>
        </w:rPr>
        <w:t xml:space="preserve"> </w:t>
      </w:r>
      <w:r w:rsidR="00BE65BD">
        <w:rPr>
          <w:rFonts w:cs="Arial"/>
          <w:szCs w:val="20"/>
        </w:rPr>
        <w:t>44 škol</w:t>
      </w:r>
      <w:r>
        <w:rPr>
          <w:rFonts w:cs="Arial"/>
          <w:szCs w:val="20"/>
        </w:rPr>
        <w:t> </w:t>
      </w:r>
      <w:r w:rsidRPr="00852DBD">
        <w:rPr>
          <w:rFonts w:cs="Arial"/>
          <w:szCs w:val="20"/>
        </w:rPr>
        <w:t xml:space="preserve">spadajících přímo pod </w:t>
      </w:r>
      <w:r w:rsidRPr="004472A9">
        <w:rPr>
          <w:rFonts w:cs="Arial"/>
          <w:b/>
          <w:szCs w:val="20"/>
        </w:rPr>
        <w:t>MŠMT</w:t>
      </w:r>
      <w:r w:rsidR="004217B2">
        <w:rPr>
          <w:rFonts w:cs="Arial"/>
          <w:b/>
          <w:szCs w:val="20"/>
        </w:rPr>
        <w:t xml:space="preserve"> </w:t>
      </w:r>
      <w:r w:rsidR="004217B2" w:rsidRPr="004217B2">
        <w:rPr>
          <w:rFonts w:cs="Arial"/>
          <w:szCs w:val="20"/>
        </w:rPr>
        <w:t xml:space="preserve">(většinou se jedná o základní školy speciální). </w:t>
      </w:r>
      <w:r>
        <w:rPr>
          <w:rFonts w:cs="Arial"/>
          <w:szCs w:val="20"/>
        </w:rPr>
        <w:t xml:space="preserve">Počet veřejných základních škol </w:t>
      </w:r>
      <w:r w:rsidR="00AB1C66">
        <w:rPr>
          <w:rFonts w:cs="Arial"/>
          <w:szCs w:val="20"/>
        </w:rPr>
        <w:t xml:space="preserve">se </w:t>
      </w:r>
      <w:r w:rsidR="00BE65BD">
        <w:rPr>
          <w:rFonts w:cs="Arial"/>
          <w:szCs w:val="20"/>
        </w:rPr>
        <w:t>mezi školními roky 2011/12 a 2019/20</w:t>
      </w:r>
      <w:r>
        <w:rPr>
          <w:rFonts w:cs="Arial"/>
          <w:szCs w:val="20"/>
        </w:rPr>
        <w:t xml:space="preserve"> každoročně nepatrně </w:t>
      </w:r>
      <w:r w:rsidR="00BE65BD">
        <w:rPr>
          <w:rFonts w:cs="Arial"/>
          <w:szCs w:val="20"/>
        </w:rPr>
        <w:t>snižoval</w:t>
      </w:r>
      <w:r>
        <w:rPr>
          <w:rFonts w:cs="Arial"/>
          <w:szCs w:val="20"/>
        </w:rPr>
        <w:t xml:space="preserve">, </w:t>
      </w:r>
      <w:r w:rsidR="00BE65BD">
        <w:rPr>
          <w:rFonts w:cs="Arial"/>
          <w:szCs w:val="20"/>
        </w:rPr>
        <w:t>přestože počet žáků v nich rostl</w:t>
      </w:r>
      <w:r>
        <w:rPr>
          <w:rFonts w:cs="Arial"/>
          <w:szCs w:val="20"/>
        </w:rPr>
        <w:t xml:space="preserve">. </w:t>
      </w:r>
      <w:r w:rsidR="00BE65BD">
        <w:rPr>
          <w:rFonts w:cs="Arial"/>
          <w:szCs w:val="20"/>
        </w:rPr>
        <w:t>Mohlo</w:t>
      </w:r>
      <w:r w:rsidR="00BF6435">
        <w:rPr>
          <w:rFonts w:cs="Arial"/>
          <w:szCs w:val="20"/>
        </w:rPr>
        <w:t xml:space="preserve"> to být dáno též slučováním více škol pod jedno ředitelství s více odloučenými pracovišti. </w:t>
      </w:r>
      <w:r w:rsidR="00BE65BD">
        <w:rPr>
          <w:rFonts w:cs="Arial"/>
          <w:szCs w:val="20"/>
        </w:rPr>
        <w:t>V posledních dvou letech však začal počet veřejných škol nepatrně růst</w:t>
      </w:r>
      <w:r w:rsidR="001B0FE4">
        <w:rPr>
          <w:rFonts w:cs="Arial"/>
          <w:szCs w:val="20"/>
        </w:rPr>
        <w:t>,</w:t>
      </w:r>
      <w:r w:rsidR="00171AB7">
        <w:rPr>
          <w:rFonts w:cs="Arial"/>
          <w:szCs w:val="20"/>
        </w:rPr>
        <w:t xml:space="preserve"> a to přesto, že počet žáků ve veřejných základních školách byl ve školním roce 2021/22 o 202 nižší než ve školním roce 2020/21</w:t>
      </w:r>
      <w:r w:rsidR="00BE65BD">
        <w:rPr>
          <w:rFonts w:cs="Arial"/>
          <w:szCs w:val="20"/>
        </w:rPr>
        <w:t xml:space="preserve">. </w:t>
      </w:r>
      <w:r w:rsidR="00BF6435">
        <w:rPr>
          <w:rFonts w:cs="Arial"/>
          <w:szCs w:val="20"/>
        </w:rPr>
        <w:t xml:space="preserve">Oproti tomu lze konstatovat, že počet tříd </w:t>
      </w:r>
      <w:r w:rsidR="00171AB7">
        <w:rPr>
          <w:rFonts w:cs="Arial"/>
          <w:szCs w:val="20"/>
        </w:rPr>
        <w:t xml:space="preserve">ve veřejných školách </w:t>
      </w:r>
      <w:r w:rsidR="002D64AE">
        <w:rPr>
          <w:rFonts w:cs="Arial"/>
          <w:szCs w:val="20"/>
        </w:rPr>
        <w:t>se v posledních devíti letech neustále zvyšoval</w:t>
      </w:r>
      <w:r w:rsidR="00BF6435">
        <w:rPr>
          <w:rFonts w:cs="Arial"/>
          <w:szCs w:val="20"/>
        </w:rPr>
        <w:t xml:space="preserve">. </w:t>
      </w:r>
      <w:r>
        <w:rPr>
          <w:rFonts w:cs="Arial"/>
          <w:szCs w:val="20"/>
        </w:rPr>
        <w:t xml:space="preserve"> </w:t>
      </w:r>
    </w:p>
    <w:p w14:paraId="2E33874F" w14:textId="73CD8BD6" w:rsidR="00CE1D97" w:rsidRDefault="00CE1D97" w:rsidP="00FF6B7E">
      <w:pPr>
        <w:spacing w:after="120"/>
        <w:jc w:val="both"/>
        <w:rPr>
          <w:rFonts w:cs="Arial"/>
          <w:szCs w:val="20"/>
        </w:rPr>
      </w:pPr>
      <w:r w:rsidRPr="002E5300">
        <w:rPr>
          <w:rFonts w:cs="Arial"/>
          <w:szCs w:val="20"/>
        </w:rPr>
        <w:t xml:space="preserve">Kromě veřejných škol se mohou děti vzdělávat i v </w:t>
      </w:r>
      <w:r w:rsidRPr="002E5300">
        <w:rPr>
          <w:rFonts w:cs="Arial"/>
          <w:b/>
          <w:szCs w:val="20"/>
        </w:rPr>
        <w:t>soukromých a církevních</w:t>
      </w:r>
      <w:r w:rsidRPr="002E5300">
        <w:rPr>
          <w:rFonts w:cs="Arial"/>
          <w:szCs w:val="20"/>
        </w:rPr>
        <w:t xml:space="preserve"> </w:t>
      </w:r>
      <w:r>
        <w:rPr>
          <w:rFonts w:cs="Arial"/>
          <w:szCs w:val="20"/>
        </w:rPr>
        <w:t xml:space="preserve">základních </w:t>
      </w:r>
      <w:r w:rsidRPr="002E5300">
        <w:rPr>
          <w:rFonts w:cs="Arial"/>
          <w:szCs w:val="20"/>
        </w:rPr>
        <w:t>školách.</w:t>
      </w:r>
      <w:r>
        <w:rPr>
          <w:rFonts w:cs="Arial"/>
          <w:szCs w:val="20"/>
        </w:rPr>
        <w:t xml:space="preserve"> Ty </w:t>
      </w:r>
      <w:r w:rsidR="0029557F">
        <w:rPr>
          <w:rFonts w:cs="Arial"/>
          <w:szCs w:val="20"/>
        </w:rPr>
        <w:t>již</w:t>
      </w:r>
      <w:r w:rsidRPr="002E5300">
        <w:rPr>
          <w:rFonts w:cs="Arial"/>
          <w:szCs w:val="20"/>
        </w:rPr>
        <w:t xml:space="preserve"> tvoří poměrně malý podíl z celkového počtu </w:t>
      </w:r>
      <w:r>
        <w:rPr>
          <w:rFonts w:cs="Arial"/>
          <w:szCs w:val="20"/>
        </w:rPr>
        <w:t xml:space="preserve">základních </w:t>
      </w:r>
      <w:r w:rsidRPr="002E5300">
        <w:rPr>
          <w:rFonts w:cs="Arial"/>
          <w:szCs w:val="20"/>
        </w:rPr>
        <w:t>škol,</w:t>
      </w:r>
      <w:r w:rsidR="0029557F">
        <w:rPr>
          <w:rFonts w:cs="Arial"/>
          <w:szCs w:val="20"/>
        </w:rPr>
        <w:t xml:space="preserve"> nicméně zejména počet soukromých se v posledních deseti letech neustále zvyšoval a celkem vzrostl z 85 škol na 279 škol</w:t>
      </w:r>
      <w:r>
        <w:rPr>
          <w:rFonts w:cs="Arial"/>
          <w:szCs w:val="20"/>
        </w:rPr>
        <w:t xml:space="preserve">. </w:t>
      </w:r>
      <w:r w:rsidR="0029557F">
        <w:rPr>
          <w:rFonts w:cs="Arial"/>
          <w:szCs w:val="20"/>
        </w:rPr>
        <w:t>Jinými slovy, v</w:t>
      </w:r>
      <w:r w:rsidR="00BF6435">
        <w:rPr>
          <w:rFonts w:cs="Arial"/>
          <w:szCs w:val="20"/>
        </w:rPr>
        <w:t>e školním roce 2021/22</w:t>
      </w:r>
      <w:r>
        <w:rPr>
          <w:rFonts w:cs="Arial"/>
          <w:szCs w:val="20"/>
        </w:rPr>
        <w:t xml:space="preserve"> se souk</w:t>
      </w:r>
      <w:r w:rsidR="00BF6435">
        <w:rPr>
          <w:rFonts w:cs="Arial"/>
          <w:szCs w:val="20"/>
        </w:rPr>
        <w:t xml:space="preserve">romé základní školy podílely </w:t>
      </w:r>
      <w:r w:rsidR="0029557F">
        <w:rPr>
          <w:rFonts w:cs="Arial"/>
          <w:szCs w:val="20"/>
        </w:rPr>
        <w:t xml:space="preserve">z </w:t>
      </w:r>
      <w:r w:rsidR="00BF6435">
        <w:rPr>
          <w:rFonts w:cs="Arial"/>
          <w:szCs w:val="20"/>
        </w:rPr>
        <w:t>6,6</w:t>
      </w:r>
      <w:r>
        <w:rPr>
          <w:rFonts w:cs="Arial"/>
          <w:szCs w:val="20"/>
        </w:rPr>
        <w:t> % na celkovém počtu základních škol v České rep</w:t>
      </w:r>
      <w:r w:rsidR="00BF6435">
        <w:rPr>
          <w:rFonts w:cs="Arial"/>
          <w:szCs w:val="20"/>
        </w:rPr>
        <w:t>ublice</w:t>
      </w:r>
      <w:r w:rsidR="0029557F">
        <w:rPr>
          <w:rFonts w:cs="Arial"/>
          <w:szCs w:val="20"/>
        </w:rPr>
        <w:t xml:space="preserve"> a</w:t>
      </w:r>
      <w:r w:rsidR="00BF6435">
        <w:rPr>
          <w:rFonts w:cs="Arial"/>
          <w:szCs w:val="20"/>
        </w:rPr>
        <w:t xml:space="preserve"> </w:t>
      </w:r>
      <w:r>
        <w:rPr>
          <w:rFonts w:cs="Arial"/>
          <w:szCs w:val="20"/>
        </w:rPr>
        <w:t>jejich počet</w:t>
      </w:r>
      <w:r w:rsidR="0029557F">
        <w:rPr>
          <w:rFonts w:cs="Arial"/>
          <w:szCs w:val="20"/>
        </w:rPr>
        <w:t xml:space="preserve"> dosáhl</w:t>
      </w:r>
      <w:r>
        <w:rPr>
          <w:rFonts w:cs="Arial"/>
          <w:szCs w:val="20"/>
        </w:rPr>
        <w:t xml:space="preserve"> více než trojnásobku počtu ve školn</w:t>
      </w:r>
      <w:r w:rsidR="00BF6435">
        <w:rPr>
          <w:rFonts w:cs="Arial"/>
          <w:szCs w:val="20"/>
        </w:rPr>
        <w:t>ím roce 2011/12</w:t>
      </w:r>
      <w:r w:rsidR="00864CB6">
        <w:rPr>
          <w:rFonts w:cs="Arial"/>
          <w:szCs w:val="20"/>
        </w:rPr>
        <w:t xml:space="preserve"> – viz graf</w:t>
      </w:r>
      <w:r w:rsidR="00A93ECC">
        <w:rPr>
          <w:rFonts w:cs="Arial"/>
          <w:szCs w:val="20"/>
        </w:rPr>
        <w:t xml:space="preserve"> 2.</w:t>
      </w:r>
      <w:r w:rsidR="00196337">
        <w:rPr>
          <w:rFonts w:cs="Arial"/>
          <w:szCs w:val="20"/>
        </w:rPr>
        <w:t>3</w:t>
      </w:r>
      <w:r>
        <w:rPr>
          <w:rFonts w:cs="Arial"/>
          <w:szCs w:val="20"/>
        </w:rPr>
        <w:t xml:space="preserve">. </w:t>
      </w:r>
    </w:p>
    <w:p w14:paraId="351F8342" w14:textId="30B67FE0" w:rsidR="00FF6B7E" w:rsidRDefault="00FF6B7E" w:rsidP="008874BD">
      <w:pPr>
        <w:keepNext/>
        <w:spacing w:after="120"/>
        <w:jc w:val="both"/>
        <w:rPr>
          <w:rFonts w:cs="Arial"/>
          <w:b/>
          <w:szCs w:val="20"/>
        </w:rPr>
      </w:pPr>
      <w:r w:rsidRPr="002E5300">
        <w:rPr>
          <w:rFonts w:cs="Arial"/>
          <w:b/>
          <w:szCs w:val="20"/>
        </w:rPr>
        <w:t xml:space="preserve">Graf </w:t>
      </w:r>
      <w:r>
        <w:rPr>
          <w:rFonts w:cs="Arial"/>
          <w:b/>
          <w:szCs w:val="20"/>
        </w:rPr>
        <w:t>2</w:t>
      </w:r>
      <w:r w:rsidRPr="002E5300">
        <w:rPr>
          <w:rFonts w:cs="Arial"/>
          <w:b/>
          <w:szCs w:val="20"/>
        </w:rPr>
        <w:t>.</w:t>
      </w:r>
      <w:r w:rsidR="00196337">
        <w:rPr>
          <w:rFonts w:cs="Arial"/>
          <w:b/>
          <w:szCs w:val="20"/>
        </w:rPr>
        <w:t>3</w:t>
      </w:r>
      <w:r w:rsidRPr="002E5300">
        <w:rPr>
          <w:rFonts w:cs="Arial"/>
          <w:b/>
          <w:szCs w:val="20"/>
        </w:rPr>
        <w:t xml:space="preserve"> </w:t>
      </w:r>
      <w:r>
        <w:rPr>
          <w:rFonts w:cs="Arial"/>
          <w:b/>
          <w:szCs w:val="20"/>
        </w:rPr>
        <w:t>P</w:t>
      </w:r>
      <w:r w:rsidRPr="002E5300">
        <w:rPr>
          <w:rFonts w:cs="Arial"/>
          <w:b/>
          <w:szCs w:val="20"/>
        </w:rPr>
        <w:t xml:space="preserve">očet </w:t>
      </w:r>
      <w:r>
        <w:rPr>
          <w:rFonts w:cs="Arial"/>
          <w:b/>
          <w:szCs w:val="20"/>
        </w:rPr>
        <w:t xml:space="preserve">základních </w:t>
      </w:r>
      <w:r w:rsidRPr="002E5300">
        <w:rPr>
          <w:rFonts w:cs="Arial"/>
          <w:b/>
          <w:szCs w:val="20"/>
        </w:rPr>
        <w:t>škol</w:t>
      </w:r>
      <w:r w:rsidR="00CF4455">
        <w:rPr>
          <w:rFonts w:cs="Arial"/>
          <w:b/>
          <w:szCs w:val="20"/>
        </w:rPr>
        <w:t xml:space="preserve"> a</w:t>
      </w:r>
      <w:r>
        <w:rPr>
          <w:rFonts w:cs="Arial"/>
          <w:b/>
          <w:szCs w:val="20"/>
        </w:rPr>
        <w:t xml:space="preserve"> tříd </w:t>
      </w:r>
      <w:r w:rsidR="00CF4455">
        <w:rPr>
          <w:rFonts w:cs="Arial"/>
          <w:b/>
          <w:szCs w:val="20"/>
        </w:rPr>
        <w:t xml:space="preserve">v nich </w:t>
      </w:r>
      <w:r w:rsidRPr="002E5300">
        <w:rPr>
          <w:rFonts w:cs="Arial"/>
          <w:b/>
          <w:szCs w:val="20"/>
        </w:rPr>
        <w:t>podle zřizovatele</w:t>
      </w:r>
    </w:p>
    <w:p w14:paraId="179CB2EE" w14:textId="13B0CF23" w:rsidR="00087D9B" w:rsidRDefault="00087D9B" w:rsidP="008874BD">
      <w:pPr>
        <w:keepNext/>
        <w:spacing w:after="120"/>
        <w:jc w:val="both"/>
        <w:rPr>
          <w:rFonts w:cs="Arial"/>
          <w:b/>
          <w:szCs w:val="20"/>
        </w:rPr>
      </w:pPr>
      <w:r>
        <w:rPr>
          <w:noProof/>
        </w:rPr>
        <w:drawing>
          <wp:inline distT="0" distB="0" distL="0" distR="0" wp14:anchorId="35C10289" wp14:editId="59AC2E37">
            <wp:extent cx="2933065" cy="1809750"/>
            <wp:effectExtent l="0" t="0" r="635" b="0"/>
            <wp:docPr id="87" name="Graf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Pr>
          <w:noProof/>
        </w:rPr>
        <w:drawing>
          <wp:inline distT="0" distB="0" distL="0" distR="0" wp14:anchorId="01072E30" wp14:editId="49F3AFAA">
            <wp:extent cx="2933065" cy="1809750"/>
            <wp:effectExtent l="0" t="0" r="635" b="0"/>
            <wp:docPr id="57" name="Graf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4FB51D2" w14:textId="4F325993" w:rsidR="00FF6B7E" w:rsidRPr="00B75A6F" w:rsidRDefault="00F84568" w:rsidP="00B75A6F">
      <w:pPr>
        <w:keepNext/>
        <w:spacing w:after="120"/>
        <w:jc w:val="both"/>
        <w:rPr>
          <w:rFonts w:cs="Arial"/>
          <w:b/>
          <w:szCs w:val="20"/>
        </w:rPr>
      </w:pPr>
      <w:r w:rsidRPr="00F84568">
        <w:rPr>
          <w:noProof/>
        </w:rPr>
        <w:t xml:space="preserve"> </w:t>
      </w:r>
      <w:r w:rsidR="00087D9B">
        <w:rPr>
          <w:noProof/>
        </w:rPr>
        <w:drawing>
          <wp:inline distT="0" distB="0" distL="0" distR="0" wp14:anchorId="6DA8B348" wp14:editId="2772F1D0">
            <wp:extent cx="2886075" cy="1028700"/>
            <wp:effectExtent l="0" t="0" r="9525" b="0"/>
            <wp:docPr id="92" name="Graf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00087D9B" w:rsidRPr="00087D9B">
        <w:rPr>
          <w:noProof/>
        </w:rPr>
        <w:t xml:space="preserve"> </w:t>
      </w:r>
      <w:r w:rsidR="00087D9B">
        <w:rPr>
          <w:noProof/>
        </w:rPr>
        <w:drawing>
          <wp:inline distT="0" distB="0" distL="0" distR="0" wp14:anchorId="326B2FAD" wp14:editId="28F4496E">
            <wp:extent cx="2886075" cy="1028065"/>
            <wp:effectExtent l="0" t="0" r="9525" b="635"/>
            <wp:docPr id="96" name="Graf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87EACC6" w14:textId="675A83FF" w:rsidR="00FF6B7E" w:rsidRPr="00F94849" w:rsidRDefault="00CF27F9" w:rsidP="00FF6B7E">
      <w:pPr>
        <w:spacing w:before="120" w:after="120"/>
        <w:jc w:val="both"/>
        <w:rPr>
          <w:rFonts w:cs="Arial"/>
          <w:iCs/>
        </w:rPr>
      </w:pPr>
      <w:r>
        <w:rPr>
          <w:rFonts w:cs="Arial"/>
          <w:sz w:val="18"/>
        </w:rPr>
        <w:t xml:space="preserve">                                                                                                                                       </w:t>
      </w:r>
      <w:r w:rsidR="00FF6B7E" w:rsidRPr="00F94849">
        <w:rPr>
          <w:rFonts w:cs="Arial"/>
          <w:sz w:val="18"/>
        </w:rPr>
        <w:t>Zdroj: ČSÚ</w:t>
      </w:r>
      <w:r w:rsidR="00FF6B7E" w:rsidRPr="00F94849">
        <w:rPr>
          <w:rFonts w:cs="Arial"/>
          <w:noProof/>
        </w:rPr>
        <w:t xml:space="preserve"> </w:t>
      </w:r>
      <w:r w:rsidR="00FF6B7E" w:rsidRPr="00307699">
        <w:rPr>
          <w:rFonts w:cs="Arial"/>
          <w:sz w:val="18"/>
        </w:rPr>
        <w:t>podle údajů MŠMT</w:t>
      </w:r>
    </w:p>
    <w:p w14:paraId="49AFA392" w14:textId="2E95414B" w:rsidR="00FF6B7E" w:rsidRDefault="00FF6B7E" w:rsidP="00FE090A">
      <w:pPr>
        <w:spacing w:before="120" w:after="120"/>
        <w:jc w:val="both"/>
        <w:rPr>
          <w:rFonts w:cs="Arial"/>
          <w:szCs w:val="20"/>
        </w:rPr>
      </w:pPr>
      <w:r w:rsidRPr="004878FE">
        <w:rPr>
          <w:rFonts w:cs="Arial"/>
          <w:szCs w:val="20"/>
        </w:rPr>
        <w:t>Nejvíc</w:t>
      </w:r>
      <w:r>
        <w:rPr>
          <w:rFonts w:cs="Arial"/>
          <w:szCs w:val="20"/>
        </w:rPr>
        <w:t>e</w:t>
      </w:r>
      <w:r w:rsidRPr="004878FE">
        <w:rPr>
          <w:rFonts w:cs="Arial"/>
          <w:szCs w:val="20"/>
        </w:rPr>
        <w:t xml:space="preserve"> soukromých základních škol se nachází </w:t>
      </w:r>
      <w:r w:rsidRPr="00980CFA">
        <w:rPr>
          <w:rFonts w:cs="Arial"/>
          <w:b/>
          <w:szCs w:val="20"/>
        </w:rPr>
        <w:t>v Praze a ve Středočeském kraji</w:t>
      </w:r>
      <w:r w:rsidR="00B2346F">
        <w:rPr>
          <w:rFonts w:cs="Arial"/>
          <w:szCs w:val="20"/>
        </w:rPr>
        <w:t>. Ve školním roce 2021/22 se v hlavním městě nacházelo 51</w:t>
      </w:r>
      <w:r>
        <w:rPr>
          <w:rFonts w:cs="Arial"/>
          <w:szCs w:val="20"/>
        </w:rPr>
        <w:t xml:space="preserve"> těchto škol</w:t>
      </w:r>
      <w:r w:rsidR="00B2346F">
        <w:rPr>
          <w:rFonts w:cs="Arial"/>
          <w:szCs w:val="20"/>
        </w:rPr>
        <w:t xml:space="preserve"> a v kraji Středočeském 50</w:t>
      </w:r>
      <w:r>
        <w:rPr>
          <w:rFonts w:cs="Arial"/>
          <w:szCs w:val="20"/>
        </w:rPr>
        <w:t xml:space="preserve">, tj. </w:t>
      </w:r>
      <w:r w:rsidR="00B2346F">
        <w:rPr>
          <w:rFonts w:cs="Arial"/>
          <w:szCs w:val="20"/>
        </w:rPr>
        <w:t xml:space="preserve">v každém z těchto krajů </w:t>
      </w:r>
      <w:r w:rsidR="00AA4283">
        <w:rPr>
          <w:rFonts w:cs="Arial"/>
          <w:szCs w:val="20"/>
        </w:rPr>
        <w:t xml:space="preserve">téměř </w:t>
      </w:r>
      <w:r>
        <w:rPr>
          <w:rFonts w:cs="Arial"/>
          <w:szCs w:val="20"/>
        </w:rPr>
        <w:t xml:space="preserve">pětina ze všech soukromých základních škol v České republice. </w:t>
      </w:r>
      <w:r w:rsidRPr="004878FE">
        <w:rPr>
          <w:rFonts w:cs="Arial"/>
          <w:szCs w:val="20"/>
        </w:rPr>
        <w:t xml:space="preserve">V Praze se </w:t>
      </w:r>
      <w:r>
        <w:rPr>
          <w:rFonts w:cs="Arial"/>
          <w:szCs w:val="20"/>
        </w:rPr>
        <w:t xml:space="preserve">tyto </w:t>
      </w:r>
      <w:r w:rsidRPr="004878FE">
        <w:rPr>
          <w:rFonts w:cs="Arial"/>
          <w:szCs w:val="20"/>
        </w:rPr>
        <w:t xml:space="preserve">soukromé školy </w:t>
      </w:r>
      <w:r w:rsidR="00B2346F">
        <w:rPr>
          <w:rFonts w:cs="Arial"/>
          <w:szCs w:val="20"/>
        </w:rPr>
        <w:t>podílely 17,8 </w:t>
      </w:r>
      <w:r w:rsidRPr="004878FE">
        <w:rPr>
          <w:rFonts w:cs="Arial"/>
          <w:szCs w:val="20"/>
        </w:rPr>
        <w:t>% na celkovém počtu pražských základních škol a chodil</w:t>
      </w:r>
      <w:r w:rsidR="00B2346F">
        <w:rPr>
          <w:rFonts w:cs="Arial"/>
          <w:szCs w:val="20"/>
        </w:rPr>
        <w:t>o</w:t>
      </w:r>
      <w:r w:rsidRPr="004878FE">
        <w:rPr>
          <w:rFonts w:cs="Arial"/>
          <w:szCs w:val="20"/>
        </w:rPr>
        <w:t xml:space="preserve"> do nich </w:t>
      </w:r>
      <w:r>
        <w:rPr>
          <w:rFonts w:cs="Arial"/>
          <w:szCs w:val="20"/>
        </w:rPr>
        <w:t>4</w:t>
      </w:r>
      <w:r w:rsidR="00B2346F">
        <w:rPr>
          <w:rFonts w:cs="Arial"/>
          <w:szCs w:val="20"/>
        </w:rPr>
        <w:t>,8</w:t>
      </w:r>
      <w:r w:rsidRPr="004878FE">
        <w:rPr>
          <w:rFonts w:cs="Arial"/>
          <w:szCs w:val="20"/>
        </w:rPr>
        <w:t xml:space="preserve"> % </w:t>
      </w:r>
      <w:r w:rsidR="00AA4283">
        <w:rPr>
          <w:rFonts w:cs="Arial"/>
          <w:szCs w:val="20"/>
        </w:rPr>
        <w:t xml:space="preserve">ze všech </w:t>
      </w:r>
      <w:r w:rsidRPr="004878FE">
        <w:rPr>
          <w:rFonts w:cs="Arial"/>
          <w:szCs w:val="20"/>
        </w:rPr>
        <w:t>žáků</w:t>
      </w:r>
      <w:r w:rsidR="00AA4283">
        <w:rPr>
          <w:rFonts w:cs="Arial"/>
          <w:szCs w:val="20"/>
        </w:rPr>
        <w:t xml:space="preserve"> základních škol</w:t>
      </w:r>
      <w:r w:rsidRPr="004878FE">
        <w:rPr>
          <w:rFonts w:cs="Arial"/>
          <w:szCs w:val="20"/>
        </w:rPr>
        <w:t>. Naopak v</w:t>
      </w:r>
      <w:r w:rsidR="00AA4283">
        <w:rPr>
          <w:rFonts w:cs="Arial"/>
          <w:szCs w:val="20"/>
        </w:rPr>
        <w:t xml:space="preserve"> Libereckém </w:t>
      </w:r>
      <w:r w:rsidRPr="004878FE">
        <w:rPr>
          <w:rFonts w:cs="Arial"/>
          <w:szCs w:val="20"/>
        </w:rPr>
        <w:t xml:space="preserve">kraji </w:t>
      </w:r>
      <w:r w:rsidR="00AA4283">
        <w:rPr>
          <w:rFonts w:cs="Arial"/>
          <w:szCs w:val="20"/>
        </w:rPr>
        <w:t>tvořily s</w:t>
      </w:r>
      <w:r w:rsidRPr="004878FE">
        <w:rPr>
          <w:rFonts w:cs="Arial"/>
          <w:szCs w:val="20"/>
        </w:rPr>
        <w:t>oukromé školy jen 2,</w:t>
      </w:r>
      <w:r w:rsidR="00AA4283">
        <w:rPr>
          <w:rFonts w:cs="Arial"/>
          <w:szCs w:val="20"/>
        </w:rPr>
        <w:t>5</w:t>
      </w:r>
      <w:r w:rsidRPr="004878FE">
        <w:rPr>
          <w:rFonts w:cs="Arial"/>
          <w:szCs w:val="20"/>
        </w:rPr>
        <w:t xml:space="preserve"> %</w:t>
      </w:r>
      <w:r w:rsidR="00AA4283">
        <w:rPr>
          <w:rFonts w:cs="Arial"/>
          <w:szCs w:val="20"/>
        </w:rPr>
        <w:t xml:space="preserve"> všech </w:t>
      </w:r>
      <w:r w:rsidR="00AA4283" w:rsidRPr="00D26C4E">
        <w:rPr>
          <w:rFonts w:cs="Arial"/>
          <w:szCs w:val="20"/>
        </w:rPr>
        <w:t>zákla</w:t>
      </w:r>
      <w:r w:rsidR="00B2346F" w:rsidRPr="00D26C4E">
        <w:rPr>
          <w:rFonts w:cs="Arial"/>
          <w:szCs w:val="20"/>
        </w:rPr>
        <w:t>dních</w:t>
      </w:r>
      <w:r w:rsidR="00B2346F">
        <w:rPr>
          <w:rFonts w:cs="Arial"/>
          <w:szCs w:val="20"/>
        </w:rPr>
        <w:t xml:space="preserve"> škol a chodily do nich 1,4</w:t>
      </w:r>
      <w:r w:rsidR="00AA4283">
        <w:rPr>
          <w:rFonts w:cs="Arial"/>
          <w:szCs w:val="20"/>
        </w:rPr>
        <w:t xml:space="preserve"> % žáků a </w:t>
      </w:r>
      <w:r w:rsidR="00B2346F">
        <w:rPr>
          <w:rFonts w:cs="Arial"/>
          <w:szCs w:val="20"/>
        </w:rPr>
        <w:t>na Vysočině tvořily tyto školy 4,4</w:t>
      </w:r>
      <w:r w:rsidR="00AA4283">
        <w:rPr>
          <w:rFonts w:cs="Arial"/>
          <w:szCs w:val="20"/>
        </w:rPr>
        <w:t> % všech základních škol a žák</w:t>
      </w:r>
      <w:r w:rsidR="00B2346F">
        <w:rPr>
          <w:rFonts w:cs="Arial"/>
          <w:szCs w:val="20"/>
        </w:rPr>
        <w:t>ů, kteří je navštěvují, bylo 1</w:t>
      </w:r>
      <w:r w:rsidR="00AA4283">
        <w:rPr>
          <w:rFonts w:cs="Arial"/>
          <w:szCs w:val="20"/>
        </w:rPr>
        <w:t> %.</w:t>
      </w:r>
      <w:r w:rsidR="00A83D70">
        <w:rPr>
          <w:rStyle w:val="Znakapoznpodarou"/>
          <w:rFonts w:cs="Arial"/>
          <w:szCs w:val="20"/>
        </w:rPr>
        <w:footnoteReference w:id="16"/>
      </w:r>
    </w:p>
    <w:p w14:paraId="7222FD90" w14:textId="4D075EE3" w:rsidR="00FF6B7E" w:rsidRPr="00367C55" w:rsidRDefault="00FF6B7E" w:rsidP="00E75CB2">
      <w:pPr>
        <w:spacing w:after="120"/>
        <w:jc w:val="both"/>
        <w:rPr>
          <w:rFonts w:cs="Arial"/>
          <w:szCs w:val="20"/>
        </w:rPr>
      </w:pPr>
      <w:r>
        <w:rPr>
          <w:rFonts w:cs="Arial"/>
          <w:szCs w:val="20"/>
        </w:rPr>
        <w:t xml:space="preserve">Vyšší vypovídající hodnotu než vývoj počtu základních škol v čase mají údaje o tom, jak se mění počet tříd a především do nich docházejících žáků. </w:t>
      </w:r>
      <w:r w:rsidRPr="00307699">
        <w:rPr>
          <w:rFonts w:cs="Arial"/>
          <w:szCs w:val="20"/>
        </w:rPr>
        <w:t>V minulém školním roce bylo v Česk</w:t>
      </w:r>
      <w:r>
        <w:rPr>
          <w:rFonts w:cs="Arial"/>
          <w:szCs w:val="20"/>
        </w:rPr>
        <w:t>u</w:t>
      </w:r>
      <w:r w:rsidRPr="00307699">
        <w:rPr>
          <w:rFonts w:cs="Arial"/>
          <w:szCs w:val="20"/>
        </w:rPr>
        <w:t xml:space="preserve"> </w:t>
      </w:r>
      <w:r>
        <w:rPr>
          <w:rFonts w:cs="Arial"/>
          <w:szCs w:val="20"/>
        </w:rPr>
        <w:t xml:space="preserve">na základních školách </w:t>
      </w:r>
      <w:r w:rsidR="00626B5A">
        <w:rPr>
          <w:rFonts w:cs="Arial"/>
          <w:szCs w:val="20"/>
        </w:rPr>
        <w:t>v </w:t>
      </w:r>
      <w:r w:rsidRPr="00307699">
        <w:rPr>
          <w:rFonts w:cs="Arial"/>
          <w:szCs w:val="20"/>
        </w:rPr>
        <w:t xml:space="preserve">provozu celkem </w:t>
      </w:r>
      <w:r w:rsidR="00367C55">
        <w:rPr>
          <w:rFonts w:cs="Arial"/>
          <w:b/>
          <w:szCs w:val="20"/>
        </w:rPr>
        <w:t>50 </w:t>
      </w:r>
      <w:r w:rsidR="008C069D">
        <w:rPr>
          <w:rFonts w:cs="Arial"/>
          <w:b/>
          <w:szCs w:val="20"/>
        </w:rPr>
        <w:t>0</w:t>
      </w:r>
      <w:r w:rsidR="00367C55">
        <w:rPr>
          <w:rFonts w:cs="Arial"/>
          <w:b/>
          <w:szCs w:val="20"/>
        </w:rPr>
        <w:t>50</w:t>
      </w:r>
      <w:r w:rsidRPr="00D53605">
        <w:rPr>
          <w:rFonts w:cs="Arial"/>
          <w:b/>
          <w:szCs w:val="20"/>
        </w:rPr>
        <w:t xml:space="preserve"> tříd</w:t>
      </w:r>
      <w:r w:rsidRPr="00307699">
        <w:rPr>
          <w:rFonts w:cs="Arial"/>
          <w:szCs w:val="20"/>
        </w:rPr>
        <w:t xml:space="preserve">, z toho </w:t>
      </w:r>
      <w:r w:rsidR="00367C55">
        <w:rPr>
          <w:rFonts w:cs="Arial"/>
          <w:szCs w:val="20"/>
        </w:rPr>
        <w:t>1 891</w:t>
      </w:r>
      <w:r w:rsidRPr="00307699">
        <w:rPr>
          <w:rFonts w:cs="Arial"/>
          <w:szCs w:val="20"/>
        </w:rPr>
        <w:t xml:space="preserve"> tříd bylo v</w:t>
      </w:r>
      <w:r w:rsidR="00AA4283">
        <w:rPr>
          <w:rFonts w:cs="Arial"/>
          <w:szCs w:val="20"/>
        </w:rPr>
        <w:t> soukromých školách</w:t>
      </w:r>
      <w:r w:rsidRPr="00307699">
        <w:rPr>
          <w:rFonts w:cs="Arial"/>
          <w:szCs w:val="20"/>
        </w:rPr>
        <w:t xml:space="preserve"> a </w:t>
      </w:r>
      <w:r w:rsidR="00367C55">
        <w:rPr>
          <w:rFonts w:cs="Arial"/>
          <w:szCs w:val="20"/>
        </w:rPr>
        <w:t>469</w:t>
      </w:r>
      <w:r w:rsidRPr="00307699">
        <w:rPr>
          <w:rFonts w:cs="Arial"/>
          <w:szCs w:val="20"/>
        </w:rPr>
        <w:t xml:space="preserve"> v</w:t>
      </w:r>
      <w:r>
        <w:rPr>
          <w:rFonts w:cs="Arial"/>
          <w:szCs w:val="20"/>
        </w:rPr>
        <w:t> </w:t>
      </w:r>
      <w:r w:rsidRPr="00307699">
        <w:rPr>
          <w:rFonts w:cs="Arial"/>
          <w:szCs w:val="20"/>
        </w:rPr>
        <w:t>církevních</w:t>
      </w:r>
      <w:r>
        <w:rPr>
          <w:rFonts w:cs="Arial"/>
          <w:szCs w:val="20"/>
        </w:rPr>
        <w:t xml:space="preserve"> školách</w:t>
      </w:r>
      <w:r w:rsidRPr="00307699">
        <w:rPr>
          <w:rFonts w:cs="Arial"/>
          <w:szCs w:val="20"/>
        </w:rPr>
        <w:t xml:space="preserve">. </w:t>
      </w:r>
      <w:r>
        <w:rPr>
          <w:rFonts w:cs="Arial"/>
          <w:szCs w:val="20"/>
        </w:rPr>
        <w:t xml:space="preserve">Od školního roku 2012/13 </w:t>
      </w:r>
      <w:r w:rsidRPr="00307699">
        <w:rPr>
          <w:rFonts w:cs="Arial"/>
          <w:szCs w:val="20"/>
        </w:rPr>
        <w:t xml:space="preserve">každoročně přibývalo </w:t>
      </w:r>
      <w:r w:rsidR="00E75CB2">
        <w:rPr>
          <w:rFonts w:cs="Arial"/>
          <w:szCs w:val="20"/>
        </w:rPr>
        <w:t>tříd na základních školách a c</w:t>
      </w:r>
      <w:r w:rsidR="00367C55">
        <w:rPr>
          <w:rFonts w:cs="Arial"/>
          <w:szCs w:val="20"/>
        </w:rPr>
        <w:t>elkově jich ve školním roce 2021/22</w:t>
      </w:r>
      <w:r w:rsidR="00E75CB2">
        <w:rPr>
          <w:rFonts w:cs="Arial"/>
          <w:szCs w:val="20"/>
        </w:rPr>
        <w:t xml:space="preserve"> </w:t>
      </w:r>
      <w:r w:rsidR="00E75CB2">
        <w:rPr>
          <w:rFonts w:cs="Arial"/>
          <w:szCs w:val="20"/>
        </w:rPr>
        <w:lastRenderedPageBreak/>
        <w:t xml:space="preserve">bylo o </w:t>
      </w:r>
      <w:r w:rsidR="00424838">
        <w:rPr>
          <w:rFonts w:cs="Arial"/>
          <w:szCs w:val="20"/>
        </w:rPr>
        <w:t>pětinu</w:t>
      </w:r>
      <w:r w:rsidR="00E75CB2">
        <w:rPr>
          <w:rFonts w:cs="Arial"/>
          <w:szCs w:val="20"/>
        </w:rPr>
        <w:t xml:space="preserve"> více </w:t>
      </w:r>
      <w:r w:rsidR="00424838">
        <w:rPr>
          <w:rFonts w:cs="Arial"/>
          <w:szCs w:val="20"/>
        </w:rPr>
        <w:t>než před devíti lety</w:t>
      </w:r>
      <w:r>
        <w:rPr>
          <w:rFonts w:cs="Arial"/>
          <w:szCs w:val="20"/>
        </w:rPr>
        <w:t xml:space="preserve">. </w:t>
      </w:r>
      <w:r w:rsidR="00E32873">
        <w:rPr>
          <w:rFonts w:cs="Arial"/>
          <w:szCs w:val="20"/>
        </w:rPr>
        <w:t>Mezi školními roky 2012</w:t>
      </w:r>
      <w:r w:rsidR="00424838">
        <w:rPr>
          <w:rFonts w:cs="Arial"/>
          <w:szCs w:val="20"/>
        </w:rPr>
        <w:t>/13 a 2016/17</w:t>
      </w:r>
      <w:r w:rsidR="00E75CB2" w:rsidRPr="00367C55">
        <w:rPr>
          <w:rFonts w:cs="Arial"/>
          <w:szCs w:val="20"/>
        </w:rPr>
        <w:t xml:space="preserve"> vznikaly nové třídy zejména na prvním stu</w:t>
      </w:r>
      <w:r w:rsidR="00367C55" w:rsidRPr="00367C55">
        <w:rPr>
          <w:rFonts w:cs="Arial"/>
          <w:szCs w:val="20"/>
        </w:rPr>
        <w:t>pni (jejich počet s</w:t>
      </w:r>
      <w:r w:rsidR="00424838">
        <w:rPr>
          <w:rFonts w:cs="Arial"/>
          <w:szCs w:val="20"/>
        </w:rPr>
        <w:t>e zvýšil o 12</w:t>
      </w:r>
      <w:r w:rsidR="00E75CB2" w:rsidRPr="00367C55">
        <w:rPr>
          <w:rFonts w:cs="Arial"/>
          <w:szCs w:val="20"/>
        </w:rPr>
        <w:t xml:space="preserve"> % </w:t>
      </w:r>
      <w:r w:rsidR="00424838">
        <w:rPr>
          <w:rFonts w:cs="Arial"/>
          <w:szCs w:val="20"/>
        </w:rPr>
        <w:t>oproti 2,1</w:t>
      </w:r>
      <w:r w:rsidR="00E75CB2" w:rsidRPr="00367C55">
        <w:rPr>
          <w:rFonts w:cs="Arial"/>
          <w:szCs w:val="20"/>
        </w:rPr>
        <w:t>% navýšení počtu tříd na druhém stupni). V dalších pěti letech tomu bylo naopak (počet tří</w:t>
      </w:r>
      <w:r w:rsidR="00367C55" w:rsidRPr="00367C55">
        <w:rPr>
          <w:rFonts w:cs="Arial"/>
          <w:szCs w:val="20"/>
        </w:rPr>
        <w:t>d prvního stupně vzrostl jen o 3,8 % oproti 22,8</w:t>
      </w:r>
      <w:r w:rsidR="00E75CB2" w:rsidRPr="00367C55">
        <w:rPr>
          <w:rFonts w:cs="Arial"/>
          <w:szCs w:val="20"/>
        </w:rPr>
        <w:t>% nárůstu počtu tříd druhého stupně).</w:t>
      </w:r>
    </w:p>
    <w:p w14:paraId="79999563" w14:textId="0B7779A2" w:rsidR="009E5353" w:rsidRPr="009E5353" w:rsidRDefault="00E75CB2" w:rsidP="00FF6B7E">
      <w:pPr>
        <w:spacing w:after="120"/>
        <w:jc w:val="both"/>
        <w:rPr>
          <w:rFonts w:cs="Arial"/>
          <w:szCs w:val="20"/>
        </w:rPr>
      </w:pPr>
      <w:r w:rsidRPr="00376DED">
        <w:rPr>
          <w:rFonts w:cs="Arial"/>
          <w:szCs w:val="20"/>
        </w:rPr>
        <w:t>Růst p</w:t>
      </w:r>
      <w:r w:rsidR="00376DED" w:rsidRPr="00376DED">
        <w:rPr>
          <w:rFonts w:cs="Arial"/>
          <w:szCs w:val="20"/>
        </w:rPr>
        <w:t>očtu tříd není nijak překvapivý</w:t>
      </w:r>
      <w:r w:rsidRPr="00376DED">
        <w:rPr>
          <w:rFonts w:cs="Arial"/>
          <w:szCs w:val="20"/>
        </w:rPr>
        <w:t>,</w:t>
      </w:r>
      <w:r w:rsidR="00376DED" w:rsidRPr="00376DED">
        <w:rPr>
          <w:rFonts w:cs="Arial"/>
          <w:szCs w:val="20"/>
        </w:rPr>
        <w:t xml:space="preserve"> neboť</w:t>
      </w:r>
      <w:r w:rsidRPr="00376DED">
        <w:rPr>
          <w:rFonts w:cs="Arial"/>
          <w:szCs w:val="20"/>
        </w:rPr>
        <w:t xml:space="preserve"> počet žáků na základních školách v posledních deseti letech rok od roku stoupá.</w:t>
      </w:r>
      <w:r>
        <w:rPr>
          <w:rFonts w:cs="Arial"/>
          <w:szCs w:val="20"/>
        </w:rPr>
        <w:t xml:space="preserve"> </w:t>
      </w:r>
      <w:r w:rsidR="00192FD9">
        <w:rPr>
          <w:rFonts w:cs="Arial"/>
          <w:szCs w:val="20"/>
        </w:rPr>
        <w:t>Celkový p</w:t>
      </w:r>
      <w:r>
        <w:rPr>
          <w:rFonts w:cs="Arial"/>
          <w:szCs w:val="20"/>
        </w:rPr>
        <w:t xml:space="preserve">očet tříd i počet žáků </w:t>
      </w:r>
      <w:r w:rsidR="00192FD9">
        <w:rPr>
          <w:rFonts w:cs="Arial"/>
          <w:szCs w:val="20"/>
        </w:rPr>
        <w:t>základních škol se</w:t>
      </w:r>
      <w:r w:rsidR="00424838">
        <w:rPr>
          <w:rFonts w:cs="Arial"/>
          <w:szCs w:val="20"/>
        </w:rPr>
        <w:t xml:space="preserve"> za deset let</w:t>
      </w:r>
      <w:r w:rsidR="00192FD9">
        <w:rPr>
          <w:rFonts w:cs="Arial"/>
          <w:szCs w:val="20"/>
        </w:rPr>
        <w:t xml:space="preserve"> zvýšil cca o </w:t>
      </w:r>
      <w:r w:rsidR="00367C55">
        <w:rPr>
          <w:rFonts w:cs="Arial"/>
          <w:szCs w:val="20"/>
        </w:rPr>
        <w:t>pětinu (tj. o 18,9 %, resp. 21,4</w:t>
      </w:r>
      <w:r>
        <w:rPr>
          <w:rFonts w:cs="Arial"/>
          <w:szCs w:val="20"/>
        </w:rPr>
        <w:t xml:space="preserve"> %). Oproti tomu počet </w:t>
      </w:r>
      <w:r w:rsidR="00192FD9">
        <w:rPr>
          <w:rFonts w:cs="Arial"/>
          <w:szCs w:val="20"/>
        </w:rPr>
        <w:t xml:space="preserve">základních </w:t>
      </w:r>
      <w:r>
        <w:rPr>
          <w:rFonts w:cs="Arial"/>
          <w:szCs w:val="20"/>
        </w:rPr>
        <w:t xml:space="preserve">škol </w:t>
      </w:r>
      <w:r w:rsidR="0089426A">
        <w:rPr>
          <w:rFonts w:cs="Arial"/>
          <w:szCs w:val="20"/>
        </w:rPr>
        <w:t xml:space="preserve">celkově </w:t>
      </w:r>
      <w:r w:rsidR="00367C55">
        <w:rPr>
          <w:rFonts w:cs="Arial"/>
          <w:szCs w:val="20"/>
        </w:rPr>
        <w:t>vzrostl jen o 3,1</w:t>
      </w:r>
      <w:r>
        <w:rPr>
          <w:rFonts w:cs="Arial"/>
          <w:szCs w:val="20"/>
        </w:rPr>
        <w:t> %</w:t>
      </w:r>
      <w:r w:rsidR="00376DED">
        <w:rPr>
          <w:rFonts w:cs="Arial"/>
          <w:szCs w:val="20"/>
        </w:rPr>
        <w:t>, přičemž</w:t>
      </w:r>
      <w:r w:rsidR="0089426A">
        <w:rPr>
          <w:rFonts w:cs="Arial"/>
          <w:szCs w:val="20"/>
        </w:rPr>
        <w:t xml:space="preserve"> v</w:t>
      </w:r>
      <w:r w:rsidR="00192FD9">
        <w:rPr>
          <w:rFonts w:cs="Arial"/>
          <w:szCs w:val="20"/>
        </w:rPr>
        <w:t xml:space="preserve"> </w:t>
      </w:r>
      <w:r w:rsidR="001B15CC">
        <w:rPr>
          <w:rFonts w:cs="Arial"/>
          <w:szCs w:val="20"/>
        </w:rPr>
        <w:t>případě veřejných základních škol</w:t>
      </w:r>
      <w:r w:rsidR="00192FD9">
        <w:rPr>
          <w:rFonts w:cs="Arial"/>
          <w:szCs w:val="20"/>
        </w:rPr>
        <w:t xml:space="preserve"> </w:t>
      </w:r>
      <w:r w:rsidR="00367C55">
        <w:rPr>
          <w:rFonts w:cs="Arial"/>
          <w:szCs w:val="20"/>
        </w:rPr>
        <w:t>dokonce o 1,8</w:t>
      </w:r>
      <w:r w:rsidR="001B15CC">
        <w:rPr>
          <w:rFonts w:cs="Arial"/>
          <w:szCs w:val="20"/>
        </w:rPr>
        <w:t xml:space="preserve"> % poklesl. Lze tedy konstatovat, že v případě </w:t>
      </w:r>
      <w:r w:rsidR="00FF6B7E" w:rsidRPr="00E4172B">
        <w:rPr>
          <w:rFonts w:cs="Arial"/>
          <w:b/>
          <w:szCs w:val="20"/>
        </w:rPr>
        <w:t>v</w:t>
      </w:r>
      <w:r w:rsidR="001B15CC">
        <w:rPr>
          <w:rFonts w:cs="Arial"/>
          <w:b/>
          <w:szCs w:val="20"/>
        </w:rPr>
        <w:t>eřejných škol</w:t>
      </w:r>
      <w:r w:rsidR="00FF6B7E" w:rsidRPr="00E272EB">
        <w:rPr>
          <w:rFonts w:cs="Arial"/>
          <w:szCs w:val="20"/>
        </w:rPr>
        <w:t xml:space="preserve"> </w:t>
      </w:r>
      <w:r w:rsidR="001B15CC">
        <w:rPr>
          <w:rFonts w:cs="Arial"/>
          <w:szCs w:val="20"/>
        </w:rPr>
        <w:t>se zvyšující kapacitní nároky řešily</w:t>
      </w:r>
      <w:r w:rsidR="00FF6B7E" w:rsidRPr="00E272EB">
        <w:rPr>
          <w:rFonts w:cs="Arial"/>
          <w:szCs w:val="20"/>
        </w:rPr>
        <w:t xml:space="preserve"> zejména zřizováním nových tříd</w:t>
      </w:r>
      <w:r w:rsidR="001B15CC">
        <w:rPr>
          <w:rFonts w:cs="Arial"/>
          <w:szCs w:val="20"/>
        </w:rPr>
        <w:t xml:space="preserve"> na stávajících školách. Počet tříd ve veřejných školá</w:t>
      </w:r>
      <w:r w:rsidR="00367C55">
        <w:rPr>
          <w:rFonts w:cs="Arial"/>
          <w:szCs w:val="20"/>
        </w:rPr>
        <w:t>ch se za deset let zvýšil o 15,9</w:t>
      </w:r>
      <w:r w:rsidR="001B15CC">
        <w:rPr>
          <w:rFonts w:cs="Arial"/>
          <w:szCs w:val="20"/>
        </w:rPr>
        <w:t> % a žáků v těchto škol</w:t>
      </w:r>
      <w:r w:rsidR="00367C55">
        <w:rPr>
          <w:rFonts w:cs="Arial"/>
          <w:szCs w:val="20"/>
        </w:rPr>
        <w:t>ách přibylo o 19,5</w:t>
      </w:r>
      <w:r w:rsidR="001B15CC">
        <w:rPr>
          <w:rFonts w:cs="Arial"/>
          <w:szCs w:val="20"/>
        </w:rPr>
        <w:t> %</w:t>
      </w:r>
      <w:r w:rsidR="00FF6B7E" w:rsidRPr="00E272EB">
        <w:rPr>
          <w:rFonts w:cs="Arial"/>
          <w:szCs w:val="20"/>
        </w:rPr>
        <w:t xml:space="preserve">. </w:t>
      </w:r>
      <w:r w:rsidR="0089426A">
        <w:rPr>
          <w:rFonts w:cs="Arial"/>
          <w:szCs w:val="20"/>
        </w:rPr>
        <w:t>Pokud se jedná o </w:t>
      </w:r>
      <w:r w:rsidR="001B15CC" w:rsidRPr="001B15CC">
        <w:rPr>
          <w:rFonts w:cs="Arial"/>
          <w:b/>
          <w:szCs w:val="20"/>
        </w:rPr>
        <w:t>soukromé školy</w:t>
      </w:r>
      <w:r w:rsidR="001B15CC">
        <w:rPr>
          <w:rFonts w:cs="Arial"/>
          <w:szCs w:val="20"/>
        </w:rPr>
        <w:t xml:space="preserve">, pak se jejich počet </w:t>
      </w:r>
      <w:r w:rsidR="00424838">
        <w:rPr>
          <w:rFonts w:cs="Arial"/>
          <w:szCs w:val="20"/>
        </w:rPr>
        <w:t xml:space="preserve">i počet tříd, kterými disponují, </w:t>
      </w:r>
      <w:r w:rsidR="001B15CC">
        <w:rPr>
          <w:rFonts w:cs="Arial"/>
          <w:szCs w:val="20"/>
        </w:rPr>
        <w:t>za posledních deset let více než ztrojnásobil</w:t>
      </w:r>
      <w:r w:rsidR="00B22645">
        <w:rPr>
          <w:rFonts w:cs="Arial"/>
          <w:szCs w:val="20"/>
        </w:rPr>
        <w:t xml:space="preserve"> (3,3 násobek, resp. 3,2 násobek</w:t>
      </w:r>
      <w:r w:rsidR="00424838">
        <w:rPr>
          <w:rFonts w:cs="Arial"/>
          <w:szCs w:val="20"/>
        </w:rPr>
        <w:t>)</w:t>
      </w:r>
      <w:r w:rsidR="001B15CC">
        <w:rPr>
          <w:rFonts w:cs="Arial"/>
          <w:szCs w:val="20"/>
        </w:rPr>
        <w:t>. To zhruba odpoví</w:t>
      </w:r>
      <w:r w:rsidR="00B22645">
        <w:rPr>
          <w:rFonts w:cs="Arial"/>
          <w:szCs w:val="20"/>
        </w:rPr>
        <w:t>dá růstu počtu žáků (zvýšil se na 3,4 násobek</w:t>
      </w:r>
      <w:r w:rsidR="001B15CC">
        <w:rPr>
          <w:rFonts w:cs="Arial"/>
          <w:szCs w:val="20"/>
        </w:rPr>
        <w:t xml:space="preserve">). Počet žáků </w:t>
      </w:r>
      <w:r w:rsidR="001B15CC" w:rsidRPr="001B15CC">
        <w:rPr>
          <w:rFonts w:cs="Arial"/>
          <w:b/>
          <w:szCs w:val="20"/>
        </w:rPr>
        <w:t>církevních</w:t>
      </w:r>
      <w:r w:rsidR="001B15CC">
        <w:rPr>
          <w:rFonts w:cs="Arial"/>
          <w:szCs w:val="20"/>
        </w:rPr>
        <w:t xml:space="preserve"> škol se za posledních de</w:t>
      </w:r>
      <w:r w:rsidR="00367C55">
        <w:rPr>
          <w:rFonts w:cs="Arial"/>
          <w:szCs w:val="20"/>
        </w:rPr>
        <w:t>set let zvýšil o 36,1</w:t>
      </w:r>
      <w:r w:rsidR="001B15CC">
        <w:rPr>
          <w:rFonts w:cs="Arial"/>
          <w:szCs w:val="20"/>
        </w:rPr>
        <w:t> %</w:t>
      </w:r>
      <w:r w:rsidR="00192FD9">
        <w:rPr>
          <w:rFonts w:cs="Arial"/>
          <w:szCs w:val="20"/>
        </w:rPr>
        <w:t xml:space="preserve">, počet tříd o </w:t>
      </w:r>
      <w:r w:rsidR="00367C55">
        <w:rPr>
          <w:rFonts w:cs="Arial"/>
          <w:szCs w:val="20"/>
        </w:rPr>
        <w:t>27,1</w:t>
      </w:r>
      <w:r w:rsidR="00192FD9">
        <w:rPr>
          <w:rFonts w:cs="Arial"/>
          <w:szCs w:val="20"/>
        </w:rPr>
        <w:t xml:space="preserve"> % a škol o </w:t>
      </w:r>
      <w:r w:rsidR="00367C55">
        <w:rPr>
          <w:rFonts w:cs="Arial"/>
          <w:szCs w:val="20"/>
        </w:rPr>
        <w:t>14,3</w:t>
      </w:r>
      <w:r w:rsidR="00192FD9">
        <w:rPr>
          <w:rFonts w:cs="Arial"/>
          <w:szCs w:val="20"/>
        </w:rPr>
        <w:t> %.</w:t>
      </w:r>
      <w:r w:rsidR="001B15CC">
        <w:rPr>
          <w:rFonts w:cs="Arial"/>
          <w:szCs w:val="20"/>
        </w:rPr>
        <w:t xml:space="preserve"> </w:t>
      </w:r>
      <w:r w:rsidR="00FF6B7E">
        <w:rPr>
          <w:rFonts w:cs="Arial"/>
          <w:szCs w:val="20"/>
        </w:rPr>
        <w:t xml:space="preserve">Z hlediska </w:t>
      </w:r>
      <w:r w:rsidR="00FF6B7E" w:rsidRPr="004472A9">
        <w:rPr>
          <w:rFonts w:cs="Arial"/>
          <w:b/>
          <w:szCs w:val="20"/>
        </w:rPr>
        <w:t>regionálního</w:t>
      </w:r>
      <w:r w:rsidR="00FF6B7E">
        <w:rPr>
          <w:rFonts w:cs="Arial"/>
          <w:szCs w:val="20"/>
        </w:rPr>
        <w:t xml:space="preserve"> má v</w:t>
      </w:r>
      <w:r w:rsidR="00FF6B7E" w:rsidRPr="00E272EB">
        <w:rPr>
          <w:rFonts w:cs="Arial"/>
          <w:szCs w:val="20"/>
        </w:rPr>
        <w:t xml:space="preserve"> Praze v průměru jedna </w:t>
      </w:r>
      <w:r w:rsidR="00FF6B7E">
        <w:rPr>
          <w:rFonts w:cs="Arial"/>
          <w:szCs w:val="20"/>
        </w:rPr>
        <w:t xml:space="preserve">základní </w:t>
      </w:r>
      <w:r w:rsidR="00FF6B7E" w:rsidRPr="00E272EB">
        <w:rPr>
          <w:rFonts w:cs="Arial"/>
          <w:szCs w:val="20"/>
        </w:rPr>
        <w:t>škola 18</w:t>
      </w:r>
      <w:r w:rsidR="00367C55">
        <w:rPr>
          <w:rFonts w:cs="Arial"/>
          <w:szCs w:val="20"/>
        </w:rPr>
        <w:t>,8</w:t>
      </w:r>
      <w:r w:rsidR="00FF6B7E" w:rsidRPr="00E272EB">
        <w:rPr>
          <w:rFonts w:cs="Arial"/>
          <w:szCs w:val="20"/>
        </w:rPr>
        <w:t xml:space="preserve"> tříd, </w:t>
      </w:r>
      <w:r w:rsidR="00B74104">
        <w:rPr>
          <w:rFonts w:cs="Arial"/>
          <w:szCs w:val="20"/>
        </w:rPr>
        <w:t xml:space="preserve">naopak </w:t>
      </w:r>
      <w:r w:rsidR="00FF6B7E" w:rsidRPr="00E272EB">
        <w:rPr>
          <w:rFonts w:cs="Arial"/>
          <w:szCs w:val="20"/>
        </w:rPr>
        <w:t xml:space="preserve">v kraji Vysočina je to </w:t>
      </w:r>
      <w:r w:rsidR="00B74104">
        <w:rPr>
          <w:rFonts w:cs="Arial"/>
          <w:szCs w:val="20"/>
        </w:rPr>
        <w:t>8,</w:t>
      </w:r>
      <w:r w:rsidR="00FF6B7E">
        <w:rPr>
          <w:rFonts w:cs="Arial"/>
          <w:szCs w:val="20"/>
        </w:rPr>
        <w:t>9 tříd</w:t>
      </w:r>
      <w:r w:rsidR="00B74104">
        <w:rPr>
          <w:rFonts w:cs="Arial"/>
          <w:szCs w:val="20"/>
        </w:rPr>
        <w:t>, což je nejméně ze všech krajů.</w:t>
      </w:r>
    </w:p>
    <w:p w14:paraId="4E9F1AA0" w14:textId="2CAFBEAF" w:rsidR="00FF6B7E" w:rsidRDefault="00247FB4" w:rsidP="00FF6B7E">
      <w:pPr>
        <w:spacing w:after="120"/>
        <w:jc w:val="both"/>
        <w:rPr>
          <w:rFonts w:cs="Arial"/>
          <w:szCs w:val="20"/>
        </w:rPr>
      </w:pPr>
      <w:r w:rsidRPr="00247FB4">
        <w:rPr>
          <w:rFonts w:cs="Arial"/>
          <w:b/>
          <w:szCs w:val="20"/>
        </w:rPr>
        <w:t>P</w:t>
      </w:r>
      <w:r w:rsidR="00E90D90">
        <w:rPr>
          <w:rFonts w:cs="Arial"/>
          <w:b/>
          <w:szCs w:val="20"/>
        </w:rPr>
        <w:t>očet žáků na jednu</w:t>
      </w:r>
      <w:r w:rsidR="00FF6B7E" w:rsidRPr="00CD0800">
        <w:rPr>
          <w:rFonts w:cs="Arial"/>
          <w:b/>
          <w:szCs w:val="20"/>
        </w:rPr>
        <w:t xml:space="preserve"> třídu</w:t>
      </w:r>
      <w:r w:rsidR="00FF6B7E">
        <w:rPr>
          <w:rFonts w:cs="Arial"/>
          <w:szCs w:val="20"/>
        </w:rPr>
        <w:t xml:space="preserve"> se v posledníc</w:t>
      </w:r>
      <w:r w:rsidR="009F4A16">
        <w:rPr>
          <w:rFonts w:cs="Arial"/>
          <w:szCs w:val="20"/>
        </w:rPr>
        <w:t xml:space="preserve">h pěti letech výrazně neměnil a </w:t>
      </w:r>
      <w:r w:rsidR="00FF6B7E">
        <w:rPr>
          <w:rFonts w:cs="Arial"/>
          <w:szCs w:val="20"/>
        </w:rPr>
        <w:t xml:space="preserve">v průměru </w:t>
      </w:r>
      <w:r w:rsidR="009F4A16">
        <w:rPr>
          <w:rFonts w:cs="Arial"/>
          <w:szCs w:val="20"/>
        </w:rPr>
        <w:t xml:space="preserve">připadalo na jednu třídu cca 20 žáků. Na prvním stupni se v posledních </w:t>
      </w:r>
      <w:r w:rsidR="004B7EF6">
        <w:rPr>
          <w:rFonts w:cs="Arial"/>
          <w:szCs w:val="20"/>
        </w:rPr>
        <w:t>šesti</w:t>
      </w:r>
      <w:r w:rsidR="009F4A16">
        <w:rPr>
          <w:rFonts w:cs="Arial"/>
          <w:szCs w:val="20"/>
        </w:rPr>
        <w:t xml:space="preserve"> školních rocích průměrný počet žáků na jednu třídu postupně </w:t>
      </w:r>
      <w:r w:rsidR="00B63879">
        <w:rPr>
          <w:rFonts w:cs="Arial"/>
          <w:szCs w:val="20"/>
        </w:rPr>
        <w:t xml:space="preserve">mírně </w:t>
      </w:r>
      <w:r w:rsidR="009F4A16">
        <w:rPr>
          <w:rFonts w:cs="Arial"/>
          <w:szCs w:val="20"/>
        </w:rPr>
        <w:t>sn</w:t>
      </w:r>
      <w:r w:rsidR="004B7EF6">
        <w:rPr>
          <w:rFonts w:cs="Arial"/>
          <w:szCs w:val="20"/>
        </w:rPr>
        <w:t>ižoval, a sice z 20,2 žáka na 18,6 žáka</w:t>
      </w:r>
      <w:r w:rsidR="009F4A16">
        <w:rPr>
          <w:rFonts w:cs="Arial"/>
          <w:szCs w:val="20"/>
        </w:rPr>
        <w:t xml:space="preserve">.  Na druhém stupni </w:t>
      </w:r>
      <w:r w:rsidR="004B7EF6">
        <w:rPr>
          <w:rFonts w:cs="Arial"/>
          <w:szCs w:val="20"/>
        </w:rPr>
        <w:t xml:space="preserve">průměrný počet žáků na jednu třídu od školního roku 2011/12 postupně narůstal z 19 žáků na třídu až na 20,4 žáka na třídu ve školním roce 2019/20, poté se </w:t>
      </w:r>
      <w:r w:rsidR="00B22645">
        <w:rPr>
          <w:rFonts w:cs="Arial"/>
          <w:szCs w:val="20"/>
        </w:rPr>
        <w:t>mírně</w:t>
      </w:r>
      <w:r w:rsidR="004B7EF6">
        <w:rPr>
          <w:rFonts w:cs="Arial"/>
          <w:szCs w:val="20"/>
        </w:rPr>
        <w:t xml:space="preserve"> snížil na 20,2 žáka </w:t>
      </w:r>
      <w:r w:rsidR="00424838">
        <w:rPr>
          <w:rFonts w:cs="Arial"/>
          <w:szCs w:val="20"/>
        </w:rPr>
        <w:t>v</w:t>
      </w:r>
      <w:r w:rsidR="004B7EF6">
        <w:rPr>
          <w:rFonts w:cs="Arial"/>
          <w:szCs w:val="20"/>
        </w:rPr>
        <w:t xml:space="preserve">e školním roce 2021/22. </w:t>
      </w:r>
    </w:p>
    <w:p w14:paraId="47FF4B8D" w14:textId="4303A26D" w:rsidR="00A21E7D" w:rsidRDefault="00196337" w:rsidP="00FF6B7E">
      <w:pPr>
        <w:spacing w:after="120"/>
        <w:jc w:val="both"/>
        <w:rPr>
          <w:rFonts w:cs="Arial"/>
          <w:szCs w:val="20"/>
        </w:rPr>
      </w:pPr>
      <w:r w:rsidRPr="007E1DAD">
        <w:rPr>
          <w:rFonts w:cs="Arial"/>
          <w:szCs w:val="20"/>
        </w:rPr>
        <w:t>Graf 2.4</w:t>
      </w:r>
      <w:r w:rsidR="00A21E7D" w:rsidRPr="007E1DAD">
        <w:rPr>
          <w:rFonts w:cs="Arial"/>
          <w:szCs w:val="20"/>
        </w:rPr>
        <w:t xml:space="preserve"> uvádí, jak se počet žáků na jednu třídu </w:t>
      </w:r>
      <w:r w:rsidR="004B7EF6" w:rsidRPr="007E1DAD">
        <w:rPr>
          <w:rFonts w:cs="Arial"/>
          <w:szCs w:val="20"/>
        </w:rPr>
        <w:t xml:space="preserve">a na jednoho učitele </w:t>
      </w:r>
      <w:r w:rsidR="00A21E7D" w:rsidRPr="007E1DAD">
        <w:rPr>
          <w:rFonts w:cs="Arial"/>
          <w:szCs w:val="20"/>
        </w:rPr>
        <w:t xml:space="preserve">vyvíjel v posledních </w:t>
      </w:r>
      <w:r w:rsidR="004B7EF6" w:rsidRPr="007E1DAD">
        <w:rPr>
          <w:rFonts w:cs="Arial"/>
          <w:szCs w:val="20"/>
        </w:rPr>
        <w:t>deseti</w:t>
      </w:r>
      <w:r w:rsidR="00A21E7D" w:rsidRPr="007E1DAD">
        <w:rPr>
          <w:rFonts w:cs="Arial"/>
          <w:szCs w:val="20"/>
        </w:rPr>
        <w:t xml:space="preserve"> letech ve školách, jejichž zřizovatel je </w:t>
      </w:r>
      <w:r w:rsidR="00A21E7D" w:rsidRPr="007E1DAD">
        <w:rPr>
          <w:rFonts w:cs="Arial"/>
          <w:b/>
          <w:szCs w:val="20"/>
        </w:rPr>
        <w:t>veřejný, soukromý a církevní</w:t>
      </w:r>
      <w:r w:rsidR="00A21E7D" w:rsidRPr="007E1DAD">
        <w:rPr>
          <w:rFonts w:cs="Arial"/>
          <w:szCs w:val="20"/>
        </w:rPr>
        <w:t>.</w:t>
      </w:r>
      <w:r w:rsidR="00A21E7D">
        <w:rPr>
          <w:rFonts w:cs="Arial"/>
          <w:szCs w:val="20"/>
        </w:rPr>
        <w:t xml:space="preserve"> </w:t>
      </w:r>
      <w:r w:rsidR="007E1DAD">
        <w:rPr>
          <w:rFonts w:cs="Arial"/>
          <w:szCs w:val="20"/>
        </w:rPr>
        <w:t xml:space="preserve">Jak je patrné, počet žáků na jednu třídu i na jednoho učitele se v posledních pěti letech snižoval nejvýrazněji ve školách veřejných. Ve všech školních rocích však připadalo na jednu třídu i na jednoho učitele ve školách veřejných zřetelně více žáků než ve školách ostatních zřizovatelů, zejména </w:t>
      </w:r>
      <w:r w:rsidR="006C785B">
        <w:rPr>
          <w:rFonts w:cs="Arial"/>
          <w:szCs w:val="20"/>
        </w:rPr>
        <w:t xml:space="preserve">pak </w:t>
      </w:r>
      <w:r w:rsidR="007E1DAD">
        <w:rPr>
          <w:rFonts w:cs="Arial"/>
          <w:szCs w:val="20"/>
        </w:rPr>
        <w:t>ve školách zřizovatele soukromého.</w:t>
      </w:r>
    </w:p>
    <w:p w14:paraId="48CD5C5E" w14:textId="20A8D1E1" w:rsidR="00FF6B7E" w:rsidRDefault="00FF6B7E" w:rsidP="00AC7933">
      <w:pPr>
        <w:keepNext/>
        <w:spacing w:after="120"/>
        <w:jc w:val="both"/>
        <w:rPr>
          <w:rFonts w:cs="Arial"/>
          <w:b/>
          <w:szCs w:val="20"/>
        </w:rPr>
      </w:pPr>
      <w:r w:rsidRPr="002E5300">
        <w:rPr>
          <w:rFonts w:cs="Arial"/>
          <w:b/>
          <w:szCs w:val="20"/>
        </w:rPr>
        <w:t xml:space="preserve">Graf </w:t>
      </w:r>
      <w:r>
        <w:rPr>
          <w:rFonts w:cs="Arial"/>
          <w:b/>
          <w:szCs w:val="20"/>
        </w:rPr>
        <w:t>2</w:t>
      </w:r>
      <w:r w:rsidRPr="002E5300">
        <w:rPr>
          <w:rFonts w:cs="Arial"/>
          <w:b/>
          <w:szCs w:val="20"/>
        </w:rPr>
        <w:t>.</w:t>
      </w:r>
      <w:r w:rsidR="00196337">
        <w:rPr>
          <w:rFonts w:cs="Arial"/>
          <w:b/>
          <w:szCs w:val="20"/>
        </w:rPr>
        <w:t>4</w:t>
      </w:r>
      <w:r w:rsidRPr="002E5300">
        <w:rPr>
          <w:rFonts w:cs="Arial"/>
          <w:b/>
          <w:szCs w:val="20"/>
        </w:rPr>
        <w:t xml:space="preserve"> </w:t>
      </w:r>
      <w:r w:rsidRPr="00267E4A">
        <w:rPr>
          <w:rFonts w:cs="Arial"/>
          <w:b/>
          <w:szCs w:val="20"/>
        </w:rPr>
        <w:t>P</w:t>
      </w:r>
      <w:r w:rsidR="00CF27F9">
        <w:rPr>
          <w:rFonts w:cs="Arial"/>
          <w:b/>
          <w:szCs w:val="20"/>
        </w:rPr>
        <w:t xml:space="preserve">růměrný počet žáků na 1 třídu </w:t>
      </w:r>
      <w:r w:rsidR="004B7EF6">
        <w:rPr>
          <w:rFonts w:cs="Arial"/>
          <w:b/>
          <w:szCs w:val="20"/>
        </w:rPr>
        <w:t xml:space="preserve">a na 1 učitele </w:t>
      </w:r>
      <w:r w:rsidR="00CF27F9">
        <w:rPr>
          <w:rFonts w:cs="Arial"/>
          <w:b/>
          <w:szCs w:val="20"/>
        </w:rPr>
        <w:t>v</w:t>
      </w:r>
      <w:r w:rsidRPr="00267E4A">
        <w:rPr>
          <w:rFonts w:cs="Arial"/>
          <w:b/>
          <w:szCs w:val="20"/>
        </w:rPr>
        <w:t xml:space="preserve"> základních školách</w:t>
      </w:r>
      <w:r w:rsidR="00A21E7D">
        <w:rPr>
          <w:rFonts w:cs="Arial"/>
          <w:b/>
          <w:szCs w:val="20"/>
        </w:rPr>
        <w:t xml:space="preserve"> dle zřizovatele</w:t>
      </w:r>
    </w:p>
    <w:p w14:paraId="6D4DD451" w14:textId="00C0E429" w:rsidR="000631CF" w:rsidRPr="002E5300" w:rsidRDefault="004B7EF6" w:rsidP="00FF6B7E">
      <w:pPr>
        <w:spacing w:after="120"/>
        <w:jc w:val="both"/>
        <w:rPr>
          <w:rFonts w:cs="Arial"/>
          <w:b/>
          <w:szCs w:val="20"/>
        </w:rPr>
      </w:pPr>
      <w:r>
        <w:rPr>
          <w:noProof/>
        </w:rPr>
        <w:drawing>
          <wp:inline distT="0" distB="0" distL="0" distR="0" wp14:anchorId="4EAE448C" wp14:editId="4F67B013">
            <wp:extent cx="3095625" cy="2466975"/>
            <wp:effectExtent l="0" t="0" r="9525" b="9525"/>
            <wp:docPr id="51" name="Graf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Pr>
          <w:noProof/>
        </w:rPr>
        <w:drawing>
          <wp:inline distT="0" distB="0" distL="0" distR="0" wp14:anchorId="02FD9BBE" wp14:editId="53BE08A9">
            <wp:extent cx="2962275" cy="2466975"/>
            <wp:effectExtent l="0" t="0" r="9525" b="9525"/>
            <wp:docPr id="54" name="Graf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98F3E0D" w14:textId="139E88FA" w:rsidR="00FF6B7E" w:rsidRDefault="00FF6B7E" w:rsidP="00A21E7D">
      <w:pPr>
        <w:spacing w:after="0"/>
        <w:jc w:val="right"/>
        <w:rPr>
          <w:rFonts w:cs="Arial"/>
          <w:sz w:val="18"/>
        </w:rPr>
      </w:pPr>
      <w:r w:rsidRPr="00267E4A">
        <w:rPr>
          <w:noProof/>
          <w:lang w:val="en-US" w:eastAsia="en-US"/>
        </w:rPr>
        <w:t xml:space="preserve"> </w:t>
      </w:r>
      <w:r w:rsidRPr="00F94849">
        <w:rPr>
          <w:rFonts w:cs="Arial"/>
          <w:sz w:val="18"/>
        </w:rPr>
        <w:t>Zdroj: ČSÚ</w:t>
      </w:r>
      <w:r w:rsidRPr="00F94849">
        <w:rPr>
          <w:rFonts w:cs="Arial"/>
          <w:noProof/>
        </w:rPr>
        <w:t xml:space="preserve"> </w:t>
      </w:r>
      <w:r w:rsidRPr="00307699">
        <w:rPr>
          <w:rFonts w:cs="Arial"/>
          <w:sz w:val="18"/>
        </w:rPr>
        <w:t>podle údajů MŠMT</w:t>
      </w:r>
    </w:p>
    <w:p w14:paraId="43F9888E" w14:textId="77777777" w:rsidR="007E1DAD" w:rsidRDefault="007E1DAD" w:rsidP="00A21E7D">
      <w:pPr>
        <w:spacing w:after="0"/>
        <w:jc w:val="right"/>
        <w:rPr>
          <w:rFonts w:cs="Arial"/>
          <w:sz w:val="18"/>
        </w:rPr>
      </w:pPr>
    </w:p>
    <w:p w14:paraId="4122A6BE" w14:textId="7B18D61A" w:rsidR="00AC7933" w:rsidRDefault="00AC7933" w:rsidP="00AC7933">
      <w:pPr>
        <w:spacing w:after="120"/>
        <w:jc w:val="both"/>
        <w:rPr>
          <w:rFonts w:cs="Arial"/>
          <w:szCs w:val="20"/>
        </w:rPr>
      </w:pPr>
      <w:r>
        <w:rPr>
          <w:rFonts w:cs="Arial"/>
          <w:szCs w:val="20"/>
        </w:rPr>
        <w:t>V </w:t>
      </w:r>
      <w:r w:rsidRPr="00DA484A">
        <w:rPr>
          <w:rFonts w:cs="Arial"/>
          <w:b/>
          <w:szCs w:val="20"/>
        </w:rPr>
        <w:t>krajském srovnání</w:t>
      </w:r>
      <w:r w:rsidR="003C1626">
        <w:rPr>
          <w:rFonts w:cs="Arial"/>
          <w:szCs w:val="20"/>
        </w:rPr>
        <w:t xml:space="preserve"> připadalo ve školním roce 2021/22</w:t>
      </w:r>
      <w:r>
        <w:rPr>
          <w:rFonts w:cs="Arial"/>
          <w:szCs w:val="20"/>
        </w:rPr>
        <w:t xml:space="preserve"> nejvíce žáků na jednu třídu </w:t>
      </w:r>
      <w:r w:rsidR="008749E0">
        <w:rPr>
          <w:rFonts w:cs="Arial"/>
          <w:szCs w:val="20"/>
        </w:rPr>
        <w:t>v</w:t>
      </w:r>
      <w:r>
        <w:rPr>
          <w:rFonts w:cs="Arial"/>
          <w:szCs w:val="20"/>
        </w:rPr>
        <w:t xml:space="preserve"> hlavní</w:t>
      </w:r>
      <w:r w:rsidR="008749E0">
        <w:rPr>
          <w:rFonts w:cs="Arial"/>
          <w:szCs w:val="20"/>
        </w:rPr>
        <w:t>m</w:t>
      </w:r>
      <w:r>
        <w:rPr>
          <w:rFonts w:cs="Arial"/>
          <w:szCs w:val="20"/>
        </w:rPr>
        <w:t xml:space="preserve"> </w:t>
      </w:r>
      <w:r w:rsidR="008749E0">
        <w:rPr>
          <w:rFonts w:cs="Arial"/>
          <w:szCs w:val="20"/>
        </w:rPr>
        <w:t>městě Pr</w:t>
      </w:r>
      <w:r w:rsidR="003C1626">
        <w:rPr>
          <w:rFonts w:cs="Arial"/>
          <w:szCs w:val="20"/>
        </w:rPr>
        <w:t>aze, a sice 20,8 žáka</w:t>
      </w:r>
      <w:r w:rsidR="002633D1">
        <w:rPr>
          <w:rFonts w:cs="Arial"/>
          <w:szCs w:val="20"/>
        </w:rPr>
        <w:t>, n</w:t>
      </w:r>
      <w:r w:rsidR="003C1626">
        <w:rPr>
          <w:rFonts w:cs="Arial"/>
          <w:szCs w:val="20"/>
        </w:rPr>
        <w:t>ásleduje kraj Středočeský s 20,3 žáka</w:t>
      </w:r>
      <w:r w:rsidR="002633D1">
        <w:rPr>
          <w:rFonts w:cs="Arial"/>
          <w:szCs w:val="20"/>
        </w:rPr>
        <w:t xml:space="preserve"> připadajícími na jednu třídu</w:t>
      </w:r>
      <w:r>
        <w:rPr>
          <w:rFonts w:cs="Arial"/>
          <w:szCs w:val="20"/>
        </w:rPr>
        <w:t xml:space="preserve">. </w:t>
      </w:r>
      <w:r w:rsidR="008749E0">
        <w:rPr>
          <w:rFonts w:cs="Arial"/>
          <w:szCs w:val="20"/>
        </w:rPr>
        <w:t xml:space="preserve">Naopak téměř o tři žáky méně </w:t>
      </w:r>
      <w:r w:rsidR="002633D1">
        <w:rPr>
          <w:rFonts w:cs="Arial"/>
          <w:szCs w:val="20"/>
        </w:rPr>
        <w:t xml:space="preserve">než v Praze </w:t>
      </w:r>
      <w:r w:rsidR="008749E0">
        <w:rPr>
          <w:rFonts w:cs="Arial"/>
          <w:szCs w:val="20"/>
        </w:rPr>
        <w:t>připadalo na je</w:t>
      </w:r>
      <w:r w:rsidR="003C1626">
        <w:rPr>
          <w:rFonts w:cs="Arial"/>
          <w:szCs w:val="20"/>
        </w:rPr>
        <w:t>dnu třídu v kraji Zlínském (18,1</w:t>
      </w:r>
      <w:r w:rsidR="008749E0">
        <w:rPr>
          <w:rFonts w:cs="Arial"/>
          <w:szCs w:val="20"/>
        </w:rPr>
        <w:t>).</w:t>
      </w:r>
    </w:p>
    <w:p w14:paraId="7975DE9F" w14:textId="77777777" w:rsidR="00A21E7D" w:rsidRPr="00A21E7D" w:rsidRDefault="00A21E7D" w:rsidP="00A21E7D">
      <w:pPr>
        <w:spacing w:after="0"/>
        <w:jc w:val="both"/>
      </w:pPr>
    </w:p>
    <w:p w14:paraId="571943B3" w14:textId="77777777" w:rsidR="00FF6B7E" w:rsidRPr="00323E14" w:rsidRDefault="00FF6B7E" w:rsidP="00E425E3">
      <w:pPr>
        <w:keepNext/>
        <w:keepLines/>
        <w:spacing w:before="240" w:after="0"/>
        <w:outlineLvl w:val="1"/>
        <w:rPr>
          <w:rFonts w:eastAsia="MS Gothic"/>
          <w:b/>
          <w:bCs/>
          <w:color w:val="FF0000"/>
          <w:sz w:val="24"/>
          <w:szCs w:val="26"/>
        </w:rPr>
      </w:pPr>
      <w:bookmarkStart w:id="10" w:name="_Toc112069074"/>
      <w:r w:rsidRPr="00323E14">
        <w:rPr>
          <w:rFonts w:eastAsia="MS Gothic"/>
          <w:b/>
          <w:bCs/>
          <w:color w:val="BC091B"/>
          <w:sz w:val="28"/>
          <w:szCs w:val="26"/>
        </w:rPr>
        <w:lastRenderedPageBreak/>
        <w:t>2.3 Učitelé a asistenti pedagogů na základních školách</w:t>
      </w:r>
      <w:bookmarkEnd w:id="10"/>
      <w:r w:rsidRPr="00323E14">
        <w:rPr>
          <w:rFonts w:eastAsia="MS Gothic"/>
          <w:b/>
          <w:bCs/>
          <w:color w:val="BC091B"/>
          <w:sz w:val="28"/>
          <w:szCs w:val="26"/>
        </w:rPr>
        <w:t xml:space="preserve"> </w:t>
      </w:r>
    </w:p>
    <w:p w14:paraId="7F46FB8C" w14:textId="77777777" w:rsidR="00FF6B7E" w:rsidRPr="004472A9" w:rsidRDefault="00FF6B7E" w:rsidP="00E425E3">
      <w:pPr>
        <w:keepNext/>
        <w:spacing w:before="120" w:after="120"/>
        <w:jc w:val="both"/>
        <w:rPr>
          <w:rFonts w:cs="Arial"/>
          <w:b/>
          <w:i/>
          <w:color w:val="C00000"/>
          <w:sz w:val="24"/>
          <w:szCs w:val="20"/>
        </w:rPr>
      </w:pPr>
      <w:r w:rsidRPr="00323E14">
        <w:rPr>
          <w:rFonts w:cs="Arial"/>
          <w:b/>
          <w:i/>
          <w:color w:val="C00000"/>
          <w:sz w:val="24"/>
          <w:szCs w:val="20"/>
        </w:rPr>
        <w:t>Počet učitelů podle stupně a zřizovatele škol</w:t>
      </w:r>
    </w:p>
    <w:p w14:paraId="612D1BAC" w14:textId="53FEB34D" w:rsidR="00FF6B7E" w:rsidRDefault="00FF6B7E" w:rsidP="00FF6B7E">
      <w:pPr>
        <w:spacing w:after="120"/>
        <w:jc w:val="both"/>
        <w:rPr>
          <w:rFonts w:cs="Arial"/>
          <w:szCs w:val="20"/>
        </w:rPr>
      </w:pPr>
      <w:r>
        <w:t>P</w:t>
      </w:r>
      <w:r w:rsidR="00E90D90">
        <w:t>okud jde o p</w:t>
      </w:r>
      <w:r>
        <w:t xml:space="preserve">očet učitelů ve </w:t>
      </w:r>
      <w:r w:rsidRPr="00FD24A5">
        <w:rPr>
          <w:b/>
        </w:rPr>
        <w:t>fyzick</w:t>
      </w:r>
      <w:r>
        <w:rPr>
          <w:b/>
        </w:rPr>
        <w:t xml:space="preserve">ých </w:t>
      </w:r>
      <w:r w:rsidRPr="00FD24A5">
        <w:rPr>
          <w:b/>
        </w:rPr>
        <w:t>osob</w:t>
      </w:r>
      <w:r>
        <w:rPr>
          <w:b/>
        </w:rPr>
        <w:t>ách</w:t>
      </w:r>
      <w:r>
        <w:t xml:space="preserve">, tj. nikoliv přepočtené na plně </w:t>
      </w:r>
      <w:r w:rsidR="00CA6088">
        <w:t>zaměstnané, k 30. 9. 2021</w:t>
      </w:r>
      <w:r w:rsidR="00626B5A">
        <w:t xml:space="preserve"> jich </w:t>
      </w:r>
      <w:r>
        <w:t xml:space="preserve">na základních školách na plný či částečný pracovní úvazek pracovalo celkem </w:t>
      </w:r>
      <w:r w:rsidR="00CA6088">
        <w:t>88 759</w:t>
      </w:r>
      <w:r>
        <w:rPr>
          <w:rFonts w:cs="Arial"/>
          <w:szCs w:val="20"/>
        </w:rPr>
        <w:t xml:space="preserve">. Mezi nimi bylo </w:t>
      </w:r>
      <w:r w:rsidR="00D55DB1">
        <w:rPr>
          <w:rFonts w:cs="Arial"/>
          <w:szCs w:val="20"/>
        </w:rPr>
        <w:t>3 </w:t>
      </w:r>
      <w:r w:rsidR="006C1714">
        <w:rPr>
          <w:rFonts w:cs="Arial"/>
          <w:szCs w:val="20"/>
        </w:rPr>
        <w:t>814</w:t>
      </w:r>
      <w:r>
        <w:rPr>
          <w:rFonts w:cs="Arial"/>
          <w:szCs w:val="20"/>
        </w:rPr>
        <w:t xml:space="preserve"> nově začínajících – 2 </w:t>
      </w:r>
      <w:r w:rsidR="006C1714">
        <w:rPr>
          <w:rFonts w:cs="Arial"/>
          <w:szCs w:val="20"/>
        </w:rPr>
        <w:t>955 žen a 859</w:t>
      </w:r>
      <w:r>
        <w:rPr>
          <w:rFonts w:cs="Arial"/>
          <w:szCs w:val="20"/>
        </w:rPr>
        <w:t xml:space="preserve"> mužů.</w:t>
      </w:r>
    </w:p>
    <w:p w14:paraId="56743E11" w14:textId="27D7F140" w:rsidR="00A87643" w:rsidRDefault="00A87643" w:rsidP="00FF6B7E">
      <w:pPr>
        <w:spacing w:after="120"/>
        <w:jc w:val="both"/>
        <w:rPr>
          <w:rFonts w:cs="Arial"/>
          <w:szCs w:val="20"/>
        </w:rPr>
      </w:pPr>
      <w:r>
        <w:rPr>
          <w:rFonts w:cs="Arial"/>
          <w:szCs w:val="20"/>
        </w:rPr>
        <w:t>S </w:t>
      </w:r>
      <w:r w:rsidR="00FF6B7E" w:rsidRPr="00E272EB">
        <w:rPr>
          <w:rFonts w:cs="Arial"/>
          <w:szCs w:val="20"/>
        </w:rPr>
        <w:t>nárůstem počtu</w:t>
      </w:r>
      <w:r w:rsidR="00476432">
        <w:rPr>
          <w:rFonts w:cs="Arial"/>
          <w:szCs w:val="20"/>
        </w:rPr>
        <w:t xml:space="preserve"> žáků i</w:t>
      </w:r>
      <w:r w:rsidR="00FF6B7E" w:rsidRPr="00E272EB">
        <w:rPr>
          <w:rFonts w:cs="Arial"/>
          <w:szCs w:val="20"/>
        </w:rPr>
        <w:t xml:space="preserve"> tříd </w:t>
      </w:r>
      <w:r w:rsidR="00FF6B7E">
        <w:rPr>
          <w:rFonts w:cs="Arial"/>
          <w:szCs w:val="20"/>
        </w:rPr>
        <w:t xml:space="preserve">na základních </w:t>
      </w:r>
      <w:r w:rsidR="00FF6B7E" w:rsidRPr="00E272EB">
        <w:rPr>
          <w:rFonts w:cs="Arial"/>
          <w:szCs w:val="20"/>
        </w:rPr>
        <w:t xml:space="preserve">školách </w:t>
      </w:r>
      <w:r w:rsidR="00476432">
        <w:rPr>
          <w:rFonts w:cs="Arial"/>
          <w:szCs w:val="20"/>
        </w:rPr>
        <w:t xml:space="preserve">(viz graf 2.1, resp. 2.3) </w:t>
      </w:r>
      <w:r w:rsidR="00FF6B7E" w:rsidRPr="00E272EB">
        <w:rPr>
          <w:rFonts w:cs="Arial"/>
          <w:szCs w:val="20"/>
        </w:rPr>
        <w:t xml:space="preserve">zde vznikají i nová pracovní místa. </w:t>
      </w:r>
      <w:r w:rsidR="00FF6B7E">
        <w:t xml:space="preserve">Lepším měřítkem než počet učitelů ve fyzických osobách je zde počet plných úvazků učitelů. </w:t>
      </w:r>
      <w:r>
        <w:t>Zde lze poznamenat, že k</w:t>
      </w:r>
      <w:r w:rsidRPr="00A87643">
        <w:t xml:space="preserve"> 30. 9. 2021 byli souhrnně všichni učitelé v základních školách zaměstnáni na 71 325 plných úvazků. </w:t>
      </w:r>
      <w:r>
        <w:t>Z</w:t>
      </w:r>
      <w:r w:rsidR="00D55DB1">
        <w:t>a posledních pět let</w:t>
      </w:r>
      <w:r>
        <w:t xml:space="preserve"> přitom počet plných úvazků učitelů vrostl</w:t>
      </w:r>
      <w:r w:rsidR="00D55DB1">
        <w:t xml:space="preserve"> o </w:t>
      </w:r>
      <w:r w:rsidR="006C1714">
        <w:t>15,7</w:t>
      </w:r>
      <w:r w:rsidR="00FF6B7E">
        <w:t xml:space="preserve"> %</w:t>
      </w:r>
      <w:r w:rsidR="00FF6B7E" w:rsidRPr="00E272EB">
        <w:rPr>
          <w:rFonts w:cs="Arial"/>
          <w:szCs w:val="20"/>
        </w:rPr>
        <w:t xml:space="preserve"> (</w:t>
      </w:r>
      <w:r>
        <w:rPr>
          <w:rFonts w:cs="Arial"/>
          <w:szCs w:val="20"/>
        </w:rPr>
        <w:t xml:space="preserve">tj. </w:t>
      </w:r>
      <w:r w:rsidR="00D55DB1">
        <w:rPr>
          <w:rFonts w:cs="Arial"/>
          <w:szCs w:val="20"/>
        </w:rPr>
        <w:t>9 </w:t>
      </w:r>
      <w:r w:rsidR="006C1714">
        <w:rPr>
          <w:rFonts w:cs="Arial"/>
          <w:szCs w:val="20"/>
        </w:rPr>
        <w:t>690</w:t>
      </w:r>
      <w:r w:rsidR="00FF6B7E" w:rsidRPr="00E272EB">
        <w:rPr>
          <w:rFonts w:cs="Arial"/>
          <w:szCs w:val="20"/>
        </w:rPr>
        <w:t xml:space="preserve"> úvazků)</w:t>
      </w:r>
      <w:r>
        <w:rPr>
          <w:rFonts w:cs="Arial"/>
          <w:szCs w:val="20"/>
        </w:rPr>
        <w:t>, zatímco počet žáků jen o 6,4 %</w:t>
      </w:r>
      <w:r w:rsidR="000259A0">
        <w:rPr>
          <w:rStyle w:val="Znakapoznpodarou"/>
          <w:rFonts w:cs="Arial"/>
          <w:szCs w:val="20"/>
        </w:rPr>
        <w:footnoteReference w:id="17"/>
      </w:r>
      <w:r w:rsidR="00FF6B7E" w:rsidRPr="00E272EB">
        <w:rPr>
          <w:rFonts w:cs="Arial"/>
          <w:szCs w:val="20"/>
        </w:rPr>
        <w:t xml:space="preserve">. </w:t>
      </w:r>
      <w:r>
        <w:rPr>
          <w:rFonts w:cs="Arial"/>
          <w:szCs w:val="20"/>
        </w:rPr>
        <w:t xml:space="preserve">V prvních pěti letech posledního desetiletí tomu bylo naopak – počet plných úvazků učitelů vzrostl o 6,6 % a počet žáků o 14 %. Počet žáků na jeden plný úvazek učitele tak byl ve školním roce 2011/12 srovnatelný s počtem zaznamenaným ve školním roce 2021/22 (tj. 13,7, resp. 13,5 žáka). </w:t>
      </w:r>
      <w:r w:rsidR="00D80743">
        <w:rPr>
          <w:rFonts w:cs="Arial"/>
          <w:szCs w:val="20"/>
        </w:rPr>
        <w:t xml:space="preserve">Ve školních rocích 2016/17 a 2017/18 však připadalo na jeden učitelský úvazek 14,7 dítěte. </w:t>
      </w:r>
      <w:r>
        <w:rPr>
          <w:rFonts w:cs="Arial"/>
          <w:szCs w:val="20"/>
        </w:rPr>
        <w:t>Obdobně počet žáků na jednu třídu v prvních pěti letech poslední dekády vzrostl z 18,8 na 20,1 a do školního roku 2021/22 klesl na 19,3.</w:t>
      </w:r>
    </w:p>
    <w:p w14:paraId="777BD84C" w14:textId="686F22B8" w:rsidR="00FF6B7E" w:rsidRDefault="00323E14" w:rsidP="00FF6B7E">
      <w:pPr>
        <w:spacing w:after="120"/>
        <w:jc w:val="both"/>
        <w:rPr>
          <w:rFonts w:cs="Arial"/>
          <w:szCs w:val="20"/>
        </w:rPr>
      </w:pPr>
      <w:r>
        <w:rPr>
          <w:rFonts w:cs="Arial"/>
          <w:szCs w:val="20"/>
        </w:rPr>
        <w:t xml:space="preserve">Pokud se jedná o </w:t>
      </w:r>
      <w:r w:rsidRPr="00323E14">
        <w:rPr>
          <w:rFonts w:cs="Arial"/>
          <w:b/>
          <w:szCs w:val="20"/>
        </w:rPr>
        <w:t>začínající učitele</w:t>
      </w:r>
      <w:r>
        <w:rPr>
          <w:rFonts w:cs="Arial"/>
          <w:szCs w:val="20"/>
        </w:rPr>
        <w:t>, n</w:t>
      </w:r>
      <w:r w:rsidR="006C1714">
        <w:rPr>
          <w:rFonts w:cs="Arial"/>
          <w:szCs w:val="20"/>
        </w:rPr>
        <w:t>a začátku školního roku 2021/22</w:t>
      </w:r>
      <w:r w:rsidR="00FF6B7E">
        <w:rPr>
          <w:rFonts w:cs="Arial"/>
          <w:szCs w:val="20"/>
        </w:rPr>
        <w:t xml:space="preserve"> </w:t>
      </w:r>
      <w:r>
        <w:rPr>
          <w:rFonts w:cs="Arial"/>
          <w:szCs w:val="20"/>
        </w:rPr>
        <w:t xml:space="preserve">nově </w:t>
      </w:r>
      <w:r w:rsidR="00D55DB1" w:rsidRPr="00323E14">
        <w:rPr>
          <w:rFonts w:cs="Arial"/>
          <w:szCs w:val="20"/>
        </w:rPr>
        <w:t>nastoupili</w:t>
      </w:r>
      <w:r>
        <w:rPr>
          <w:rFonts w:cs="Arial"/>
          <w:szCs w:val="20"/>
        </w:rPr>
        <w:t xml:space="preserve"> </w:t>
      </w:r>
      <w:r w:rsidR="00D55DB1">
        <w:rPr>
          <w:rFonts w:cs="Arial"/>
          <w:szCs w:val="20"/>
        </w:rPr>
        <w:t>na základní školy učitelé na 2</w:t>
      </w:r>
      <w:r w:rsidR="006C1714">
        <w:rPr>
          <w:rFonts w:cs="Arial"/>
          <w:szCs w:val="20"/>
        </w:rPr>
        <w:t> 634,7</w:t>
      </w:r>
      <w:r w:rsidR="00FF6B7E">
        <w:rPr>
          <w:rFonts w:cs="Arial"/>
          <w:szCs w:val="20"/>
        </w:rPr>
        <w:t xml:space="preserve"> </w:t>
      </w:r>
      <w:r w:rsidR="00D55DB1">
        <w:rPr>
          <w:rFonts w:cs="Arial"/>
          <w:szCs w:val="20"/>
        </w:rPr>
        <w:t>plných úvazků</w:t>
      </w:r>
      <w:r w:rsidR="00FF6B7E">
        <w:rPr>
          <w:rFonts w:cs="Arial"/>
          <w:szCs w:val="20"/>
        </w:rPr>
        <w:t xml:space="preserve">. </w:t>
      </w:r>
      <w:r w:rsidR="00EF0CF6">
        <w:rPr>
          <w:rFonts w:cs="Arial"/>
          <w:szCs w:val="20"/>
        </w:rPr>
        <w:t xml:space="preserve">Celkem </w:t>
      </w:r>
      <w:r w:rsidR="006C1714">
        <w:rPr>
          <w:rFonts w:cs="Arial"/>
          <w:szCs w:val="20"/>
        </w:rPr>
        <w:t>29,3</w:t>
      </w:r>
      <w:r w:rsidR="00FF6B7E">
        <w:rPr>
          <w:rFonts w:cs="Arial"/>
          <w:szCs w:val="20"/>
        </w:rPr>
        <w:t xml:space="preserve"> % z těchto </w:t>
      </w:r>
      <w:r w:rsidR="00637C49">
        <w:rPr>
          <w:rFonts w:cs="Arial"/>
          <w:szCs w:val="20"/>
        </w:rPr>
        <w:t xml:space="preserve">úvazků </w:t>
      </w:r>
      <w:r w:rsidR="00FF6B7E" w:rsidRPr="00323E14">
        <w:rPr>
          <w:rFonts w:cs="Arial"/>
          <w:szCs w:val="20"/>
        </w:rPr>
        <w:t>začínajících učitelů</w:t>
      </w:r>
      <w:r w:rsidR="00FF6B7E">
        <w:rPr>
          <w:rFonts w:cs="Arial"/>
          <w:szCs w:val="20"/>
        </w:rPr>
        <w:t xml:space="preserve"> připadlo na Prahu a Středočeský kraj</w:t>
      </w:r>
      <w:r w:rsidR="00637C49">
        <w:rPr>
          <w:rFonts w:cs="Arial"/>
          <w:szCs w:val="20"/>
        </w:rPr>
        <w:t xml:space="preserve">. </w:t>
      </w:r>
      <w:r w:rsidR="006C1714" w:rsidRPr="00385F7B">
        <w:rPr>
          <w:rFonts w:cs="Arial"/>
          <w:szCs w:val="20"/>
        </w:rPr>
        <w:t>V</w:t>
      </w:r>
      <w:r w:rsidR="00385F7B" w:rsidRPr="00385F7B">
        <w:rPr>
          <w:rFonts w:cs="Arial"/>
          <w:szCs w:val="20"/>
        </w:rPr>
        <w:t> Praze a Středočeském kraji spolu s krajem Karlovarským</w:t>
      </w:r>
      <w:r w:rsidR="006C1714" w:rsidRPr="00385F7B">
        <w:rPr>
          <w:rFonts w:cs="Arial"/>
          <w:szCs w:val="20"/>
        </w:rPr>
        <w:t xml:space="preserve"> </w:t>
      </w:r>
      <w:r w:rsidR="00385F7B" w:rsidRPr="00385F7B">
        <w:rPr>
          <w:rFonts w:cs="Arial"/>
          <w:szCs w:val="20"/>
        </w:rPr>
        <w:t>zároveň tvořily</w:t>
      </w:r>
      <w:r w:rsidR="00637C49" w:rsidRPr="00385F7B">
        <w:rPr>
          <w:rFonts w:cs="Arial"/>
          <w:szCs w:val="20"/>
        </w:rPr>
        <w:t xml:space="preserve"> úvazky začínajících učitelů nejvyšší po</w:t>
      </w:r>
      <w:r w:rsidR="00385F7B" w:rsidRPr="00385F7B">
        <w:rPr>
          <w:rFonts w:cs="Arial"/>
          <w:szCs w:val="20"/>
        </w:rPr>
        <w:t>díl ze všech úvazků učitelů (4,8</w:t>
      </w:r>
      <w:r w:rsidR="00637C49" w:rsidRPr="00385F7B">
        <w:rPr>
          <w:rFonts w:cs="Arial"/>
          <w:szCs w:val="20"/>
        </w:rPr>
        <w:t> %, resp</w:t>
      </w:r>
      <w:r w:rsidR="00385F7B" w:rsidRPr="00385F7B">
        <w:rPr>
          <w:rFonts w:cs="Arial"/>
          <w:szCs w:val="20"/>
        </w:rPr>
        <w:t>. 4,1 %, resp. 4,9</w:t>
      </w:r>
      <w:r w:rsidR="00637C49" w:rsidRPr="00385F7B">
        <w:rPr>
          <w:rFonts w:cs="Arial"/>
          <w:szCs w:val="20"/>
        </w:rPr>
        <w:t> %).</w:t>
      </w:r>
      <w:r w:rsidR="00FF6B7E">
        <w:rPr>
          <w:rFonts w:cs="Arial"/>
          <w:szCs w:val="20"/>
        </w:rPr>
        <w:t xml:space="preserve"> </w:t>
      </w:r>
      <w:r w:rsidR="00385F7B">
        <w:rPr>
          <w:rFonts w:cs="Arial"/>
          <w:szCs w:val="20"/>
        </w:rPr>
        <w:t xml:space="preserve"> Naopak nejmenší podíl zaznamenala Vysočina (2,8 %).</w:t>
      </w:r>
    </w:p>
    <w:p w14:paraId="3FDB2F71" w14:textId="5BA29536" w:rsidR="00C75024" w:rsidRDefault="00E20E76" w:rsidP="00FF6B7E">
      <w:pPr>
        <w:spacing w:after="120"/>
        <w:jc w:val="both"/>
        <w:rPr>
          <w:rFonts w:cs="Arial"/>
          <w:szCs w:val="20"/>
        </w:rPr>
      </w:pPr>
      <w:r>
        <w:rPr>
          <w:rFonts w:cs="Arial"/>
          <w:szCs w:val="20"/>
        </w:rPr>
        <w:t>Zajímavé je též srovnat počet žáků na jednoho učitele na 1. a 2. stupni. Ve školním roce 2021</w:t>
      </w:r>
      <w:r w:rsidR="00830C39">
        <w:rPr>
          <w:rFonts w:cs="Arial"/>
          <w:szCs w:val="20"/>
        </w:rPr>
        <w:t>/</w:t>
      </w:r>
      <w:r>
        <w:rPr>
          <w:rFonts w:cs="Arial"/>
          <w:szCs w:val="20"/>
        </w:rPr>
        <w:t>2</w:t>
      </w:r>
      <w:r w:rsidR="00830C39">
        <w:rPr>
          <w:rFonts w:cs="Arial"/>
          <w:szCs w:val="20"/>
        </w:rPr>
        <w:t>2</w:t>
      </w:r>
      <w:r w:rsidR="00F11AAF">
        <w:rPr>
          <w:rFonts w:cs="Arial"/>
          <w:szCs w:val="20"/>
        </w:rPr>
        <w:t xml:space="preserve"> bylo na druhém</w:t>
      </w:r>
      <w:r w:rsidR="00FF6B7E">
        <w:rPr>
          <w:rFonts w:cs="Arial"/>
          <w:szCs w:val="20"/>
        </w:rPr>
        <w:t xml:space="preserve"> stupni o </w:t>
      </w:r>
      <w:r w:rsidR="00C75024">
        <w:rPr>
          <w:rFonts w:cs="Arial"/>
          <w:szCs w:val="20"/>
        </w:rPr>
        <w:t>2</w:t>
      </w:r>
      <w:r w:rsidR="00C75024" w:rsidRPr="00962D52">
        <w:rPr>
          <w:rFonts w:cs="Arial"/>
          <w:szCs w:val="20"/>
        </w:rPr>
        <w:t>,5</w:t>
      </w:r>
      <w:r w:rsidR="007963F4" w:rsidRPr="00962D52">
        <w:rPr>
          <w:rFonts w:cs="Arial"/>
          <w:szCs w:val="20"/>
        </w:rPr>
        <w:t xml:space="preserve"> tisíce</w:t>
      </w:r>
      <w:r w:rsidR="00FF6B7E" w:rsidRPr="00962D52">
        <w:rPr>
          <w:rFonts w:cs="Arial"/>
          <w:szCs w:val="20"/>
        </w:rPr>
        <w:t xml:space="preserve"> více učitelů přepočtený</w:t>
      </w:r>
      <w:r w:rsidR="00F11AAF" w:rsidRPr="00962D52">
        <w:rPr>
          <w:rFonts w:cs="Arial"/>
          <w:szCs w:val="20"/>
        </w:rPr>
        <w:t>ch na plně zaměstnané než na prvním</w:t>
      </w:r>
      <w:r w:rsidR="00626B5A" w:rsidRPr="00962D52">
        <w:rPr>
          <w:rFonts w:cs="Arial"/>
          <w:szCs w:val="20"/>
        </w:rPr>
        <w:t> </w:t>
      </w:r>
      <w:r w:rsidR="007963F4" w:rsidRPr="00962D52">
        <w:rPr>
          <w:rFonts w:cs="Arial"/>
          <w:szCs w:val="20"/>
        </w:rPr>
        <w:t>stupni.</w:t>
      </w:r>
      <w:r w:rsidR="00C75024" w:rsidRPr="00962D52">
        <w:rPr>
          <w:rFonts w:cs="Arial"/>
          <w:szCs w:val="20"/>
        </w:rPr>
        <w:t xml:space="preserve"> </w:t>
      </w:r>
      <w:r w:rsidR="00F024CB">
        <w:rPr>
          <w:rFonts w:cs="Arial"/>
          <w:szCs w:val="20"/>
        </w:rPr>
        <w:t>Zde je třeba přihlédnout ke skutečnosti, že první stupeň čítá o jeden ročník více. Nicméně též</w:t>
      </w:r>
      <w:r w:rsidR="00962D52" w:rsidRPr="00962D52">
        <w:rPr>
          <w:rFonts w:cs="Arial"/>
          <w:szCs w:val="20"/>
        </w:rPr>
        <w:t xml:space="preserve"> počet žáků na jeden plný úvazek</w:t>
      </w:r>
      <w:r w:rsidRPr="00962D52">
        <w:rPr>
          <w:rFonts w:cs="Arial"/>
          <w:szCs w:val="20"/>
        </w:rPr>
        <w:t xml:space="preserve"> učitele byl na 1. stupni vyšší (15,9) než na 2. stupni (11,4). </w:t>
      </w:r>
      <w:r w:rsidR="00962D52" w:rsidRPr="00962D52">
        <w:rPr>
          <w:rFonts w:cs="Arial"/>
          <w:szCs w:val="20"/>
        </w:rPr>
        <w:t xml:space="preserve">Jak již bylo řečeno výše, </w:t>
      </w:r>
      <w:r w:rsidR="00221292">
        <w:rPr>
          <w:rFonts w:cs="Arial"/>
          <w:szCs w:val="20"/>
        </w:rPr>
        <w:t xml:space="preserve">na </w:t>
      </w:r>
      <w:r w:rsidR="00F024CB">
        <w:rPr>
          <w:rFonts w:cs="Arial"/>
          <w:szCs w:val="20"/>
        </w:rPr>
        <w:t>d</w:t>
      </w:r>
      <w:r w:rsidR="00221292">
        <w:rPr>
          <w:rFonts w:cs="Arial"/>
          <w:szCs w:val="20"/>
        </w:rPr>
        <w:t>ruhém stupni</w:t>
      </w:r>
      <w:r w:rsidR="00962D52" w:rsidRPr="00962D52">
        <w:rPr>
          <w:rFonts w:cs="Arial"/>
          <w:szCs w:val="20"/>
        </w:rPr>
        <w:t xml:space="preserve"> </w:t>
      </w:r>
      <w:r w:rsidR="00221292">
        <w:rPr>
          <w:rFonts w:cs="Arial"/>
          <w:szCs w:val="20"/>
        </w:rPr>
        <w:t>je</w:t>
      </w:r>
      <w:r w:rsidR="00962D52" w:rsidRPr="00962D52">
        <w:rPr>
          <w:rFonts w:cs="Arial"/>
          <w:szCs w:val="20"/>
        </w:rPr>
        <w:t xml:space="preserve"> méně žáků též z důvodu přechodů na víceletá gymnázia</w:t>
      </w:r>
      <w:r w:rsidR="00962D52">
        <w:rPr>
          <w:rFonts w:cs="Arial"/>
          <w:szCs w:val="20"/>
        </w:rPr>
        <w:t xml:space="preserve"> po pátém a sedmém ročníku, čemuž se úvazky učitelů nemusí vždy přizpůsobit. Na daný poměr může mít také vliv dělení žáků do skupin, např. dle pokročilosti v cizím jazyce či v případě volitelných předmětů. </w:t>
      </w:r>
      <w:r w:rsidR="00C75024">
        <w:rPr>
          <w:rFonts w:cs="Arial"/>
          <w:szCs w:val="20"/>
        </w:rPr>
        <w:t>Po</w:t>
      </w:r>
      <w:r>
        <w:rPr>
          <w:rFonts w:cs="Arial"/>
          <w:szCs w:val="20"/>
        </w:rPr>
        <w:t>díváme-li se na vývoj v čase, pak se po</w:t>
      </w:r>
      <w:r w:rsidR="00C75024">
        <w:rPr>
          <w:rFonts w:cs="Arial"/>
          <w:szCs w:val="20"/>
        </w:rPr>
        <w:t>čet žáků na jeden úvazek</w:t>
      </w:r>
      <w:r>
        <w:rPr>
          <w:rFonts w:cs="Arial"/>
          <w:szCs w:val="20"/>
        </w:rPr>
        <w:t xml:space="preserve"> učitele na 1. stupni</w:t>
      </w:r>
      <w:r w:rsidR="00C75024">
        <w:rPr>
          <w:rFonts w:cs="Arial"/>
          <w:szCs w:val="20"/>
        </w:rPr>
        <w:t xml:space="preserve"> mezi školními roky 2011/12 a 2015/16 zvýšil z 16,9 na 17,9 a během posledních pěti let pak poklesl na 15,9. Počet žáků na 2. stupni  na učitele měl pozvolnější průběh. Mezi školními roky 2011/12 a 2018/19 se postupně zvyšoval </w:t>
      </w:r>
      <w:r w:rsidR="00F024CB">
        <w:rPr>
          <w:rFonts w:cs="Arial"/>
          <w:szCs w:val="20"/>
        </w:rPr>
        <w:t xml:space="preserve">z 10,8 žáků </w:t>
      </w:r>
      <w:r w:rsidR="00C75024">
        <w:rPr>
          <w:rFonts w:cs="Arial"/>
          <w:szCs w:val="20"/>
        </w:rPr>
        <w:t>až na 11,7</w:t>
      </w:r>
      <w:r w:rsidR="00F024CB">
        <w:rPr>
          <w:rFonts w:cs="Arial"/>
          <w:szCs w:val="20"/>
        </w:rPr>
        <w:t xml:space="preserve"> žáků</w:t>
      </w:r>
      <w:r w:rsidR="00C75024">
        <w:rPr>
          <w:rFonts w:cs="Arial"/>
          <w:szCs w:val="20"/>
        </w:rPr>
        <w:t xml:space="preserve"> a poté každý rok o desetinu poklesl. Ve školním roce 2021/22 tak bylo na jeden učitel</w:t>
      </w:r>
      <w:r w:rsidR="00F024CB">
        <w:rPr>
          <w:rFonts w:cs="Arial"/>
          <w:szCs w:val="20"/>
        </w:rPr>
        <w:t>ský úvazek v průměru 11,4 žáků</w:t>
      </w:r>
      <w:r w:rsidR="00C75024">
        <w:rPr>
          <w:rFonts w:cs="Arial"/>
          <w:szCs w:val="20"/>
        </w:rPr>
        <w:t xml:space="preserve">. </w:t>
      </w:r>
      <w:r w:rsidR="00FB625B">
        <w:rPr>
          <w:rFonts w:cs="Arial"/>
          <w:szCs w:val="20"/>
        </w:rPr>
        <w:t>Více viz graf 2.</w:t>
      </w:r>
      <w:r w:rsidR="00196337">
        <w:rPr>
          <w:rFonts w:cs="Arial"/>
          <w:szCs w:val="20"/>
        </w:rPr>
        <w:t>5</w:t>
      </w:r>
      <w:r w:rsidR="00FB625B">
        <w:rPr>
          <w:rFonts w:cs="Arial"/>
          <w:szCs w:val="20"/>
        </w:rPr>
        <w:t>.</w:t>
      </w:r>
    </w:p>
    <w:p w14:paraId="5CD5B2F3" w14:textId="5737807B" w:rsidR="00FF6B7E" w:rsidRDefault="00FF6B7E" w:rsidP="00FB625B">
      <w:pPr>
        <w:keepNext/>
        <w:spacing w:after="120"/>
        <w:jc w:val="both"/>
        <w:rPr>
          <w:rFonts w:cs="Arial"/>
          <w:b/>
          <w:szCs w:val="20"/>
        </w:rPr>
      </w:pPr>
      <w:r w:rsidRPr="002E5300">
        <w:rPr>
          <w:rFonts w:cs="Arial"/>
          <w:b/>
          <w:szCs w:val="20"/>
        </w:rPr>
        <w:lastRenderedPageBreak/>
        <w:t xml:space="preserve">Graf </w:t>
      </w:r>
      <w:r>
        <w:rPr>
          <w:rFonts w:cs="Arial"/>
          <w:b/>
          <w:szCs w:val="20"/>
        </w:rPr>
        <w:t>2</w:t>
      </w:r>
      <w:r w:rsidRPr="002E5300">
        <w:rPr>
          <w:rFonts w:cs="Arial"/>
          <w:b/>
          <w:szCs w:val="20"/>
        </w:rPr>
        <w:t>.</w:t>
      </w:r>
      <w:r w:rsidR="00196337">
        <w:rPr>
          <w:rFonts w:cs="Arial"/>
          <w:b/>
          <w:szCs w:val="20"/>
        </w:rPr>
        <w:t>5</w:t>
      </w:r>
      <w:r w:rsidRPr="002E5300">
        <w:rPr>
          <w:rFonts w:cs="Arial"/>
          <w:b/>
          <w:szCs w:val="20"/>
        </w:rPr>
        <w:t xml:space="preserve"> </w:t>
      </w:r>
      <w:r>
        <w:rPr>
          <w:rFonts w:cs="Arial"/>
          <w:b/>
          <w:szCs w:val="20"/>
        </w:rPr>
        <w:t>P</w:t>
      </w:r>
      <w:r w:rsidRPr="002E5300">
        <w:rPr>
          <w:rFonts w:cs="Arial"/>
          <w:b/>
          <w:szCs w:val="20"/>
        </w:rPr>
        <w:t xml:space="preserve">očet </w:t>
      </w:r>
      <w:r>
        <w:rPr>
          <w:rFonts w:cs="Arial"/>
          <w:b/>
          <w:szCs w:val="20"/>
        </w:rPr>
        <w:t>učitelů na 1. a 2. stupni základních škol (přepočtené počty)</w:t>
      </w:r>
    </w:p>
    <w:p w14:paraId="13456D3B" w14:textId="03C3614D" w:rsidR="00FB625B" w:rsidRDefault="00C75024" w:rsidP="00FB625B">
      <w:pPr>
        <w:keepNext/>
        <w:spacing w:after="120"/>
        <w:jc w:val="both"/>
        <w:rPr>
          <w:rFonts w:cs="Arial"/>
          <w:b/>
          <w:szCs w:val="20"/>
        </w:rPr>
      </w:pPr>
      <w:r>
        <w:rPr>
          <w:noProof/>
        </w:rPr>
        <w:drawing>
          <wp:inline distT="0" distB="0" distL="0" distR="0" wp14:anchorId="276C4C40" wp14:editId="28DB4A26">
            <wp:extent cx="2971800" cy="2362200"/>
            <wp:effectExtent l="0" t="0" r="0" b="0"/>
            <wp:docPr id="9" name="Graf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Pr>
          <w:noProof/>
        </w:rPr>
        <w:drawing>
          <wp:inline distT="0" distB="0" distL="0" distR="0" wp14:anchorId="79786B89" wp14:editId="5CBBB62D">
            <wp:extent cx="3143250" cy="2362200"/>
            <wp:effectExtent l="0" t="0" r="0" b="0"/>
            <wp:docPr id="36" name="Graf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283E399" w14:textId="335B7560" w:rsidR="00FF6B7E" w:rsidRDefault="00FF6B7E" w:rsidP="00FB625B">
      <w:pPr>
        <w:spacing w:after="120"/>
        <w:jc w:val="right"/>
        <w:rPr>
          <w:rFonts w:cs="Arial"/>
          <w:sz w:val="18"/>
        </w:rPr>
      </w:pPr>
      <w:r w:rsidRPr="008F211F">
        <w:rPr>
          <w:noProof/>
          <w:lang w:val="en-US" w:eastAsia="en-US"/>
        </w:rPr>
        <w:t xml:space="preserve"> </w:t>
      </w:r>
      <w:r w:rsidRPr="00F94849">
        <w:rPr>
          <w:rFonts w:cs="Arial"/>
          <w:sz w:val="18"/>
        </w:rPr>
        <w:t>Zdroj: ČSÚ</w:t>
      </w:r>
      <w:r w:rsidRPr="00F94849">
        <w:rPr>
          <w:rFonts w:cs="Arial"/>
          <w:noProof/>
        </w:rPr>
        <w:t xml:space="preserve"> </w:t>
      </w:r>
      <w:r w:rsidRPr="00307699">
        <w:rPr>
          <w:rFonts w:cs="Arial"/>
          <w:sz w:val="18"/>
        </w:rPr>
        <w:t>podle údajů MŠMT</w:t>
      </w:r>
    </w:p>
    <w:p w14:paraId="58BF2BEA" w14:textId="7D45DE33" w:rsidR="00FF6B7E" w:rsidRDefault="00CF7159" w:rsidP="00FF6B7E">
      <w:pPr>
        <w:spacing w:after="120"/>
        <w:jc w:val="both"/>
        <w:rPr>
          <w:rFonts w:cs="Arial"/>
        </w:rPr>
      </w:pPr>
      <w:r w:rsidRPr="00CF7159">
        <w:rPr>
          <w:rFonts w:cs="Arial"/>
        </w:rPr>
        <w:t xml:space="preserve">Učitelé </w:t>
      </w:r>
      <w:r w:rsidRPr="00CF7159">
        <w:rPr>
          <w:rFonts w:cs="Arial"/>
          <w:b/>
        </w:rPr>
        <w:t>v soukromých školách</w:t>
      </w:r>
      <w:r w:rsidR="0004121F">
        <w:rPr>
          <w:rFonts w:cs="Arial"/>
        </w:rPr>
        <w:t xml:space="preserve"> se ve školním roce 2021/22</w:t>
      </w:r>
      <w:r w:rsidRPr="00CF7159">
        <w:rPr>
          <w:rFonts w:cs="Arial"/>
        </w:rPr>
        <w:t xml:space="preserve"> podíleli třemi procenty na všech učitelích v základních školách. Přitom za posledních deset let se zvýšil počet žáků v soukromých základních školách o 240 % </w:t>
      </w:r>
      <w:r w:rsidR="002F3688">
        <w:rPr>
          <w:rFonts w:cs="Arial"/>
        </w:rPr>
        <w:t xml:space="preserve">a </w:t>
      </w:r>
      <w:r w:rsidRPr="00CF7159">
        <w:rPr>
          <w:rFonts w:cs="Arial"/>
        </w:rPr>
        <w:t xml:space="preserve">počet učitelů o 205 %. </w:t>
      </w:r>
      <w:r>
        <w:rPr>
          <w:rFonts w:cs="Arial"/>
        </w:rPr>
        <w:t>Počet učitelů se tak zvyšoval o něco pomaleji.</w:t>
      </w:r>
      <w:r w:rsidR="00DE1B3B">
        <w:rPr>
          <w:rStyle w:val="Znakapoznpodarou"/>
          <w:rFonts w:cs="Arial"/>
        </w:rPr>
        <w:footnoteReference w:id="18"/>
      </w:r>
      <w:r>
        <w:rPr>
          <w:rFonts w:cs="Arial"/>
        </w:rPr>
        <w:t xml:space="preserve"> Rostl též podíl učitelů i žáků v soukromých školách ze všech učitelů/žáků, a sice z 0,8 % na 2,3 % u žáků a z 1,3 % na 3,3 % u učitelů. </w:t>
      </w:r>
      <w:r w:rsidR="006D551A">
        <w:rPr>
          <w:rFonts w:cs="Arial"/>
        </w:rPr>
        <w:t>K úvazkům učitelů v</w:t>
      </w:r>
      <w:r>
        <w:rPr>
          <w:rFonts w:cs="Arial"/>
        </w:rPr>
        <w:t>íce</w:t>
      </w:r>
      <w:r w:rsidR="00EF05F9">
        <w:rPr>
          <w:rFonts w:cs="Arial"/>
        </w:rPr>
        <w:t xml:space="preserve"> viz graf 2.6</w:t>
      </w:r>
      <w:r w:rsidR="00FF6B7E">
        <w:rPr>
          <w:rFonts w:cs="Arial"/>
        </w:rPr>
        <w:t>.</w:t>
      </w:r>
    </w:p>
    <w:p w14:paraId="390486DA" w14:textId="35B312AC" w:rsidR="00FF6B7E" w:rsidRDefault="00FF6B7E" w:rsidP="00DD7093">
      <w:pPr>
        <w:keepNext/>
        <w:spacing w:after="120"/>
        <w:jc w:val="both"/>
        <w:rPr>
          <w:rFonts w:cs="Arial"/>
          <w:b/>
          <w:szCs w:val="20"/>
        </w:rPr>
      </w:pPr>
      <w:r w:rsidRPr="002E5300">
        <w:rPr>
          <w:rFonts w:cs="Arial"/>
          <w:b/>
          <w:szCs w:val="20"/>
        </w:rPr>
        <w:t xml:space="preserve">Graf </w:t>
      </w:r>
      <w:r>
        <w:rPr>
          <w:rFonts w:cs="Arial"/>
          <w:b/>
          <w:szCs w:val="20"/>
        </w:rPr>
        <w:t>2</w:t>
      </w:r>
      <w:r w:rsidRPr="002E5300">
        <w:rPr>
          <w:rFonts w:cs="Arial"/>
          <w:b/>
          <w:szCs w:val="20"/>
        </w:rPr>
        <w:t>.</w:t>
      </w:r>
      <w:r w:rsidR="00196337">
        <w:rPr>
          <w:rFonts w:cs="Arial"/>
          <w:b/>
          <w:szCs w:val="20"/>
        </w:rPr>
        <w:t>6</w:t>
      </w:r>
      <w:r w:rsidRPr="002E5300">
        <w:rPr>
          <w:rFonts w:cs="Arial"/>
          <w:b/>
          <w:szCs w:val="20"/>
        </w:rPr>
        <w:t xml:space="preserve"> </w:t>
      </w:r>
      <w:r>
        <w:rPr>
          <w:rFonts w:cs="Arial"/>
          <w:b/>
          <w:szCs w:val="20"/>
        </w:rPr>
        <w:t>P</w:t>
      </w:r>
      <w:r w:rsidRPr="002E5300">
        <w:rPr>
          <w:rFonts w:cs="Arial"/>
          <w:b/>
          <w:szCs w:val="20"/>
        </w:rPr>
        <w:t xml:space="preserve">očet </w:t>
      </w:r>
      <w:r>
        <w:rPr>
          <w:rFonts w:cs="Arial"/>
          <w:b/>
          <w:szCs w:val="20"/>
        </w:rPr>
        <w:t>učitelů na základních školách podle zřizovatele školy (přepočtené počty)</w:t>
      </w:r>
    </w:p>
    <w:p w14:paraId="4AF71E38" w14:textId="20AB54C2" w:rsidR="00674483" w:rsidRDefault="004078AB" w:rsidP="00091D15">
      <w:pPr>
        <w:keepNext/>
        <w:spacing w:after="120"/>
        <w:jc w:val="both"/>
        <w:rPr>
          <w:rFonts w:cs="Arial"/>
          <w:b/>
          <w:szCs w:val="20"/>
        </w:rPr>
      </w:pPr>
      <w:r>
        <w:rPr>
          <w:noProof/>
        </w:rPr>
        <w:drawing>
          <wp:inline distT="0" distB="0" distL="0" distR="0" wp14:anchorId="25006A57" wp14:editId="69D2DF2E">
            <wp:extent cx="2819400" cy="2457450"/>
            <wp:effectExtent l="0" t="0" r="0" b="0"/>
            <wp:docPr id="13" name="Graf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Pr>
          <w:noProof/>
        </w:rPr>
        <w:drawing>
          <wp:inline distT="0" distB="0" distL="0" distR="0" wp14:anchorId="28A06A53" wp14:editId="1FCE28ED">
            <wp:extent cx="3143250" cy="2457450"/>
            <wp:effectExtent l="0" t="0" r="0" b="0"/>
            <wp:docPr id="46" name="Graf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F1071A0" w14:textId="4EC99CEF" w:rsidR="00FF6B7E" w:rsidRDefault="00FF6B7E" w:rsidP="00674483">
      <w:pPr>
        <w:spacing w:after="120"/>
        <w:jc w:val="right"/>
        <w:rPr>
          <w:rFonts w:cs="Arial"/>
          <w:sz w:val="18"/>
        </w:rPr>
      </w:pPr>
      <w:r w:rsidRPr="00EA0860">
        <w:rPr>
          <w:noProof/>
          <w:lang w:val="en-US" w:eastAsia="en-US"/>
        </w:rPr>
        <w:t xml:space="preserve"> </w:t>
      </w:r>
      <w:r w:rsidRPr="008F211F">
        <w:rPr>
          <w:noProof/>
          <w:lang w:val="en-US" w:eastAsia="en-US"/>
        </w:rPr>
        <w:t xml:space="preserve"> </w:t>
      </w:r>
      <w:r w:rsidRPr="00F94849">
        <w:rPr>
          <w:rFonts w:cs="Arial"/>
          <w:sz w:val="18"/>
        </w:rPr>
        <w:t>Zdroj: ČSÚ</w:t>
      </w:r>
      <w:r w:rsidRPr="00F94849">
        <w:rPr>
          <w:rFonts w:cs="Arial"/>
          <w:noProof/>
        </w:rPr>
        <w:t xml:space="preserve"> </w:t>
      </w:r>
      <w:r w:rsidRPr="00307699">
        <w:rPr>
          <w:rFonts w:cs="Arial"/>
          <w:sz w:val="18"/>
        </w:rPr>
        <w:t>podle údajů MŠMT</w:t>
      </w:r>
    </w:p>
    <w:p w14:paraId="67ACBA73" w14:textId="6E20DF90" w:rsidR="006E0F4C" w:rsidRPr="00F45426" w:rsidRDefault="009E685E" w:rsidP="00CC0F51">
      <w:pPr>
        <w:spacing w:after="120"/>
        <w:jc w:val="both"/>
        <w:rPr>
          <w:rFonts w:cs="Arial"/>
          <w:szCs w:val="20"/>
        </w:rPr>
      </w:pPr>
      <w:r>
        <w:rPr>
          <w:rFonts w:cs="Arial"/>
          <w:szCs w:val="20"/>
        </w:rPr>
        <w:t>Počet žáků na jeden</w:t>
      </w:r>
      <w:r w:rsidR="00FF6B7E" w:rsidRPr="00F45426">
        <w:rPr>
          <w:rFonts w:cs="Arial"/>
          <w:szCs w:val="20"/>
        </w:rPr>
        <w:t xml:space="preserve"> </w:t>
      </w:r>
      <w:r w:rsidR="00FF6B7E">
        <w:rPr>
          <w:rFonts w:cs="Arial"/>
          <w:szCs w:val="20"/>
        </w:rPr>
        <w:t xml:space="preserve">plný úvazek </w:t>
      </w:r>
      <w:r w:rsidR="00FF6B7E" w:rsidRPr="00F45426">
        <w:rPr>
          <w:rFonts w:cs="Arial"/>
          <w:szCs w:val="20"/>
        </w:rPr>
        <w:t xml:space="preserve">učitele </w:t>
      </w:r>
      <w:r w:rsidR="00CC0F51">
        <w:rPr>
          <w:rFonts w:cs="Arial"/>
          <w:szCs w:val="20"/>
        </w:rPr>
        <w:t>byl ve školním roce 2021/22</w:t>
      </w:r>
      <w:r w:rsidR="00CC2A83">
        <w:rPr>
          <w:rFonts w:cs="Arial"/>
          <w:szCs w:val="20"/>
        </w:rPr>
        <w:t xml:space="preserve"> vyšší v případě škol</w:t>
      </w:r>
      <w:r w:rsidR="00FF6B7E" w:rsidRPr="00F45426">
        <w:rPr>
          <w:rFonts w:cs="Arial"/>
          <w:szCs w:val="20"/>
        </w:rPr>
        <w:t xml:space="preserve"> </w:t>
      </w:r>
      <w:r w:rsidR="00CC2A83">
        <w:rPr>
          <w:rFonts w:cs="Arial"/>
          <w:szCs w:val="20"/>
        </w:rPr>
        <w:t>veřejného</w:t>
      </w:r>
      <w:r w:rsidR="00FF6B7E" w:rsidRPr="00F45426">
        <w:rPr>
          <w:rFonts w:cs="Arial"/>
          <w:szCs w:val="20"/>
        </w:rPr>
        <w:t xml:space="preserve"> </w:t>
      </w:r>
      <w:r w:rsidR="00FF6B7E" w:rsidRPr="00F45426">
        <w:rPr>
          <w:rFonts w:cs="Arial"/>
          <w:b/>
          <w:szCs w:val="20"/>
        </w:rPr>
        <w:t>zřizo</w:t>
      </w:r>
      <w:r w:rsidR="00CC2A83">
        <w:rPr>
          <w:rFonts w:cs="Arial"/>
          <w:b/>
          <w:szCs w:val="20"/>
        </w:rPr>
        <w:t>vatele</w:t>
      </w:r>
      <w:r w:rsidR="00FF6B7E" w:rsidRPr="00F45426">
        <w:rPr>
          <w:rFonts w:cs="Arial"/>
          <w:szCs w:val="20"/>
        </w:rPr>
        <w:t xml:space="preserve"> </w:t>
      </w:r>
      <w:r w:rsidR="00CC0F51">
        <w:rPr>
          <w:rFonts w:cs="Arial"/>
          <w:szCs w:val="20"/>
        </w:rPr>
        <w:t>(13,7</w:t>
      </w:r>
      <w:r w:rsidR="00CC2A83">
        <w:rPr>
          <w:rFonts w:cs="Arial"/>
          <w:szCs w:val="20"/>
        </w:rPr>
        <w:t xml:space="preserve"> žáků) </w:t>
      </w:r>
      <w:r w:rsidR="00FF6B7E" w:rsidRPr="00F45426">
        <w:rPr>
          <w:rFonts w:cs="Arial"/>
          <w:szCs w:val="20"/>
        </w:rPr>
        <w:t xml:space="preserve">než </w:t>
      </w:r>
      <w:r w:rsidR="00CC2A83">
        <w:rPr>
          <w:rFonts w:cs="Arial"/>
          <w:szCs w:val="20"/>
        </w:rPr>
        <w:t xml:space="preserve">zejména </w:t>
      </w:r>
      <w:r w:rsidR="00FF6B7E" w:rsidRPr="00F45426">
        <w:rPr>
          <w:rFonts w:cs="Arial"/>
          <w:szCs w:val="20"/>
        </w:rPr>
        <w:t xml:space="preserve">na </w:t>
      </w:r>
      <w:r w:rsidR="00FF6B7E" w:rsidRPr="00DF40F7">
        <w:rPr>
          <w:rFonts w:cs="Arial"/>
          <w:szCs w:val="20"/>
        </w:rPr>
        <w:t>soukromých základních ško</w:t>
      </w:r>
      <w:r w:rsidR="00CC2A83" w:rsidRPr="00DF40F7">
        <w:rPr>
          <w:rFonts w:cs="Arial"/>
          <w:szCs w:val="20"/>
        </w:rPr>
        <w:t>lách (9,5), ale též škol</w:t>
      </w:r>
      <w:r w:rsidR="00CC0F51">
        <w:rPr>
          <w:rFonts w:cs="Arial"/>
          <w:szCs w:val="20"/>
        </w:rPr>
        <w:t>ách církevního zřizovatele (11,9</w:t>
      </w:r>
      <w:r w:rsidR="00CC2A83" w:rsidRPr="00DF40F7">
        <w:rPr>
          <w:rFonts w:cs="Arial"/>
          <w:szCs w:val="20"/>
        </w:rPr>
        <w:t>)</w:t>
      </w:r>
      <w:r w:rsidR="00CC0F51">
        <w:rPr>
          <w:rFonts w:cs="Arial"/>
          <w:szCs w:val="20"/>
        </w:rPr>
        <w:t>. Lze však poznamenat</w:t>
      </w:r>
      <w:r w:rsidR="007D6964">
        <w:rPr>
          <w:rFonts w:cs="Arial"/>
          <w:szCs w:val="20"/>
        </w:rPr>
        <w:t>,</w:t>
      </w:r>
      <w:r w:rsidR="00CC0F51">
        <w:rPr>
          <w:rFonts w:cs="Arial"/>
          <w:szCs w:val="20"/>
        </w:rPr>
        <w:t xml:space="preserve"> že v případě veřejného zřizovatele se počet žáků na jednoho učitele v průběhu posledních pěti let postupně snižoval, a sice ze 14,8 na 13,7 žáka. V případě soukromého </w:t>
      </w:r>
      <w:r w:rsidR="00CC0F51">
        <w:rPr>
          <w:rFonts w:cs="Arial"/>
          <w:szCs w:val="20"/>
        </w:rPr>
        <w:lastRenderedPageBreak/>
        <w:t xml:space="preserve">zřizovatele byl před pěti lety naopak o desetinu nižší (9,4 žáka), do školního roku 2018/19 se zvýšil na 9,9 a během dalších </w:t>
      </w:r>
      <w:r w:rsidR="007D6964">
        <w:rPr>
          <w:rFonts w:cs="Arial"/>
          <w:szCs w:val="20"/>
        </w:rPr>
        <w:t xml:space="preserve">tří </w:t>
      </w:r>
      <w:r w:rsidR="00CC0F51">
        <w:rPr>
          <w:rFonts w:cs="Arial"/>
          <w:szCs w:val="20"/>
        </w:rPr>
        <w:t>let poklesl na 9,5.</w:t>
      </w:r>
      <w:r w:rsidR="006E0F4C" w:rsidRPr="002856DB">
        <w:rPr>
          <w:rFonts w:cs="Arial"/>
          <w:szCs w:val="20"/>
        </w:rPr>
        <w:t xml:space="preserve"> </w:t>
      </w:r>
    </w:p>
    <w:p w14:paraId="770060F7" w14:textId="30F40D63" w:rsidR="00FF6B7E" w:rsidRPr="0063629E" w:rsidRDefault="00BB7E73" w:rsidP="007C1D85">
      <w:pPr>
        <w:keepNext/>
        <w:spacing w:before="240" w:after="120"/>
        <w:jc w:val="both"/>
        <w:rPr>
          <w:rFonts w:cs="Arial"/>
          <w:b/>
          <w:i/>
          <w:color w:val="C00000"/>
          <w:sz w:val="24"/>
          <w:szCs w:val="20"/>
        </w:rPr>
      </w:pPr>
      <w:r>
        <w:rPr>
          <w:rFonts w:cs="Arial"/>
          <w:b/>
          <w:i/>
          <w:color w:val="C00000"/>
          <w:sz w:val="24"/>
          <w:szCs w:val="20"/>
        </w:rPr>
        <w:t>Učitelé</w:t>
      </w:r>
      <w:r w:rsidR="00FF6B7E">
        <w:rPr>
          <w:rFonts w:cs="Arial"/>
          <w:b/>
          <w:i/>
          <w:color w:val="C00000"/>
          <w:sz w:val="24"/>
          <w:szCs w:val="20"/>
        </w:rPr>
        <w:t xml:space="preserve"> </w:t>
      </w:r>
      <w:r w:rsidR="00FF6B7E" w:rsidRPr="0063629E">
        <w:rPr>
          <w:rFonts w:cs="Arial"/>
          <w:b/>
          <w:i/>
          <w:color w:val="C00000"/>
          <w:sz w:val="24"/>
          <w:szCs w:val="20"/>
        </w:rPr>
        <w:t xml:space="preserve">na základních školách </w:t>
      </w:r>
      <w:r>
        <w:rPr>
          <w:rFonts w:cs="Arial"/>
          <w:b/>
          <w:i/>
          <w:color w:val="C00000"/>
          <w:sz w:val="24"/>
          <w:szCs w:val="20"/>
        </w:rPr>
        <w:t>dle genderu</w:t>
      </w:r>
    </w:p>
    <w:p w14:paraId="6494E488" w14:textId="45E2642F" w:rsidR="00FF6B7E" w:rsidRDefault="00FF6B7E" w:rsidP="00FF6B7E">
      <w:pPr>
        <w:spacing w:after="120"/>
        <w:jc w:val="both"/>
        <w:rPr>
          <w:rFonts w:cs="Arial"/>
          <w:szCs w:val="20"/>
        </w:rPr>
      </w:pPr>
      <w:r>
        <w:rPr>
          <w:rFonts w:cs="Arial"/>
          <w:szCs w:val="20"/>
        </w:rPr>
        <w:t xml:space="preserve">Regionální </w:t>
      </w:r>
      <w:r w:rsidR="00644652">
        <w:rPr>
          <w:rFonts w:cs="Arial"/>
          <w:szCs w:val="20"/>
        </w:rPr>
        <w:t>školství</w:t>
      </w:r>
      <w:r w:rsidRPr="00E50243">
        <w:rPr>
          <w:rFonts w:cs="Arial"/>
          <w:szCs w:val="20"/>
        </w:rPr>
        <w:t xml:space="preserve"> je u nás </w:t>
      </w:r>
      <w:r>
        <w:rPr>
          <w:rFonts w:cs="Arial"/>
          <w:szCs w:val="20"/>
        </w:rPr>
        <w:t xml:space="preserve">spíše </w:t>
      </w:r>
      <w:r w:rsidRPr="006D680F">
        <w:rPr>
          <w:rFonts w:cs="Arial"/>
          <w:b/>
          <w:szCs w:val="20"/>
        </w:rPr>
        <w:t>doménou žen</w:t>
      </w:r>
      <w:r w:rsidRPr="004D3672">
        <w:rPr>
          <w:rFonts w:cs="Arial"/>
          <w:szCs w:val="20"/>
        </w:rPr>
        <w:t>.</w:t>
      </w:r>
      <w:r w:rsidRPr="00E50243">
        <w:rPr>
          <w:rFonts w:cs="Arial"/>
          <w:szCs w:val="20"/>
        </w:rPr>
        <w:t xml:space="preserve"> </w:t>
      </w:r>
      <w:r>
        <w:rPr>
          <w:rFonts w:cs="Arial"/>
          <w:szCs w:val="20"/>
        </w:rPr>
        <w:t xml:space="preserve">Toto konstatování platí i pro základní školy, a to především pro jejich první stupeň. </w:t>
      </w:r>
      <w:r w:rsidR="00036C45">
        <w:rPr>
          <w:rFonts w:cs="Arial"/>
          <w:szCs w:val="20"/>
        </w:rPr>
        <w:t>Ve školním roce 2021/22</w:t>
      </w:r>
      <w:r w:rsidR="002856DB">
        <w:rPr>
          <w:rFonts w:cs="Arial"/>
          <w:szCs w:val="20"/>
        </w:rPr>
        <w:t xml:space="preserve"> tvořily ženy</w:t>
      </w:r>
      <w:r w:rsidRPr="00E50243">
        <w:rPr>
          <w:rFonts w:cs="Arial"/>
          <w:szCs w:val="20"/>
        </w:rPr>
        <w:t xml:space="preserve"> </w:t>
      </w:r>
      <w:r w:rsidR="00D147BA">
        <w:rPr>
          <w:rFonts w:cs="Arial"/>
          <w:szCs w:val="20"/>
        </w:rPr>
        <w:t>83,8</w:t>
      </w:r>
      <w:r>
        <w:rPr>
          <w:rFonts w:cs="Arial"/>
          <w:szCs w:val="20"/>
        </w:rPr>
        <w:t xml:space="preserve"> % </w:t>
      </w:r>
      <w:r w:rsidR="002856DB">
        <w:rPr>
          <w:rFonts w:cs="Arial"/>
          <w:szCs w:val="20"/>
        </w:rPr>
        <w:t xml:space="preserve">všech plných pracovních úvazků </w:t>
      </w:r>
      <w:r w:rsidRPr="00E50243">
        <w:rPr>
          <w:rFonts w:cs="Arial"/>
          <w:szCs w:val="20"/>
        </w:rPr>
        <w:t>učitel</w:t>
      </w:r>
      <w:r>
        <w:rPr>
          <w:rFonts w:cs="Arial"/>
          <w:szCs w:val="20"/>
        </w:rPr>
        <w:t xml:space="preserve">ů. Na </w:t>
      </w:r>
      <w:r w:rsidRPr="002856DB">
        <w:rPr>
          <w:rFonts w:cs="Arial"/>
          <w:szCs w:val="20"/>
        </w:rPr>
        <w:t>prvním stupni</w:t>
      </w:r>
      <w:r w:rsidR="002856DB">
        <w:rPr>
          <w:rFonts w:cs="Arial"/>
          <w:szCs w:val="20"/>
        </w:rPr>
        <w:t xml:space="preserve"> dokonce 93,9 %, na druhém stupni </w:t>
      </w:r>
      <w:r w:rsidR="00E4498A">
        <w:rPr>
          <w:rFonts w:cs="Arial"/>
          <w:szCs w:val="20"/>
        </w:rPr>
        <w:t>téměř tři čtvrtiny</w:t>
      </w:r>
      <w:r w:rsidR="00D147BA">
        <w:rPr>
          <w:rFonts w:cs="Arial"/>
          <w:szCs w:val="20"/>
        </w:rPr>
        <w:t xml:space="preserve"> (74,3</w:t>
      </w:r>
      <w:r w:rsidR="002856DB">
        <w:rPr>
          <w:rFonts w:cs="Arial"/>
          <w:szCs w:val="20"/>
        </w:rPr>
        <w:t xml:space="preserve"> %). </w:t>
      </w:r>
      <w:r>
        <w:rPr>
          <w:rFonts w:cs="Arial"/>
          <w:szCs w:val="20"/>
        </w:rPr>
        <w:t>Jinak řečeno, z</w:t>
      </w:r>
      <w:r w:rsidRPr="00E50243">
        <w:rPr>
          <w:rFonts w:cs="Arial"/>
          <w:szCs w:val="20"/>
        </w:rPr>
        <w:t xml:space="preserve">atímco na prvním stupni činil </w:t>
      </w:r>
      <w:r w:rsidRPr="009A4DCA">
        <w:rPr>
          <w:rFonts w:cs="Arial"/>
          <w:b/>
          <w:szCs w:val="20"/>
        </w:rPr>
        <w:t>podíl mužů</w:t>
      </w:r>
      <w:r w:rsidRPr="00E50243">
        <w:rPr>
          <w:rFonts w:cs="Arial"/>
          <w:szCs w:val="20"/>
        </w:rPr>
        <w:t xml:space="preserve"> mezi učiteli </w:t>
      </w:r>
      <w:r>
        <w:rPr>
          <w:rFonts w:cs="Arial"/>
          <w:szCs w:val="20"/>
        </w:rPr>
        <w:t xml:space="preserve">přepočtenými na plné úvazky </w:t>
      </w:r>
      <w:r w:rsidRPr="00E50243">
        <w:rPr>
          <w:rFonts w:cs="Arial"/>
          <w:szCs w:val="20"/>
        </w:rPr>
        <w:t>pouhých 6</w:t>
      </w:r>
      <w:r w:rsidR="002856DB">
        <w:rPr>
          <w:rFonts w:cs="Arial"/>
          <w:szCs w:val="20"/>
        </w:rPr>
        <w:t>,1</w:t>
      </w:r>
      <w:r w:rsidRPr="00E50243">
        <w:rPr>
          <w:rFonts w:cs="Arial"/>
          <w:szCs w:val="20"/>
        </w:rPr>
        <w:t xml:space="preserve"> %, na </w:t>
      </w:r>
      <w:r>
        <w:rPr>
          <w:rFonts w:cs="Arial"/>
          <w:szCs w:val="20"/>
        </w:rPr>
        <w:t xml:space="preserve">druhém </w:t>
      </w:r>
      <w:r w:rsidRPr="00E50243">
        <w:rPr>
          <w:rFonts w:cs="Arial"/>
          <w:szCs w:val="20"/>
        </w:rPr>
        <w:t xml:space="preserve">stupni </w:t>
      </w:r>
      <w:r>
        <w:rPr>
          <w:rFonts w:cs="Arial"/>
          <w:szCs w:val="20"/>
        </w:rPr>
        <w:t>t</w:t>
      </w:r>
      <w:r w:rsidRPr="00E50243">
        <w:rPr>
          <w:rFonts w:cs="Arial"/>
          <w:szCs w:val="20"/>
        </w:rPr>
        <w:t xml:space="preserve">vořili </w:t>
      </w:r>
      <w:r>
        <w:rPr>
          <w:rFonts w:cs="Arial"/>
          <w:szCs w:val="20"/>
        </w:rPr>
        <w:t>muž</w:t>
      </w:r>
      <w:r w:rsidR="00626B5A">
        <w:rPr>
          <w:rFonts w:cs="Arial"/>
          <w:szCs w:val="20"/>
        </w:rPr>
        <w:t>i čtvrtinu</w:t>
      </w:r>
      <w:r w:rsidR="002E247C">
        <w:rPr>
          <w:rFonts w:cs="Arial"/>
          <w:szCs w:val="20"/>
        </w:rPr>
        <w:t xml:space="preserve"> (25,7</w:t>
      </w:r>
      <w:r w:rsidR="002856DB">
        <w:rPr>
          <w:rFonts w:cs="Arial"/>
          <w:szCs w:val="20"/>
        </w:rPr>
        <w:t> %)</w:t>
      </w:r>
      <w:r w:rsidR="00626B5A">
        <w:rPr>
          <w:rFonts w:cs="Arial"/>
          <w:szCs w:val="20"/>
        </w:rPr>
        <w:t xml:space="preserve">. </w:t>
      </w:r>
      <w:r w:rsidR="00E4498A">
        <w:rPr>
          <w:rFonts w:cs="Arial"/>
          <w:szCs w:val="20"/>
        </w:rPr>
        <w:t xml:space="preserve">Na druhém stupni byl podíl mužů v uplynulých 10 letech stabilně cca </w:t>
      </w:r>
      <w:r w:rsidR="002E247C">
        <w:rPr>
          <w:rFonts w:cs="Arial"/>
          <w:szCs w:val="20"/>
        </w:rPr>
        <w:t>čtvrtinový (ve školním roce 2016/17 činil 25,3 %, ve školním roce 2011/12 obdobně 25,5</w:t>
      </w:r>
      <w:r w:rsidR="00E4498A">
        <w:rPr>
          <w:rFonts w:cs="Arial"/>
          <w:szCs w:val="20"/>
        </w:rPr>
        <w:t xml:space="preserve"> %). </w:t>
      </w:r>
      <w:r>
        <w:rPr>
          <w:rFonts w:cs="Arial"/>
          <w:szCs w:val="20"/>
        </w:rPr>
        <w:t xml:space="preserve">Na 1. stupni </w:t>
      </w:r>
      <w:r w:rsidR="002E247C">
        <w:rPr>
          <w:rFonts w:cs="Arial"/>
          <w:szCs w:val="20"/>
        </w:rPr>
        <w:t>byl</w:t>
      </w:r>
      <w:r w:rsidR="00E4498A">
        <w:rPr>
          <w:rFonts w:cs="Arial"/>
          <w:szCs w:val="20"/>
        </w:rPr>
        <w:t xml:space="preserve"> </w:t>
      </w:r>
      <w:r w:rsidR="002E247C">
        <w:rPr>
          <w:rFonts w:cs="Arial"/>
          <w:szCs w:val="20"/>
        </w:rPr>
        <w:t>podíl mužů ve školních rocích 2011/12 a 2012/13 nejnižší (5,4 %), do roku 2015/16 vzrostl na 5,9 %, další rok poklesl na 5,8 % a v posledních pěti letech pak každoročně nabýval až na 6,1 % v uplynulém školním roce</w:t>
      </w:r>
      <w:r w:rsidR="00E4498A">
        <w:rPr>
          <w:rFonts w:cs="Arial"/>
          <w:szCs w:val="20"/>
        </w:rPr>
        <w:t xml:space="preserve">. </w:t>
      </w:r>
    </w:p>
    <w:p w14:paraId="3F101889" w14:textId="6D08ED9A" w:rsidR="00FF6B7E" w:rsidRDefault="00FF6B7E" w:rsidP="0012250C">
      <w:pPr>
        <w:keepNext/>
        <w:spacing w:after="120"/>
        <w:jc w:val="both"/>
        <w:rPr>
          <w:rFonts w:cs="Arial"/>
          <w:b/>
          <w:szCs w:val="20"/>
        </w:rPr>
      </w:pPr>
      <w:r w:rsidRPr="002E5300">
        <w:rPr>
          <w:rFonts w:cs="Arial"/>
          <w:b/>
          <w:szCs w:val="20"/>
        </w:rPr>
        <w:t xml:space="preserve">Graf </w:t>
      </w:r>
      <w:r>
        <w:rPr>
          <w:rFonts w:cs="Arial"/>
          <w:b/>
          <w:szCs w:val="20"/>
        </w:rPr>
        <w:t>2</w:t>
      </w:r>
      <w:r w:rsidRPr="002E5300">
        <w:rPr>
          <w:rFonts w:cs="Arial"/>
          <w:b/>
          <w:szCs w:val="20"/>
        </w:rPr>
        <w:t>.</w:t>
      </w:r>
      <w:r>
        <w:rPr>
          <w:rFonts w:cs="Arial"/>
          <w:b/>
          <w:szCs w:val="20"/>
        </w:rPr>
        <w:t>7</w:t>
      </w:r>
      <w:r w:rsidRPr="002E5300">
        <w:rPr>
          <w:rFonts w:cs="Arial"/>
          <w:b/>
          <w:szCs w:val="20"/>
        </w:rPr>
        <w:t xml:space="preserve"> </w:t>
      </w:r>
      <w:r>
        <w:rPr>
          <w:rFonts w:cs="Arial"/>
          <w:b/>
          <w:szCs w:val="20"/>
        </w:rPr>
        <w:t>P</w:t>
      </w:r>
      <w:r w:rsidRPr="002E5300">
        <w:rPr>
          <w:rFonts w:cs="Arial"/>
          <w:b/>
          <w:szCs w:val="20"/>
        </w:rPr>
        <w:t xml:space="preserve">očet </w:t>
      </w:r>
      <w:r>
        <w:rPr>
          <w:rFonts w:cs="Arial"/>
          <w:b/>
          <w:szCs w:val="20"/>
        </w:rPr>
        <w:t>učitelů mužů na základních školách (přepočteno na plné úvazky)</w:t>
      </w:r>
    </w:p>
    <w:p w14:paraId="678A2585" w14:textId="124DA0F7" w:rsidR="00FF6B7E" w:rsidRPr="00EC1885" w:rsidRDefault="002E247C" w:rsidP="00282237">
      <w:pPr>
        <w:keepNext/>
        <w:spacing w:after="120"/>
        <w:jc w:val="both"/>
        <w:rPr>
          <w:rFonts w:cs="Arial"/>
          <w:b/>
          <w:szCs w:val="20"/>
        </w:rPr>
      </w:pPr>
      <w:r>
        <w:rPr>
          <w:noProof/>
        </w:rPr>
        <w:drawing>
          <wp:inline distT="0" distB="0" distL="0" distR="0" wp14:anchorId="63DC2C9C" wp14:editId="15B2D997">
            <wp:extent cx="2962275" cy="2590800"/>
            <wp:effectExtent l="0" t="0" r="9525" b="0"/>
            <wp:docPr id="52" name="Graf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E425E3">
        <w:rPr>
          <w:noProof/>
          <w:shd w:val="clear" w:color="auto" w:fill="FFC000"/>
        </w:rPr>
        <w:drawing>
          <wp:inline distT="0" distB="0" distL="0" distR="0" wp14:anchorId="02BF5B7E" wp14:editId="53294078">
            <wp:extent cx="3133725" cy="2581275"/>
            <wp:effectExtent l="0" t="0" r="9525" b="9525"/>
            <wp:docPr id="53" name="Graf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FF6B7E" w:rsidRPr="008F211F">
        <w:rPr>
          <w:noProof/>
          <w:lang w:val="en-US" w:eastAsia="en-US"/>
        </w:rPr>
        <w:t xml:space="preserve"> </w:t>
      </w:r>
    </w:p>
    <w:p w14:paraId="39CE52C8" w14:textId="77777777" w:rsidR="00FF6B7E" w:rsidRDefault="00FF6B7E" w:rsidP="00EC1885">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2A110302" w14:textId="37D37770" w:rsidR="00520319" w:rsidRDefault="00FF6B7E" w:rsidP="0015575E">
      <w:pPr>
        <w:jc w:val="both"/>
        <w:rPr>
          <w:rFonts w:cs="Arial"/>
          <w:szCs w:val="20"/>
        </w:rPr>
      </w:pPr>
      <w:r w:rsidRPr="00B74F7C">
        <w:rPr>
          <w:rFonts w:cs="Arial"/>
          <w:szCs w:val="20"/>
        </w:rPr>
        <w:t>V </w:t>
      </w:r>
      <w:r w:rsidRPr="00B74F7C">
        <w:rPr>
          <w:rFonts w:cs="Arial"/>
          <w:b/>
          <w:szCs w:val="20"/>
        </w:rPr>
        <w:t>absolutním vyjádření počet mužů</w:t>
      </w:r>
      <w:r w:rsidRPr="00B74F7C">
        <w:rPr>
          <w:rFonts w:cs="Arial"/>
          <w:szCs w:val="20"/>
        </w:rPr>
        <w:t xml:space="preserve"> na základních školách za posledních 5 let vzrostl o </w:t>
      </w:r>
      <w:r w:rsidR="006824C6">
        <w:rPr>
          <w:rFonts w:cs="Arial"/>
          <w:szCs w:val="20"/>
        </w:rPr>
        <w:t>2 200</w:t>
      </w:r>
      <w:r w:rsidRPr="00B74F7C">
        <w:rPr>
          <w:rFonts w:cs="Arial"/>
          <w:szCs w:val="20"/>
        </w:rPr>
        <w:t xml:space="preserve"> plných pracovních úvazků na hodn</w:t>
      </w:r>
      <w:r w:rsidR="00B74F7C" w:rsidRPr="00B74F7C">
        <w:rPr>
          <w:rFonts w:cs="Arial"/>
          <w:szCs w:val="20"/>
        </w:rPr>
        <w:t>otu 11 </w:t>
      </w:r>
      <w:r w:rsidR="006824C6">
        <w:rPr>
          <w:rFonts w:cs="Arial"/>
          <w:szCs w:val="20"/>
        </w:rPr>
        <w:t>581</w:t>
      </w:r>
      <w:r w:rsidRPr="00B74F7C">
        <w:rPr>
          <w:rFonts w:cs="Arial"/>
          <w:szCs w:val="20"/>
        </w:rPr>
        <w:t xml:space="preserve"> u</w:t>
      </w:r>
      <w:r w:rsidR="006824C6">
        <w:rPr>
          <w:rFonts w:cs="Arial"/>
          <w:szCs w:val="20"/>
        </w:rPr>
        <w:t>čitelů mužů ve školním roce 2021/22</w:t>
      </w:r>
      <w:r w:rsidRPr="00B74F7C">
        <w:rPr>
          <w:rFonts w:cs="Arial"/>
          <w:szCs w:val="20"/>
        </w:rPr>
        <w:t xml:space="preserve">. </w:t>
      </w:r>
      <w:r w:rsidR="00B74F7C">
        <w:rPr>
          <w:rFonts w:cs="Arial"/>
          <w:szCs w:val="20"/>
        </w:rPr>
        <w:t xml:space="preserve">Podíl úvazků mužů mezi učiteli na základních školách </w:t>
      </w:r>
      <w:r w:rsidR="006E6518">
        <w:rPr>
          <w:rFonts w:cs="Arial"/>
          <w:szCs w:val="20"/>
        </w:rPr>
        <w:t xml:space="preserve">(bez ohledu na stupeň) </w:t>
      </w:r>
      <w:r w:rsidR="00B74F7C">
        <w:rPr>
          <w:rFonts w:cs="Arial"/>
          <w:szCs w:val="20"/>
        </w:rPr>
        <w:t>se první</w:t>
      </w:r>
      <w:r w:rsidR="003A0AD5">
        <w:rPr>
          <w:rFonts w:cs="Arial"/>
          <w:szCs w:val="20"/>
        </w:rPr>
        <w:t xml:space="preserve">ch </w:t>
      </w:r>
      <w:r w:rsidR="006824C6">
        <w:rPr>
          <w:rFonts w:cs="Arial"/>
          <w:szCs w:val="20"/>
        </w:rPr>
        <w:t>pě</w:t>
      </w:r>
      <w:r w:rsidR="003A0AD5">
        <w:rPr>
          <w:rFonts w:cs="Arial"/>
          <w:szCs w:val="20"/>
        </w:rPr>
        <w:t>t let od školního roku 201</w:t>
      </w:r>
      <w:r w:rsidR="006824C6">
        <w:rPr>
          <w:rFonts w:cs="Arial"/>
          <w:szCs w:val="20"/>
        </w:rPr>
        <w:t>1/12 postupně mírně snižoval z 15,7</w:t>
      </w:r>
      <w:r w:rsidR="00B74F7C">
        <w:rPr>
          <w:rFonts w:cs="Arial"/>
          <w:szCs w:val="20"/>
        </w:rPr>
        <w:t xml:space="preserve"> % na 15,2 %, poté začal naopak </w:t>
      </w:r>
      <w:r w:rsidR="005E4C42">
        <w:rPr>
          <w:rFonts w:cs="Arial"/>
          <w:szCs w:val="20"/>
        </w:rPr>
        <w:t xml:space="preserve">mírně </w:t>
      </w:r>
      <w:r w:rsidR="00B74F7C">
        <w:rPr>
          <w:rFonts w:cs="Arial"/>
          <w:szCs w:val="20"/>
        </w:rPr>
        <w:t>růst až na 16</w:t>
      </w:r>
      <w:r w:rsidR="006824C6">
        <w:rPr>
          <w:rFonts w:cs="Arial"/>
          <w:szCs w:val="20"/>
        </w:rPr>
        <w:t>,2 % ve školním roce 2021/22</w:t>
      </w:r>
      <w:r w:rsidR="00B74F7C">
        <w:rPr>
          <w:rFonts w:cs="Arial"/>
          <w:szCs w:val="20"/>
        </w:rPr>
        <w:t xml:space="preserve">. </w:t>
      </w:r>
    </w:p>
    <w:p w14:paraId="28443973" w14:textId="6EA9F6B4" w:rsidR="00B74F7C" w:rsidRPr="00520319" w:rsidRDefault="006E6518" w:rsidP="0015575E">
      <w:pPr>
        <w:jc w:val="both"/>
      </w:pPr>
      <w:r>
        <w:rPr>
          <w:rFonts w:cs="Arial"/>
          <w:szCs w:val="20"/>
        </w:rPr>
        <w:t>Na podíl mužů mezi učiteli může mít vliv finanční ohodnocení učitelů</w:t>
      </w:r>
      <w:r w:rsidR="00520319">
        <w:rPr>
          <w:rFonts w:cs="Arial"/>
          <w:szCs w:val="20"/>
        </w:rPr>
        <w:t>.</w:t>
      </w:r>
      <w:r>
        <w:rPr>
          <w:rFonts w:cs="Arial"/>
          <w:szCs w:val="20"/>
        </w:rPr>
        <w:t xml:space="preserve"> Muži jsou v České republice zpravidla ti, kdo ve větší míře finančně zajišťují rodinu s malými dětmi a jejich platy ve společnosti obecně jsou vyšší než platy žen.</w:t>
      </w:r>
      <w:r w:rsidR="00520319" w:rsidRPr="00520319">
        <w:t xml:space="preserve"> </w:t>
      </w:r>
      <w:r>
        <w:t>K tomu lze říci, že v posledních letech se finanční ohodnocení učitelů výrazně zlepšilo. V</w:t>
      </w:r>
      <w:r w:rsidR="00520319" w:rsidRPr="00271771">
        <w:t xml:space="preserve"> roce 2018 překročil poměr mezd učitelů v regio</w:t>
      </w:r>
      <w:r w:rsidR="00520319">
        <w:t>nálním školství ke všem mzdám v </w:t>
      </w:r>
      <w:r w:rsidR="00520319" w:rsidRPr="00271771">
        <w:t>národním hospodářství 100 % a do roku 2021 se ještě navýšil na 114,9</w:t>
      </w:r>
      <w:r w:rsidR="00520319">
        <w:t> %. K tomu doplňme, že p</w:t>
      </w:r>
      <w:r w:rsidR="00520319" w:rsidRPr="00271771">
        <w:t xml:space="preserve">oměr průměrné mzdy učitelů v regionálním školství k průměrné mzdě </w:t>
      </w:r>
      <w:r w:rsidR="00520319">
        <w:t>vysokoškolsky vzdělaných osob v </w:t>
      </w:r>
      <w:r w:rsidR="00520319" w:rsidRPr="00271771">
        <w:t>národním hospodářství se mezi lety 2018 a 2021 zvýšil ze 66,8</w:t>
      </w:r>
      <w:r w:rsidR="00520319">
        <w:t> </w:t>
      </w:r>
      <w:r w:rsidR="00520319" w:rsidRPr="00271771">
        <w:t>% na 76,4</w:t>
      </w:r>
      <w:r w:rsidR="00520319">
        <w:t> </w:t>
      </w:r>
      <w:r w:rsidR="00520319" w:rsidRPr="00271771">
        <w:t>%</w:t>
      </w:r>
      <w:r w:rsidR="00520319">
        <w:t>.</w:t>
      </w:r>
      <w:r w:rsidR="00520319" w:rsidRPr="00520319">
        <w:t xml:space="preserve"> </w:t>
      </w:r>
      <w:r w:rsidR="00520319">
        <w:t>V </w:t>
      </w:r>
      <w:r>
        <w:t>uplynulých</w:t>
      </w:r>
      <w:r w:rsidR="00520319">
        <w:t xml:space="preserve"> třech letech také stoupl počet vysokoškolských</w:t>
      </w:r>
      <w:r w:rsidR="00520319" w:rsidRPr="00520319">
        <w:t xml:space="preserve"> studentů skupiny oborů Vzdělávání a výchova o 18,4 %, zatímco celkový počet </w:t>
      </w:r>
      <w:r w:rsidR="00520319">
        <w:t xml:space="preserve">vysokoškolských </w:t>
      </w:r>
      <w:r w:rsidR="00520319" w:rsidRPr="00520319">
        <w:t xml:space="preserve">studentů všech skupin oborů se zvýšil jen o 5 %. </w:t>
      </w:r>
      <w:r w:rsidR="00520319">
        <w:t>Přitom m</w:t>
      </w:r>
      <w:r w:rsidR="00520319" w:rsidRPr="00271771">
        <w:t xml:space="preserve">ezi roky 2017 a 2021 </w:t>
      </w:r>
      <w:r w:rsidR="00520319">
        <w:t>také narostl</w:t>
      </w:r>
      <w:r w:rsidR="00520319" w:rsidRPr="00271771">
        <w:t xml:space="preserve"> podíl studentů – mužů nově zapsaných</w:t>
      </w:r>
      <w:r w:rsidR="00520319">
        <w:t xml:space="preserve"> </w:t>
      </w:r>
      <w:r w:rsidR="00520319" w:rsidRPr="00271771">
        <w:t>do vzdělávacích oborů</w:t>
      </w:r>
      <w:r w:rsidR="00520319">
        <w:t xml:space="preserve"> vysokoškolského vzdělávání, a sice</w:t>
      </w:r>
      <w:r w:rsidR="00520319" w:rsidRPr="00271771">
        <w:t xml:space="preserve"> ze 17,6</w:t>
      </w:r>
      <w:r w:rsidR="00520319">
        <w:t> </w:t>
      </w:r>
      <w:r w:rsidR="00520319" w:rsidRPr="00271771">
        <w:t xml:space="preserve">% na 24,4 %. </w:t>
      </w:r>
      <w:r>
        <w:t>Je tedy možné</w:t>
      </w:r>
      <w:r w:rsidR="00520319">
        <w:t xml:space="preserve">, že </w:t>
      </w:r>
      <w:r>
        <w:t xml:space="preserve">(vedle dalších možných faktorů) </w:t>
      </w:r>
      <w:r w:rsidR="00520319">
        <w:t>vyšší finanční ohodnocení přispívá k motivaci uchazečů o vysokoškolské studium vzdělávacích oborů a zároveň přitahuje do této oblasti více studentů – mužů.</w:t>
      </w:r>
    </w:p>
    <w:p w14:paraId="55A6E859" w14:textId="04328FA7" w:rsidR="000367D8" w:rsidRDefault="000D0F6D" w:rsidP="00FF6B7E">
      <w:pPr>
        <w:spacing w:after="120"/>
        <w:jc w:val="both"/>
        <w:rPr>
          <w:rFonts w:cs="Arial"/>
          <w:szCs w:val="20"/>
        </w:rPr>
      </w:pPr>
      <w:r>
        <w:rPr>
          <w:rFonts w:cs="Arial"/>
          <w:szCs w:val="20"/>
        </w:rPr>
        <w:t>Srovnejme ještě genderové složení učitelů základních a mateřských škol.</w:t>
      </w:r>
      <w:r w:rsidR="00520319">
        <w:rPr>
          <w:rFonts w:cs="Arial"/>
          <w:szCs w:val="20"/>
        </w:rPr>
        <w:t xml:space="preserve"> </w:t>
      </w:r>
      <w:r>
        <w:rPr>
          <w:rFonts w:cs="Arial"/>
          <w:szCs w:val="20"/>
        </w:rPr>
        <w:t>V</w:t>
      </w:r>
      <w:r w:rsidR="000367D8">
        <w:rPr>
          <w:rFonts w:cs="Arial"/>
          <w:szCs w:val="20"/>
        </w:rPr>
        <w:t> mateřských školách tvořily ve školním roce 2021/22 úvazky žen 99,3 % z celkového počtu plných úvazků</w:t>
      </w:r>
      <w:r>
        <w:rPr>
          <w:rFonts w:cs="Arial"/>
          <w:szCs w:val="20"/>
        </w:rPr>
        <w:t xml:space="preserve">, zatímco </w:t>
      </w:r>
      <w:r w:rsidR="001F4158">
        <w:rPr>
          <w:rFonts w:cs="Arial"/>
          <w:szCs w:val="20"/>
        </w:rPr>
        <w:t xml:space="preserve">na 1. stupni základních </w:t>
      </w:r>
      <w:r w:rsidR="001F4158">
        <w:rPr>
          <w:rFonts w:cs="Arial"/>
          <w:szCs w:val="20"/>
        </w:rPr>
        <w:lastRenderedPageBreak/>
        <w:t>škol to bylo 93,9 % a na druhém stupni 74,3 %</w:t>
      </w:r>
      <w:r w:rsidR="000367D8">
        <w:rPr>
          <w:rFonts w:cs="Arial"/>
          <w:szCs w:val="20"/>
        </w:rPr>
        <w:t>. Se zvyšující se úrovní vzdělávání tedy mužů mezi učiteli přibývá</w:t>
      </w:r>
      <w:r>
        <w:rPr>
          <w:rFonts w:cs="Arial"/>
          <w:szCs w:val="20"/>
        </w:rPr>
        <w:t xml:space="preserve"> (</w:t>
      </w:r>
      <w:r w:rsidR="001F4158">
        <w:rPr>
          <w:rFonts w:cs="Arial"/>
          <w:szCs w:val="20"/>
        </w:rPr>
        <w:t xml:space="preserve">viz též kapitolu o středních školách - podíl úvazků žen mezi </w:t>
      </w:r>
      <w:r>
        <w:rPr>
          <w:rFonts w:cs="Arial"/>
          <w:szCs w:val="20"/>
        </w:rPr>
        <w:t xml:space="preserve">úvazky </w:t>
      </w:r>
      <w:r w:rsidR="001F4158">
        <w:rPr>
          <w:rFonts w:cs="Arial"/>
          <w:szCs w:val="20"/>
        </w:rPr>
        <w:t xml:space="preserve">všech </w:t>
      </w:r>
      <w:r>
        <w:rPr>
          <w:rFonts w:cs="Arial"/>
          <w:szCs w:val="20"/>
        </w:rPr>
        <w:t xml:space="preserve">učitelů činil </w:t>
      </w:r>
      <w:r w:rsidR="001F4158">
        <w:rPr>
          <w:rFonts w:cs="Arial"/>
          <w:szCs w:val="20"/>
        </w:rPr>
        <w:t>tři</w:t>
      </w:r>
      <w:r>
        <w:rPr>
          <w:rFonts w:cs="Arial"/>
          <w:szCs w:val="20"/>
        </w:rPr>
        <w:t xml:space="preserve"> pětiny)</w:t>
      </w:r>
      <w:r w:rsidR="000367D8">
        <w:rPr>
          <w:rFonts w:cs="Arial"/>
          <w:szCs w:val="20"/>
        </w:rPr>
        <w:t xml:space="preserve">.  </w:t>
      </w:r>
    </w:p>
    <w:p w14:paraId="7BEA7552" w14:textId="555D9BCC" w:rsidR="00EF7D91" w:rsidRPr="00A272D1" w:rsidRDefault="00FF6B7E" w:rsidP="00FF6B7E">
      <w:pPr>
        <w:spacing w:after="120"/>
        <w:jc w:val="both"/>
        <w:rPr>
          <w:rFonts w:cs="Arial"/>
          <w:szCs w:val="20"/>
        </w:rPr>
      </w:pPr>
      <w:r w:rsidRPr="00173F33">
        <w:rPr>
          <w:rFonts w:cs="Arial"/>
          <w:szCs w:val="20"/>
        </w:rPr>
        <w:t xml:space="preserve">Z hlediska </w:t>
      </w:r>
      <w:r w:rsidRPr="00173F33">
        <w:rPr>
          <w:rFonts w:cs="Arial"/>
          <w:b/>
          <w:szCs w:val="20"/>
        </w:rPr>
        <w:t>zřizovatele jednotlivých</w:t>
      </w:r>
      <w:r w:rsidR="00A26CAF">
        <w:rPr>
          <w:rFonts w:cs="Arial"/>
          <w:b/>
          <w:szCs w:val="20"/>
        </w:rPr>
        <w:t xml:space="preserve"> základních</w:t>
      </w:r>
      <w:r w:rsidRPr="00173F33">
        <w:rPr>
          <w:rFonts w:cs="Arial"/>
          <w:b/>
          <w:szCs w:val="20"/>
        </w:rPr>
        <w:t xml:space="preserve"> škol </w:t>
      </w:r>
      <w:r w:rsidR="00CE72A2" w:rsidRPr="00173F33">
        <w:rPr>
          <w:rFonts w:cs="Arial"/>
          <w:szCs w:val="20"/>
        </w:rPr>
        <w:t>lze říci,</w:t>
      </w:r>
      <w:r w:rsidR="00173F33" w:rsidRPr="00173F33">
        <w:rPr>
          <w:rFonts w:cs="Arial"/>
          <w:szCs w:val="20"/>
        </w:rPr>
        <w:t xml:space="preserve"> že ve školním</w:t>
      </w:r>
      <w:r w:rsidR="00173F33">
        <w:rPr>
          <w:rFonts w:cs="Arial"/>
          <w:szCs w:val="20"/>
        </w:rPr>
        <w:t xml:space="preserve"> roce 2021/22</w:t>
      </w:r>
      <w:r w:rsidR="00CE72A2" w:rsidRPr="00A272D1">
        <w:rPr>
          <w:rFonts w:cs="Arial"/>
          <w:szCs w:val="20"/>
        </w:rPr>
        <w:t xml:space="preserve"> připadalo ze všech úvazků mužů v</w:t>
      </w:r>
      <w:r w:rsidR="004868C1">
        <w:rPr>
          <w:rFonts w:cs="Arial"/>
          <w:szCs w:val="20"/>
        </w:rPr>
        <w:t xml:space="preserve"> rámci pedagogického sboru </w:t>
      </w:r>
      <w:r w:rsidR="004868C1" w:rsidRPr="004868C1">
        <w:rPr>
          <w:rFonts w:cs="Arial"/>
          <w:b/>
          <w:szCs w:val="20"/>
        </w:rPr>
        <w:t>na prvním</w:t>
      </w:r>
      <w:r w:rsidR="00CE72A2" w:rsidRPr="004868C1">
        <w:rPr>
          <w:rFonts w:cs="Arial"/>
          <w:b/>
          <w:szCs w:val="20"/>
        </w:rPr>
        <w:t xml:space="preserve"> stupni</w:t>
      </w:r>
      <w:r w:rsidR="00173F33">
        <w:rPr>
          <w:rFonts w:cs="Arial"/>
          <w:szCs w:val="20"/>
        </w:rPr>
        <w:t xml:space="preserve"> 90,4</w:t>
      </w:r>
      <w:r w:rsidR="00CE72A2" w:rsidRPr="00A272D1">
        <w:rPr>
          <w:rFonts w:cs="Arial"/>
          <w:szCs w:val="20"/>
        </w:rPr>
        <w:t xml:space="preserve"> % veřejným školám. Tento podíl se však </w:t>
      </w:r>
      <w:r w:rsidR="005A4018" w:rsidRPr="00A272D1">
        <w:rPr>
          <w:rFonts w:cs="Arial"/>
          <w:szCs w:val="20"/>
        </w:rPr>
        <w:t xml:space="preserve">spolu s přibýváním soukromých škol </w:t>
      </w:r>
      <w:r w:rsidR="00012274">
        <w:rPr>
          <w:rFonts w:cs="Arial"/>
          <w:szCs w:val="20"/>
        </w:rPr>
        <w:t xml:space="preserve">v čase </w:t>
      </w:r>
      <w:r w:rsidR="00012274" w:rsidRPr="00173F33">
        <w:rPr>
          <w:rFonts w:cs="Arial"/>
          <w:szCs w:val="20"/>
        </w:rPr>
        <w:t>snižuje</w:t>
      </w:r>
      <w:r w:rsidR="00173F33" w:rsidRPr="00173F33">
        <w:rPr>
          <w:rFonts w:cs="Arial"/>
          <w:szCs w:val="20"/>
        </w:rPr>
        <w:t xml:space="preserve"> a </w:t>
      </w:r>
      <w:r w:rsidR="005E4C42" w:rsidRPr="00173F33">
        <w:rPr>
          <w:rFonts w:cs="Arial"/>
          <w:szCs w:val="20"/>
        </w:rPr>
        <w:t>za posledních</w:t>
      </w:r>
      <w:r w:rsidR="005E4C42">
        <w:rPr>
          <w:rFonts w:cs="Arial"/>
          <w:szCs w:val="20"/>
        </w:rPr>
        <w:t xml:space="preserve"> deset let </w:t>
      </w:r>
      <w:r w:rsidR="00173F33">
        <w:rPr>
          <w:rFonts w:cs="Arial"/>
          <w:szCs w:val="20"/>
        </w:rPr>
        <w:t>poklesl o 5 procentních bodů (ve školním roce 2011/12 činil 95,5 %)</w:t>
      </w:r>
      <w:r w:rsidR="00CE72A2" w:rsidRPr="00A272D1">
        <w:rPr>
          <w:rFonts w:cs="Arial"/>
          <w:szCs w:val="20"/>
        </w:rPr>
        <w:t xml:space="preserve">. </w:t>
      </w:r>
      <w:r w:rsidR="00CE72A2" w:rsidRPr="00173F33">
        <w:rPr>
          <w:rFonts w:cs="Arial"/>
          <w:szCs w:val="20"/>
        </w:rPr>
        <w:t xml:space="preserve">Též </w:t>
      </w:r>
      <w:r w:rsidR="00CE72A2" w:rsidRPr="00173F33">
        <w:rPr>
          <w:rFonts w:cs="Arial"/>
          <w:b/>
          <w:szCs w:val="20"/>
        </w:rPr>
        <w:t>n</w:t>
      </w:r>
      <w:r w:rsidR="00CE72A2" w:rsidRPr="004868C1">
        <w:rPr>
          <w:rFonts w:cs="Arial"/>
          <w:b/>
          <w:szCs w:val="20"/>
        </w:rPr>
        <w:t xml:space="preserve">a druhém stupni </w:t>
      </w:r>
      <w:r w:rsidR="00CE72A2" w:rsidRPr="00A272D1">
        <w:rPr>
          <w:rFonts w:cs="Arial"/>
          <w:szCs w:val="20"/>
        </w:rPr>
        <w:t>základních škol docházelo v čase k postupnému sn</w:t>
      </w:r>
      <w:r w:rsidR="005A4018" w:rsidRPr="00A272D1">
        <w:rPr>
          <w:rFonts w:cs="Arial"/>
          <w:szCs w:val="20"/>
        </w:rPr>
        <w:t xml:space="preserve">ižování podílu úvazků učitelů </w:t>
      </w:r>
      <w:r w:rsidR="00CE72A2" w:rsidRPr="00A272D1">
        <w:rPr>
          <w:rFonts w:cs="Arial"/>
          <w:szCs w:val="20"/>
        </w:rPr>
        <w:t>ve veřejných školách ze všech úv</w:t>
      </w:r>
      <w:r w:rsidR="00173F33">
        <w:rPr>
          <w:rFonts w:cs="Arial"/>
          <w:szCs w:val="20"/>
        </w:rPr>
        <w:t>azků učitelů mužů, a sice z 98 % ve školním roce 2011/12</w:t>
      </w:r>
      <w:r w:rsidR="00CE72A2" w:rsidRPr="00A272D1">
        <w:rPr>
          <w:rFonts w:cs="Arial"/>
          <w:szCs w:val="20"/>
        </w:rPr>
        <w:t xml:space="preserve"> na 96</w:t>
      </w:r>
      <w:r w:rsidR="00173F33">
        <w:rPr>
          <w:rFonts w:cs="Arial"/>
          <w:szCs w:val="20"/>
        </w:rPr>
        <w:t>,1 % ve školním roce 2021/22</w:t>
      </w:r>
      <w:r w:rsidR="00CE72A2" w:rsidRPr="00A272D1">
        <w:rPr>
          <w:rFonts w:cs="Arial"/>
          <w:szCs w:val="20"/>
        </w:rPr>
        <w:t xml:space="preserve">. </w:t>
      </w:r>
      <w:r w:rsidR="005A4018" w:rsidRPr="004868C1">
        <w:rPr>
          <w:rFonts w:cs="Arial"/>
          <w:b/>
          <w:szCs w:val="20"/>
        </w:rPr>
        <w:t>Za oba stupně</w:t>
      </w:r>
      <w:r w:rsidR="005A4018" w:rsidRPr="00A272D1">
        <w:rPr>
          <w:rFonts w:cs="Arial"/>
          <w:szCs w:val="20"/>
        </w:rPr>
        <w:t xml:space="preserve"> základní školy pak podíl plných úvazků učitelů – mužů ve veře</w:t>
      </w:r>
      <w:r w:rsidR="00173F33">
        <w:rPr>
          <w:rFonts w:cs="Arial"/>
          <w:szCs w:val="20"/>
        </w:rPr>
        <w:t>jných školách</w:t>
      </w:r>
      <w:r w:rsidR="004064CE">
        <w:rPr>
          <w:rFonts w:cs="Arial"/>
          <w:szCs w:val="20"/>
        </w:rPr>
        <w:t xml:space="preserve"> ze všech úvazků učitelů - mužů</w:t>
      </w:r>
      <w:r w:rsidR="00173F33">
        <w:rPr>
          <w:rFonts w:cs="Arial"/>
          <w:szCs w:val="20"/>
        </w:rPr>
        <w:t xml:space="preserve"> postupně klesal z hodnoty 97,6 % ve školním roce 2011/12 na 95,1 % ve školním roce 2021</w:t>
      </w:r>
      <w:r w:rsidR="005A4018" w:rsidRPr="00A272D1">
        <w:rPr>
          <w:rFonts w:cs="Arial"/>
          <w:szCs w:val="20"/>
        </w:rPr>
        <w:t>/</w:t>
      </w:r>
      <w:r w:rsidR="00173F33">
        <w:rPr>
          <w:rFonts w:cs="Arial"/>
          <w:szCs w:val="20"/>
        </w:rPr>
        <w:t>22</w:t>
      </w:r>
      <w:r w:rsidR="004868C1">
        <w:rPr>
          <w:rFonts w:cs="Arial"/>
          <w:szCs w:val="20"/>
        </w:rPr>
        <w:t>. Celkový podíl úvazků mužů i </w:t>
      </w:r>
      <w:r w:rsidR="005A4018" w:rsidRPr="00A272D1">
        <w:rPr>
          <w:rFonts w:cs="Arial"/>
          <w:szCs w:val="20"/>
        </w:rPr>
        <w:t>žen ve veřejných školách</w:t>
      </w:r>
      <w:r w:rsidR="00173F33">
        <w:rPr>
          <w:rFonts w:cs="Arial"/>
          <w:szCs w:val="20"/>
        </w:rPr>
        <w:t xml:space="preserve"> byl přitom ve školním roce 2011/12</w:t>
      </w:r>
      <w:r w:rsidR="005A4018" w:rsidRPr="00A272D1">
        <w:rPr>
          <w:rFonts w:cs="Arial"/>
          <w:szCs w:val="20"/>
        </w:rPr>
        <w:t xml:space="preserve"> </w:t>
      </w:r>
      <w:r w:rsidR="00173F33">
        <w:rPr>
          <w:rFonts w:cs="Arial"/>
          <w:szCs w:val="20"/>
        </w:rPr>
        <w:t>celkem 97,8</w:t>
      </w:r>
      <w:r w:rsidR="005A4018" w:rsidRPr="00A272D1">
        <w:rPr>
          <w:rFonts w:cs="Arial"/>
          <w:szCs w:val="20"/>
        </w:rPr>
        <w:t> %,</w:t>
      </w:r>
      <w:r w:rsidR="00EF7D91" w:rsidRPr="00A272D1">
        <w:rPr>
          <w:rFonts w:cs="Arial"/>
          <w:szCs w:val="20"/>
        </w:rPr>
        <w:t xml:space="preserve"> poté postupně </w:t>
      </w:r>
      <w:r w:rsidR="00012274">
        <w:rPr>
          <w:rFonts w:cs="Arial"/>
          <w:szCs w:val="20"/>
        </w:rPr>
        <w:t xml:space="preserve">mírně </w:t>
      </w:r>
      <w:r w:rsidR="00173F33">
        <w:rPr>
          <w:rFonts w:cs="Arial"/>
          <w:szCs w:val="20"/>
        </w:rPr>
        <w:t>klesal až na 95,8</w:t>
      </w:r>
      <w:r w:rsidR="005A4018" w:rsidRPr="00A272D1">
        <w:rPr>
          <w:rFonts w:cs="Arial"/>
          <w:szCs w:val="20"/>
        </w:rPr>
        <w:t> %</w:t>
      </w:r>
      <w:r w:rsidR="00173F33">
        <w:rPr>
          <w:rFonts w:cs="Arial"/>
          <w:szCs w:val="20"/>
        </w:rPr>
        <w:t xml:space="preserve"> ve školním roce 2021/22</w:t>
      </w:r>
      <w:r w:rsidR="005A4018" w:rsidRPr="00A272D1">
        <w:rPr>
          <w:rFonts w:cs="Arial"/>
          <w:szCs w:val="20"/>
        </w:rPr>
        <w:t>.</w:t>
      </w:r>
      <w:r w:rsidR="00EF7D91" w:rsidRPr="00A272D1">
        <w:rPr>
          <w:rFonts w:cs="Arial"/>
          <w:szCs w:val="20"/>
        </w:rPr>
        <w:t xml:space="preserve"> </w:t>
      </w:r>
    </w:p>
    <w:p w14:paraId="5A56EED5" w14:textId="5A2795F9" w:rsidR="00CE72A2" w:rsidRPr="00A272D1" w:rsidRDefault="00EF7D91" w:rsidP="00FF6B7E">
      <w:pPr>
        <w:spacing w:after="120"/>
        <w:jc w:val="both"/>
        <w:rPr>
          <w:rFonts w:cs="Arial"/>
          <w:szCs w:val="20"/>
        </w:rPr>
      </w:pPr>
      <w:r w:rsidRPr="00A272D1">
        <w:rPr>
          <w:rFonts w:cs="Arial"/>
          <w:szCs w:val="20"/>
        </w:rPr>
        <w:t xml:space="preserve">Z výše uvedeného lze usoudit, že z učitelů se muži </w:t>
      </w:r>
      <w:r w:rsidR="00E41A97">
        <w:rPr>
          <w:rFonts w:cs="Arial"/>
          <w:szCs w:val="20"/>
        </w:rPr>
        <w:t xml:space="preserve">o něco </w:t>
      </w:r>
      <w:r w:rsidRPr="00A272D1">
        <w:rPr>
          <w:rFonts w:cs="Arial"/>
          <w:szCs w:val="20"/>
        </w:rPr>
        <w:t>častěji než ženy rozhodují pro výuku ve školách neveřejného zřizovatele. Ve školním roce</w:t>
      </w:r>
      <w:r w:rsidR="00E41A97">
        <w:rPr>
          <w:rFonts w:cs="Arial"/>
          <w:szCs w:val="20"/>
        </w:rPr>
        <w:t xml:space="preserve"> 2021/22</w:t>
      </w:r>
      <w:r w:rsidR="00A272D1" w:rsidRPr="00A272D1">
        <w:rPr>
          <w:rFonts w:cs="Arial"/>
          <w:szCs w:val="20"/>
        </w:rPr>
        <w:t xml:space="preserve"> připadalo ze všech úvazků učitelů v základních šk</w:t>
      </w:r>
      <w:r w:rsidR="00E41A97">
        <w:rPr>
          <w:rFonts w:cs="Arial"/>
          <w:szCs w:val="20"/>
        </w:rPr>
        <w:t>olách veřejného zřizovatele 16,1</w:t>
      </w:r>
      <w:r w:rsidR="00A272D1" w:rsidRPr="00A272D1">
        <w:rPr>
          <w:rFonts w:cs="Arial"/>
          <w:szCs w:val="20"/>
        </w:rPr>
        <w:t> % mužům</w:t>
      </w:r>
      <w:r w:rsidR="00C76518">
        <w:rPr>
          <w:rFonts w:cs="Arial"/>
          <w:szCs w:val="20"/>
        </w:rPr>
        <w:t xml:space="preserve"> (před 10 lety to bylo 15,7 %)</w:t>
      </w:r>
      <w:r w:rsidR="00A272D1" w:rsidRPr="00A272D1">
        <w:rPr>
          <w:rFonts w:cs="Arial"/>
          <w:szCs w:val="20"/>
        </w:rPr>
        <w:t>, u sou</w:t>
      </w:r>
      <w:r w:rsidR="00E41A97">
        <w:rPr>
          <w:rFonts w:cs="Arial"/>
          <w:szCs w:val="20"/>
        </w:rPr>
        <w:t>kromého zřizovatele to bylo 19,5</w:t>
      </w:r>
      <w:r w:rsidR="00A272D1" w:rsidRPr="00A272D1">
        <w:rPr>
          <w:rFonts w:cs="Arial"/>
          <w:szCs w:val="20"/>
        </w:rPr>
        <w:t> %</w:t>
      </w:r>
      <w:r w:rsidR="00E41A97">
        <w:rPr>
          <w:rFonts w:cs="Arial"/>
          <w:szCs w:val="20"/>
        </w:rPr>
        <w:t xml:space="preserve"> (před </w:t>
      </w:r>
      <w:r w:rsidR="00C76518">
        <w:rPr>
          <w:rFonts w:cs="Arial"/>
          <w:szCs w:val="20"/>
        </w:rPr>
        <w:t>10</w:t>
      </w:r>
      <w:r w:rsidR="00E41A97">
        <w:rPr>
          <w:rFonts w:cs="Arial"/>
          <w:szCs w:val="20"/>
        </w:rPr>
        <w:t xml:space="preserve"> lety to bylo 16,8 %) a u církevního 18</w:t>
      </w:r>
      <w:r w:rsidR="00A272D1" w:rsidRPr="00A272D1">
        <w:rPr>
          <w:rFonts w:cs="Arial"/>
          <w:szCs w:val="20"/>
        </w:rPr>
        <w:t> %</w:t>
      </w:r>
      <w:r w:rsidR="00C76518">
        <w:rPr>
          <w:rFonts w:cs="Arial"/>
          <w:szCs w:val="20"/>
        </w:rPr>
        <w:t xml:space="preserve"> (před 10 lety to bylo 19,2 %)</w:t>
      </w:r>
      <w:r w:rsidR="00A272D1" w:rsidRPr="00A272D1">
        <w:rPr>
          <w:rFonts w:cs="Arial"/>
          <w:szCs w:val="20"/>
        </w:rPr>
        <w:t>.</w:t>
      </w:r>
    </w:p>
    <w:p w14:paraId="6901F734" w14:textId="3B30E520" w:rsidR="00A6312A" w:rsidRDefault="00FF6B7E" w:rsidP="00FF6B7E">
      <w:pPr>
        <w:spacing w:after="120"/>
        <w:jc w:val="both"/>
        <w:rPr>
          <w:rFonts w:cs="Arial"/>
          <w:szCs w:val="20"/>
        </w:rPr>
      </w:pPr>
      <w:r w:rsidRPr="0003710D">
        <w:rPr>
          <w:rFonts w:cs="Arial"/>
          <w:szCs w:val="20"/>
        </w:rPr>
        <w:t xml:space="preserve">V </w:t>
      </w:r>
      <w:r w:rsidRPr="0003710D">
        <w:rPr>
          <w:rFonts w:cs="Arial"/>
          <w:b/>
          <w:szCs w:val="20"/>
        </w:rPr>
        <w:t>krajském srovnání</w:t>
      </w:r>
      <w:r w:rsidRPr="0003710D">
        <w:rPr>
          <w:rFonts w:cs="Arial"/>
          <w:szCs w:val="20"/>
        </w:rPr>
        <w:t xml:space="preserve"> byl </w:t>
      </w:r>
      <w:r w:rsidR="00223B46">
        <w:rPr>
          <w:rFonts w:cs="Arial"/>
          <w:szCs w:val="20"/>
        </w:rPr>
        <w:t>ve školním roce 2021/22</w:t>
      </w:r>
      <w:r w:rsidR="00A6312A">
        <w:rPr>
          <w:rFonts w:cs="Arial"/>
          <w:szCs w:val="20"/>
        </w:rPr>
        <w:t xml:space="preserve"> podíl mužů mezi učitelskými úvazky</w:t>
      </w:r>
      <w:r w:rsidRPr="0003710D">
        <w:rPr>
          <w:rFonts w:cs="Arial"/>
          <w:szCs w:val="20"/>
        </w:rPr>
        <w:t xml:space="preserve"> zák</w:t>
      </w:r>
      <w:r w:rsidR="007C1D85">
        <w:rPr>
          <w:rFonts w:cs="Arial"/>
          <w:szCs w:val="20"/>
        </w:rPr>
        <w:t>ladních škol nejvyšší v Praze, a sice</w:t>
      </w:r>
      <w:r w:rsidR="002D182D">
        <w:rPr>
          <w:rFonts w:cs="Arial"/>
          <w:szCs w:val="20"/>
        </w:rPr>
        <w:t xml:space="preserve"> 18,4</w:t>
      </w:r>
      <w:r w:rsidRPr="0003710D">
        <w:rPr>
          <w:rFonts w:cs="Arial"/>
          <w:szCs w:val="20"/>
        </w:rPr>
        <w:t xml:space="preserve"> %. Naopak nejnižší zastoupení mužů bylo zaznamenáno v</w:t>
      </w:r>
      <w:r w:rsidR="009E685E">
        <w:rPr>
          <w:rFonts w:cs="Arial"/>
          <w:szCs w:val="20"/>
        </w:rPr>
        <w:t>e</w:t>
      </w:r>
      <w:r w:rsidRPr="0003710D">
        <w:rPr>
          <w:rFonts w:cs="Arial"/>
          <w:szCs w:val="20"/>
        </w:rPr>
        <w:t xml:space="preserve"> Středočeském kraji (</w:t>
      </w:r>
      <w:r w:rsidR="002D182D">
        <w:rPr>
          <w:rFonts w:cs="Arial"/>
          <w:szCs w:val="20"/>
        </w:rPr>
        <w:t>14,1</w:t>
      </w:r>
      <w:r w:rsidRPr="0003710D">
        <w:rPr>
          <w:rFonts w:cs="Arial"/>
          <w:szCs w:val="20"/>
        </w:rPr>
        <w:t xml:space="preserve"> %). V absolutním vyjádření </w:t>
      </w:r>
      <w:r w:rsidR="004868C1">
        <w:rPr>
          <w:rFonts w:cs="Arial"/>
          <w:szCs w:val="20"/>
        </w:rPr>
        <w:t>bylo nejvíce učitelských</w:t>
      </w:r>
      <w:r w:rsidR="00A6312A">
        <w:rPr>
          <w:rFonts w:cs="Arial"/>
          <w:szCs w:val="20"/>
        </w:rPr>
        <w:t xml:space="preserve"> úvazků</w:t>
      </w:r>
      <w:r w:rsidR="00012274">
        <w:rPr>
          <w:rFonts w:cs="Arial"/>
          <w:szCs w:val="20"/>
        </w:rPr>
        <w:t xml:space="preserve"> připadajících mužům</w:t>
      </w:r>
      <w:r w:rsidR="002D182D">
        <w:rPr>
          <w:rFonts w:cs="Arial"/>
          <w:szCs w:val="20"/>
        </w:rPr>
        <w:t xml:space="preserve"> v Praze (1 446,1</w:t>
      </w:r>
      <w:r w:rsidR="00A6312A">
        <w:rPr>
          <w:rFonts w:cs="Arial"/>
          <w:szCs w:val="20"/>
        </w:rPr>
        <w:t>), v kraji Středočeském (</w:t>
      </w:r>
      <w:r w:rsidR="002D182D">
        <w:rPr>
          <w:rFonts w:cs="Arial"/>
          <w:szCs w:val="20"/>
        </w:rPr>
        <w:t>1 356,7), Jihomoravském (</w:t>
      </w:r>
      <w:r w:rsidR="002D182D" w:rsidRPr="002D182D">
        <w:rPr>
          <w:rFonts w:cs="Arial"/>
          <w:szCs w:val="20"/>
        </w:rPr>
        <w:t>1</w:t>
      </w:r>
      <w:r w:rsidR="002D182D">
        <w:rPr>
          <w:rFonts w:cs="Arial"/>
          <w:szCs w:val="20"/>
        </w:rPr>
        <w:t> </w:t>
      </w:r>
      <w:r w:rsidR="002D182D" w:rsidRPr="002D182D">
        <w:rPr>
          <w:rFonts w:cs="Arial"/>
          <w:szCs w:val="20"/>
        </w:rPr>
        <w:t>343,1</w:t>
      </w:r>
      <w:r w:rsidR="00A6312A">
        <w:rPr>
          <w:rFonts w:cs="Arial"/>
          <w:szCs w:val="20"/>
        </w:rPr>
        <w:t>) a Moravskoslezském (</w:t>
      </w:r>
      <w:r w:rsidR="002D182D" w:rsidRPr="002D182D">
        <w:rPr>
          <w:rFonts w:cs="Arial"/>
          <w:szCs w:val="20"/>
        </w:rPr>
        <w:t>1</w:t>
      </w:r>
      <w:r w:rsidR="002D182D">
        <w:rPr>
          <w:rFonts w:cs="Arial"/>
          <w:szCs w:val="20"/>
        </w:rPr>
        <w:t> </w:t>
      </w:r>
      <w:r w:rsidR="002D182D" w:rsidRPr="002D182D">
        <w:rPr>
          <w:rFonts w:cs="Arial"/>
          <w:szCs w:val="20"/>
        </w:rPr>
        <w:t>286,3</w:t>
      </w:r>
      <w:r w:rsidR="00A6312A">
        <w:rPr>
          <w:rFonts w:cs="Arial"/>
          <w:szCs w:val="20"/>
        </w:rPr>
        <w:t>). Ostatní kraje zaznamenaly méně než 900 plných učitelských úvazků mužů v základních školách,</w:t>
      </w:r>
      <w:r w:rsidR="002D182D">
        <w:rPr>
          <w:rFonts w:cs="Arial"/>
          <w:szCs w:val="20"/>
        </w:rPr>
        <w:t xml:space="preserve"> nejméně kraj Karlovarský (313,2</w:t>
      </w:r>
      <w:r w:rsidR="00A6312A">
        <w:rPr>
          <w:rFonts w:cs="Arial"/>
          <w:szCs w:val="20"/>
        </w:rPr>
        <w:t>), který je zároveň nejméně lidnatým krajem.</w:t>
      </w:r>
    </w:p>
    <w:p w14:paraId="0821364B" w14:textId="72E3F855" w:rsidR="004615E9" w:rsidRPr="0063629E" w:rsidRDefault="004615E9" w:rsidP="004615E9">
      <w:pPr>
        <w:keepNext/>
        <w:spacing w:before="240" w:after="120"/>
        <w:jc w:val="both"/>
        <w:rPr>
          <w:rFonts w:cs="Arial"/>
          <w:b/>
          <w:i/>
          <w:color w:val="C00000"/>
          <w:sz w:val="24"/>
          <w:szCs w:val="20"/>
        </w:rPr>
      </w:pPr>
      <w:r>
        <w:rPr>
          <w:rFonts w:cs="Arial"/>
          <w:b/>
          <w:i/>
          <w:color w:val="C00000"/>
          <w:sz w:val="24"/>
          <w:szCs w:val="20"/>
        </w:rPr>
        <w:t xml:space="preserve">Učitelé </w:t>
      </w:r>
      <w:r w:rsidRPr="0063629E">
        <w:rPr>
          <w:rFonts w:cs="Arial"/>
          <w:b/>
          <w:i/>
          <w:color w:val="C00000"/>
          <w:sz w:val="24"/>
          <w:szCs w:val="20"/>
        </w:rPr>
        <w:t xml:space="preserve">na základních školách </w:t>
      </w:r>
      <w:r>
        <w:rPr>
          <w:rFonts w:cs="Arial"/>
          <w:b/>
          <w:i/>
          <w:color w:val="C00000"/>
          <w:sz w:val="24"/>
          <w:szCs w:val="20"/>
        </w:rPr>
        <w:t>dle kvalifikace</w:t>
      </w:r>
    </w:p>
    <w:p w14:paraId="6A91059D" w14:textId="565553EC" w:rsidR="004615E9" w:rsidRDefault="00196337" w:rsidP="00FF6B7E">
      <w:pPr>
        <w:spacing w:after="120"/>
        <w:jc w:val="both"/>
        <w:rPr>
          <w:rFonts w:cs="Arial"/>
          <w:szCs w:val="20"/>
        </w:rPr>
      </w:pPr>
      <w:r>
        <w:rPr>
          <w:rFonts w:cs="Arial"/>
          <w:szCs w:val="20"/>
        </w:rPr>
        <w:t>Graf</w:t>
      </w:r>
      <w:r w:rsidR="00E560A9">
        <w:rPr>
          <w:rFonts w:cs="Arial"/>
          <w:szCs w:val="20"/>
        </w:rPr>
        <w:t>y</w:t>
      </w:r>
      <w:r>
        <w:rPr>
          <w:rFonts w:cs="Arial"/>
          <w:szCs w:val="20"/>
        </w:rPr>
        <w:t xml:space="preserve"> 2.8</w:t>
      </w:r>
      <w:r w:rsidR="0094591D">
        <w:rPr>
          <w:rFonts w:cs="Arial"/>
          <w:szCs w:val="20"/>
        </w:rPr>
        <w:t xml:space="preserve"> a 2.9</w:t>
      </w:r>
      <w:r w:rsidR="00E560A9">
        <w:rPr>
          <w:rFonts w:cs="Arial"/>
          <w:szCs w:val="20"/>
        </w:rPr>
        <w:t xml:space="preserve"> ukazují</w:t>
      </w:r>
      <w:r w:rsidR="004615E9">
        <w:rPr>
          <w:rFonts w:cs="Arial"/>
          <w:szCs w:val="20"/>
        </w:rPr>
        <w:t xml:space="preserve"> podíl úvazků učitelů, kteří </w:t>
      </w:r>
      <w:r w:rsidR="004615E9" w:rsidRPr="004615E9">
        <w:rPr>
          <w:rFonts w:cs="Arial"/>
          <w:szCs w:val="20"/>
        </w:rPr>
        <w:t xml:space="preserve">nesplňují </w:t>
      </w:r>
      <w:r w:rsidR="004615E9">
        <w:rPr>
          <w:rFonts w:cs="Arial"/>
          <w:szCs w:val="20"/>
        </w:rPr>
        <w:t xml:space="preserve">kvalifikační </w:t>
      </w:r>
      <w:r w:rsidR="004615E9" w:rsidRPr="004615E9">
        <w:rPr>
          <w:rFonts w:cs="Arial"/>
          <w:szCs w:val="20"/>
        </w:rPr>
        <w:t>požadavky stano</w:t>
      </w:r>
      <w:r w:rsidR="00E560A9">
        <w:rPr>
          <w:rFonts w:cs="Arial"/>
          <w:szCs w:val="20"/>
        </w:rPr>
        <w:t>vené zákonem č. </w:t>
      </w:r>
      <w:r w:rsidR="004615E9">
        <w:rPr>
          <w:rFonts w:cs="Arial"/>
          <w:szCs w:val="20"/>
        </w:rPr>
        <w:t>563/2004 Sb., o </w:t>
      </w:r>
      <w:r w:rsidR="004615E9" w:rsidRPr="004615E9">
        <w:rPr>
          <w:rFonts w:cs="Arial"/>
          <w:szCs w:val="20"/>
        </w:rPr>
        <w:t>pedagogických pracovnících, ve znění pozdějších předpisů, a příslušných výjimek</w:t>
      </w:r>
      <w:r w:rsidR="004615E9">
        <w:rPr>
          <w:rFonts w:cs="Arial"/>
          <w:szCs w:val="20"/>
        </w:rPr>
        <w:t>.</w:t>
      </w:r>
    </w:p>
    <w:p w14:paraId="6BD6F0FE" w14:textId="59165F9E" w:rsidR="004615E9" w:rsidRDefault="00196337" w:rsidP="00012274">
      <w:pPr>
        <w:keepNext/>
        <w:spacing w:after="120"/>
        <w:jc w:val="both"/>
        <w:rPr>
          <w:rFonts w:cs="Arial"/>
          <w:b/>
          <w:szCs w:val="20"/>
        </w:rPr>
      </w:pPr>
      <w:r>
        <w:rPr>
          <w:rFonts w:cs="Arial"/>
          <w:b/>
          <w:szCs w:val="20"/>
        </w:rPr>
        <w:t>Graf 2.8</w:t>
      </w:r>
      <w:r w:rsidR="004615E9" w:rsidRPr="004615E9">
        <w:rPr>
          <w:rFonts w:cs="Arial"/>
          <w:b/>
          <w:szCs w:val="20"/>
        </w:rPr>
        <w:t xml:space="preserve"> Podíl učitelů bez </w:t>
      </w:r>
      <w:r w:rsidR="004615E9">
        <w:rPr>
          <w:rFonts w:cs="Arial"/>
          <w:b/>
          <w:szCs w:val="20"/>
        </w:rPr>
        <w:t xml:space="preserve">požadované </w:t>
      </w:r>
      <w:r w:rsidR="004615E9" w:rsidRPr="004615E9">
        <w:rPr>
          <w:rFonts w:cs="Arial"/>
          <w:b/>
          <w:szCs w:val="20"/>
        </w:rPr>
        <w:t xml:space="preserve">kvalifikace na </w:t>
      </w:r>
      <w:r w:rsidR="00E560A9">
        <w:rPr>
          <w:rFonts w:cs="Arial"/>
          <w:b/>
          <w:szCs w:val="20"/>
        </w:rPr>
        <w:t>ZŠ celkem a dle zřizovatele</w:t>
      </w:r>
      <w:r w:rsidR="007A71E5">
        <w:rPr>
          <w:rFonts w:cs="Arial"/>
          <w:b/>
          <w:szCs w:val="20"/>
        </w:rPr>
        <w:t xml:space="preserve"> </w:t>
      </w:r>
      <w:r w:rsidR="00E560A9">
        <w:rPr>
          <w:rFonts w:cs="Arial"/>
          <w:b/>
          <w:szCs w:val="20"/>
        </w:rPr>
        <w:t>(</w:t>
      </w:r>
      <w:r w:rsidR="007A71E5">
        <w:rPr>
          <w:rFonts w:cs="Arial"/>
          <w:b/>
          <w:szCs w:val="20"/>
        </w:rPr>
        <w:t>vývoj v</w:t>
      </w:r>
      <w:r w:rsidR="00F7524D">
        <w:rPr>
          <w:rFonts w:cs="Arial"/>
          <w:b/>
          <w:szCs w:val="20"/>
        </w:rPr>
        <w:t> </w:t>
      </w:r>
      <w:r w:rsidR="007A71E5">
        <w:rPr>
          <w:rFonts w:cs="Arial"/>
          <w:b/>
          <w:szCs w:val="20"/>
        </w:rPr>
        <w:t>čase</w:t>
      </w:r>
      <w:r w:rsidR="00F7524D">
        <w:rPr>
          <w:rFonts w:cs="Arial"/>
          <w:b/>
          <w:szCs w:val="20"/>
        </w:rPr>
        <w:t>; v %</w:t>
      </w:r>
      <w:r w:rsidR="00E560A9">
        <w:rPr>
          <w:rFonts w:cs="Arial"/>
          <w:b/>
          <w:szCs w:val="20"/>
        </w:rPr>
        <w:t>)</w:t>
      </w:r>
    </w:p>
    <w:p w14:paraId="74A3C00F" w14:textId="4AFB5376" w:rsidR="004615E9" w:rsidRPr="00FE1FDB" w:rsidRDefault="007A71E5" w:rsidP="00FE1FDB">
      <w:pPr>
        <w:keepNext/>
        <w:spacing w:after="120"/>
        <w:jc w:val="both"/>
        <w:rPr>
          <w:rFonts w:cs="Arial"/>
          <w:b/>
          <w:szCs w:val="20"/>
        </w:rPr>
      </w:pPr>
      <w:r w:rsidRPr="00415C5A">
        <w:rPr>
          <w:noProof/>
          <w:color w:val="827F00"/>
        </w:rPr>
        <w:drawing>
          <wp:inline distT="0" distB="0" distL="0" distR="0" wp14:anchorId="6F3433D9" wp14:editId="7DDC4560">
            <wp:extent cx="6076950" cy="2809875"/>
            <wp:effectExtent l="0" t="0" r="0" b="9525"/>
            <wp:docPr id="58" name="Graf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36B568F" w14:textId="77777777" w:rsidR="00A95388" w:rsidRDefault="00A95388" w:rsidP="00A95388">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05181C46" w14:textId="02E9E452" w:rsidR="00E560A9" w:rsidRDefault="00E560A9" w:rsidP="00FF6B7E">
      <w:pPr>
        <w:spacing w:after="120"/>
        <w:jc w:val="both"/>
      </w:pPr>
      <w:r>
        <w:rPr>
          <w:rFonts w:cs="Arial"/>
          <w:szCs w:val="20"/>
        </w:rPr>
        <w:t>O</w:t>
      </w:r>
      <w:r w:rsidR="004615E9">
        <w:rPr>
          <w:rFonts w:cs="Arial"/>
          <w:szCs w:val="20"/>
        </w:rPr>
        <w:t>d školního roku 2011/12 do školního roku 2015/16 pok</w:t>
      </w:r>
      <w:r w:rsidR="00FE1FDB">
        <w:rPr>
          <w:rFonts w:cs="Arial"/>
          <w:szCs w:val="20"/>
        </w:rPr>
        <w:t>lesl podíl takových učitelů ze 14,1</w:t>
      </w:r>
      <w:r w:rsidR="004615E9">
        <w:rPr>
          <w:rFonts w:cs="Arial"/>
          <w:szCs w:val="20"/>
        </w:rPr>
        <w:t> % na 5,</w:t>
      </w:r>
      <w:r w:rsidR="00243563">
        <w:rPr>
          <w:rFonts w:cs="Arial"/>
          <w:szCs w:val="20"/>
        </w:rPr>
        <w:t xml:space="preserve">7 % </w:t>
      </w:r>
      <w:r w:rsidR="00243563">
        <w:t>jako důsledek legislativní úpravy. Zákon o pedagogických pracovnících z roku 2004</w:t>
      </w:r>
      <w:r w:rsidR="00904A3E">
        <w:t xml:space="preserve"> </w:t>
      </w:r>
      <w:r w:rsidR="00243563">
        <w:t xml:space="preserve">vyžadoval magisterské vzdělání pro učitele (nejen) základních škol. Učitelům, kteří této podmínce nevyhovovali a nezahájili studium ke splnění zákonem stanoveného předpokladu, byla udělena pětiletá lhůta pro setrvání v práci pedagoga. Ta </w:t>
      </w:r>
      <w:r w:rsidR="00243563">
        <w:lastRenderedPageBreak/>
        <w:t>byla později prodloužena na 10 let. Novela zákona z roku 2014 za určitých okolností udělila výjimku např. učitelům starším 55 let s dostatečnou praxí nebo v případě, že na dané místo nebylo možné sehnat kvalifikovaného pracovníka. Podíl učitelů bez kvalifikace tak zača</w:t>
      </w:r>
      <w:r w:rsidR="00FE1FDB">
        <w:t>l stoupat a ve školním roce 2021/22</w:t>
      </w:r>
      <w:r w:rsidR="00243563">
        <w:t xml:space="preserve"> j</w:t>
      </w:r>
      <w:r w:rsidR="00FE1FDB">
        <w:t>iž učilo na základních školách 6,5</w:t>
      </w:r>
      <w:r w:rsidR="00243563">
        <w:t xml:space="preserve"> tisíc pedagogů bez </w:t>
      </w:r>
      <w:r w:rsidR="00FE1FDB">
        <w:t>kvalifikace, což představuje 9,1</w:t>
      </w:r>
      <w:r w:rsidR="00243563">
        <w:t>% podíl ze všech vyučujících.</w:t>
      </w:r>
      <w:r w:rsidR="006A574B">
        <w:t xml:space="preserve"> </w:t>
      </w:r>
    </w:p>
    <w:p w14:paraId="09D4A006" w14:textId="73CE8F39" w:rsidR="00E560A9" w:rsidRDefault="00E560A9" w:rsidP="00FF6B7E">
      <w:pPr>
        <w:spacing w:after="120"/>
        <w:jc w:val="both"/>
      </w:pPr>
      <w:r>
        <w:t>Z grafu 2.</w:t>
      </w:r>
      <w:r w:rsidR="004E6C86">
        <w:t>8</w:t>
      </w:r>
      <w:r>
        <w:t xml:space="preserve"> je také možné vyčíst, že ve školách veřejných je podíl kvalifikovaných učitelů vyšší než ve školách </w:t>
      </w:r>
      <w:r w:rsidR="00584360">
        <w:t xml:space="preserve">s </w:t>
      </w:r>
      <w:r>
        <w:t xml:space="preserve">církevním a zejména pak ve školách </w:t>
      </w:r>
      <w:r w:rsidR="00584360">
        <w:t xml:space="preserve">se </w:t>
      </w:r>
      <w:r>
        <w:t>soukrom</w:t>
      </w:r>
      <w:r w:rsidR="00584360">
        <w:t>ým zřizovatelem</w:t>
      </w:r>
      <w:r>
        <w:t>. Zároveň lze říci, že se od roku 2015/16 prohlubuje rozdíl mezi školami soukromým</w:t>
      </w:r>
      <w:r w:rsidR="00985CFA">
        <w:t>i</w:t>
      </w:r>
      <w:r>
        <w:t xml:space="preserve"> a veřejnými či církevními. Ve školním roce 2021/22 vyučovala v soukromých školách téměř pětina nekvalifikovaných učitelů (17,1 %) oproti necelé desetině </w:t>
      </w:r>
      <w:r w:rsidR="00584360">
        <w:t xml:space="preserve">takových učitelů </w:t>
      </w:r>
      <w:r>
        <w:t>ve školách veřejných (8,8 %) a desetině ve školách církevních (10,1 %).</w:t>
      </w:r>
    </w:p>
    <w:p w14:paraId="5AEC7B62" w14:textId="4CBDB885" w:rsidR="00FE1FDB" w:rsidRDefault="0094591D" w:rsidP="00FF6B7E">
      <w:pPr>
        <w:spacing w:after="120"/>
        <w:jc w:val="both"/>
      </w:pPr>
      <w:r>
        <w:t>Graf 2.9</w:t>
      </w:r>
      <w:r w:rsidR="00E560A9">
        <w:t xml:space="preserve"> dále ukazuje podíl nekvalifikovaných učitelů mezi učiteli vyučujícími ve školním roce 2021/22 v krajském členění. </w:t>
      </w:r>
    </w:p>
    <w:p w14:paraId="5037D6F7" w14:textId="131E3538" w:rsidR="00FE1FDB" w:rsidRDefault="0094591D" w:rsidP="007A71E5">
      <w:pPr>
        <w:keepNext/>
        <w:spacing w:after="120"/>
        <w:jc w:val="both"/>
        <w:rPr>
          <w:rFonts w:cs="Arial"/>
          <w:b/>
          <w:szCs w:val="20"/>
        </w:rPr>
      </w:pPr>
      <w:r>
        <w:rPr>
          <w:rFonts w:cs="Arial"/>
          <w:b/>
          <w:szCs w:val="20"/>
        </w:rPr>
        <w:t>Graf 2.9</w:t>
      </w:r>
      <w:r w:rsidR="007A71E5" w:rsidRPr="007A71E5">
        <w:rPr>
          <w:rFonts w:cs="Arial"/>
          <w:b/>
          <w:szCs w:val="20"/>
        </w:rPr>
        <w:t xml:space="preserve"> </w:t>
      </w:r>
      <w:r w:rsidR="007A71E5" w:rsidRPr="004615E9">
        <w:rPr>
          <w:rFonts w:cs="Arial"/>
          <w:b/>
          <w:szCs w:val="20"/>
        </w:rPr>
        <w:t xml:space="preserve">Podíl učitelů bez </w:t>
      </w:r>
      <w:r w:rsidR="007A71E5">
        <w:rPr>
          <w:rFonts w:cs="Arial"/>
          <w:b/>
          <w:szCs w:val="20"/>
        </w:rPr>
        <w:t xml:space="preserve">požadované </w:t>
      </w:r>
      <w:r w:rsidR="007A71E5" w:rsidRPr="004615E9">
        <w:rPr>
          <w:rFonts w:cs="Arial"/>
          <w:b/>
          <w:szCs w:val="20"/>
        </w:rPr>
        <w:t xml:space="preserve">kvalifikace na </w:t>
      </w:r>
      <w:r w:rsidR="00E560A9">
        <w:rPr>
          <w:rFonts w:cs="Arial"/>
          <w:b/>
          <w:szCs w:val="20"/>
        </w:rPr>
        <w:t>ZŠ</w:t>
      </w:r>
      <w:r w:rsidR="007A71E5">
        <w:rPr>
          <w:rFonts w:cs="Arial"/>
          <w:b/>
          <w:szCs w:val="20"/>
        </w:rPr>
        <w:t xml:space="preserve"> </w:t>
      </w:r>
      <w:r w:rsidR="00E560A9">
        <w:rPr>
          <w:rFonts w:cs="Arial"/>
          <w:b/>
          <w:szCs w:val="20"/>
        </w:rPr>
        <w:t>v</w:t>
      </w:r>
      <w:r w:rsidR="007A71E5">
        <w:rPr>
          <w:rFonts w:cs="Arial"/>
          <w:b/>
          <w:szCs w:val="20"/>
        </w:rPr>
        <w:t xml:space="preserve"> krajské</w:t>
      </w:r>
      <w:r w:rsidR="00E560A9">
        <w:rPr>
          <w:rFonts w:cs="Arial"/>
          <w:b/>
          <w:szCs w:val="20"/>
        </w:rPr>
        <w:t>m</w:t>
      </w:r>
      <w:r w:rsidR="007A71E5">
        <w:rPr>
          <w:rFonts w:cs="Arial"/>
          <w:b/>
          <w:szCs w:val="20"/>
        </w:rPr>
        <w:t xml:space="preserve"> srovnání (2021/22)</w:t>
      </w:r>
    </w:p>
    <w:p w14:paraId="21165E3A" w14:textId="5ECA1419" w:rsidR="00FE1FDB" w:rsidRPr="00C54C03" w:rsidRDefault="00C54C03" w:rsidP="00C54C03">
      <w:pPr>
        <w:keepNext/>
        <w:spacing w:after="120"/>
        <w:jc w:val="both"/>
        <w:rPr>
          <w:rFonts w:cs="Arial"/>
          <w:b/>
          <w:szCs w:val="20"/>
        </w:rPr>
      </w:pPr>
      <w:r w:rsidRPr="00C54C03">
        <w:rPr>
          <w:rFonts w:cs="Arial"/>
          <w:b/>
          <w:noProof/>
          <w:szCs w:val="20"/>
        </w:rPr>
        <w:drawing>
          <wp:inline distT="0" distB="0" distL="0" distR="0" wp14:anchorId="0EF88DBD" wp14:editId="752F42AA">
            <wp:extent cx="6028481" cy="3943350"/>
            <wp:effectExtent l="0" t="0" r="0" b="0"/>
            <wp:docPr id="16" name="Obrázek 16" descr="C:\Users\kasparova3676\AppData\Local\Microsoft\Windows\INetCache\Content.Outlook\W2WPNEMM\Podil ucitelu bez kval na ZS celk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sparova3676\AppData\Local\Microsoft\Windows\INetCache\Content.Outlook\W2WPNEMM\Podil ucitelu bez kval na ZS celkem.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34888" cy="3947541"/>
                    </a:xfrm>
                    <a:prstGeom prst="rect">
                      <a:avLst/>
                    </a:prstGeom>
                    <a:noFill/>
                    <a:ln>
                      <a:noFill/>
                    </a:ln>
                  </pic:spPr>
                </pic:pic>
              </a:graphicData>
            </a:graphic>
          </wp:inline>
        </w:drawing>
      </w:r>
    </w:p>
    <w:p w14:paraId="57893925" w14:textId="2BE4B055" w:rsidR="00FE1FDB" w:rsidRPr="00CD5ED1" w:rsidRDefault="00CD5ED1" w:rsidP="00CD5ED1">
      <w:pPr>
        <w:spacing w:after="120"/>
        <w:jc w:val="right"/>
        <w:rPr>
          <w:sz w:val="18"/>
          <w:szCs w:val="18"/>
        </w:rPr>
      </w:pPr>
      <w:r w:rsidRPr="00CD5ED1">
        <w:rPr>
          <w:sz w:val="18"/>
          <w:szCs w:val="18"/>
        </w:rPr>
        <w:t>Zdroj: ČSÚ podle údajů MŠMT</w:t>
      </w:r>
    </w:p>
    <w:p w14:paraId="65314AAF" w14:textId="0EE000C2" w:rsidR="00E5443E" w:rsidRDefault="00E560A9" w:rsidP="00FF6B7E">
      <w:pPr>
        <w:spacing w:after="120"/>
        <w:jc w:val="both"/>
      </w:pPr>
      <w:r w:rsidRPr="006A5807">
        <w:t>Nejvyšší podíl vyučujících bez kvalifikace zaznamenal kraj Karlovarský, a sice více než pětinový (21,4 %)</w:t>
      </w:r>
      <w:r w:rsidR="005B0664">
        <w:rPr>
          <w:rStyle w:val="Znakapoznpodarou"/>
        </w:rPr>
        <w:footnoteReference w:id="19"/>
      </w:r>
      <w:r w:rsidRPr="006A5807">
        <w:t>. Následuje kraj Středočeský (16,5 %) a Praha (14,1 %), tedy regiony s relativně lepší nabídkou dobře placené práce.</w:t>
      </w:r>
      <w:r>
        <w:t xml:space="preserve"> Nadprůměrný podíl nekvalifikovaných učitelů zaznamenal též kraj Ústecký (11,8 %) a Liberecký (11,3 %). Naopak méně než pětiprocentní byl v kraji Zlínském (4,2%), Olomouckém (4,3 %), Jihočeském (4,3 %), Moravskoslezském (4,7 %), Jihomoravském</w:t>
      </w:r>
      <w:r w:rsidR="00A16AA6">
        <w:t xml:space="preserve"> (4,8 %) a na Vysočině (4,9 %).</w:t>
      </w:r>
    </w:p>
    <w:p w14:paraId="08394A02" w14:textId="3B7C8D83" w:rsidR="004615E9" w:rsidRDefault="006A574B" w:rsidP="00FF6B7E">
      <w:pPr>
        <w:spacing w:after="120"/>
        <w:jc w:val="both"/>
      </w:pPr>
      <w:r>
        <w:t xml:space="preserve">Pro srovnání s jinými úrovněmi vzdělání odkazujeme na tabulkovou část této publikace. </w:t>
      </w:r>
    </w:p>
    <w:p w14:paraId="1A3E2FFD" w14:textId="77777777" w:rsidR="00243563" w:rsidRPr="00243563" w:rsidRDefault="00243563" w:rsidP="00FF6B7E">
      <w:pPr>
        <w:spacing w:after="120"/>
        <w:jc w:val="both"/>
      </w:pPr>
    </w:p>
    <w:p w14:paraId="483ACB8C" w14:textId="5D32E822" w:rsidR="00FF6B7E" w:rsidRPr="00256F7E" w:rsidRDefault="00FF6B7E" w:rsidP="00FF6B7E">
      <w:pPr>
        <w:spacing w:before="120" w:after="120"/>
        <w:jc w:val="both"/>
        <w:rPr>
          <w:rFonts w:cs="Arial"/>
          <w:b/>
          <w:i/>
          <w:color w:val="C00000"/>
          <w:sz w:val="24"/>
          <w:szCs w:val="20"/>
        </w:rPr>
      </w:pPr>
      <w:r w:rsidRPr="003A73ED">
        <w:rPr>
          <w:rFonts w:cs="Arial"/>
          <w:b/>
          <w:i/>
          <w:color w:val="C00000"/>
          <w:sz w:val="24"/>
          <w:szCs w:val="20"/>
        </w:rPr>
        <w:t>Poč</w:t>
      </w:r>
      <w:r w:rsidR="005E4C42" w:rsidRPr="003A73ED">
        <w:rPr>
          <w:rFonts w:cs="Arial"/>
          <w:b/>
          <w:i/>
          <w:color w:val="C00000"/>
          <w:sz w:val="24"/>
          <w:szCs w:val="20"/>
        </w:rPr>
        <w:t>et asistentů pedagoga</w:t>
      </w:r>
      <w:r w:rsidRPr="003A73ED">
        <w:rPr>
          <w:rFonts w:cs="Arial"/>
          <w:b/>
          <w:i/>
          <w:color w:val="C00000"/>
          <w:sz w:val="24"/>
          <w:szCs w:val="20"/>
        </w:rPr>
        <w:t xml:space="preserve"> na základních školách</w:t>
      </w:r>
    </w:p>
    <w:p w14:paraId="129FA6CF" w14:textId="77FE4636" w:rsidR="00FF6B7E" w:rsidRPr="00256F7E" w:rsidRDefault="00FF6B7E" w:rsidP="003A3897">
      <w:pPr>
        <w:spacing w:after="120"/>
        <w:jc w:val="both"/>
        <w:rPr>
          <w:rFonts w:cs="Arial"/>
          <w:szCs w:val="20"/>
        </w:rPr>
      </w:pPr>
      <w:r w:rsidRPr="00256F7E">
        <w:rPr>
          <w:rFonts w:cs="Arial"/>
          <w:szCs w:val="20"/>
        </w:rPr>
        <w:t xml:space="preserve">V posledních letech výrazně vzrostl na základních školách počet </w:t>
      </w:r>
      <w:r w:rsidR="00F90247">
        <w:rPr>
          <w:rFonts w:cs="Arial"/>
          <w:b/>
          <w:szCs w:val="20"/>
        </w:rPr>
        <w:t>asistentů pedagoga</w:t>
      </w:r>
      <w:r w:rsidRPr="00256F7E">
        <w:rPr>
          <w:rFonts w:cs="Arial"/>
          <w:b/>
          <w:szCs w:val="20"/>
        </w:rPr>
        <w:t xml:space="preserve">. </w:t>
      </w:r>
      <w:r w:rsidR="00256F7E" w:rsidRPr="00256F7E">
        <w:rPr>
          <w:rFonts w:cs="Arial"/>
          <w:szCs w:val="20"/>
        </w:rPr>
        <w:t>V kalendářním roce 20</w:t>
      </w:r>
      <w:r w:rsidR="003A73ED">
        <w:rPr>
          <w:rFonts w:cs="Arial"/>
          <w:szCs w:val="20"/>
        </w:rPr>
        <w:t>21</w:t>
      </w:r>
      <w:r w:rsidRPr="00256F7E">
        <w:rPr>
          <w:rFonts w:cs="Arial"/>
          <w:szCs w:val="20"/>
        </w:rPr>
        <w:t xml:space="preserve"> připadlo na 100 plných úvazků učitelů</w:t>
      </w:r>
      <w:r w:rsidR="00256F7E" w:rsidRPr="00256F7E">
        <w:rPr>
          <w:rFonts w:cs="Arial"/>
          <w:szCs w:val="20"/>
        </w:rPr>
        <w:t xml:space="preserve"> (v průměrném evidenčním počtu za daný rok)</w:t>
      </w:r>
      <w:r w:rsidRPr="00256F7E">
        <w:rPr>
          <w:rFonts w:cs="Arial"/>
          <w:szCs w:val="20"/>
        </w:rPr>
        <w:t xml:space="preserve"> v průměru </w:t>
      </w:r>
      <w:r w:rsidR="003A73ED">
        <w:rPr>
          <w:rFonts w:cs="Arial"/>
          <w:szCs w:val="20"/>
        </w:rPr>
        <w:t>20,9</w:t>
      </w:r>
      <w:r w:rsidRPr="00256F7E">
        <w:rPr>
          <w:rFonts w:cs="Arial"/>
          <w:szCs w:val="20"/>
        </w:rPr>
        <w:t xml:space="preserve"> plného úv</w:t>
      </w:r>
      <w:r w:rsidR="001B373F">
        <w:rPr>
          <w:rFonts w:cs="Arial"/>
          <w:szCs w:val="20"/>
        </w:rPr>
        <w:t>azku asistenta pedagoga, tedy</w:t>
      </w:r>
      <w:r w:rsidR="00256F7E" w:rsidRPr="00256F7E">
        <w:rPr>
          <w:rFonts w:cs="Arial"/>
          <w:szCs w:val="20"/>
        </w:rPr>
        <w:t xml:space="preserve"> </w:t>
      </w:r>
      <w:r w:rsidR="003A73ED">
        <w:rPr>
          <w:rFonts w:cs="Arial"/>
          <w:szCs w:val="20"/>
        </w:rPr>
        <w:t>více než</w:t>
      </w:r>
      <w:r w:rsidR="001B373F">
        <w:rPr>
          <w:rFonts w:cs="Arial"/>
          <w:szCs w:val="20"/>
        </w:rPr>
        <w:t xml:space="preserve"> dvojnásobný počet</w:t>
      </w:r>
      <w:r w:rsidRPr="00256F7E">
        <w:rPr>
          <w:rFonts w:cs="Arial"/>
          <w:szCs w:val="20"/>
        </w:rPr>
        <w:t xml:space="preserve"> než před </w:t>
      </w:r>
      <w:r w:rsidR="003A73ED">
        <w:rPr>
          <w:rFonts w:cs="Arial"/>
          <w:szCs w:val="20"/>
        </w:rPr>
        <w:t>pěti</w:t>
      </w:r>
      <w:r w:rsidRPr="00256F7E">
        <w:rPr>
          <w:rFonts w:cs="Arial"/>
          <w:szCs w:val="20"/>
        </w:rPr>
        <w:t xml:space="preserve"> lety. </w:t>
      </w:r>
      <w:r w:rsidR="00256F7E" w:rsidRPr="00256F7E">
        <w:rPr>
          <w:rFonts w:cs="Arial"/>
          <w:szCs w:val="20"/>
        </w:rPr>
        <w:t xml:space="preserve">Vyšší poměr asistentů pedagoga k počtu úvazků učitelů přitom najdeme ve školách neveřejného zřizovatele než ve školách veřejných. </w:t>
      </w:r>
      <w:r w:rsidR="003A73ED">
        <w:t>V roce 2021</w:t>
      </w:r>
      <w:r w:rsidRPr="00256F7E">
        <w:t xml:space="preserve"> připadalo v soukromých a církevních základních školách na 100 plných úvazků učitelů</w:t>
      </w:r>
      <w:r w:rsidR="00256F7E" w:rsidRPr="00256F7E">
        <w:t xml:space="preserve"> 3</w:t>
      </w:r>
      <w:r w:rsidR="003A73ED">
        <w:t>1,</w:t>
      </w:r>
      <w:r w:rsidR="00CB47C0">
        <w:t>3 úvazku</w:t>
      </w:r>
      <w:r w:rsidR="00256F7E" w:rsidRPr="00256F7E">
        <w:t xml:space="preserve"> asistenta pedagoga</w:t>
      </w:r>
      <w:r w:rsidRPr="00256F7E">
        <w:t>.</w:t>
      </w:r>
      <w:r w:rsidR="003A3897">
        <w:t xml:space="preserve"> To souvisí s nástupem nového systému společného vzdělávání a podpůrných opatření.</w:t>
      </w:r>
      <w:r w:rsidR="003A3897">
        <w:rPr>
          <w:rStyle w:val="Znakapoznpodarou"/>
        </w:rPr>
        <w:footnoteReference w:id="20"/>
      </w:r>
      <w:r w:rsidR="003A3897">
        <w:t xml:space="preserve"> </w:t>
      </w:r>
      <w:r w:rsidR="003A73ED">
        <w:t xml:space="preserve">Zároveň si lze všimnout, že zatímco počet úvazků asistenta pedagoga na 100 úvazků učitelů ve školách veřejného zřizovatele </w:t>
      </w:r>
      <w:r w:rsidR="004B1190">
        <w:t xml:space="preserve">v uplynulých pěti letech </w:t>
      </w:r>
      <w:r w:rsidR="00D05DD3">
        <w:t xml:space="preserve">trvale </w:t>
      </w:r>
      <w:r w:rsidR="004B1190">
        <w:t>stoupal</w:t>
      </w:r>
      <w:r w:rsidR="0089106C">
        <w:t xml:space="preserve">, u soukromých a církevních škol nabyl vrcholu v roce 2019 (33,3 úvazků asistenta pedagoga na 100 úvazků učitelů) a poté </w:t>
      </w:r>
      <w:r w:rsidR="0094591D">
        <w:t>se začal snižovat – viz graf 2.10</w:t>
      </w:r>
      <w:r w:rsidR="0089106C">
        <w:t>.</w:t>
      </w:r>
      <w:r w:rsidR="004B1190">
        <w:t xml:space="preserve"> Nutno poznamenat, že přidělování asistentů pedagoga představuje další náklady. Bude tedy zajímavé sledovat, jak se při současné politické situaci bude tento trend ubírat v dalších letech (současná data jsou k 30. 9., tedy ještě před přijímáním uprchlíků z Ukrajiny).</w:t>
      </w:r>
    </w:p>
    <w:p w14:paraId="4EDB2589" w14:textId="2E696663" w:rsidR="00FF6B7E" w:rsidRDefault="0094591D" w:rsidP="00256F7E">
      <w:pPr>
        <w:keepNext/>
        <w:spacing w:after="120"/>
        <w:jc w:val="both"/>
        <w:rPr>
          <w:rFonts w:cs="Arial"/>
          <w:b/>
          <w:szCs w:val="20"/>
        </w:rPr>
      </w:pPr>
      <w:r>
        <w:rPr>
          <w:rFonts w:cs="Arial"/>
          <w:b/>
          <w:szCs w:val="20"/>
        </w:rPr>
        <w:t>Graf 2.10</w:t>
      </w:r>
      <w:r w:rsidR="00FF6B7E" w:rsidRPr="00256F7E">
        <w:rPr>
          <w:rFonts w:cs="Arial"/>
          <w:b/>
          <w:szCs w:val="20"/>
        </w:rPr>
        <w:t xml:space="preserve"> Počet asistentů pedagoga </w:t>
      </w:r>
      <w:r w:rsidR="00256F7E" w:rsidRPr="00256F7E">
        <w:rPr>
          <w:rFonts w:cs="Arial"/>
          <w:b/>
          <w:szCs w:val="20"/>
        </w:rPr>
        <w:t>celkem a dle zřizovatele (průměrný evidenční počet)</w:t>
      </w:r>
    </w:p>
    <w:p w14:paraId="01253F60" w14:textId="062E232C" w:rsidR="00E6024C" w:rsidRPr="003A73ED" w:rsidRDefault="003A73ED" w:rsidP="00256F7E">
      <w:pPr>
        <w:keepNext/>
        <w:spacing w:after="120"/>
        <w:jc w:val="both"/>
        <w:rPr>
          <w:rFonts w:cs="Arial"/>
          <w:b/>
          <w:szCs w:val="20"/>
        </w:rPr>
      </w:pPr>
      <w:r>
        <w:rPr>
          <w:noProof/>
        </w:rPr>
        <w:drawing>
          <wp:inline distT="0" distB="0" distL="0" distR="0" wp14:anchorId="4A40DF5F" wp14:editId="425B9DB5">
            <wp:extent cx="3023870" cy="2857500"/>
            <wp:effectExtent l="0" t="0" r="5080" b="0"/>
            <wp:docPr id="59" name="Graf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Pr>
          <w:noProof/>
        </w:rPr>
        <w:drawing>
          <wp:inline distT="0" distB="0" distL="0" distR="0" wp14:anchorId="7C45972E" wp14:editId="61FB0CCD">
            <wp:extent cx="2938780" cy="2847975"/>
            <wp:effectExtent l="0" t="0" r="13970" b="9525"/>
            <wp:docPr id="61" name="Graf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83BD9CD" w14:textId="70AB92A2" w:rsidR="00FF6B7E" w:rsidRDefault="00FF6B7E" w:rsidP="001B373F">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3B1F6FEE" w14:textId="7213FFB1" w:rsidR="00FF6B7E" w:rsidRDefault="00FF6B7E" w:rsidP="00FF6B7E">
      <w:pPr>
        <w:spacing w:after="120"/>
        <w:jc w:val="both"/>
        <w:rPr>
          <w:rFonts w:cs="Arial"/>
          <w:szCs w:val="20"/>
        </w:rPr>
      </w:pPr>
      <w:r w:rsidRPr="00F078E0">
        <w:rPr>
          <w:rFonts w:cs="Arial"/>
          <w:szCs w:val="20"/>
        </w:rPr>
        <w:t xml:space="preserve">Kromě asistentů pedagoga </w:t>
      </w:r>
      <w:r w:rsidR="00D05DD3">
        <w:rPr>
          <w:rFonts w:cs="Arial"/>
          <w:szCs w:val="20"/>
        </w:rPr>
        <w:t>působilo v roce 2021</w:t>
      </w:r>
      <w:r>
        <w:rPr>
          <w:rFonts w:cs="Arial"/>
          <w:szCs w:val="20"/>
        </w:rPr>
        <w:t xml:space="preserve"> v</w:t>
      </w:r>
      <w:r w:rsidRPr="00F078E0">
        <w:rPr>
          <w:rFonts w:cs="Arial"/>
          <w:szCs w:val="20"/>
        </w:rPr>
        <w:t xml:space="preserve"> </w:t>
      </w:r>
      <w:r w:rsidR="009E0C36">
        <w:rPr>
          <w:rFonts w:cs="Arial"/>
          <w:szCs w:val="20"/>
        </w:rPr>
        <w:t xml:space="preserve">základních školách i </w:t>
      </w:r>
      <w:r w:rsidR="00D05DD3">
        <w:rPr>
          <w:rFonts w:cs="Arial"/>
          <w:szCs w:val="20"/>
        </w:rPr>
        <w:t>691,2</w:t>
      </w:r>
      <w:r w:rsidRPr="00F078E0">
        <w:rPr>
          <w:rFonts w:cs="Arial"/>
          <w:szCs w:val="20"/>
        </w:rPr>
        <w:t xml:space="preserve"> speciálních pedagogů</w:t>
      </w:r>
      <w:r w:rsidR="009E0C36">
        <w:rPr>
          <w:rFonts w:cs="Arial"/>
          <w:szCs w:val="20"/>
        </w:rPr>
        <w:t xml:space="preserve"> a </w:t>
      </w:r>
      <w:r w:rsidR="00D05DD3">
        <w:rPr>
          <w:rFonts w:cs="Arial"/>
          <w:szCs w:val="20"/>
        </w:rPr>
        <w:t>404</w:t>
      </w:r>
      <w:r w:rsidR="009E0C36">
        <w:rPr>
          <w:rFonts w:cs="Arial"/>
          <w:szCs w:val="20"/>
        </w:rPr>
        <w:t>,3</w:t>
      </w:r>
      <w:r w:rsidRPr="00F078E0">
        <w:rPr>
          <w:rFonts w:cs="Arial"/>
          <w:szCs w:val="20"/>
        </w:rPr>
        <w:t xml:space="preserve"> psychologů</w:t>
      </w:r>
      <w:r w:rsidR="009E0C36">
        <w:rPr>
          <w:rFonts w:cs="Arial"/>
          <w:szCs w:val="20"/>
        </w:rPr>
        <w:t xml:space="preserve"> (obojí přepočteno na </w:t>
      </w:r>
      <w:r w:rsidR="00B37E7E">
        <w:rPr>
          <w:rFonts w:cs="Arial"/>
          <w:szCs w:val="20"/>
        </w:rPr>
        <w:t>průměrný evidenční počet zaměstnanců na plný úvazek v daném roce</w:t>
      </w:r>
      <w:r w:rsidR="009E0C36">
        <w:rPr>
          <w:rFonts w:cs="Arial"/>
          <w:szCs w:val="20"/>
        </w:rPr>
        <w:t>)</w:t>
      </w:r>
      <w:r w:rsidRPr="00F078E0">
        <w:rPr>
          <w:rFonts w:cs="Arial"/>
          <w:szCs w:val="20"/>
        </w:rPr>
        <w:t>.</w:t>
      </w:r>
    </w:p>
    <w:p w14:paraId="5082435B" w14:textId="77777777" w:rsidR="0089106C" w:rsidRPr="00F078E0" w:rsidRDefault="0089106C" w:rsidP="00FF6B7E">
      <w:pPr>
        <w:spacing w:after="120"/>
        <w:jc w:val="both"/>
        <w:rPr>
          <w:rFonts w:cs="Arial"/>
          <w:szCs w:val="20"/>
        </w:rPr>
      </w:pPr>
    </w:p>
    <w:p w14:paraId="4015CADD" w14:textId="38FCA7D1" w:rsidR="00FF6B7E" w:rsidRPr="00901010" w:rsidRDefault="000917FC" w:rsidP="00FF6B7E">
      <w:pPr>
        <w:keepNext/>
        <w:keepLines/>
        <w:spacing w:before="240" w:after="0"/>
        <w:outlineLvl w:val="1"/>
        <w:rPr>
          <w:rFonts w:eastAsia="MS Gothic"/>
          <w:b/>
          <w:bCs/>
          <w:color w:val="FF0000"/>
          <w:sz w:val="24"/>
          <w:szCs w:val="26"/>
        </w:rPr>
      </w:pPr>
      <w:bookmarkStart w:id="11" w:name="_Toc112069075"/>
      <w:r>
        <w:rPr>
          <w:rFonts w:eastAsia="MS Gothic"/>
          <w:b/>
          <w:bCs/>
          <w:color w:val="BC091B"/>
          <w:sz w:val="28"/>
          <w:szCs w:val="26"/>
        </w:rPr>
        <w:t>2.4 Žáci v</w:t>
      </w:r>
      <w:r w:rsidR="00FF6B7E" w:rsidRPr="00901010">
        <w:rPr>
          <w:rFonts w:eastAsia="MS Gothic"/>
          <w:b/>
          <w:bCs/>
          <w:color w:val="BC091B"/>
          <w:sz w:val="28"/>
          <w:szCs w:val="26"/>
        </w:rPr>
        <w:t xml:space="preserve"> základních školách – základní ukazatele</w:t>
      </w:r>
      <w:bookmarkEnd w:id="11"/>
      <w:r w:rsidR="00FF6B7E" w:rsidRPr="00901010">
        <w:rPr>
          <w:rFonts w:eastAsia="MS Gothic"/>
          <w:b/>
          <w:bCs/>
          <w:color w:val="BC091B"/>
          <w:sz w:val="28"/>
          <w:szCs w:val="26"/>
        </w:rPr>
        <w:t xml:space="preserve"> </w:t>
      </w:r>
    </w:p>
    <w:p w14:paraId="1F144C1D" w14:textId="77777777" w:rsidR="00FF6B7E" w:rsidRPr="004472A9" w:rsidRDefault="00FF6B7E" w:rsidP="00FF6B7E">
      <w:pPr>
        <w:spacing w:before="120" w:after="120"/>
        <w:jc w:val="both"/>
        <w:rPr>
          <w:rFonts w:cs="Arial"/>
          <w:b/>
          <w:i/>
          <w:color w:val="C00000"/>
          <w:sz w:val="24"/>
          <w:szCs w:val="20"/>
        </w:rPr>
      </w:pPr>
      <w:r w:rsidRPr="00901010">
        <w:rPr>
          <w:rFonts w:cs="Arial"/>
          <w:b/>
          <w:i/>
          <w:color w:val="C00000"/>
          <w:sz w:val="24"/>
          <w:szCs w:val="20"/>
        </w:rPr>
        <w:t>Počet žáků podle stupně a zřizovatele škol</w:t>
      </w:r>
    </w:p>
    <w:p w14:paraId="68B8C77B" w14:textId="2A0F94EA" w:rsidR="00FF6B7E" w:rsidRDefault="00FF6B7E" w:rsidP="00FF6B7E">
      <w:pPr>
        <w:spacing w:after="120"/>
        <w:jc w:val="both"/>
        <w:rPr>
          <w:rFonts w:cs="Arial"/>
          <w:szCs w:val="20"/>
          <w:lang w:eastAsia="en-US"/>
        </w:rPr>
      </w:pPr>
      <w:r>
        <w:rPr>
          <w:rFonts w:cs="Arial"/>
          <w:szCs w:val="20"/>
        </w:rPr>
        <w:t>Počet žáků základních škol přímo souvisí s měnícím se počtem narozených d</w:t>
      </w:r>
      <w:r w:rsidR="00626B5A">
        <w:rPr>
          <w:rFonts w:cs="Arial"/>
          <w:szCs w:val="20"/>
        </w:rPr>
        <w:t>ětí v předchozím období a tím s </w:t>
      </w:r>
      <w:r>
        <w:rPr>
          <w:rFonts w:cs="Arial"/>
          <w:szCs w:val="20"/>
        </w:rPr>
        <w:t xml:space="preserve">počtem dětí ve věku povinné školní docházky v populaci. Děti nejčastěji nastoupí do základní školy v šesti a </w:t>
      </w:r>
      <w:r>
        <w:rPr>
          <w:rFonts w:cs="Arial"/>
          <w:szCs w:val="20"/>
        </w:rPr>
        <w:lastRenderedPageBreak/>
        <w:t>ukončí ji v patnácti letech. Tato doba se však může posunout, je-li dítěti odložen začátek školní docházky, příp. prodloužit, pokud žák opakuje některý ročník či více ročníků základní školy. Faktorů, které ovlivňují počet žáků na základních školách, je však více. V malé míře dochází k odlivu žáků druhé</w:t>
      </w:r>
      <w:r w:rsidR="00F81D2E">
        <w:rPr>
          <w:rFonts w:cs="Arial"/>
          <w:szCs w:val="20"/>
        </w:rPr>
        <w:t>ho stupně na víceletá gymnázia, v</w:t>
      </w:r>
      <w:r>
        <w:rPr>
          <w:rFonts w:cs="Arial"/>
          <w:szCs w:val="20"/>
        </w:rPr>
        <w:t>liv má i migrace cizinců ze zahraničí</w:t>
      </w:r>
      <w:r w:rsidR="00F81D2E">
        <w:rPr>
          <w:rFonts w:cs="Arial"/>
          <w:szCs w:val="20"/>
        </w:rPr>
        <w:t>. A</w:t>
      </w:r>
      <w:r w:rsidR="00CF2338">
        <w:rPr>
          <w:rFonts w:cs="Arial"/>
          <w:szCs w:val="20"/>
        </w:rPr>
        <w:t xml:space="preserve">ktuální je zejména zařazování dětí ukrajinských uprchlíků do českých škol. To však do statistiky za školní rok 2021/22 ještě není promítnuto, jelikož se </w:t>
      </w:r>
      <w:r w:rsidR="00F81D2E">
        <w:rPr>
          <w:rFonts w:cs="Arial"/>
          <w:szCs w:val="20"/>
        </w:rPr>
        <w:t xml:space="preserve">za jednotlivé školní roky </w:t>
      </w:r>
      <w:r w:rsidR="00CF2338">
        <w:rPr>
          <w:rFonts w:cs="Arial"/>
          <w:szCs w:val="20"/>
        </w:rPr>
        <w:t xml:space="preserve">vykazuje </w:t>
      </w:r>
      <w:r w:rsidR="00F81D2E">
        <w:rPr>
          <w:rFonts w:cs="Arial"/>
          <w:szCs w:val="20"/>
        </w:rPr>
        <w:t xml:space="preserve">vždy </w:t>
      </w:r>
      <w:r w:rsidR="00CF2338">
        <w:rPr>
          <w:rFonts w:cs="Arial"/>
          <w:szCs w:val="20"/>
        </w:rPr>
        <w:t>stav k 30. </w:t>
      </w:r>
      <w:r w:rsidR="00F81D2E">
        <w:rPr>
          <w:rFonts w:cs="Arial"/>
          <w:szCs w:val="20"/>
        </w:rPr>
        <w:t>září</w:t>
      </w:r>
      <w:r w:rsidR="00CF2338">
        <w:rPr>
          <w:rFonts w:cs="Arial"/>
          <w:szCs w:val="20"/>
        </w:rPr>
        <w:t xml:space="preserve">. </w:t>
      </w:r>
      <w:r>
        <w:rPr>
          <w:rFonts w:cs="Arial"/>
          <w:szCs w:val="20"/>
        </w:rPr>
        <w:t>Na úrovni obcí</w:t>
      </w:r>
      <w:r w:rsidR="00983686">
        <w:rPr>
          <w:rFonts w:cs="Arial"/>
          <w:szCs w:val="20"/>
        </w:rPr>
        <w:t xml:space="preserve"> a krajů</w:t>
      </w:r>
      <w:r>
        <w:rPr>
          <w:rFonts w:cs="Arial"/>
          <w:szCs w:val="20"/>
        </w:rPr>
        <w:t xml:space="preserve"> pak</w:t>
      </w:r>
      <w:r w:rsidR="00E83560">
        <w:rPr>
          <w:rFonts w:cs="Arial"/>
          <w:szCs w:val="20"/>
        </w:rPr>
        <w:t xml:space="preserve"> počet žáků na základních školách</w:t>
      </w:r>
      <w:r>
        <w:rPr>
          <w:rFonts w:cs="Arial"/>
          <w:szCs w:val="20"/>
        </w:rPr>
        <w:t xml:space="preserve"> </w:t>
      </w:r>
      <w:r w:rsidR="00E83560">
        <w:rPr>
          <w:rFonts w:cs="Arial"/>
          <w:szCs w:val="20"/>
        </w:rPr>
        <w:t>ovlivňuje</w:t>
      </w:r>
      <w:r>
        <w:rPr>
          <w:rFonts w:cs="Arial"/>
          <w:szCs w:val="20"/>
        </w:rPr>
        <w:t> </w:t>
      </w:r>
      <w:r w:rsidR="00E83560">
        <w:rPr>
          <w:rFonts w:cs="Arial"/>
          <w:szCs w:val="20"/>
        </w:rPr>
        <w:t>též</w:t>
      </w:r>
      <w:r>
        <w:rPr>
          <w:rFonts w:cs="Arial"/>
          <w:szCs w:val="20"/>
        </w:rPr>
        <w:t xml:space="preserve"> stěhování v rámci republiky.   </w:t>
      </w:r>
    </w:p>
    <w:p w14:paraId="13C99673" w14:textId="5E5CC945" w:rsidR="00FF6B7E" w:rsidRDefault="00FF6B7E" w:rsidP="00FF6B7E">
      <w:pPr>
        <w:spacing w:after="120"/>
        <w:jc w:val="both"/>
        <w:rPr>
          <w:rFonts w:cs="Arial"/>
          <w:b/>
          <w:szCs w:val="20"/>
        </w:rPr>
      </w:pPr>
      <w:r w:rsidRPr="00A465AF">
        <w:rPr>
          <w:rFonts w:cs="Arial"/>
          <w:b/>
          <w:szCs w:val="20"/>
        </w:rPr>
        <w:t>Celkový počet žáků</w:t>
      </w:r>
      <w:r>
        <w:rPr>
          <w:rFonts w:cs="Arial"/>
          <w:szCs w:val="20"/>
        </w:rPr>
        <w:t xml:space="preserve"> na základn</w:t>
      </w:r>
      <w:r w:rsidR="00EA5C81">
        <w:rPr>
          <w:rFonts w:cs="Arial"/>
          <w:szCs w:val="20"/>
        </w:rPr>
        <w:t>ích školách ve školním roce 2021/22</w:t>
      </w:r>
      <w:r>
        <w:rPr>
          <w:rFonts w:cs="Arial"/>
          <w:szCs w:val="20"/>
        </w:rPr>
        <w:t xml:space="preserve"> dosáhl nejvyšší hodnoty z</w:t>
      </w:r>
      <w:r w:rsidR="00105E3B">
        <w:rPr>
          <w:rFonts w:cs="Arial"/>
          <w:szCs w:val="20"/>
        </w:rPr>
        <w:t>a posledních 16 let. V září 2021</w:t>
      </w:r>
      <w:r>
        <w:rPr>
          <w:rFonts w:cs="Arial"/>
          <w:szCs w:val="20"/>
        </w:rPr>
        <w:t xml:space="preserve"> jich </w:t>
      </w:r>
      <w:r w:rsidR="00901010">
        <w:rPr>
          <w:rFonts w:cs="Arial"/>
          <w:szCs w:val="20"/>
        </w:rPr>
        <w:t xml:space="preserve">bylo v základních škol zapsaných </w:t>
      </w:r>
      <w:r w:rsidR="00105E3B" w:rsidRPr="00105E3B">
        <w:rPr>
          <w:rFonts w:cs="Arial"/>
          <w:szCs w:val="20"/>
        </w:rPr>
        <w:t>964</w:t>
      </w:r>
      <w:r w:rsidR="00105E3B">
        <w:rPr>
          <w:rFonts w:cs="Arial"/>
          <w:szCs w:val="20"/>
        </w:rPr>
        <w:t> </w:t>
      </w:r>
      <w:r w:rsidR="00105E3B" w:rsidRPr="00105E3B">
        <w:rPr>
          <w:rFonts w:cs="Arial"/>
          <w:szCs w:val="20"/>
        </w:rPr>
        <w:t>571</w:t>
      </w:r>
      <w:r w:rsidR="00901010">
        <w:rPr>
          <w:rFonts w:cs="Arial"/>
          <w:szCs w:val="20"/>
        </w:rPr>
        <w:t xml:space="preserve">, což je o </w:t>
      </w:r>
      <w:r w:rsidR="00105E3B">
        <w:rPr>
          <w:rFonts w:cs="Arial"/>
          <w:szCs w:val="20"/>
        </w:rPr>
        <w:t xml:space="preserve">21,4 % více </w:t>
      </w:r>
      <w:r>
        <w:rPr>
          <w:rFonts w:cs="Arial"/>
          <w:szCs w:val="20"/>
        </w:rPr>
        <w:t xml:space="preserve">v porovnání se situací před deseti lety. </w:t>
      </w:r>
      <w:r>
        <w:t>V porovnání s minulým školn</w:t>
      </w:r>
      <w:r w:rsidR="00105E3B">
        <w:t>ím rokem se ve školním roce 2021/22</w:t>
      </w:r>
      <w:r>
        <w:t xml:space="preserve"> v zá</w:t>
      </w:r>
      <w:r w:rsidR="00901010">
        <w:t xml:space="preserve">kladních školách vzdělávalo o </w:t>
      </w:r>
      <w:r w:rsidR="00105E3B">
        <w:t xml:space="preserve">2 223 žáků více (tj. o </w:t>
      </w:r>
      <w:r w:rsidR="00901010">
        <w:t>0</w:t>
      </w:r>
      <w:r w:rsidR="00105E3B">
        <w:t>,2</w:t>
      </w:r>
      <w:r>
        <w:t xml:space="preserve"> %)</w:t>
      </w:r>
      <w:r>
        <w:rPr>
          <w:rFonts w:cs="Arial"/>
          <w:szCs w:val="20"/>
        </w:rPr>
        <w:t xml:space="preserve">.  </w:t>
      </w:r>
      <w:r w:rsidRPr="00EC7BE3">
        <w:rPr>
          <w:rFonts w:cs="Arial"/>
          <w:b/>
          <w:szCs w:val="20"/>
        </w:rPr>
        <w:t xml:space="preserve"> </w:t>
      </w:r>
    </w:p>
    <w:p w14:paraId="65B4E7A0" w14:textId="3CF02B8F" w:rsidR="006A0E34" w:rsidRDefault="0094591D" w:rsidP="008874BD">
      <w:pPr>
        <w:keepNext/>
        <w:spacing w:after="120"/>
        <w:jc w:val="both"/>
        <w:rPr>
          <w:rFonts w:cs="Arial"/>
          <w:b/>
          <w:szCs w:val="20"/>
        </w:rPr>
      </w:pPr>
      <w:r>
        <w:rPr>
          <w:rFonts w:cs="Arial"/>
          <w:b/>
          <w:szCs w:val="20"/>
        </w:rPr>
        <w:t>Graf 2.11</w:t>
      </w:r>
      <w:r w:rsidR="006A0E34">
        <w:rPr>
          <w:rFonts w:cs="Arial"/>
          <w:b/>
          <w:szCs w:val="20"/>
        </w:rPr>
        <w:t xml:space="preserve"> Základní školy – počet žáků celkem, na 1. stupni a na 2. stupni</w:t>
      </w:r>
      <w:r w:rsidR="00105E3B">
        <w:rPr>
          <w:rFonts w:cs="Arial"/>
          <w:b/>
          <w:szCs w:val="20"/>
        </w:rPr>
        <w:t xml:space="preserve"> (v tis. žáků)</w:t>
      </w:r>
    </w:p>
    <w:p w14:paraId="705028A7" w14:textId="179A9506" w:rsidR="006A0E34" w:rsidRPr="00EA5C81" w:rsidRDefault="00EA5C81" w:rsidP="00EA5C81">
      <w:pPr>
        <w:keepNext/>
        <w:spacing w:after="120"/>
        <w:jc w:val="both"/>
        <w:rPr>
          <w:rFonts w:cs="Arial"/>
          <w:b/>
          <w:szCs w:val="20"/>
        </w:rPr>
      </w:pPr>
      <w:r>
        <w:rPr>
          <w:noProof/>
        </w:rPr>
        <w:drawing>
          <wp:inline distT="0" distB="0" distL="0" distR="0" wp14:anchorId="2CEF477E" wp14:editId="1B9E5E3B">
            <wp:extent cx="6120130" cy="3933825"/>
            <wp:effectExtent l="0" t="0" r="13970" b="9525"/>
            <wp:docPr id="65" name="Graf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A253E6E" w14:textId="4C731315" w:rsidR="006A0E34" w:rsidRDefault="006A0E34" w:rsidP="00E3543A">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01A92CDF" w14:textId="2EFC1689" w:rsidR="00567C89" w:rsidRDefault="0094591D" w:rsidP="00567C89">
      <w:pPr>
        <w:spacing w:after="120"/>
        <w:jc w:val="both"/>
        <w:rPr>
          <w:rFonts w:cs="Arial"/>
          <w:szCs w:val="20"/>
        </w:rPr>
      </w:pPr>
      <w:r>
        <w:rPr>
          <w:rFonts w:cs="Arial"/>
          <w:szCs w:val="20"/>
        </w:rPr>
        <w:t>Z grafů 2.11 výše a 2.12</w:t>
      </w:r>
      <w:r w:rsidR="00D30F9D" w:rsidRPr="00D30F9D">
        <w:rPr>
          <w:rFonts w:cs="Arial"/>
          <w:szCs w:val="20"/>
        </w:rPr>
        <w:t xml:space="preserve"> </w:t>
      </w:r>
      <w:r>
        <w:rPr>
          <w:rFonts w:cs="Arial"/>
          <w:szCs w:val="20"/>
        </w:rPr>
        <w:t xml:space="preserve">níže </w:t>
      </w:r>
      <w:r w:rsidR="00D30F9D" w:rsidRPr="00D30F9D">
        <w:rPr>
          <w:rFonts w:cs="Arial"/>
          <w:szCs w:val="20"/>
        </w:rPr>
        <w:t>je však patrné, že v posledních čtyřech školních rocích se počet žáků základních škol zvyšuje díky přibývajícímu počtu žáků druhého stupně. Žáků prvního stupně naopak pozvolna ubývá.</w:t>
      </w:r>
      <w:r w:rsidR="00D30F9D">
        <w:rPr>
          <w:rFonts w:cs="Arial"/>
          <w:szCs w:val="20"/>
        </w:rPr>
        <w:t xml:space="preserve"> </w:t>
      </w:r>
      <w:r w:rsidR="00567C89">
        <w:rPr>
          <w:rFonts w:cs="Arial"/>
          <w:szCs w:val="20"/>
        </w:rPr>
        <w:t xml:space="preserve">Růst počtu žáků </w:t>
      </w:r>
      <w:r w:rsidR="004676AB">
        <w:rPr>
          <w:rFonts w:cs="Arial"/>
          <w:szCs w:val="20"/>
        </w:rPr>
        <w:t>druhého stupně od školního roku 2012/13</w:t>
      </w:r>
      <w:r w:rsidR="00567C89">
        <w:rPr>
          <w:rFonts w:cs="Arial"/>
          <w:szCs w:val="20"/>
        </w:rPr>
        <w:t xml:space="preserve"> </w:t>
      </w:r>
      <w:r w:rsidR="00E956AE">
        <w:rPr>
          <w:rFonts w:cs="Arial"/>
          <w:szCs w:val="20"/>
        </w:rPr>
        <w:t>je ovlivněn skutečností, že</w:t>
      </w:r>
      <w:r w:rsidR="00567C89">
        <w:rPr>
          <w:rFonts w:cs="Arial"/>
          <w:szCs w:val="20"/>
        </w:rPr>
        <w:t xml:space="preserve"> </w:t>
      </w:r>
      <w:r w:rsidR="004676AB">
        <w:rPr>
          <w:rFonts w:cs="Arial"/>
          <w:szCs w:val="20"/>
        </w:rPr>
        <w:t>na druhý stupeň nastupovaly</w:t>
      </w:r>
      <w:r w:rsidR="00567C89">
        <w:rPr>
          <w:rFonts w:cs="Arial"/>
          <w:szCs w:val="20"/>
        </w:rPr>
        <w:t xml:space="preserve"> silné populační ročníky dětí narozených mezi roky 2002 až 2008, kdy se porodnost zvyšovala</w:t>
      </w:r>
      <w:r w:rsidR="00BC47BA">
        <w:rPr>
          <w:rStyle w:val="Znakapoznpodarou"/>
          <w:rFonts w:cs="Arial"/>
          <w:szCs w:val="20"/>
        </w:rPr>
        <w:footnoteReference w:id="21"/>
      </w:r>
      <w:r w:rsidR="00567C89">
        <w:rPr>
          <w:rFonts w:cs="Arial"/>
          <w:szCs w:val="20"/>
        </w:rPr>
        <w:t xml:space="preserve">. Za posledních pět let vzrostl počet žáků na 2. stupni téměř o čtvrtinu (tj. </w:t>
      </w:r>
      <w:r w:rsidR="007A4559">
        <w:rPr>
          <w:rFonts w:cs="Arial"/>
          <w:szCs w:val="20"/>
        </w:rPr>
        <w:t>o </w:t>
      </w:r>
      <w:r w:rsidR="00D30F9D">
        <w:rPr>
          <w:rFonts w:cs="Arial"/>
          <w:szCs w:val="20"/>
        </w:rPr>
        <w:t>81 638</w:t>
      </w:r>
      <w:r w:rsidR="00567C89">
        <w:rPr>
          <w:rFonts w:cs="Arial"/>
          <w:szCs w:val="20"/>
        </w:rPr>
        <w:t xml:space="preserve"> žáků). Na 1. stupni </w:t>
      </w:r>
      <w:r w:rsidR="007A4559">
        <w:rPr>
          <w:rFonts w:cs="Arial"/>
          <w:szCs w:val="20"/>
        </w:rPr>
        <w:t xml:space="preserve">se </w:t>
      </w:r>
      <w:r w:rsidR="00D30F9D">
        <w:rPr>
          <w:rFonts w:cs="Arial"/>
          <w:szCs w:val="20"/>
        </w:rPr>
        <w:t>naopak počet žáků o 4,1</w:t>
      </w:r>
      <w:r w:rsidR="00567C89">
        <w:rPr>
          <w:rFonts w:cs="Arial"/>
          <w:szCs w:val="20"/>
        </w:rPr>
        <w:t xml:space="preserve"> % </w:t>
      </w:r>
      <w:r w:rsidR="007A4559">
        <w:rPr>
          <w:rFonts w:cs="Arial"/>
          <w:szCs w:val="20"/>
        </w:rPr>
        <w:t xml:space="preserve">snížil </w:t>
      </w:r>
      <w:r w:rsidR="00567C89">
        <w:rPr>
          <w:rFonts w:cs="Arial"/>
          <w:szCs w:val="20"/>
        </w:rPr>
        <w:t xml:space="preserve">(tj. </w:t>
      </w:r>
      <w:r w:rsidR="007A4559">
        <w:rPr>
          <w:rFonts w:cs="Arial"/>
          <w:szCs w:val="20"/>
        </w:rPr>
        <w:t>o </w:t>
      </w:r>
      <w:r w:rsidR="00D30F9D">
        <w:rPr>
          <w:rFonts w:cs="Arial"/>
          <w:szCs w:val="20"/>
        </w:rPr>
        <w:t>23 255</w:t>
      </w:r>
      <w:r w:rsidR="00567C89">
        <w:rPr>
          <w:rFonts w:cs="Arial"/>
          <w:szCs w:val="20"/>
        </w:rPr>
        <w:t xml:space="preserve"> žáků). </w:t>
      </w:r>
    </w:p>
    <w:p w14:paraId="522B06C8" w14:textId="146B5AA1" w:rsidR="00567C89" w:rsidRDefault="00567C89" w:rsidP="00214F7C">
      <w:pPr>
        <w:keepNext/>
        <w:spacing w:after="120"/>
        <w:jc w:val="both"/>
        <w:rPr>
          <w:rFonts w:cs="Arial"/>
          <w:b/>
          <w:szCs w:val="20"/>
        </w:rPr>
      </w:pPr>
      <w:r w:rsidRPr="002E5300">
        <w:rPr>
          <w:rFonts w:cs="Arial"/>
          <w:b/>
          <w:szCs w:val="20"/>
        </w:rPr>
        <w:lastRenderedPageBreak/>
        <w:t xml:space="preserve">Graf </w:t>
      </w:r>
      <w:r w:rsidR="0094591D">
        <w:rPr>
          <w:rFonts w:cs="Arial"/>
          <w:b/>
          <w:szCs w:val="20"/>
        </w:rPr>
        <w:t>2.12</w:t>
      </w:r>
      <w:r w:rsidRPr="002E5300">
        <w:rPr>
          <w:rFonts w:cs="Arial"/>
          <w:b/>
          <w:szCs w:val="20"/>
        </w:rPr>
        <w:t xml:space="preserve"> </w:t>
      </w:r>
      <w:r w:rsidR="00B270AD">
        <w:rPr>
          <w:rFonts w:cs="Arial"/>
          <w:b/>
          <w:szCs w:val="20"/>
        </w:rPr>
        <w:t>Vývoj</w:t>
      </w:r>
      <w:r w:rsidR="00BB5500">
        <w:rPr>
          <w:rFonts w:cs="Arial"/>
          <w:b/>
          <w:szCs w:val="20"/>
        </w:rPr>
        <w:t xml:space="preserve"> počtu</w:t>
      </w:r>
      <w:r>
        <w:rPr>
          <w:rFonts w:cs="Arial"/>
          <w:b/>
          <w:szCs w:val="20"/>
        </w:rPr>
        <w:t xml:space="preserve"> žáků na základních školách dle stupně</w:t>
      </w:r>
    </w:p>
    <w:p w14:paraId="57B00118" w14:textId="718D30D1" w:rsidR="00567C89" w:rsidRPr="002E5300" w:rsidRDefault="00D30F9D" w:rsidP="00C8143B">
      <w:pPr>
        <w:keepNext/>
        <w:spacing w:after="120"/>
        <w:jc w:val="both"/>
        <w:rPr>
          <w:rFonts w:cs="Arial"/>
          <w:b/>
          <w:szCs w:val="20"/>
        </w:rPr>
      </w:pPr>
      <w:r>
        <w:rPr>
          <w:noProof/>
        </w:rPr>
        <w:drawing>
          <wp:inline distT="0" distB="0" distL="0" distR="0" wp14:anchorId="33579E5D" wp14:editId="6E4D7C44">
            <wp:extent cx="3114675" cy="2857500"/>
            <wp:effectExtent l="0" t="0" r="9525" b="0"/>
            <wp:docPr id="70" name="Graf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Pr>
          <w:noProof/>
        </w:rPr>
        <w:drawing>
          <wp:inline distT="0" distB="0" distL="0" distR="0" wp14:anchorId="6D974626" wp14:editId="0281DE9B">
            <wp:extent cx="2978150" cy="2857500"/>
            <wp:effectExtent l="0" t="0" r="12700" b="0"/>
            <wp:docPr id="94" name="Graf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626E43E" w14:textId="68A71778" w:rsidR="00567C89" w:rsidRPr="00D23D3E" w:rsidRDefault="00567C89" w:rsidP="00567C89">
      <w:pPr>
        <w:spacing w:after="0"/>
        <w:jc w:val="right"/>
      </w:pPr>
      <w:r w:rsidRPr="00F83BF7">
        <w:rPr>
          <w:noProof/>
          <w:lang w:val="en-US" w:eastAsia="en-US"/>
        </w:rPr>
        <w:t xml:space="preserve"> </w:t>
      </w:r>
      <w:r w:rsidRPr="00F94849">
        <w:rPr>
          <w:rFonts w:cs="Arial"/>
          <w:sz w:val="18"/>
        </w:rPr>
        <w:t>Zdroj: ČSÚ</w:t>
      </w:r>
      <w:r w:rsidRPr="00F94849">
        <w:rPr>
          <w:rFonts w:cs="Arial"/>
          <w:noProof/>
        </w:rPr>
        <w:t xml:space="preserve"> </w:t>
      </w:r>
      <w:r w:rsidRPr="00307699">
        <w:rPr>
          <w:rFonts w:cs="Arial"/>
          <w:sz w:val="18"/>
        </w:rPr>
        <w:t>podle údajů MŠMT</w:t>
      </w:r>
    </w:p>
    <w:p w14:paraId="75AFE57E" w14:textId="77777777" w:rsidR="00567C89" w:rsidRDefault="00567C89" w:rsidP="00567C89">
      <w:pPr>
        <w:spacing w:after="120"/>
        <w:rPr>
          <w:rFonts w:cs="Arial"/>
          <w:sz w:val="18"/>
        </w:rPr>
      </w:pPr>
    </w:p>
    <w:p w14:paraId="3913CD01" w14:textId="1A55F5FC" w:rsidR="006A0E34" w:rsidRPr="00E3543A" w:rsidRDefault="006A0E34" w:rsidP="00E3543A">
      <w:pPr>
        <w:spacing w:after="120"/>
        <w:jc w:val="both"/>
        <w:rPr>
          <w:rFonts w:cs="Arial"/>
          <w:szCs w:val="20"/>
        </w:rPr>
      </w:pPr>
      <w:r w:rsidRPr="00E3543A">
        <w:rPr>
          <w:rFonts w:cs="Arial"/>
          <w:szCs w:val="20"/>
        </w:rPr>
        <w:t>Jak již bylo řečeno, vývoj počtu žáků základních škol souvisí s vývojem populace ČR ve věku povinné školní docházky, a to zejména na 1. stupni základních škol, který je povinný pro všechny obyvatele ČR</w:t>
      </w:r>
      <w:r w:rsidR="00F57735">
        <w:rPr>
          <w:rStyle w:val="Znakapoznpodarou"/>
          <w:rFonts w:cs="Arial"/>
          <w:szCs w:val="20"/>
        </w:rPr>
        <w:footnoteReference w:id="22"/>
      </w:r>
      <w:r w:rsidRPr="00E3543A">
        <w:rPr>
          <w:rFonts w:cs="Arial"/>
          <w:szCs w:val="20"/>
        </w:rPr>
        <w:t>. Na druhé</w:t>
      </w:r>
      <w:r w:rsidR="00F900F5">
        <w:rPr>
          <w:rFonts w:cs="Arial"/>
          <w:szCs w:val="20"/>
        </w:rPr>
        <w:t>m</w:t>
      </w:r>
      <w:r w:rsidRPr="00E3543A">
        <w:rPr>
          <w:rFonts w:cs="Arial"/>
          <w:szCs w:val="20"/>
        </w:rPr>
        <w:t xml:space="preserve"> stupni si již mohou děti volit mezi vzděláváním v základní škole, na víceletém gymnáziu a n</w:t>
      </w:r>
      <w:r w:rsidR="0094591D">
        <w:rPr>
          <w:rFonts w:cs="Arial"/>
          <w:szCs w:val="20"/>
        </w:rPr>
        <w:t>a osmileté konzervatoři. Graf 2.13</w:t>
      </w:r>
      <w:r w:rsidRPr="00E3543A">
        <w:rPr>
          <w:rFonts w:cs="Arial"/>
          <w:szCs w:val="20"/>
        </w:rPr>
        <w:t xml:space="preserve"> proto ukazuje </w:t>
      </w:r>
      <w:r w:rsidR="00ED1D90">
        <w:rPr>
          <w:rFonts w:cs="Arial"/>
          <w:szCs w:val="20"/>
        </w:rPr>
        <w:t>počet</w:t>
      </w:r>
      <w:r w:rsidRPr="00E3543A">
        <w:rPr>
          <w:rFonts w:cs="Arial"/>
          <w:szCs w:val="20"/>
        </w:rPr>
        <w:t xml:space="preserve"> </w:t>
      </w:r>
      <w:r w:rsidR="00F57735">
        <w:rPr>
          <w:rFonts w:cs="Arial"/>
          <w:szCs w:val="20"/>
        </w:rPr>
        <w:t>obyvatel ČR</w:t>
      </w:r>
      <w:r w:rsidR="00DA6250">
        <w:rPr>
          <w:rFonts w:cs="Arial"/>
          <w:szCs w:val="20"/>
        </w:rPr>
        <w:t xml:space="preserve"> ve věku 6-10</w:t>
      </w:r>
      <w:r w:rsidRPr="00E3543A">
        <w:rPr>
          <w:rFonts w:cs="Arial"/>
          <w:szCs w:val="20"/>
        </w:rPr>
        <w:t xml:space="preserve"> let </w:t>
      </w:r>
      <w:r w:rsidR="00ED1D90">
        <w:rPr>
          <w:rFonts w:cs="Arial"/>
          <w:szCs w:val="20"/>
        </w:rPr>
        <w:t xml:space="preserve">ke </w:t>
      </w:r>
      <w:r w:rsidR="00ED1D90" w:rsidRPr="00BA16F7">
        <w:rPr>
          <w:rFonts w:cs="Arial"/>
          <w:szCs w:val="20"/>
        </w:rPr>
        <w:t xml:space="preserve">dni </w:t>
      </w:r>
      <w:r w:rsidR="00B81138">
        <w:rPr>
          <w:rFonts w:cs="Arial"/>
          <w:szCs w:val="20"/>
        </w:rPr>
        <w:t>1. 7. v letech</w:t>
      </w:r>
      <w:r w:rsidR="00C8143B" w:rsidRPr="00BA16F7">
        <w:rPr>
          <w:rFonts w:cs="Arial"/>
          <w:szCs w:val="20"/>
        </w:rPr>
        <w:t xml:space="preserve"> 2011, 2016</w:t>
      </w:r>
      <w:r w:rsidR="00ED1D90" w:rsidRPr="00BA16F7">
        <w:rPr>
          <w:rFonts w:cs="Arial"/>
          <w:szCs w:val="20"/>
        </w:rPr>
        <w:t xml:space="preserve"> a 202</w:t>
      </w:r>
      <w:r w:rsidR="00C8143B" w:rsidRPr="00BA16F7">
        <w:rPr>
          <w:rFonts w:cs="Arial"/>
          <w:szCs w:val="20"/>
        </w:rPr>
        <w:t>1</w:t>
      </w:r>
      <w:r w:rsidR="00DA6250">
        <w:rPr>
          <w:rFonts w:cs="Arial"/>
          <w:szCs w:val="20"/>
        </w:rPr>
        <w:t xml:space="preserve">. Jde tedy o věkové rozmezí, ve kterém děti, pokud jim nebyl udělen odklad, navštěvovaly v nastávajícím školním roce 1. stupeň, </w:t>
      </w:r>
      <w:r w:rsidRPr="00BA16F7">
        <w:rPr>
          <w:rFonts w:cs="Arial"/>
          <w:szCs w:val="20"/>
        </w:rPr>
        <w:t>a</w:t>
      </w:r>
      <w:r w:rsidRPr="00E3543A">
        <w:rPr>
          <w:rFonts w:cs="Arial"/>
          <w:szCs w:val="20"/>
        </w:rPr>
        <w:t xml:space="preserve"> </w:t>
      </w:r>
      <w:r w:rsidR="00B81138">
        <w:rPr>
          <w:rFonts w:cs="Arial"/>
          <w:szCs w:val="20"/>
        </w:rPr>
        <w:t>pět</w:t>
      </w:r>
      <w:r w:rsidRPr="00E3543A">
        <w:rPr>
          <w:rFonts w:cs="Arial"/>
          <w:szCs w:val="20"/>
        </w:rPr>
        <w:t xml:space="preserve"> mladší</w:t>
      </w:r>
      <w:r w:rsidR="00E3543A">
        <w:rPr>
          <w:rFonts w:cs="Arial"/>
          <w:szCs w:val="20"/>
        </w:rPr>
        <w:t>ch věkových kohort</w:t>
      </w:r>
      <w:r w:rsidRPr="00E3543A">
        <w:rPr>
          <w:rFonts w:cs="Arial"/>
          <w:szCs w:val="20"/>
        </w:rPr>
        <w:t>, podle k</w:t>
      </w:r>
      <w:r w:rsidR="00B81138">
        <w:rPr>
          <w:rFonts w:cs="Arial"/>
          <w:szCs w:val="20"/>
        </w:rPr>
        <w:t>terých lze odhadnout, kolik žáků</w:t>
      </w:r>
      <w:r w:rsidRPr="00E3543A">
        <w:rPr>
          <w:rFonts w:cs="Arial"/>
          <w:szCs w:val="20"/>
        </w:rPr>
        <w:t xml:space="preserve"> se bude </w:t>
      </w:r>
      <w:r w:rsidR="00E3543A">
        <w:rPr>
          <w:rFonts w:cs="Arial"/>
          <w:szCs w:val="20"/>
        </w:rPr>
        <w:t>na 1. </w:t>
      </w:r>
      <w:r w:rsidRPr="00E3543A">
        <w:rPr>
          <w:rFonts w:cs="Arial"/>
          <w:szCs w:val="20"/>
        </w:rPr>
        <w:t xml:space="preserve">stupni základní </w:t>
      </w:r>
      <w:r w:rsidR="00E3543A">
        <w:rPr>
          <w:rFonts w:cs="Arial"/>
          <w:szCs w:val="20"/>
        </w:rPr>
        <w:t>školy vzdělávat za 1-5 let</w:t>
      </w:r>
      <w:r w:rsidRPr="00E3543A">
        <w:rPr>
          <w:rFonts w:cs="Arial"/>
          <w:szCs w:val="20"/>
        </w:rPr>
        <w:t xml:space="preserve">.  </w:t>
      </w:r>
    </w:p>
    <w:p w14:paraId="39B5B195" w14:textId="3E925C6D" w:rsidR="006A0E34" w:rsidRDefault="006A0E34" w:rsidP="00894AE9">
      <w:pPr>
        <w:keepNext/>
        <w:spacing w:after="120"/>
        <w:jc w:val="both"/>
        <w:rPr>
          <w:b/>
          <w:bCs/>
        </w:rPr>
      </w:pPr>
      <w:r w:rsidRPr="006A0E34">
        <w:rPr>
          <w:rFonts w:cs="Arial"/>
          <w:b/>
          <w:szCs w:val="20"/>
        </w:rPr>
        <w:t>G</w:t>
      </w:r>
      <w:r w:rsidR="0094591D">
        <w:rPr>
          <w:rFonts w:cs="Arial"/>
          <w:b/>
          <w:szCs w:val="20"/>
        </w:rPr>
        <w:t>raf 2.13</w:t>
      </w:r>
      <w:r w:rsidRPr="006A0E34">
        <w:rPr>
          <w:rFonts w:cs="Arial"/>
          <w:b/>
          <w:szCs w:val="20"/>
        </w:rPr>
        <w:t xml:space="preserve"> </w:t>
      </w:r>
      <w:r w:rsidR="00DE6E08" w:rsidRPr="00435E99">
        <w:rPr>
          <w:b/>
          <w:bCs/>
        </w:rPr>
        <w:t>P</w:t>
      </w:r>
      <w:r w:rsidR="00DE6E08">
        <w:rPr>
          <w:b/>
          <w:bCs/>
        </w:rPr>
        <w:t>opulační vývoj - p</w:t>
      </w:r>
      <w:r w:rsidR="00DE6E08" w:rsidRPr="00435E99">
        <w:rPr>
          <w:b/>
          <w:bCs/>
        </w:rPr>
        <w:t xml:space="preserve">očet obyvatel ČR </w:t>
      </w:r>
      <w:r w:rsidR="00DE6E08">
        <w:rPr>
          <w:b/>
          <w:bCs/>
        </w:rPr>
        <w:t>uvedeného věku k 1. červenci vybraných roků</w:t>
      </w:r>
    </w:p>
    <w:p w14:paraId="2BA11908" w14:textId="71ECE39E" w:rsidR="00EF1109" w:rsidRPr="007A123E" w:rsidRDefault="007A123E" w:rsidP="007A123E">
      <w:pPr>
        <w:keepNext/>
        <w:spacing w:after="120"/>
        <w:jc w:val="both"/>
        <w:rPr>
          <w:b/>
          <w:bCs/>
        </w:rPr>
      </w:pPr>
      <w:r>
        <w:rPr>
          <w:noProof/>
        </w:rPr>
        <w:drawing>
          <wp:inline distT="0" distB="0" distL="0" distR="0" wp14:anchorId="2BB59630" wp14:editId="1C22CBF6">
            <wp:extent cx="6048375" cy="2371725"/>
            <wp:effectExtent l="0" t="0" r="9525" b="9525"/>
            <wp:docPr id="76" name="Graf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2CD9ABF" w14:textId="35006DBB" w:rsidR="006A0E34" w:rsidRDefault="006A0E34" w:rsidP="00E3543A">
      <w:pPr>
        <w:spacing w:after="120"/>
        <w:jc w:val="right"/>
        <w:rPr>
          <w:rFonts w:cs="Arial"/>
          <w:sz w:val="18"/>
        </w:rPr>
      </w:pPr>
      <w:r w:rsidRPr="00F94849">
        <w:rPr>
          <w:rFonts w:cs="Arial"/>
          <w:sz w:val="18"/>
        </w:rPr>
        <w:t>Zdroj: ČSÚ</w:t>
      </w:r>
    </w:p>
    <w:p w14:paraId="55082DF5" w14:textId="77777777" w:rsidR="00805BAD" w:rsidRDefault="00DA6250" w:rsidP="00D01EE5">
      <w:pPr>
        <w:spacing w:after="120"/>
        <w:jc w:val="both"/>
        <w:rPr>
          <w:rFonts w:cs="Arial"/>
          <w:szCs w:val="20"/>
        </w:rPr>
      </w:pPr>
      <w:r>
        <w:rPr>
          <w:rFonts w:cs="Arial"/>
          <w:szCs w:val="20"/>
        </w:rPr>
        <w:t>Jak je patrné, k 1.</w:t>
      </w:r>
      <w:r w:rsidR="00F97AA1">
        <w:rPr>
          <w:rFonts w:cs="Arial"/>
          <w:szCs w:val="20"/>
        </w:rPr>
        <w:t xml:space="preserve"> červenci 2011 (tedy krátce před zahájením školního roku 2011/12)</w:t>
      </w:r>
      <w:r>
        <w:rPr>
          <w:rFonts w:cs="Arial"/>
          <w:szCs w:val="20"/>
        </w:rPr>
        <w:t xml:space="preserve"> bylo </w:t>
      </w:r>
      <w:r w:rsidR="00C41EE8">
        <w:rPr>
          <w:rFonts w:cs="Arial"/>
          <w:szCs w:val="20"/>
        </w:rPr>
        <w:t xml:space="preserve">žáků ve věku 6-10 let méně než v mladších věkových kohortách. Následující školní roky </w:t>
      </w:r>
      <w:r w:rsidR="00F97AA1">
        <w:rPr>
          <w:rFonts w:cs="Arial"/>
          <w:szCs w:val="20"/>
        </w:rPr>
        <w:t xml:space="preserve">(2012/13 až 2016/17) </w:t>
      </w:r>
      <w:r w:rsidR="00C41EE8">
        <w:rPr>
          <w:rFonts w:cs="Arial"/>
          <w:szCs w:val="20"/>
        </w:rPr>
        <w:t xml:space="preserve">proto počet žáků </w:t>
      </w:r>
      <w:r w:rsidR="00C41EE8">
        <w:rPr>
          <w:rFonts w:cs="Arial"/>
          <w:szCs w:val="20"/>
        </w:rPr>
        <w:lastRenderedPageBreak/>
        <w:t>1. stupně stoupal. V roce 2016 bylo dětí ve věku 6-10 let méně než těch ve věku 5-9 let, ale více než těch v ještě mladších věkových skupinách. Ve školním roce 2017/18 proto navštěvovalo 1. stupeň o něco více dětí než ve školním roce 2016/17, poté již začal počet žáků klesat.</w:t>
      </w:r>
      <w:r w:rsidR="00F97AA1">
        <w:rPr>
          <w:rFonts w:cs="Arial"/>
          <w:szCs w:val="20"/>
        </w:rPr>
        <w:t xml:space="preserve"> K 1. červenci 2021 byl počet dětí ve věku 6 až 10 let srovnatelný s počtem dětí ve věku 5-9 let. Ve školním roce 2022/23 proto neočekáváme v počtu žáků 1. stupně s trvalým bydlištěm v ČR velké změny oproti školnímu roku 2021/22. Další tři školní roky by však dle mladších věkových skupin obyvatel ČR mělo docházet k mírnému růstu počtu žáků. Nutno však dodat, že záleží </w:t>
      </w:r>
      <w:r w:rsidR="00270D37">
        <w:rPr>
          <w:rFonts w:cs="Arial"/>
          <w:szCs w:val="20"/>
        </w:rPr>
        <w:t xml:space="preserve">také na počtu udělených odkladů, počtu žáků opakujících </w:t>
      </w:r>
      <w:r w:rsidR="00F97AA1">
        <w:rPr>
          <w:rFonts w:cs="Arial"/>
          <w:szCs w:val="20"/>
        </w:rPr>
        <w:t>ročník, ale také míře migrace, aktuálně zejména na počtu žáků z Ukrajiny v českých školách.</w:t>
      </w:r>
      <w:r w:rsidR="00805BAD">
        <w:rPr>
          <w:rFonts w:cs="Arial"/>
          <w:szCs w:val="20"/>
        </w:rPr>
        <w:t xml:space="preserve"> </w:t>
      </w:r>
    </w:p>
    <w:p w14:paraId="2A6B9302" w14:textId="2F3D559E" w:rsidR="0005583F" w:rsidRDefault="0094591D" w:rsidP="00D01EE5">
      <w:pPr>
        <w:spacing w:after="120"/>
        <w:jc w:val="both"/>
        <w:rPr>
          <w:rFonts w:cs="Arial"/>
          <w:szCs w:val="20"/>
        </w:rPr>
      </w:pPr>
      <w:r>
        <w:rPr>
          <w:rFonts w:cs="Arial"/>
          <w:szCs w:val="20"/>
        </w:rPr>
        <w:t>G</w:t>
      </w:r>
      <w:r w:rsidR="00805BAD">
        <w:rPr>
          <w:rFonts w:cs="Arial"/>
          <w:szCs w:val="20"/>
        </w:rPr>
        <w:t xml:space="preserve">raf </w:t>
      </w:r>
      <w:r>
        <w:rPr>
          <w:rFonts w:cs="Arial"/>
          <w:szCs w:val="20"/>
        </w:rPr>
        <w:t>2.14 níže</w:t>
      </w:r>
      <w:r w:rsidR="00805BAD">
        <w:rPr>
          <w:rFonts w:cs="Arial"/>
          <w:szCs w:val="20"/>
        </w:rPr>
        <w:t xml:space="preserve"> ukazuje tentýž vývoj </w:t>
      </w:r>
      <w:r w:rsidR="0005583F">
        <w:rPr>
          <w:rFonts w:cs="Arial"/>
          <w:szCs w:val="20"/>
        </w:rPr>
        <w:t>počtu dětí, a sice těch</w:t>
      </w:r>
      <w:r w:rsidR="00805BAD">
        <w:rPr>
          <w:rFonts w:cs="Arial"/>
          <w:szCs w:val="20"/>
        </w:rPr>
        <w:t xml:space="preserve"> ve věku obvyklé docházky do 2. stupně základních škol (</w:t>
      </w:r>
      <w:r w:rsidR="00674ADC">
        <w:rPr>
          <w:rFonts w:cs="Arial"/>
          <w:szCs w:val="20"/>
        </w:rPr>
        <w:t xml:space="preserve">tj. kteří </w:t>
      </w:r>
      <w:r w:rsidR="00805BAD">
        <w:rPr>
          <w:rFonts w:cs="Arial"/>
          <w:szCs w:val="20"/>
        </w:rPr>
        <w:t xml:space="preserve">před začátkem školního roku dosáhli 11 až 14 let). </w:t>
      </w:r>
      <w:r w:rsidR="0005583F">
        <w:rPr>
          <w:rFonts w:cs="Arial"/>
          <w:szCs w:val="20"/>
        </w:rPr>
        <w:t xml:space="preserve">Jak je patrné, </w:t>
      </w:r>
      <w:r w:rsidR="00805BAD">
        <w:rPr>
          <w:rFonts w:cs="Arial"/>
          <w:szCs w:val="20"/>
        </w:rPr>
        <w:t>žáků</w:t>
      </w:r>
      <w:r w:rsidR="0005583F">
        <w:rPr>
          <w:rFonts w:cs="Arial"/>
          <w:szCs w:val="20"/>
        </w:rPr>
        <w:t xml:space="preserve"> této věkové kategorie</w:t>
      </w:r>
      <w:r w:rsidR="00805BAD">
        <w:rPr>
          <w:rFonts w:cs="Arial"/>
          <w:szCs w:val="20"/>
        </w:rPr>
        <w:t xml:space="preserve"> začalo výrazněji přibývat až v</w:t>
      </w:r>
      <w:r w:rsidR="0005583F">
        <w:rPr>
          <w:rFonts w:cs="Arial"/>
          <w:szCs w:val="20"/>
        </w:rPr>
        <w:t> posledních pěti letech, a sice v návaznosti na růst 6-10letých dětí v prvních pěti letech poslední dekády</w:t>
      </w:r>
      <w:r w:rsidR="00AD68AD">
        <w:rPr>
          <w:rFonts w:cs="Arial"/>
          <w:szCs w:val="20"/>
        </w:rPr>
        <w:t xml:space="preserve"> (viz </w:t>
      </w:r>
      <w:r w:rsidR="00AD68AD" w:rsidRPr="00AD68AD">
        <w:rPr>
          <w:rFonts w:cs="Arial"/>
          <w:szCs w:val="20"/>
        </w:rPr>
        <w:t>graf 2.13</w:t>
      </w:r>
      <w:r w:rsidR="00AD68AD">
        <w:rPr>
          <w:rFonts w:cs="Arial"/>
          <w:szCs w:val="20"/>
        </w:rPr>
        <w:t>, predikce u roku 2011). Podle</w:t>
      </w:r>
      <w:r w:rsidR="0005583F">
        <w:rPr>
          <w:rFonts w:cs="Arial"/>
          <w:szCs w:val="20"/>
        </w:rPr>
        <w:t> věkového rozložení </w:t>
      </w:r>
      <w:r w:rsidR="00674ADC">
        <w:rPr>
          <w:rFonts w:cs="Arial"/>
          <w:szCs w:val="20"/>
        </w:rPr>
        <w:t xml:space="preserve">v </w:t>
      </w:r>
      <w:r w:rsidR="0005583F">
        <w:rPr>
          <w:rFonts w:cs="Arial"/>
          <w:szCs w:val="20"/>
        </w:rPr>
        <w:t xml:space="preserve">roce 2021 </w:t>
      </w:r>
      <w:r w:rsidR="00AD68AD">
        <w:rPr>
          <w:rFonts w:cs="Arial"/>
          <w:szCs w:val="20"/>
        </w:rPr>
        <w:t>v grafu 2.14 lze očekávat, že</w:t>
      </w:r>
      <w:r w:rsidR="00E14A62">
        <w:rPr>
          <w:rFonts w:cs="Arial"/>
          <w:szCs w:val="20"/>
        </w:rPr>
        <w:t xml:space="preserve"> k 1. 7. 2022 bude</w:t>
      </w:r>
      <w:r w:rsidR="0005583F">
        <w:rPr>
          <w:rFonts w:cs="Arial"/>
          <w:szCs w:val="20"/>
        </w:rPr>
        <w:t xml:space="preserve"> </w:t>
      </w:r>
      <w:r w:rsidR="00674ADC">
        <w:rPr>
          <w:rFonts w:cs="Arial"/>
          <w:szCs w:val="20"/>
        </w:rPr>
        <w:t>dětí ve</w:t>
      </w:r>
      <w:r w:rsidR="0005583F">
        <w:rPr>
          <w:rFonts w:cs="Arial"/>
          <w:szCs w:val="20"/>
        </w:rPr>
        <w:t xml:space="preserve"> věk</w:t>
      </w:r>
      <w:r w:rsidR="00AD68AD">
        <w:rPr>
          <w:rFonts w:cs="Arial"/>
          <w:szCs w:val="20"/>
        </w:rPr>
        <w:t>u 11 až 14 let o něco více, avšak následující tři roky bude</w:t>
      </w:r>
      <w:r w:rsidR="0005583F">
        <w:rPr>
          <w:rFonts w:cs="Arial"/>
          <w:szCs w:val="20"/>
        </w:rPr>
        <w:t xml:space="preserve"> jejich počet klesat. Z</w:t>
      </w:r>
      <w:r w:rsidR="00AD68AD">
        <w:rPr>
          <w:rFonts w:cs="Arial"/>
          <w:szCs w:val="20"/>
        </w:rPr>
        <w:t> vývoje v grafu 2.13</w:t>
      </w:r>
      <w:r w:rsidR="0005583F">
        <w:rPr>
          <w:rFonts w:cs="Arial"/>
          <w:szCs w:val="20"/>
        </w:rPr>
        <w:t xml:space="preserve"> lze vytušit, že tento pokles </w:t>
      </w:r>
      <w:r w:rsidR="00E14A62">
        <w:rPr>
          <w:rFonts w:cs="Arial"/>
          <w:szCs w:val="20"/>
        </w:rPr>
        <w:t xml:space="preserve">se poté zmírní a </w:t>
      </w:r>
      <w:r w:rsidR="00706789">
        <w:rPr>
          <w:rFonts w:cs="Arial"/>
          <w:szCs w:val="20"/>
        </w:rPr>
        <w:t>za další</w:t>
      </w:r>
      <w:r w:rsidR="00AD68AD">
        <w:rPr>
          <w:rFonts w:cs="Arial"/>
          <w:szCs w:val="20"/>
        </w:rPr>
        <w:t xml:space="preserve"> </w:t>
      </w:r>
      <w:r w:rsidR="00706789">
        <w:rPr>
          <w:rFonts w:cs="Arial"/>
          <w:szCs w:val="20"/>
        </w:rPr>
        <w:t>tři roky začne zase mírně růst</w:t>
      </w:r>
      <w:r w:rsidR="0005583F">
        <w:rPr>
          <w:rFonts w:cs="Arial"/>
          <w:szCs w:val="20"/>
        </w:rPr>
        <w:t>.</w:t>
      </w:r>
      <w:r w:rsidR="00706789">
        <w:rPr>
          <w:rFonts w:cs="Arial"/>
          <w:szCs w:val="20"/>
        </w:rPr>
        <w:t xml:space="preserve"> </w:t>
      </w:r>
      <w:r w:rsidR="0005583F">
        <w:rPr>
          <w:rFonts w:cs="Arial"/>
          <w:szCs w:val="20"/>
        </w:rPr>
        <w:t xml:space="preserve">Zde je však třeba </w:t>
      </w:r>
      <w:r w:rsidR="00706789">
        <w:rPr>
          <w:rFonts w:cs="Arial"/>
          <w:szCs w:val="20"/>
        </w:rPr>
        <w:t xml:space="preserve">opět </w:t>
      </w:r>
      <w:r w:rsidR="0005583F">
        <w:rPr>
          <w:rFonts w:cs="Arial"/>
          <w:szCs w:val="20"/>
        </w:rPr>
        <w:t xml:space="preserve">připomenout, že </w:t>
      </w:r>
      <w:r w:rsidR="00706789">
        <w:rPr>
          <w:rFonts w:cs="Arial"/>
          <w:szCs w:val="20"/>
        </w:rPr>
        <w:t>predikce dle populačního vývoje obyvatel ČR nezohledňuje další faktory ovlivňující počet žáků ve školách, např. míru odkladů</w:t>
      </w:r>
      <w:r w:rsidR="0005583F">
        <w:rPr>
          <w:rFonts w:cs="Arial"/>
          <w:szCs w:val="20"/>
        </w:rPr>
        <w:t xml:space="preserve">, </w:t>
      </w:r>
      <w:r w:rsidR="00706789">
        <w:rPr>
          <w:rFonts w:cs="Arial"/>
          <w:szCs w:val="20"/>
        </w:rPr>
        <w:t>počty žáků opakujících ročník a míru</w:t>
      </w:r>
      <w:r w:rsidR="0005583F">
        <w:rPr>
          <w:rFonts w:cs="Arial"/>
          <w:szCs w:val="20"/>
        </w:rPr>
        <w:t xml:space="preserve"> migrace</w:t>
      </w:r>
      <w:r w:rsidR="00706789">
        <w:rPr>
          <w:rFonts w:cs="Arial"/>
          <w:szCs w:val="20"/>
        </w:rPr>
        <w:t xml:space="preserve"> (aktuálně zejména z Ukrajiny).</w:t>
      </w:r>
      <w:r w:rsidR="0005583F">
        <w:rPr>
          <w:rFonts w:cs="Arial"/>
          <w:szCs w:val="20"/>
        </w:rPr>
        <w:t xml:space="preserve"> </w:t>
      </w:r>
      <w:r w:rsidR="00706789">
        <w:rPr>
          <w:rFonts w:cs="Arial"/>
          <w:szCs w:val="20"/>
        </w:rPr>
        <w:t>U</w:t>
      </w:r>
      <w:r w:rsidR="00674ADC">
        <w:rPr>
          <w:rFonts w:cs="Arial"/>
          <w:szCs w:val="20"/>
        </w:rPr>
        <w:t xml:space="preserve"> </w:t>
      </w:r>
      <w:r w:rsidR="0005583F">
        <w:rPr>
          <w:rFonts w:cs="Arial"/>
          <w:szCs w:val="20"/>
        </w:rPr>
        <w:t xml:space="preserve">vývoje </w:t>
      </w:r>
      <w:r w:rsidR="00674ADC">
        <w:rPr>
          <w:rFonts w:cs="Arial"/>
          <w:szCs w:val="20"/>
        </w:rPr>
        <w:t xml:space="preserve">počtu žáků na 2. stupni základních škol </w:t>
      </w:r>
      <w:r w:rsidR="00706789">
        <w:rPr>
          <w:rFonts w:cs="Arial"/>
          <w:szCs w:val="20"/>
        </w:rPr>
        <w:t xml:space="preserve">hraje </w:t>
      </w:r>
      <w:r w:rsidR="00674ADC">
        <w:rPr>
          <w:rFonts w:cs="Arial"/>
          <w:szCs w:val="20"/>
        </w:rPr>
        <w:t xml:space="preserve">svou </w:t>
      </w:r>
      <w:r w:rsidR="0005583F">
        <w:rPr>
          <w:rFonts w:cs="Arial"/>
          <w:szCs w:val="20"/>
        </w:rPr>
        <w:t>roli také podíl žáků, kteří v průběhu povinné školní docházky odejdou do víceletých gymnázií</w:t>
      </w:r>
      <w:r w:rsidR="00706789">
        <w:rPr>
          <w:rFonts w:cs="Arial"/>
          <w:szCs w:val="20"/>
        </w:rPr>
        <w:t>, případně do osmileté konzervatoře</w:t>
      </w:r>
      <w:r w:rsidR="0005583F">
        <w:rPr>
          <w:rFonts w:cs="Arial"/>
          <w:szCs w:val="20"/>
        </w:rPr>
        <w:t>. To je zase závislé na kapacitě gymnázií, která dosti pružně nere</w:t>
      </w:r>
      <w:r w:rsidR="00674ADC">
        <w:rPr>
          <w:rFonts w:cs="Arial"/>
          <w:szCs w:val="20"/>
        </w:rPr>
        <w:t>agují</w:t>
      </w:r>
      <w:r w:rsidR="0005583F">
        <w:rPr>
          <w:rFonts w:cs="Arial"/>
          <w:szCs w:val="20"/>
        </w:rPr>
        <w:t xml:space="preserve"> na vývoj počtu žáků</w:t>
      </w:r>
      <w:r w:rsidR="00706789">
        <w:rPr>
          <w:rFonts w:cs="Arial"/>
          <w:szCs w:val="20"/>
        </w:rPr>
        <w:t xml:space="preserve"> (viz dále v této publikaci)</w:t>
      </w:r>
      <w:r w:rsidR="0005583F">
        <w:rPr>
          <w:rFonts w:cs="Arial"/>
          <w:szCs w:val="20"/>
        </w:rPr>
        <w:t xml:space="preserve">. </w:t>
      </w:r>
    </w:p>
    <w:p w14:paraId="633F9175" w14:textId="768D7906" w:rsidR="00674ADC" w:rsidRPr="00674ADC" w:rsidRDefault="00674ADC" w:rsidP="00674ADC">
      <w:pPr>
        <w:keepNext/>
        <w:spacing w:after="120"/>
        <w:jc w:val="both"/>
        <w:rPr>
          <w:b/>
          <w:bCs/>
        </w:rPr>
      </w:pPr>
      <w:r w:rsidRPr="006A0E34">
        <w:rPr>
          <w:rFonts w:cs="Arial"/>
          <w:b/>
          <w:szCs w:val="20"/>
        </w:rPr>
        <w:t>G</w:t>
      </w:r>
      <w:r w:rsidR="0094591D">
        <w:rPr>
          <w:rFonts w:cs="Arial"/>
          <w:b/>
          <w:szCs w:val="20"/>
        </w:rPr>
        <w:t>raf 2.14</w:t>
      </w:r>
      <w:r w:rsidRPr="006A0E34">
        <w:rPr>
          <w:rFonts w:cs="Arial"/>
          <w:b/>
          <w:szCs w:val="20"/>
        </w:rPr>
        <w:t xml:space="preserve"> </w:t>
      </w:r>
      <w:r w:rsidRPr="00435E99">
        <w:rPr>
          <w:b/>
          <w:bCs/>
        </w:rPr>
        <w:t>P</w:t>
      </w:r>
      <w:r>
        <w:rPr>
          <w:b/>
          <w:bCs/>
        </w:rPr>
        <w:t>opulační vývoj - p</w:t>
      </w:r>
      <w:r w:rsidRPr="00435E99">
        <w:rPr>
          <w:b/>
          <w:bCs/>
        </w:rPr>
        <w:t xml:space="preserve">očet obyvatel ČR </w:t>
      </w:r>
      <w:r>
        <w:rPr>
          <w:b/>
          <w:bCs/>
        </w:rPr>
        <w:t>uvedeného věku k 1. červenci vybraných roků</w:t>
      </w:r>
    </w:p>
    <w:p w14:paraId="19EE5DDD" w14:textId="3440EE3D" w:rsidR="00664C80" w:rsidRDefault="00664C80" w:rsidP="00D01EE5">
      <w:pPr>
        <w:spacing w:after="120"/>
        <w:jc w:val="both"/>
        <w:rPr>
          <w:rFonts w:cs="Arial"/>
          <w:szCs w:val="20"/>
        </w:rPr>
      </w:pPr>
      <w:r>
        <w:rPr>
          <w:noProof/>
        </w:rPr>
        <w:drawing>
          <wp:inline distT="0" distB="0" distL="0" distR="0" wp14:anchorId="3A007CB1" wp14:editId="181A7539">
            <wp:extent cx="6120130" cy="2228850"/>
            <wp:effectExtent l="0" t="0" r="13970" b="0"/>
            <wp:docPr id="31" name="Graf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F828DA2" w14:textId="1CECCD97" w:rsidR="00BB073E" w:rsidRPr="00674ADC" w:rsidRDefault="00674ADC" w:rsidP="00674ADC">
      <w:pPr>
        <w:spacing w:after="120"/>
        <w:jc w:val="right"/>
        <w:rPr>
          <w:rFonts w:cs="Arial"/>
          <w:sz w:val="18"/>
        </w:rPr>
      </w:pPr>
      <w:r w:rsidRPr="00F94849">
        <w:rPr>
          <w:rFonts w:cs="Arial"/>
          <w:sz w:val="18"/>
        </w:rPr>
        <w:t>Zdroj: ČSÚ</w:t>
      </w:r>
    </w:p>
    <w:p w14:paraId="4C9187EA" w14:textId="77777777" w:rsidR="007F773C" w:rsidRDefault="005F21D1" w:rsidP="00FF6B7E">
      <w:pPr>
        <w:spacing w:after="120"/>
        <w:jc w:val="both"/>
        <w:rPr>
          <w:rFonts w:cs="Arial"/>
          <w:szCs w:val="20"/>
        </w:rPr>
      </w:pPr>
      <w:r>
        <w:rPr>
          <w:rFonts w:cs="Arial"/>
          <w:szCs w:val="20"/>
        </w:rPr>
        <w:t>Pokud se jedná o zřizovatele školy,</w:t>
      </w:r>
      <w:r w:rsidR="00FF6B7E" w:rsidRPr="00842F19">
        <w:rPr>
          <w:rFonts w:cs="Arial"/>
          <w:szCs w:val="20"/>
        </w:rPr>
        <w:t xml:space="preserve"> velká většina žáků</w:t>
      </w:r>
      <w:r w:rsidR="00FF6B7E">
        <w:rPr>
          <w:rFonts w:cs="Arial"/>
          <w:szCs w:val="20"/>
        </w:rPr>
        <w:t xml:space="preserve"> základní</w:t>
      </w:r>
      <w:r>
        <w:rPr>
          <w:rFonts w:cs="Arial"/>
          <w:szCs w:val="20"/>
        </w:rPr>
        <w:t xml:space="preserve">ch škol navštěvuje </w:t>
      </w:r>
      <w:r w:rsidRPr="005F21D1">
        <w:rPr>
          <w:rFonts w:cs="Arial"/>
          <w:b/>
          <w:szCs w:val="20"/>
        </w:rPr>
        <w:t>školy veřejného</w:t>
      </w:r>
      <w:r w:rsidR="00FF6B7E">
        <w:rPr>
          <w:rFonts w:cs="Arial"/>
          <w:szCs w:val="20"/>
        </w:rPr>
        <w:t xml:space="preserve"> </w:t>
      </w:r>
      <w:r>
        <w:rPr>
          <w:rFonts w:cs="Arial"/>
          <w:b/>
          <w:szCs w:val="20"/>
        </w:rPr>
        <w:t>zřizovatele</w:t>
      </w:r>
      <w:r w:rsidR="00FF6B7E">
        <w:rPr>
          <w:rFonts w:cs="Arial"/>
          <w:szCs w:val="20"/>
        </w:rPr>
        <w:t xml:space="preserve">, </w:t>
      </w:r>
      <w:r>
        <w:rPr>
          <w:rFonts w:cs="Arial"/>
          <w:szCs w:val="20"/>
        </w:rPr>
        <w:t xml:space="preserve">přičemž </w:t>
      </w:r>
      <w:r w:rsidR="00FF6B7E">
        <w:rPr>
          <w:rFonts w:cs="Arial"/>
          <w:szCs w:val="20"/>
        </w:rPr>
        <w:t xml:space="preserve">nejčastěji </w:t>
      </w:r>
      <w:r>
        <w:rPr>
          <w:rFonts w:cs="Arial"/>
          <w:szCs w:val="20"/>
        </w:rPr>
        <w:t xml:space="preserve">je jím </w:t>
      </w:r>
      <w:r w:rsidR="00FF6B7E">
        <w:rPr>
          <w:rFonts w:cs="Arial"/>
          <w:szCs w:val="20"/>
        </w:rPr>
        <w:t>příslušná obec nebo mě</w:t>
      </w:r>
      <w:r w:rsidR="00306AFC">
        <w:rPr>
          <w:rFonts w:cs="Arial"/>
          <w:szCs w:val="20"/>
        </w:rPr>
        <w:t>stská část. Ve školním r</w:t>
      </w:r>
      <w:r w:rsidR="007F773C">
        <w:rPr>
          <w:rFonts w:cs="Arial"/>
          <w:szCs w:val="20"/>
        </w:rPr>
        <w:t xml:space="preserve">oce 2021/22 se ve školách veřejného zřizovatele </w:t>
      </w:r>
      <w:r w:rsidR="00D15BED">
        <w:rPr>
          <w:rFonts w:cs="Arial"/>
          <w:szCs w:val="20"/>
        </w:rPr>
        <w:t xml:space="preserve">vzdělávalo </w:t>
      </w:r>
      <w:r w:rsidR="007F773C" w:rsidRPr="007F773C">
        <w:rPr>
          <w:rFonts w:cs="Arial"/>
          <w:szCs w:val="20"/>
        </w:rPr>
        <w:t>96,9</w:t>
      </w:r>
      <w:r w:rsidR="00FF6B7E" w:rsidRPr="007F773C">
        <w:rPr>
          <w:rFonts w:cs="Arial"/>
          <w:szCs w:val="20"/>
        </w:rPr>
        <w:t> %</w:t>
      </w:r>
      <w:r w:rsidR="00FF6B7E">
        <w:rPr>
          <w:rFonts w:cs="Arial"/>
          <w:szCs w:val="20"/>
        </w:rPr>
        <w:t xml:space="preserve"> ze všech žáků základních </w:t>
      </w:r>
      <w:r w:rsidR="00842F19">
        <w:rPr>
          <w:rFonts w:cs="Arial"/>
          <w:szCs w:val="20"/>
        </w:rPr>
        <w:t>škol. V absolutním vyjádření se jedná</w:t>
      </w:r>
      <w:r w:rsidR="00FF6B7E">
        <w:rPr>
          <w:rFonts w:cs="Arial"/>
          <w:szCs w:val="20"/>
        </w:rPr>
        <w:t xml:space="preserve"> o </w:t>
      </w:r>
      <w:r w:rsidR="007F773C" w:rsidRPr="007F773C">
        <w:rPr>
          <w:rFonts w:cs="Arial"/>
          <w:szCs w:val="20"/>
        </w:rPr>
        <w:t>934</w:t>
      </w:r>
      <w:r w:rsidR="007F773C">
        <w:rPr>
          <w:rFonts w:cs="Arial"/>
          <w:szCs w:val="20"/>
        </w:rPr>
        <w:t> </w:t>
      </w:r>
      <w:r w:rsidR="007F773C" w:rsidRPr="007F773C">
        <w:rPr>
          <w:rFonts w:cs="Arial"/>
          <w:szCs w:val="20"/>
        </w:rPr>
        <w:t>852</w:t>
      </w:r>
      <w:r w:rsidR="007F773C">
        <w:rPr>
          <w:rFonts w:cs="Arial"/>
          <w:szCs w:val="20"/>
        </w:rPr>
        <w:t xml:space="preserve"> </w:t>
      </w:r>
      <w:r w:rsidR="00FE3EA2">
        <w:rPr>
          <w:rFonts w:cs="Arial"/>
          <w:szCs w:val="20"/>
        </w:rPr>
        <w:t>žáků. Oproti tomu d</w:t>
      </w:r>
      <w:r w:rsidR="00FF6B7E">
        <w:rPr>
          <w:rFonts w:cs="Arial"/>
          <w:szCs w:val="20"/>
        </w:rPr>
        <w:t xml:space="preserve">o </w:t>
      </w:r>
      <w:r w:rsidR="00FF6B7E" w:rsidRPr="003347EF">
        <w:rPr>
          <w:rFonts w:cs="Arial"/>
          <w:b/>
          <w:szCs w:val="20"/>
        </w:rPr>
        <w:t>soukromých</w:t>
      </w:r>
      <w:r w:rsidR="00FF6B7E">
        <w:rPr>
          <w:rFonts w:cs="Arial"/>
          <w:szCs w:val="20"/>
        </w:rPr>
        <w:t xml:space="preserve"> základních škol </w:t>
      </w:r>
      <w:r w:rsidR="00306AFC">
        <w:rPr>
          <w:rFonts w:cs="Arial"/>
          <w:szCs w:val="20"/>
        </w:rPr>
        <w:t xml:space="preserve">ve stejném roce chodilo „jen“ </w:t>
      </w:r>
      <w:r w:rsidR="007F773C">
        <w:rPr>
          <w:rFonts w:cs="Arial"/>
          <w:szCs w:val="20"/>
        </w:rPr>
        <w:t>22 268</w:t>
      </w:r>
      <w:r w:rsidR="00FF6B7E">
        <w:rPr>
          <w:rFonts w:cs="Arial"/>
          <w:szCs w:val="20"/>
        </w:rPr>
        <w:t xml:space="preserve"> žáků. Jejich poč</w:t>
      </w:r>
      <w:r w:rsidR="007F773C">
        <w:rPr>
          <w:rFonts w:cs="Arial"/>
          <w:szCs w:val="20"/>
        </w:rPr>
        <w:t>et se však od školního roku 2011/12</w:t>
      </w:r>
      <w:r w:rsidR="00FF6B7E">
        <w:rPr>
          <w:rFonts w:cs="Arial"/>
          <w:szCs w:val="20"/>
        </w:rPr>
        <w:t xml:space="preserve"> </w:t>
      </w:r>
      <w:r w:rsidR="007F773C">
        <w:rPr>
          <w:rFonts w:cs="Arial"/>
          <w:szCs w:val="20"/>
        </w:rPr>
        <w:t xml:space="preserve">zvýšil </w:t>
      </w:r>
      <w:r w:rsidR="00DC6DEB">
        <w:rPr>
          <w:rFonts w:cs="Arial"/>
          <w:szCs w:val="20"/>
        </w:rPr>
        <w:t>o </w:t>
      </w:r>
      <w:r w:rsidR="007F773C">
        <w:rPr>
          <w:rFonts w:cs="Arial"/>
          <w:szCs w:val="20"/>
        </w:rPr>
        <w:t>240 %</w:t>
      </w:r>
      <w:r w:rsidR="00BF668B">
        <w:rPr>
          <w:rFonts w:cs="Arial"/>
          <w:szCs w:val="20"/>
        </w:rPr>
        <w:t xml:space="preserve"> a za posledních pět let </w:t>
      </w:r>
      <w:r w:rsidR="007F773C">
        <w:rPr>
          <w:rFonts w:cs="Arial"/>
          <w:szCs w:val="20"/>
        </w:rPr>
        <w:t xml:space="preserve">se </w:t>
      </w:r>
      <w:r w:rsidR="00BF668B">
        <w:rPr>
          <w:rFonts w:cs="Arial"/>
          <w:szCs w:val="20"/>
        </w:rPr>
        <w:t>téměř zdvojnásobil</w:t>
      </w:r>
      <w:r w:rsidR="007F773C">
        <w:rPr>
          <w:rFonts w:cs="Arial"/>
          <w:szCs w:val="20"/>
        </w:rPr>
        <w:t xml:space="preserve"> (zvýšil se o 86 %)</w:t>
      </w:r>
      <w:r w:rsidR="00FF6B7E">
        <w:rPr>
          <w:rFonts w:cs="Arial"/>
          <w:szCs w:val="20"/>
        </w:rPr>
        <w:t xml:space="preserve">. </w:t>
      </w:r>
      <w:r w:rsidR="007F773C">
        <w:rPr>
          <w:rFonts w:cs="Arial"/>
          <w:szCs w:val="20"/>
        </w:rPr>
        <w:t>Ve školním roce 2021/22 činil 2,3</w:t>
      </w:r>
      <w:r w:rsidR="00BF668B">
        <w:rPr>
          <w:rFonts w:cs="Arial"/>
          <w:szCs w:val="20"/>
        </w:rPr>
        <w:t> % všech žáků základních škol</w:t>
      </w:r>
      <w:r w:rsidR="007F773C">
        <w:rPr>
          <w:rFonts w:cs="Arial"/>
          <w:szCs w:val="20"/>
        </w:rPr>
        <w:t>, ve školním roce 2011/12</w:t>
      </w:r>
      <w:r w:rsidR="00FE3EA2">
        <w:rPr>
          <w:rFonts w:cs="Arial"/>
          <w:szCs w:val="20"/>
        </w:rPr>
        <w:t xml:space="preserve"> to přitom bylo jen 0,</w:t>
      </w:r>
      <w:r w:rsidR="00FE3EA2" w:rsidRPr="00666763">
        <w:rPr>
          <w:rFonts w:cs="Arial"/>
          <w:szCs w:val="20"/>
        </w:rPr>
        <w:t>8 %</w:t>
      </w:r>
      <w:r w:rsidR="00742C9A">
        <w:rPr>
          <w:rFonts w:cs="Arial"/>
          <w:szCs w:val="20"/>
        </w:rPr>
        <w:t xml:space="preserve">. </w:t>
      </w:r>
    </w:p>
    <w:p w14:paraId="4EE113A5" w14:textId="3E8D73AB" w:rsidR="00FF6B7E" w:rsidRDefault="00742C9A" w:rsidP="00FF6B7E">
      <w:pPr>
        <w:spacing w:after="120"/>
        <w:jc w:val="both"/>
        <w:rPr>
          <w:rFonts w:cs="Arial"/>
          <w:szCs w:val="20"/>
        </w:rPr>
      </w:pPr>
      <w:r>
        <w:rPr>
          <w:rFonts w:cs="Arial"/>
          <w:szCs w:val="20"/>
        </w:rPr>
        <w:t>Na rozdíl od veřejných základních škol</w:t>
      </w:r>
      <w:r w:rsidR="00FE3EA2" w:rsidRPr="00666763">
        <w:rPr>
          <w:rFonts w:cs="Arial"/>
          <w:szCs w:val="20"/>
        </w:rPr>
        <w:t xml:space="preserve"> zde přitom</w:t>
      </w:r>
      <w:r w:rsidR="00BF668B" w:rsidRPr="00666763">
        <w:rPr>
          <w:rFonts w:cs="Arial"/>
          <w:szCs w:val="20"/>
        </w:rPr>
        <w:t xml:space="preserve"> počet žáků na 1. stupni rostl i v posledních </w:t>
      </w:r>
      <w:r w:rsidR="007F773C">
        <w:rPr>
          <w:rFonts w:cs="Arial"/>
          <w:szCs w:val="20"/>
        </w:rPr>
        <w:t>čtyřech</w:t>
      </w:r>
      <w:r w:rsidR="00BF668B" w:rsidRPr="00666763">
        <w:rPr>
          <w:rFonts w:cs="Arial"/>
          <w:szCs w:val="20"/>
        </w:rPr>
        <w:t xml:space="preserve"> letech</w:t>
      </w:r>
      <w:r w:rsidR="00666763" w:rsidRPr="00666763">
        <w:rPr>
          <w:rFonts w:cs="Arial"/>
          <w:szCs w:val="20"/>
        </w:rPr>
        <w:t xml:space="preserve">, konkrétně z 10 376 ve školním roce 2017/18 na </w:t>
      </w:r>
      <w:r w:rsidR="007F773C" w:rsidRPr="007F773C">
        <w:rPr>
          <w:rFonts w:cs="Arial"/>
          <w:szCs w:val="20"/>
        </w:rPr>
        <w:t>15</w:t>
      </w:r>
      <w:r w:rsidR="007F773C">
        <w:rPr>
          <w:rFonts w:cs="Arial"/>
          <w:szCs w:val="20"/>
        </w:rPr>
        <w:t> </w:t>
      </w:r>
      <w:r w:rsidR="007F773C" w:rsidRPr="007F773C">
        <w:rPr>
          <w:rFonts w:cs="Arial"/>
          <w:szCs w:val="20"/>
        </w:rPr>
        <w:t>571</w:t>
      </w:r>
      <w:r w:rsidR="007F773C">
        <w:rPr>
          <w:rFonts w:cs="Arial"/>
          <w:szCs w:val="20"/>
        </w:rPr>
        <w:t xml:space="preserve"> ve školním roce 2021/22</w:t>
      </w:r>
      <w:r w:rsidR="00666763" w:rsidRPr="00666763">
        <w:rPr>
          <w:rFonts w:cs="Arial"/>
          <w:szCs w:val="20"/>
        </w:rPr>
        <w:t xml:space="preserve"> (na veřejných školách došlo v uvedeném období na 1.</w:t>
      </w:r>
      <w:r w:rsidR="00E666C3">
        <w:rPr>
          <w:rFonts w:cs="Arial"/>
          <w:szCs w:val="20"/>
        </w:rPr>
        <w:t xml:space="preserve"> stupni k poklesu z 561 071</w:t>
      </w:r>
      <w:r w:rsidR="00666763" w:rsidRPr="00666763">
        <w:rPr>
          <w:rFonts w:cs="Arial"/>
          <w:szCs w:val="20"/>
        </w:rPr>
        <w:t xml:space="preserve"> na </w:t>
      </w:r>
      <w:r w:rsidR="007F773C" w:rsidRPr="007F773C">
        <w:rPr>
          <w:rFonts w:cs="Arial"/>
          <w:szCs w:val="20"/>
        </w:rPr>
        <w:t>525</w:t>
      </w:r>
      <w:r w:rsidR="00E666C3">
        <w:rPr>
          <w:rFonts w:cs="Arial"/>
          <w:szCs w:val="20"/>
        </w:rPr>
        <w:t> </w:t>
      </w:r>
      <w:r w:rsidR="007F773C" w:rsidRPr="007F773C">
        <w:rPr>
          <w:rFonts w:cs="Arial"/>
          <w:szCs w:val="20"/>
        </w:rPr>
        <w:t>924</w:t>
      </w:r>
      <w:r w:rsidR="00E666C3">
        <w:rPr>
          <w:rFonts w:cs="Arial"/>
          <w:szCs w:val="20"/>
        </w:rPr>
        <w:t xml:space="preserve"> </w:t>
      </w:r>
      <w:r w:rsidR="00666763" w:rsidRPr="00666763">
        <w:rPr>
          <w:rFonts w:cs="Arial"/>
          <w:szCs w:val="20"/>
        </w:rPr>
        <w:t>žáků)</w:t>
      </w:r>
      <w:r w:rsidR="00BF668B" w:rsidRPr="00666763">
        <w:rPr>
          <w:rFonts w:cs="Arial"/>
          <w:szCs w:val="20"/>
        </w:rPr>
        <w:t xml:space="preserve">. </w:t>
      </w:r>
      <w:r w:rsidR="00FF6B7E" w:rsidRPr="00666763">
        <w:rPr>
          <w:rFonts w:cs="Arial"/>
          <w:szCs w:val="20"/>
        </w:rPr>
        <w:t xml:space="preserve">Na </w:t>
      </w:r>
      <w:r w:rsidR="00FF6B7E" w:rsidRPr="00666763">
        <w:rPr>
          <w:rFonts w:cs="Arial"/>
          <w:b/>
          <w:szCs w:val="20"/>
        </w:rPr>
        <w:t>církevních</w:t>
      </w:r>
      <w:r w:rsidR="00FF6B7E" w:rsidRPr="00666763">
        <w:rPr>
          <w:rFonts w:cs="Arial"/>
          <w:szCs w:val="20"/>
        </w:rPr>
        <w:t xml:space="preserve"> </w:t>
      </w:r>
      <w:r w:rsidR="00DC6DEB" w:rsidRPr="00666763">
        <w:rPr>
          <w:rFonts w:cs="Arial"/>
          <w:szCs w:val="20"/>
        </w:rPr>
        <w:t xml:space="preserve">základních </w:t>
      </w:r>
      <w:r w:rsidR="00FF6B7E" w:rsidRPr="00666763">
        <w:rPr>
          <w:rFonts w:cs="Arial"/>
          <w:szCs w:val="20"/>
        </w:rPr>
        <w:t xml:space="preserve">školách se </w:t>
      </w:r>
      <w:r w:rsidR="00DC6DEB" w:rsidRPr="00666763">
        <w:rPr>
          <w:rFonts w:cs="Arial"/>
          <w:szCs w:val="20"/>
        </w:rPr>
        <w:t>ve</w:t>
      </w:r>
      <w:r w:rsidR="00FF6B7E" w:rsidRPr="00666763">
        <w:rPr>
          <w:rFonts w:cs="Arial"/>
          <w:szCs w:val="20"/>
        </w:rPr>
        <w:t xml:space="preserve"> školním roce </w:t>
      </w:r>
      <w:r w:rsidR="00E96034">
        <w:rPr>
          <w:rFonts w:cs="Arial"/>
          <w:szCs w:val="20"/>
        </w:rPr>
        <w:t>2021/22</w:t>
      </w:r>
      <w:r w:rsidR="00DC6DEB" w:rsidRPr="00666763">
        <w:rPr>
          <w:rFonts w:cs="Arial"/>
          <w:szCs w:val="20"/>
        </w:rPr>
        <w:t xml:space="preserve"> </w:t>
      </w:r>
      <w:r w:rsidR="00FF6B7E" w:rsidRPr="00666763">
        <w:rPr>
          <w:rFonts w:cs="Arial"/>
          <w:szCs w:val="20"/>
        </w:rPr>
        <w:t>vzdělávalo</w:t>
      </w:r>
      <w:r w:rsidR="00467B66" w:rsidRPr="00666763">
        <w:rPr>
          <w:rFonts w:cs="Arial"/>
          <w:szCs w:val="20"/>
        </w:rPr>
        <w:t xml:space="preserve"> (na 1. a 2. stupni dohromady)</w:t>
      </w:r>
      <w:r w:rsidR="00FF6B7E" w:rsidRPr="00666763">
        <w:rPr>
          <w:rFonts w:cs="Arial"/>
          <w:szCs w:val="20"/>
        </w:rPr>
        <w:t xml:space="preserve"> 7 </w:t>
      </w:r>
      <w:r w:rsidR="00E666C3">
        <w:rPr>
          <w:rFonts w:cs="Arial"/>
          <w:szCs w:val="20"/>
        </w:rPr>
        <w:t>451</w:t>
      </w:r>
      <w:r w:rsidR="00FF6B7E" w:rsidRPr="00666763">
        <w:rPr>
          <w:rFonts w:cs="Arial"/>
          <w:szCs w:val="20"/>
        </w:rPr>
        <w:t xml:space="preserve"> žáků v porovnání s</w:t>
      </w:r>
      <w:r w:rsidR="00D15BED" w:rsidRPr="00666763">
        <w:rPr>
          <w:rFonts w:cs="Arial"/>
          <w:szCs w:val="20"/>
        </w:rPr>
        <w:t> 5 </w:t>
      </w:r>
      <w:r w:rsidR="00E666C3">
        <w:rPr>
          <w:rFonts w:cs="Arial"/>
          <w:szCs w:val="20"/>
        </w:rPr>
        <w:t>475 žáky ve školním roce 2011/12</w:t>
      </w:r>
      <w:r w:rsidR="00FF6B7E" w:rsidRPr="00666763">
        <w:rPr>
          <w:rFonts w:cs="Arial"/>
          <w:szCs w:val="20"/>
        </w:rPr>
        <w:t xml:space="preserve">. </w:t>
      </w:r>
      <w:r w:rsidR="0094591D">
        <w:rPr>
          <w:rFonts w:cs="Arial"/>
          <w:szCs w:val="20"/>
        </w:rPr>
        <w:t>Viz graf 2.15</w:t>
      </w:r>
      <w:r w:rsidR="00FE3EA2" w:rsidRPr="00666763">
        <w:rPr>
          <w:rFonts w:cs="Arial"/>
          <w:szCs w:val="20"/>
        </w:rPr>
        <w:t>.</w:t>
      </w:r>
    </w:p>
    <w:p w14:paraId="2BBB8E0A" w14:textId="71F17B15" w:rsidR="00FF6B7E" w:rsidRDefault="00FF6B7E" w:rsidP="003F32BA">
      <w:pPr>
        <w:keepNext/>
        <w:spacing w:after="120"/>
        <w:jc w:val="both"/>
        <w:rPr>
          <w:rFonts w:cs="Arial"/>
          <w:b/>
          <w:szCs w:val="20"/>
        </w:rPr>
      </w:pPr>
      <w:r w:rsidRPr="002E5300">
        <w:rPr>
          <w:rFonts w:cs="Arial"/>
          <w:b/>
          <w:szCs w:val="20"/>
        </w:rPr>
        <w:lastRenderedPageBreak/>
        <w:t xml:space="preserve">Graf </w:t>
      </w:r>
      <w:r>
        <w:rPr>
          <w:rFonts w:cs="Arial"/>
          <w:b/>
          <w:szCs w:val="20"/>
        </w:rPr>
        <w:t>2</w:t>
      </w:r>
      <w:r w:rsidRPr="002E5300">
        <w:rPr>
          <w:rFonts w:cs="Arial"/>
          <w:b/>
          <w:szCs w:val="20"/>
        </w:rPr>
        <w:t>.</w:t>
      </w:r>
      <w:r w:rsidR="0094591D">
        <w:rPr>
          <w:rFonts w:cs="Arial"/>
          <w:b/>
          <w:szCs w:val="20"/>
        </w:rPr>
        <w:t>15</w:t>
      </w:r>
      <w:r w:rsidRPr="002E5300">
        <w:rPr>
          <w:rFonts w:cs="Arial"/>
          <w:b/>
          <w:szCs w:val="20"/>
        </w:rPr>
        <w:t xml:space="preserve"> </w:t>
      </w:r>
      <w:r>
        <w:rPr>
          <w:rFonts w:cs="Arial"/>
          <w:b/>
          <w:szCs w:val="20"/>
        </w:rPr>
        <w:t>P</w:t>
      </w:r>
      <w:r w:rsidRPr="002E5300">
        <w:rPr>
          <w:rFonts w:cs="Arial"/>
          <w:b/>
          <w:szCs w:val="20"/>
        </w:rPr>
        <w:t xml:space="preserve">očet </w:t>
      </w:r>
      <w:r>
        <w:rPr>
          <w:rFonts w:cs="Arial"/>
          <w:b/>
          <w:szCs w:val="20"/>
        </w:rPr>
        <w:t>žáků na základních školách podle jejich zřizovatele (v tis.)</w:t>
      </w:r>
    </w:p>
    <w:p w14:paraId="7929ACB1" w14:textId="579D30A4" w:rsidR="003347EF" w:rsidRDefault="003731F2" w:rsidP="003731F2">
      <w:pPr>
        <w:keepNext/>
        <w:spacing w:after="120"/>
        <w:jc w:val="both"/>
        <w:rPr>
          <w:rFonts w:cs="Arial"/>
          <w:b/>
          <w:szCs w:val="20"/>
        </w:rPr>
      </w:pPr>
      <w:r>
        <w:rPr>
          <w:noProof/>
        </w:rPr>
        <w:drawing>
          <wp:inline distT="0" distB="0" distL="0" distR="0" wp14:anchorId="518B513A" wp14:editId="6AD52EBF">
            <wp:extent cx="3219450" cy="2752725"/>
            <wp:effectExtent l="0" t="0" r="0" b="9525"/>
            <wp:docPr id="95" name="Graf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Pr>
          <w:noProof/>
        </w:rPr>
        <w:drawing>
          <wp:inline distT="0" distB="0" distL="0" distR="0" wp14:anchorId="299462D3" wp14:editId="4245EBE6">
            <wp:extent cx="2879725" cy="2752725"/>
            <wp:effectExtent l="0" t="0" r="15875" b="9525"/>
            <wp:docPr id="104" name="Graf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D95E9CE" w14:textId="7B329D8A" w:rsidR="00FF6B7E" w:rsidRDefault="00FF6B7E" w:rsidP="003347EF">
      <w:pPr>
        <w:spacing w:after="120"/>
        <w:jc w:val="right"/>
        <w:rPr>
          <w:rFonts w:cs="Arial"/>
          <w:sz w:val="18"/>
        </w:rPr>
      </w:pPr>
      <w:r w:rsidRPr="001758A7">
        <w:rPr>
          <w:noProof/>
          <w:lang w:val="en-US" w:eastAsia="en-US"/>
        </w:rPr>
        <w:t xml:space="preserve"> </w:t>
      </w:r>
      <w:r w:rsidRPr="00F94849">
        <w:rPr>
          <w:rFonts w:cs="Arial"/>
          <w:sz w:val="18"/>
        </w:rPr>
        <w:t>Zdroj: ČSÚ</w:t>
      </w:r>
      <w:r w:rsidRPr="00F94849">
        <w:rPr>
          <w:rFonts w:cs="Arial"/>
          <w:noProof/>
        </w:rPr>
        <w:t xml:space="preserve"> </w:t>
      </w:r>
      <w:r w:rsidRPr="00307699">
        <w:rPr>
          <w:rFonts w:cs="Arial"/>
          <w:sz w:val="18"/>
        </w:rPr>
        <w:t>podle údajů MŠMT</w:t>
      </w:r>
    </w:p>
    <w:p w14:paraId="7C633BA2" w14:textId="77777777" w:rsidR="00442BA0" w:rsidRDefault="00442BA0" w:rsidP="00FF6B7E">
      <w:pPr>
        <w:spacing w:before="120" w:after="120"/>
        <w:jc w:val="both"/>
        <w:rPr>
          <w:rFonts w:cs="Arial"/>
          <w:szCs w:val="20"/>
        </w:rPr>
      </w:pPr>
    </w:p>
    <w:p w14:paraId="674239CF" w14:textId="164E6AF2" w:rsidR="00FF6B7E" w:rsidRPr="004472A9" w:rsidRDefault="00FF6B7E" w:rsidP="009D76C5">
      <w:pPr>
        <w:keepNext/>
        <w:spacing w:before="120" w:after="120"/>
        <w:jc w:val="both"/>
        <w:rPr>
          <w:rFonts w:cs="Arial"/>
          <w:b/>
          <w:i/>
          <w:color w:val="C00000"/>
          <w:sz w:val="24"/>
          <w:szCs w:val="20"/>
        </w:rPr>
      </w:pPr>
      <w:r w:rsidRPr="007F0EEA">
        <w:rPr>
          <w:rFonts w:cs="Arial"/>
          <w:b/>
          <w:i/>
          <w:color w:val="C00000"/>
          <w:sz w:val="24"/>
          <w:szCs w:val="20"/>
        </w:rPr>
        <w:t>Počet žáků v</w:t>
      </w:r>
      <w:r w:rsidR="00A3783A" w:rsidRPr="007F0EEA">
        <w:rPr>
          <w:rFonts w:cs="Arial"/>
          <w:b/>
          <w:i/>
          <w:color w:val="C00000"/>
          <w:sz w:val="24"/>
          <w:szCs w:val="20"/>
        </w:rPr>
        <w:t> prvním a posledním ročníku</w:t>
      </w:r>
      <w:r w:rsidRPr="007F0EEA">
        <w:rPr>
          <w:rFonts w:cs="Arial"/>
          <w:b/>
          <w:i/>
          <w:color w:val="C00000"/>
          <w:sz w:val="24"/>
          <w:szCs w:val="20"/>
        </w:rPr>
        <w:t xml:space="preserve"> základních škol</w:t>
      </w:r>
    </w:p>
    <w:p w14:paraId="74CB312D" w14:textId="13959CDE" w:rsidR="00A3783A" w:rsidRDefault="00A3783A" w:rsidP="00A3783A">
      <w:pPr>
        <w:spacing w:after="120"/>
        <w:jc w:val="both"/>
        <w:rPr>
          <w:rFonts w:cs="Arial"/>
          <w:szCs w:val="20"/>
        </w:rPr>
      </w:pPr>
      <w:r>
        <w:rPr>
          <w:rFonts w:cs="Arial"/>
          <w:szCs w:val="20"/>
        </w:rPr>
        <w:t>D</w:t>
      </w:r>
      <w:r w:rsidRPr="00A3783A">
        <w:rPr>
          <w:rFonts w:cs="Arial"/>
          <w:szCs w:val="20"/>
        </w:rPr>
        <w:t>o prvního ročníku základních škol nastupují všichni žáci školou povinní. Oproti tomu v průběhu druhého stupně základní školy někteří žáci odcházejí na víceletá gymnázia či osmileté konz</w:t>
      </w:r>
      <w:r w:rsidR="00864CB6">
        <w:rPr>
          <w:rFonts w:cs="Arial"/>
          <w:szCs w:val="20"/>
        </w:rPr>
        <w:t>ervatoře (podrobněji kapitola</w:t>
      </w:r>
      <w:r w:rsidRPr="00A3783A">
        <w:rPr>
          <w:rFonts w:cs="Arial"/>
          <w:szCs w:val="20"/>
        </w:rPr>
        <w:t xml:space="preserve"> 2.9).</w:t>
      </w:r>
      <w:r>
        <w:rPr>
          <w:rFonts w:cs="Arial"/>
          <w:szCs w:val="20"/>
        </w:rPr>
        <w:t xml:space="preserve"> </w:t>
      </w:r>
      <w:r w:rsidR="00615EAD">
        <w:rPr>
          <w:rFonts w:cs="Arial"/>
          <w:szCs w:val="20"/>
        </w:rPr>
        <w:t xml:space="preserve">Posledním ročníkem základních škol </w:t>
      </w:r>
      <w:r>
        <w:rPr>
          <w:rFonts w:cs="Arial"/>
          <w:szCs w:val="20"/>
        </w:rPr>
        <w:t xml:space="preserve">pak </w:t>
      </w:r>
      <w:r w:rsidR="00615EAD">
        <w:rPr>
          <w:rFonts w:cs="Arial"/>
          <w:szCs w:val="20"/>
        </w:rPr>
        <w:t xml:space="preserve">bývá zpravidla ročník devátý. V některých případech speciálního vzdělávání však může být délka vzdělávání o rok prodloužena a posledním ročníkem je tam ročník desátý. </w:t>
      </w:r>
    </w:p>
    <w:p w14:paraId="73B3A0EB" w14:textId="03296CAE" w:rsidR="00A3783A" w:rsidRPr="00A3783A" w:rsidRDefault="00F562DC" w:rsidP="00C159CB">
      <w:pPr>
        <w:spacing w:after="120"/>
        <w:jc w:val="both"/>
        <w:rPr>
          <w:rFonts w:cs="Arial"/>
          <w:szCs w:val="20"/>
        </w:rPr>
      </w:pPr>
      <w:r>
        <w:rPr>
          <w:rFonts w:cs="Arial"/>
          <w:szCs w:val="20"/>
        </w:rPr>
        <w:t>Jak již bylo zmíněno, v</w:t>
      </w:r>
      <w:r w:rsidR="00615EAD">
        <w:rPr>
          <w:rFonts w:cs="Arial"/>
          <w:szCs w:val="20"/>
        </w:rPr>
        <w:t xml:space="preserve">ývoj na prvním stupni základních škol je zásadně ovlivněn předchozím demografickým vývojem. </w:t>
      </w:r>
      <w:r w:rsidR="0037191E">
        <w:rPr>
          <w:rFonts w:cs="Arial"/>
          <w:szCs w:val="20"/>
        </w:rPr>
        <w:t>Mezi roky 2010</w:t>
      </w:r>
      <w:r w:rsidR="00A3783A">
        <w:rPr>
          <w:rFonts w:cs="Arial"/>
          <w:szCs w:val="20"/>
        </w:rPr>
        <w:t xml:space="preserve"> až 2013 se počet narozených dětí u nás každoročně snižoval. Následkem toho docházelo ve školních rocích 2016/17 až 2019/20 ke snižování počtu </w:t>
      </w:r>
      <w:r w:rsidR="003F79D4">
        <w:rPr>
          <w:rFonts w:cs="Arial"/>
          <w:szCs w:val="20"/>
        </w:rPr>
        <w:t>žáků prvního ročníku</w:t>
      </w:r>
      <w:r w:rsidR="00A3783A">
        <w:rPr>
          <w:rFonts w:cs="Arial"/>
          <w:szCs w:val="20"/>
        </w:rPr>
        <w:t xml:space="preserve">. Naopak počet žáků v posledním ročníku v tomto období rostl. </w:t>
      </w:r>
      <w:r w:rsidR="009F4FF3">
        <w:rPr>
          <w:rFonts w:cs="Arial"/>
          <w:szCs w:val="20"/>
        </w:rPr>
        <w:t>P</w:t>
      </w:r>
      <w:r w:rsidR="009F4FF3" w:rsidRPr="009F4FF3">
        <w:rPr>
          <w:rFonts w:cs="Arial"/>
          <w:szCs w:val="20"/>
        </w:rPr>
        <w:t>očet žáků v posledním ročníku rostl</w:t>
      </w:r>
      <w:r w:rsidR="00C159CB">
        <w:rPr>
          <w:rFonts w:cs="Arial"/>
          <w:szCs w:val="20"/>
        </w:rPr>
        <w:t xml:space="preserve"> i v následujících</w:t>
      </w:r>
      <w:r w:rsidR="009F4FF3">
        <w:rPr>
          <w:rFonts w:cs="Arial"/>
          <w:szCs w:val="20"/>
        </w:rPr>
        <w:t xml:space="preserve"> </w:t>
      </w:r>
      <w:r w:rsidR="00C159CB">
        <w:rPr>
          <w:rFonts w:cs="Arial"/>
          <w:szCs w:val="20"/>
        </w:rPr>
        <w:t>školních rocích</w:t>
      </w:r>
      <w:r w:rsidR="007F0EEA">
        <w:rPr>
          <w:rFonts w:cs="Arial"/>
          <w:szCs w:val="20"/>
        </w:rPr>
        <w:t xml:space="preserve"> 2020/21</w:t>
      </w:r>
      <w:r w:rsidR="00C159CB">
        <w:rPr>
          <w:rFonts w:cs="Arial"/>
          <w:szCs w:val="20"/>
        </w:rPr>
        <w:t xml:space="preserve"> a 2021/22</w:t>
      </w:r>
      <w:r w:rsidR="00643F07">
        <w:rPr>
          <w:rFonts w:cs="Arial"/>
          <w:szCs w:val="20"/>
        </w:rPr>
        <w:t xml:space="preserve">, kdy začal </w:t>
      </w:r>
      <w:r w:rsidR="003F79D4">
        <w:rPr>
          <w:rFonts w:cs="Arial"/>
          <w:szCs w:val="20"/>
        </w:rPr>
        <w:t>růst též počet žáků v prvním</w:t>
      </w:r>
      <w:r w:rsidR="009F4FF3">
        <w:rPr>
          <w:rFonts w:cs="Arial"/>
          <w:szCs w:val="20"/>
        </w:rPr>
        <w:t xml:space="preserve"> ročníku</w:t>
      </w:r>
      <w:r w:rsidR="007F0EEA">
        <w:rPr>
          <w:rFonts w:cs="Arial"/>
          <w:szCs w:val="20"/>
        </w:rPr>
        <w:t xml:space="preserve"> (v reakci na růst počtu živě narozených v roce 2014</w:t>
      </w:r>
      <w:r w:rsidR="00C159CB">
        <w:rPr>
          <w:rFonts w:cs="Arial"/>
          <w:szCs w:val="20"/>
        </w:rPr>
        <w:t>, resp. 2015</w:t>
      </w:r>
      <w:r w:rsidR="003F79D4">
        <w:rPr>
          <w:rFonts w:cs="Arial"/>
          <w:szCs w:val="20"/>
        </w:rPr>
        <w:t>)</w:t>
      </w:r>
      <w:r w:rsidR="009F4FF3">
        <w:rPr>
          <w:rFonts w:cs="Arial"/>
          <w:szCs w:val="20"/>
        </w:rPr>
        <w:t>.</w:t>
      </w:r>
      <w:r w:rsidR="009F4FF3" w:rsidRPr="009F4FF3">
        <w:rPr>
          <w:rFonts w:cs="Arial"/>
          <w:szCs w:val="20"/>
        </w:rPr>
        <w:t xml:space="preserve"> </w:t>
      </w:r>
      <w:r>
        <w:rPr>
          <w:rFonts w:cs="Arial"/>
          <w:szCs w:val="20"/>
        </w:rPr>
        <w:t>Zároveň v</w:t>
      </w:r>
      <w:r w:rsidRPr="00F562DC">
        <w:rPr>
          <w:rFonts w:cs="Arial"/>
          <w:szCs w:val="20"/>
        </w:rPr>
        <w:t>e všech sledovaných školních rocích převyšuje počet žák</w:t>
      </w:r>
      <w:r w:rsidR="00765856">
        <w:rPr>
          <w:rFonts w:cs="Arial"/>
          <w:szCs w:val="20"/>
        </w:rPr>
        <w:t>ů v </w:t>
      </w:r>
      <w:r w:rsidR="003F79D4">
        <w:rPr>
          <w:rFonts w:cs="Arial"/>
          <w:szCs w:val="20"/>
        </w:rPr>
        <w:t>prvním ročníku počet žáků v </w:t>
      </w:r>
      <w:r w:rsidRPr="00F562DC">
        <w:rPr>
          <w:rFonts w:cs="Arial"/>
          <w:szCs w:val="20"/>
        </w:rPr>
        <w:t>posledním ročníku zák</w:t>
      </w:r>
      <w:r>
        <w:rPr>
          <w:rFonts w:cs="Arial"/>
          <w:szCs w:val="20"/>
        </w:rPr>
        <w:t xml:space="preserve">ladních škol, kdy již někteří školou povinní vrstevníci chodí </w:t>
      </w:r>
      <w:r w:rsidR="0094591D">
        <w:rPr>
          <w:rFonts w:cs="Arial"/>
          <w:szCs w:val="20"/>
        </w:rPr>
        <w:t>do středních škol. Viz graf 2.16</w:t>
      </w:r>
      <w:r>
        <w:rPr>
          <w:rFonts w:cs="Arial"/>
          <w:szCs w:val="20"/>
        </w:rPr>
        <w:t>.</w:t>
      </w:r>
    </w:p>
    <w:p w14:paraId="7EA16D78" w14:textId="1610AC81" w:rsidR="00FF6B7E" w:rsidRDefault="00FF6B7E" w:rsidP="00FB1537">
      <w:pPr>
        <w:keepNext/>
        <w:spacing w:after="120"/>
        <w:jc w:val="both"/>
        <w:rPr>
          <w:rFonts w:cs="Arial"/>
          <w:b/>
          <w:szCs w:val="20"/>
        </w:rPr>
      </w:pPr>
      <w:r w:rsidRPr="002E5300">
        <w:rPr>
          <w:rFonts w:cs="Arial"/>
          <w:b/>
          <w:szCs w:val="20"/>
        </w:rPr>
        <w:t xml:space="preserve">Graf </w:t>
      </w:r>
      <w:r>
        <w:rPr>
          <w:rFonts w:cs="Arial"/>
          <w:b/>
          <w:szCs w:val="20"/>
        </w:rPr>
        <w:t>2</w:t>
      </w:r>
      <w:r w:rsidRPr="002E5300">
        <w:rPr>
          <w:rFonts w:cs="Arial"/>
          <w:b/>
          <w:szCs w:val="20"/>
        </w:rPr>
        <w:t>.</w:t>
      </w:r>
      <w:r w:rsidR="0094591D">
        <w:rPr>
          <w:rFonts w:cs="Arial"/>
          <w:b/>
          <w:szCs w:val="20"/>
        </w:rPr>
        <w:t>16</w:t>
      </w:r>
      <w:r w:rsidRPr="002E5300">
        <w:rPr>
          <w:rFonts w:cs="Arial"/>
          <w:b/>
          <w:szCs w:val="20"/>
        </w:rPr>
        <w:t xml:space="preserve"> </w:t>
      </w:r>
      <w:r>
        <w:rPr>
          <w:rFonts w:cs="Arial"/>
          <w:b/>
          <w:szCs w:val="20"/>
        </w:rPr>
        <w:t>P</w:t>
      </w:r>
      <w:r w:rsidRPr="002E5300">
        <w:rPr>
          <w:rFonts w:cs="Arial"/>
          <w:b/>
          <w:szCs w:val="20"/>
        </w:rPr>
        <w:t xml:space="preserve">očet </w:t>
      </w:r>
      <w:r>
        <w:rPr>
          <w:rFonts w:cs="Arial"/>
          <w:b/>
          <w:szCs w:val="20"/>
        </w:rPr>
        <w:t>žáků na základních školách v</w:t>
      </w:r>
      <w:r w:rsidR="00D5097D">
        <w:rPr>
          <w:rFonts w:cs="Arial"/>
          <w:b/>
          <w:szCs w:val="20"/>
        </w:rPr>
        <w:t> prvním a posledním ročníku</w:t>
      </w:r>
      <w:r>
        <w:rPr>
          <w:rFonts w:cs="Arial"/>
          <w:b/>
          <w:szCs w:val="20"/>
        </w:rPr>
        <w:t xml:space="preserve"> (v tis.)</w:t>
      </w:r>
    </w:p>
    <w:p w14:paraId="691FE4F5" w14:textId="48E0F248" w:rsidR="00D5097D" w:rsidRDefault="00C159CB" w:rsidP="00C159CB">
      <w:pPr>
        <w:keepNext/>
        <w:spacing w:after="120"/>
        <w:jc w:val="both"/>
        <w:rPr>
          <w:rFonts w:cs="Arial"/>
          <w:b/>
          <w:szCs w:val="20"/>
        </w:rPr>
      </w:pPr>
      <w:r>
        <w:rPr>
          <w:noProof/>
        </w:rPr>
        <w:drawing>
          <wp:inline distT="0" distB="0" distL="0" distR="0" wp14:anchorId="70AF2BA9" wp14:editId="5D57B1A5">
            <wp:extent cx="6067425" cy="2124075"/>
            <wp:effectExtent l="0" t="0" r="9525" b="9525"/>
            <wp:docPr id="106" name="Graf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B5C2E0F" w14:textId="0F2FEBC1" w:rsidR="00FF6B7E" w:rsidRDefault="00FF6B7E" w:rsidP="00615EAD">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703FE3E4" w14:textId="77777777" w:rsidR="00FF6B7E" w:rsidRPr="00933DF0" w:rsidRDefault="00FF6B7E" w:rsidP="00FF6B7E">
      <w:pPr>
        <w:keepNext/>
        <w:keepLines/>
        <w:spacing w:before="240" w:after="120"/>
        <w:outlineLvl w:val="1"/>
        <w:rPr>
          <w:rFonts w:eastAsia="MS Gothic"/>
          <w:b/>
          <w:bCs/>
          <w:color w:val="FF0000"/>
          <w:sz w:val="24"/>
          <w:szCs w:val="26"/>
        </w:rPr>
      </w:pPr>
      <w:bookmarkStart w:id="12" w:name="_Toc112069076"/>
      <w:r w:rsidRPr="006601F2">
        <w:rPr>
          <w:rFonts w:eastAsia="MS Gothic"/>
          <w:b/>
          <w:bCs/>
          <w:color w:val="BC091B"/>
          <w:sz w:val="28"/>
          <w:szCs w:val="26"/>
        </w:rPr>
        <w:lastRenderedPageBreak/>
        <w:t>2.5 Základní školy v regionálním srovnání – základní ukazatele</w:t>
      </w:r>
      <w:bookmarkEnd w:id="12"/>
      <w:r w:rsidRPr="00933DF0">
        <w:rPr>
          <w:rFonts w:eastAsia="MS Gothic"/>
          <w:b/>
          <w:bCs/>
          <w:color w:val="BC091B"/>
          <w:sz w:val="28"/>
          <w:szCs w:val="26"/>
        </w:rPr>
        <w:t xml:space="preserve"> </w:t>
      </w:r>
    </w:p>
    <w:p w14:paraId="5E168B7A" w14:textId="1A091132" w:rsidR="00FF6B7E" w:rsidRDefault="00FF6B7E" w:rsidP="00FF6B7E">
      <w:pPr>
        <w:spacing w:after="120"/>
        <w:jc w:val="both"/>
        <w:rPr>
          <w:rFonts w:cs="Arial"/>
          <w:szCs w:val="20"/>
        </w:rPr>
      </w:pPr>
      <w:r w:rsidRPr="007B0AEE">
        <w:rPr>
          <w:rFonts w:cs="Arial"/>
          <w:szCs w:val="20"/>
        </w:rPr>
        <w:t>Z </w:t>
      </w:r>
      <w:r w:rsidRPr="007B0AEE">
        <w:rPr>
          <w:rFonts w:cs="Arial"/>
          <w:b/>
          <w:szCs w:val="20"/>
        </w:rPr>
        <w:t>regionálního pohledu</w:t>
      </w:r>
      <w:r w:rsidRPr="007B0AEE">
        <w:rPr>
          <w:rFonts w:cs="Arial"/>
          <w:szCs w:val="20"/>
        </w:rPr>
        <w:t xml:space="preserve"> </w:t>
      </w:r>
      <w:r>
        <w:rPr>
          <w:rFonts w:cs="Arial"/>
          <w:szCs w:val="20"/>
        </w:rPr>
        <w:t>se</w:t>
      </w:r>
      <w:r w:rsidRPr="007B0AEE">
        <w:rPr>
          <w:rFonts w:cs="Arial"/>
          <w:szCs w:val="20"/>
        </w:rPr>
        <w:t xml:space="preserve"> nejvíce </w:t>
      </w:r>
      <w:r>
        <w:rPr>
          <w:rFonts w:cs="Arial"/>
          <w:szCs w:val="20"/>
        </w:rPr>
        <w:t xml:space="preserve">základních </w:t>
      </w:r>
      <w:r w:rsidRPr="007B0AEE">
        <w:rPr>
          <w:rFonts w:cs="Arial"/>
          <w:szCs w:val="20"/>
        </w:rPr>
        <w:t xml:space="preserve">škol a tříd </w:t>
      </w:r>
      <w:r>
        <w:rPr>
          <w:rFonts w:cs="Arial"/>
          <w:szCs w:val="20"/>
        </w:rPr>
        <w:t xml:space="preserve">nachází </w:t>
      </w:r>
      <w:r w:rsidRPr="007B0AEE">
        <w:rPr>
          <w:rFonts w:cs="Arial"/>
          <w:szCs w:val="20"/>
        </w:rPr>
        <w:t>v kraji největším, tj. ve Středoč</w:t>
      </w:r>
      <w:r w:rsidR="00F8377E">
        <w:rPr>
          <w:rFonts w:cs="Arial"/>
          <w:szCs w:val="20"/>
        </w:rPr>
        <w:t>e</w:t>
      </w:r>
      <w:r w:rsidR="006E702A">
        <w:rPr>
          <w:rFonts w:cs="Arial"/>
          <w:szCs w:val="20"/>
        </w:rPr>
        <w:t>ském kraji. Ve školním roce 2021</w:t>
      </w:r>
      <w:r w:rsidRPr="007B0AEE">
        <w:rPr>
          <w:rFonts w:cs="Arial"/>
          <w:szCs w:val="20"/>
        </w:rPr>
        <w:t>/</w:t>
      </w:r>
      <w:r w:rsidR="006E702A">
        <w:rPr>
          <w:rFonts w:cs="Arial"/>
          <w:szCs w:val="20"/>
        </w:rPr>
        <w:t>22</w:t>
      </w:r>
      <w:r w:rsidRPr="007B0AEE">
        <w:rPr>
          <w:rFonts w:cs="Arial"/>
          <w:szCs w:val="20"/>
        </w:rPr>
        <w:t xml:space="preserve"> zde bylo </w:t>
      </w:r>
      <w:r w:rsidR="006E702A">
        <w:rPr>
          <w:rFonts w:cs="Arial"/>
          <w:szCs w:val="20"/>
        </w:rPr>
        <w:t>574</w:t>
      </w:r>
      <w:r w:rsidRPr="007B0AEE">
        <w:rPr>
          <w:rFonts w:cs="Arial"/>
          <w:szCs w:val="20"/>
        </w:rPr>
        <w:t xml:space="preserve"> (1</w:t>
      </w:r>
      <w:r>
        <w:rPr>
          <w:rFonts w:cs="Arial"/>
          <w:szCs w:val="20"/>
        </w:rPr>
        <w:t>3</w:t>
      </w:r>
      <w:r w:rsidRPr="007B0AEE">
        <w:rPr>
          <w:rFonts w:cs="Arial"/>
          <w:szCs w:val="20"/>
        </w:rPr>
        <w:t>,</w:t>
      </w:r>
      <w:r w:rsidR="00F8377E">
        <w:rPr>
          <w:rFonts w:cs="Arial"/>
          <w:szCs w:val="20"/>
        </w:rPr>
        <w:t>5</w:t>
      </w:r>
      <w:r w:rsidRPr="007B0AEE">
        <w:rPr>
          <w:rFonts w:cs="Arial"/>
          <w:szCs w:val="20"/>
        </w:rPr>
        <w:t xml:space="preserve"> %) </w:t>
      </w:r>
      <w:r>
        <w:rPr>
          <w:rFonts w:cs="Arial"/>
          <w:szCs w:val="20"/>
        </w:rPr>
        <w:t xml:space="preserve">základních </w:t>
      </w:r>
      <w:r w:rsidRPr="007B0AEE">
        <w:rPr>
          <w:rFonts w:cs="Arial"/>
          <w:szCs w:val="20"/>
        </w:rPr>
        <w:t>škol s</w:t>
      </w:r>
      <w:r w:rsidR="00F8377E">
        <w:rPr>
          <w:rFonts w:cs="Arial"/>
          <w:szCs w:val="20"/>
        </w:rPr>
        <w:t> </w:t>
      </w:r>
      <w:r w:rsidR="00F8377E" w:rsidRPr="00F8377E">
        <w:rPr>
          <w:rFonts w:cs="Arial"/>
          <w:szCs w:val="20"/>
        </w:rPr>
        <w:t>6</w:t>
      </w:r>
      <w:r w:rsidR="00F8377E">
        <w:rPr>
          <w:rFonts w:cs="Arial"/>
          <w:szCs w:val="20"/>
        </w:rPr>
        <w:t> </w:t>
      </w:r>
      <w:r w:rsidR="00F8377E" w:rsidRPr="00F8377E">
        <w:rPr>
          <w:rFonts w:cs="Arial"/>
          <w:szCs w:val="20"/>
        </w:rPr>
        <w:t>85</w:t>
      </w:r>
      <w:r w:rsidR="006E702A">
        <w:rPr>
          <w:rFonts w:cs="Arial"/>
          <w:szCs w:val="20"/>
        </w:rPr>
        <w:t>8</w:t>
      </w:r>
      <w:r w:rsidRPr="007B0AEE">
        <w:rPr>
          <w:rFonts w:cs="Arial"/>
          <w:szCs w:val="20"/>
        </w:rPr>
        <w:t xml:space="preserve"> třídami, které navštěvovalo </w:t>
      </w:r>
      <w:r w:rsidR="006E702A">
        <w:rPr>
          <w:rFonts w:cs="Arial"/>
          <w:szCs w:val="20"/>
        </w:rPr>
        <w:t>138</w:t>
      </w:r>
      <w:r w:rsidR="00F8377E">
        <w:rPr>
          <w:rFonts w:cs="Arial"/>
          <w:szCs w:val="20"/>
        </w:rPr>
        <w:t> </w:t>
      </w:r>
      <w:r w:rsidR="006E702A">
        <w:rPr>
          <w:rFonts w:cs="Arial"/>
          <w:szCs w:val="20"/>
        </w:rPr>
        <w:t>970</w:t>
      </w:r>
      <w:r w:rsidR="00F8377E">
        <w:rPr>
          <w:rFonts w:cs="Arial"/>
          <w:szCs w:val="20"/>
        </w:rPr>
        <w:t xml:space="preserve"> </w:t>
      </w:r>
      <w:r>
        <w:rPr>
          <w:rFonts w:cs="Arial"/>
          <w:szCs w:val="20"/>
        </w:rPr>
        <w:t>žáků</w:t>
      </w:r>
      <w:r w:rsidRPr="007B0AEE">
        <w:rPr>
          <w:rFonts w:cs="Arial"/>
          <w:szCs w:val="20"/>
        </w:rPr>
        <w:t>. Naopak jen 1</w:t>
      </w:r>
      <w:r w:rsidR="006E702A">
        <w:rPr>
          <w:rFonts w:cs="Arial"/>
          <w:szCs w:val="20"/>
        </w:rPr>
        <w:t>08</w:t>
      </w:r>
      <w:r w:rsidRPr="007B0AEE">
        <w:rPr>
          <w:rFonts w:cs="Arial"/>
          <w:szCs w:val="20"/>
        </w:rPr>
        <w:t xml:space="preserve"> (2,</w:t>
      </w:r>
      <w:r>
        <w:rPr>
          <w:rFonts w:cs="Arial"/>
          <w:szCs w:val="20"/>
        </w:rPr>
        <w:t>5</w:t>
      </w:r>
      <w:r w:rsidRPr="007B0AEE">
        <w:rPr>
          <w:rFonts w:cs="Arial"/>
          <w:szCs w:val="20"/>
        </w:rPr>
        <w:t xml:space="preserve"> %) </w:t>
      </w:r>
      <w:r>
        <w:rPr>
          <w:rFonts w:cs="Arial"/>
          <w:szCs w:val="20"/>
        </w:rPr>
        <w:t xml:space="preserve">základních </w:t>
      </w:r>
      <w:r w:rsidRPr="007B0AEE">
        <w:rPr>
          <w:rFonts w:cs="Arial"/>
          <w:szCs w:val="20"/>
        </w:rPr>
        <w:t>škol najdeme v</w:t>
      </w:r>
      <w:r w:rsidR="00F8377E">
        <w:rPr>
          <w:rFonts w:cs="Arial"/>
          <w:szCs w:val="20"/>
        </w:rPr>
        <w:t xml:space="preserve"> nejméně lidnatém </w:t>
      </w:r>
      <w:r w:rsidRPr="007B0AEE">
        <w:rPr>
          <w:rFonts w:cs="Arial"/>
          <w:szCs w:val="20"/>
        </w:rPr>
        <w:t>Karlovarském kraji</w:t>
      </w:r>
      <w:r w:rsidR="00F8377E">
        <w:rPr>
          <w:rFonts w:cs="Arial"/>
          <w:szCs w:val="20"/>
        </w:rPr>
        <w:t xml:space="preserve">, kde bylo celkem </w:t>
      </w:r>
      <w:r>
        <w:rPr>
          <w:rFonts w:cs="Arial"/>
          <w:szCs w:val="20"/>
        </w:rPr>
        <w:t>1</w:t>
      </w:r>
      <w:r w:rsidR="006E702A">
        <w:rPr>
          <w:rFonts w:cs="Arial"/>
          <w:szCs w:val="20"/>
        </w:rPr>
        <w:t xml:space="preserve"> 338 </w:t>
      </w:r>
      <w:r w:rsidR="00F8377E">
        <w:rPr>
          <w:rFonts w:cs="Arial"/>
          <w:szCs w:val="20"/>
        </w:rPr>
        <w:t>tříd a v nich</w:t>
      </w:r>
      <w:r w:rsidRPr="007B0AEE">
        <w:rPr>
          <w:rFonts w:cs="Arial"/>
          <w:szCs w:val="20"/>
        </w:rPr>
        <w:t xml:space="preserve"> se vzdělávalo </w:t>
      </w:r>
      <w:r w:rsidR="006E702A" w:rsidRPr="006E702A">
        <w:rPr>
          <w:rFonts w:cs="Arial"/>
          <w:szCs w:val="20"/>
        </w:rPr>
        <w:t>24</w:t>
      </w:r>
      <w:r w:rsidR="006E702A">
        <w:rPr>
          <w:rFonts w:cs="Arial"/>
          <w:szCs w:val="20"/>
        </w:rPr>
        <w:t> </w:t>
      </w:r>
      <w:r w:rsidR="006E702A" w:rsidRPr="006E702A">
        <w:rPr>
          <w:rFonts w:cs="Arial"/>
          <w:szCs w:val="20"/>
        </w:rPr>
        <w:t>834</w:t>
      </w:r>
      <w:r w:rsidR="006E702A">
        <w:rPr>
          <w:rFonts w:cs="Arial"/>
          <w:szCs w:val="20"/>
        </w:rPr>
        <w:t xml:space="preserve"> </w:t>
      </w:r>
      <w:r>
        <w:rPr>
          <w:rFonts w:cs="Arial"/>
          <w:szCs w:val="20"/>
        </w:rPr>
        <w:t>žáků</w:t>
      </w:r>
      <w:r w:rsidRPr="007B0AEE">
        <w:rPr>
          <w:rFonts w:cs="Arial"/>
          <w:szCs w:val="20"/>
        </w:rPr>
        <w:t xml:space="preserve">. </w:t>
      </w:r>
    </w:p>
    <w:p w14:paraId="21F1A5A8" w14:textId="19886FDE" w:rsidR="00FF6B7E" w:rsidRDefault="00FF6B7E" w:rsidP="00FF6B7E">
      <w:pPr>
        <w:spacing w:after="120"/>
        <w:jc w:val="both"/>
        <w:rPr>
          <w:rFonts w:cs="Arial"/>
          <w:szCs w:val="20"/>
        </w:rPr>
      </w:pPr>
      <w:r w:rsidRPr="0000782B">
        <w:rPr>
          <w:rFonts w:cs="Arial"/>
          <w:szCs w:val="20"/>
        </w:rPr>
        <w:t>V </w:t>
      </w:r>
      <w:r w:rsidRPr="009B18D8">
        <w:rPr>
          <w:rFonts w:cs="Arial"/>
          <w:b/>
          <w:szCs w:val="20"/>
        </w:rPr>
        <w:t>krajském srovnání</w:t>
      </w:r>
      <w:r w:rsidR="006E702A">
        <w:rPr>
          <w:rFonts w:cs="Arial"/>
          <w:szCs w:val="20"/>
        </w:rPr>
        <w:t xml:space="preserve"> byl ve školním roce 2021/22</w:t>
      </w:r>
      <w:r w:rsidRPr="0000782B">
        <w:rPr>
          <w:rFonts w:cs="Arial"/>
          <w:szCs w:val="20"/>
        </w:rPr>
        <w:t xml:space="preserve"> nejvyšší </w:t>
      </w:r>
      <w:r w:rsidRPr="009B18D8">
        <w:rPr>
          <w:rFonts w:cs="Arial"/>
          <w:b/>
          <w:szCs w:val="20"/>
        </w:rPr>
        <w:t>průměrný počet žáků na školu</w:t>
      </w:r>
      <w:r w:rsidR="00F8377E">
        <w:rPr>
          <w:rFonts w:cs="Arial"/>
          <w:szCs w:val="20"/>
        </w:rPr>
        <w:t xml:space="preserve"> v Praze, a sice</w:t>
      </w:r>
      <w:r w:rsidRPr="0000782B">
        <w:rPr>
          <w:rFonts w:cs="Arial"/>
          <w:szCs w:val="20"/>
        </w:rPr>
        <w:t xml:space="preserve"> </w:t>
      </w:r>
      <w:r w:rsidR="006E702A">
        <w:rPr>
          <w:rFonts w:cs="Arial"/>
          <w:szCs w:val="20"/>
        </w:rPr>
        <w:t>391,9</w:t>
      </w:r>
      <w:r w:rsidRPr="0000782B">
        <w:rPr>
          <w:rFonts w:cs="Arial"/>
          <w:szCs w:val="20"/>
        </w:rPr>
        <w:t xml:space="preserve"> </w:t>
      </w:r>
      <w:r w:rsidR="00F8377E">
        <w:rPr>
          <w:rFonts w:cs="Arial"/>
          <w:szCs w:val="20"/>
        </w:rPr>
        <w:t>žáka. Naopak</w:t>
      </w:r>
      <w:r w:rsidRPr="0000782B">
        <w:rPr>
          <w:rFonts w:cs="Arial"/>
          <w:szCs w:val="20"/>
        </w:rPr>
        <w:t xml:space="preserve"> nejméně </w:t>
      </w:r>
      <w:r>
        <w:rPr>
          <w:rFonts w:cs="Arial"/>
          <w:szCs w:val="20"/>
        </w:rPr>
        <w:t>žáků</w:t>
      </w:r>
      <w:r w:rsidRPr="0000782B">
        <w:rPr>
          <w:rFonts w:cs="Arial"/>
          <w:szCs w:val="20"/>
        </w:rPr>
        <w:t xml:space="preserve"> na školu připadá v</w:t>
      </w:r>
      <w:r>
        <w:rPr>
          <w:rFonts w:cs="Arial"/>
          <w:szCs w:val="20"/>
        </w:rPr>
        <w:t> kraji Vysočina</w:t>
      </w:r>
      <w:r w:rsidR="00F8377E">
        <w:rPr>
          <w:rFonts w:cs="Arial"/>
          <w:szCs w:val="20"/>
        </w:rPr>
        <w:t>, a sice</w:t>
      </w:r>
      <w:r w:rsidRPr="0000782B">
        <w:rPr>
          <w:rFonts w:cs="Arial"/>
          <w:szCs w:val="20"/>
        </w:rPr>
        <w:t xml:space="preserve"> </w:t>
      </w:r>
      <w:r w:rsidR="006E702A">
        <w:rPr>
          <w:rFonts w:cs="Arial"/>
          <w:szCs w:val="20"/>
        </w:rPr>
        <w:t>168,1</w:t>
      </w:r>
      <w:r w:rsidRPr="0000782B">
        <w:rPr>
          <w:rFonts w:cs="Arial"/>
          <w:szCs w:val="20"/>
        </w:rPr>
        <w:t xml:space="preserve">. Pokud jde o průměrný počet </w:t>
      </w:r>
      <w:r>
        <w:rPr>
          <w:rFonts w:cs="Arial"/>
          <w:szCs w:val="20"/>
        </w:rPr>
        <w:t xml:space="preserve">žáků </w:t>
      </w:r>
      <w:r w:rsidRPr="0000782B">
        <w:rPr>
          <w:rFonts w:cs="Arial"/>
          <w:szCs w:val="20"/>
        </w:rPr>
        <w:t xml:space="preserve">ve třídě, tak </w:t>
      </w:r>
      <w:r>
        <w:rPr>
          <w:rFonts w:cs="Arial"/>
          <w:szCs w:val="20"/>
        </w:rPr>
        <w:t xml:space="preserve">i </w:t>
      </w:r>
      <w:r w:rsidR="006E702A">
        <w:rPr>
          <w:rFonts w:cs="Arial"/>
          <w:szCs w:val="20"/>
        </w:rPr>
        <w:t>ten byl ve školním roce 2021</w:t>
      </w:r>
      <w:r w:rsidRPr="0000782B">
        <w:rPr>
          <w:rFonts w:cs="Arial"/>
          <w:szCs w:val="20"/>
        </w:rPr>
        <w:t>/</w:t>
      </w:r>
      <w:r w:rsidR="006E702A">
        <w:rPr>
          <w:rFonts w:cs="Arial"/>
          <w:szCs w:val="20"/>
        </w:rPr>
        <w:t>22</w:t>
      </w:r>
      <w:r w:rsidRPr="0000782B">
        <w:rPr>
          <w:rFonts w:cs="Arial"/>
          <w:szCs w:val="20"/>
        </w:rPr>
        <w:t xml:space="preserve"> </w:t>
      </w:r>
      <w:r>
        <w:rPr>
          <w:rFonts w:cs="Arial"/>
          <w:szCs w:val="20"/>
        </w:rPr>
        <w:t xml:space="preserve">nejvyšší </w:t>
      </w:r>
      <w:r w:rsidRPr="0000782B">
        <w:rPr>
          <w:rFonts w:cs="Arial"/>
          <w:szCs w:val="20"/>
        </w:rPr>
        <w:t>v</w:t>
      </w:r>
      <w:r>
        <w:rPr>
          <w:rFonts w:cs="Arial"/>
          <w:szCs w:val="20"/>
        </w:rPr>
        <w:t> </w:t>
      </w:r>
      <w:r w:rsidRPr="0000782B">
        <w:rPr>
          <w:rFonts w:cs="Arial"/>
          <w:szCs w:val="20"/>
        </w:rPr>
        <w:t>P</w:t>
      </w:r>
      <w:r>
        <w:rPr>
          <w:rFonts w:cs="Arial"/>
          <w:szCs w:val="20"/>
        </w:rPr>
        <w:t xml:space="preserve">raze </w:t>
      </w:r>
      <w:r w:rsidRPr="0000782B">
        <w:rPr>
          <w:rFonts w:cs="Arial"/>
          <w:szCs w:val="20"/>
        </w:rPr>
        <w:t>(2</w:t>
      </w:r>
      <w:r w:rsidR="006E702A">
        <w:rPr>
          <w:rFonts w:cs="Arial"/>
          <w:szCs w:val="20"/>
        </w:rPr>
        <w:t>0,8</w:t>
      </w:r>
      <w:r w:rsidRPr="0000782B">
        <w:rPr>
          <w:rFonts w:cs="Arial"/>
          <w:szCs w:val="20"/>
        </w:rPr>
        <w:t>). V tomto ukazateli však rozdíly mezi jednotlivými kraji neby</w:t>
      </w:r>
      <w:r w:rsidR="00F8377E">
        <w:rPr>
          <w:rFonts w:cs="Arial"/>
          <w:szCs w:val="20"/>
        </w:rPr>
        <w:t>ly nijak výrazné. N</w:t>
      </w:r>
      <w:r w:rsidRPr="0000782B">
        <w:rPr>
          <w:rFonts w:cs="Arial"/>
          <w:szCs w:val="20"/>
        </w:rPr>
        <w:t>ejnižší hodnoty</w:t>
      </w:r>
      <w:r>
        <w:rPr>
          <w:rFonts w:cs="Arial"/>
          <w:szCs w:val="20"/>
        </w:rPr>
        <w:t xml:space="preserve"> </w:t>
      </w:r>
      <w:r w:rsidRPr="0000782B">
        <w:rPr>
          <w:rFonts w:cs="Arial"/>
          <w:szCs w:val="20"/>
        </w:rPr>
        <w:t>bylo dosaženo v</w:t>
      </w:r>
      <w:r>
        <w:rPr>
          <w:rFonts w:cs="Arial"/>
          <w:szCs w:val="20"/>
        </w:rPr>
        <w:t>e Zlíns</w:t>
      </w:r>
      <w:r w:rsidR="006E702A">
        <w:rPr>
          <w:rFonts w:cs="Arial"/>
          <w:szCs w:val="20"/>
        </w:rPr>
        <w:t>kém kraji, a sice 18,1</w:t>
      </w:r>
      <w:r w:rsidR="00F8377E">
        <w:rPr>
          <w:rFonts w:cs="Arial"/>
          <w:szCs w:val="20"/>
        </w:rPr>
        <w:t xml:space="preserve"> žáka na jednu třídu</w:t>
      </w:r>
      <w:r>
        <w:rPr>
          <w:rFonts w:cs="Arial"/>
          <w:szCs w:val="20"/>
        </w:rPr>
        <w:t>.</w:t>
      </w:r>
    </w:p>
    <w:p w14:paraId="0A9DE62F" w14:textId="76050A51" w:rsidR="00845562" w:rsidRDefault="006601F2" w:rsidP="005A5387">
      <w:pPr>
        <w:keepNext/>
        <w:spacing w:after="120"/>
        <w:jc w:val="both"/>
        <w:rPr>
          <w:rFonts w:cs="Arial"/>
          <w:b/>
          <w:szCs w:val="20"/>
        </w:rPr>
      </w:pPr>
      <w:r w:rsidRPr="00FF3C6B">
        <w:rPr>
          <w:rFonts w:cs="Arial"/>
          <w:b/>
          <w:szCs w:val="20"/>
        </w:rPr>
        <w:t xml:space="preserve">Tab. </w:t>
      </w:r>
      <w:r>
        <w:rPr>
          <w:rFonts w:cs="Arial"/>
          <w:b/>
          <w:szCs w:val="20"/>
        </w:rPr>
        <w:t>2</w:t>
      </w:r>
      <w:r w:rsidRPr="00FF3C6B">
        <w:rPr>
          <w:rFonts w:cs="Arial"/>
          <w:b/>
          <w:szCs w:val="20"/>
        </w:rPr>
        <w:t>.</w:t>
      </w:r>
      <w:r>
        <w:rPr>
          <w:rFonts w:cs="Arial"/>
          <w:b/>
          <w:szCs w:val="20"/>
        </w:rPr>
        <w:t>3</w:t>
      </w:r>
      <w:r w:rsidRPr="00FF3C6B">
        <w:rPr>
          <w:rFonts w:cs="Arial"/>
          <w:b/>
          <w:szCs w:val="20"/>
        </w:rPr>
        <w:t xml:space="preserve"> </w:t>
      </w:r>
      <w:r>
        <w:rPr>
          <w:rFonts w:cs="Arial"/>
          <w:b/>
          <w:szCs w:val="20"/>
        </w:rPr>
        <w:t>Základní školy</w:t>
      </w:r>
      <w:r w:rsidRPr="00FF3C6B">
        <w:rPr>
          <w:rFonts w:cs="Arial"/>
          <w:b/>
          <w:szCs w:val="20"/>
        </w:rPr>
        <w:t xml:space="preserve"> - počet škol, tříd, </w:t>
      </w:r>
      <w:r>
        <w:rPr>
          <w:rFonts w:cs="Arial"/>
          <w:b/>
          <w:szCs w:val="20"/>
        </w:rPr>
        <w:t>žáků</w:t>
      </w:r>
      <w:r w:rsidRPr="00FF3C6B">
        <w:rPr>
          <w:rFonts w:cs="Arial"/>
          <w:b/>
          <w:szCs w:val="20"/>
        </w:rPr>
        <w:t xml:space="preserve"> a učitelů </w:t>
      </w:r>
      <w:r w:rsidR="00610DCE">
        <w:rPr>
          <w:rFonts w:cs="Arial"/>
          <w:b/>
          <w:szCs w:val="20"/>
        </w:rPr>
        <w:t>dle sídla školy</w:t>
      </w:r>
      <w:r w:rsidR="006E702A">
        <w:rPr>
          <w:rFonts w:cs="Arial"/>
          <w:b/>
          <w:szCs w:val="20"/>
        </w:rPr>
        <w:t xml:space="preserve"> (2021/22</w:t>
      </w:r>
      <w:r w:rsidRPr="00FF3C6B">
        <w:rPr>
          <w:rFonts w:cs="Arial"/>
          <w:b/>
          <w:szCs w:val="20"/>
        </w:rPr>
        <w:t>)</w:t>
      </w:r>
    </w:p>
    <w:tbl>
      <w:tblPr>
        <w:tblW w:w="9639" w:type="dxa"/>
        <w:tblLayout w:type="fixed"/>
        <w:tblCellMar>
          <w:left w:w="70" w:type="dxa"/>
          <w:right w:w="70" w:type="dxa"/>
        </w:tblCellMar>
        <w:tblLook w:val="04A0" w:firstRow="1" w:lastRow="0" w:firstColumn="1" w:lastColumn="0" w:noHBand="0" w:noVBand="1"/>
      </w:tblPr>
      <w:tblGrid>
        <w:gridCol w:w="1843"/>
        <w:gridCol w:w="779"/>
        <w:gridCol w:w="780"/>
        <w:gridCol w:w="779"/>
        <w:gridCol w:w="780"/>
        <w:gridCol w:w="780"/>
        <w:gridCol w:w="779"/>
        <w:gridCol w:w="780"/>
        <w:gridCol w:w="779"/>
        <w:gridCol w:w="780"/>
        <w:gridCol w:w="780"/>
      </w:tblGrid>
      <w:tr w:rsidR="00845562" w:rsidRPr="00845562" w14:paraId="42D4F9D4" w14:textId="77777777" w:rsidTr="00845562">
        <w:trPr>
          <w:trHeight w:val="314"/>
        </w:trPr>
        <w:tc>
          <w:tcPr>
            <w:tcW w:w="1843" w:type="dxa"/>
            <w:vMerge w:val="restart"/>
            <w:tcBorders>
              <w:top w:val="nil"/>
              <w:left w:val="nil"/>
              <w:bottom w:val="nil"/>
              <w:right w:val="nil"/>
            </w:tcBorders>
            <w:shd w:val="clear" w:color="000000" w:fill="C0504D"/>
            <w:vAlign w:val="center"/>
            <w:hideMark/>
          </w:tcPr>
          <w:p w14:paraId="20E2B8C0" w14:textId="77777777" w:rsidR="00845562" w:rsidRPr="00845562" w:rsidRDefault="00845562" w:rsidP="005A5387">
            <w:pPr>
              <w:keepNext/>
              <w:spacing w:after="0" w:line="240" w:lineRule="auto"/>
              <w:jc w:val="center"/>
              <w:rPr>
                <w:rFonts w:cs="Arial"/>
                <w:b/>
                <w:bCs/>
                <w:color w:val="FFFFFF"/>
                <w:sz w:val="16"/>
                <w:szCs w:val="16"/>
              </w:rPr>
            </w:pPr>
            <w:r w:rsidRPr="00845562">
              <w:rPr>
                <w:rFonts w:cs="Arial"/>
                <w:b/>
                <w:bCs/>
                <w:color w:val="FFFFFF"/>
                <w:sz w:val="16"/>
                <w:szCs w:val="16"/>
              </w:rPr>
              <w:t> Území</w:t>
            </w:r>
          </w:p>
        </w:tc>
        <w:tc>
          <w:tcPr>
            <w:tcW w:w="1559" w:type="dxa"/>
            <w:gridSpan w:val="2"/>
            <w:tcBorders>
              <w:top w:val="nil"/>
              <w:left w:val="single" w:sz="4" w:space="0" w:color="FFFFFF"/>
              <w:bottom w:val="nil"/>
              <w:right w:val="nil"/>
            </w:tcBorders>
            <w:shd w:val="clear" w:color="000000" w:fill="C0504D"/>
            <w:vAlign w:val="center"/>
            <w:hideMark/>
          </w:tcPr>
          <w:p w14:paraId="34D652BA" w14:textId="77777777" w:rsidR="00845562" w:rsidRPr="00845562" w:rsidRDefault="00845562" w:rsidP="005A5387">
            <w:pPr>
              <w:keepNext/>
              <w:spacing w:after="0" w:line="240" w:lineRule="auto"/>
              <w:jc w:val="center"/>
              <w:rPr>
                <w:rFonts w:cs="Arial"/>
                <w:color w:val="FFFFFF"/>
                <w:sz w:val="16"/>
                <w:szCs w:val="16"/>
              </w:rPr>
            </w:pPr>
            <w:r w:rsidRPr="00845562">
              <w:rPr>
                <w:rFonts w:cs="Arial"/>
                <w:color w:val="FFFFFF"/>
                <w:sz w:val="16"/>
                <w:szCs w:val="16"/>
              </w:rPr>
              <w:t>Školy</w:t>
            </w:r>
          </w:p>
        </w:tc>
        <w:tc>
          <w:tcPr>
            <w:tcW w:w="1559" w:type="dxa"/>
            <w:gridSpan w:val="2"/>
            <w:tcBorders>
              <w:top w:val="nil"/>
              <w:left w:val="single" w:sz="4" w:space="0" w:color="FFFFFF"/>
              <w:bottom w:val="nil"/>
              <w:right w:val="nil"/>
            </w:tcBorders>
            <w:shd w:val="clear" w:color="000000" w:fill="C0504D"/>
            <w:vAlign w:val="center"/>
            <w:hideMark/>
          </w:tcPr>
          <w:p w14:paraId="1D306D28" w14:textId="77777777" w:rsidR="00845562" w:rsidRPr="00845562" w:rsidRDefault="00845562" w:rsidP="005A5387">
            <w:pPr>
              <w:keepNext/>
              <w:spacing w:after="0" w:line="240" w:lineRule="auto"/>
              <w:jc w:val="center"/>
              <w:rPr>
                <w:rFonts w:cs="Arial"/>
                <w:b/>
                <w:bCs/>
                <w:color w:val="FFFFFF"/>
                <w:sz w:val="16"/>
                <w:szCs w:val="16"/>
              </w:rPr>
            </w:pPr>
            <w:r w:rsidRPr="00845562">
              <w:rPr>
                <w:rFonts w:cs="Arial"/>
                <w:b/>
                <w:bCs/>
                <w:color w:val="FFFFFF"/>
                <w:sz w:val="16"/>
                <w:szCs w:val="16"/>
              </w:rPr>
              <w:t>Třídy</w:t>
            </w:r>
          </w:p>
        </w:tc>
        <w:tc>
          <w:tcPr>
            <w:tcW w:w="1559" w:type="dxa"/>
            <w:gridSpan w:val="2"/>
            <w:tcBorders>
              <w:top w:val="nil"/>
              <w:left w:val="single" w:sz="4" w:space="0" w:color="FFFFFF"/>
              <w:bottom w:val="nil"/>
              <w:right w:val="single" w:sz="4" w:space="0" w:color="FFFFFF"/>
            </w:tcBorders>
            <w:shd w:val="clear" w:color="000000" w:fill="C0504D"/>
            <w:vAlign w:val="center"/>
            <w:hideMark/>
          </w:tcPr>
          <w:p w14:paraId="65D86B39" w14:textId="77777777" w:rsidR="00845562" w:rsidRPr="00845562" w:rsidRDefault="00845562" w:rsidP="005A5387">
            <w:pPr>
              <w:keepNext/>
              <w:spacing w:after="0" w:line="240" w:lineRule="auto"/>
              <w:jc w:val="center"/>
              <w:rPr>
                <w:rFonts w:cs="Arial"/>
                <w:b/>
                <w:bCs/>
                <w:color w:val="FFFFFF"/>
                <w:sz w:val="16"/>
                <w:szCs w:val="16"/>
              </w:rPr>
            </w:pPr>
            <w:r w:rsidRPr="00845562">
              <w:rPr>
                <w:rFonts w:cs="Arial"/>
                <w:b/>
                <w:bCs/>
                <w:color w:val="FFFFFF"/>
                <w:sz w:val="16"/>
                <w:szCs w:val="16"/>
              </w:rPr>
              <w:t>Žáci</w:t>
            </w:r>
          </w:p>
        </w:tc>
        <w:tc>
          <w:tcPr>
            <w:tcW w:w="1559" w:type="dxa"/>
            <w:gridSpan w:val="2"/>
            <w:tcBorders>
              <w:top w:val="nil"/>
              <w:left w:val="nil"/>
              <w:bottom w:val="nil"/>
              <w:right w:val="nil"/>
            </w:tcBorders>
            <w:shd w:val="clear" w:color="000000" w:fill="C0504D"/>
            <w:vAlign w:val="center"/>
            <w:hideMark/>
          </w:tcPr>
          <w:p w14:paraId="3A9665CA" w14:textId="77777777" w:rsidR="00845562" w:rsidRPr="00845562" w:rsidRDefault="00845562" w:rsidP="005A5387">
            <w:pPr>
              <w:keepNext/>
              <w:spacing w:after="0" w:line="240" w:lineRule="auto"/>
              <w:jc w:val="center"/>
              <w:rPr>
                <w:rFonts w:cs="Arial"/>
                <w:b/>
                <w:bCs/>
                <w:color w:val="FFFFFF"/>
                <w:sz w:val="16"/>
                <w:szCs w:val="16"/>
              </w:rPr>
            </w:pPr>
            <w:r w:rsidRPr="00845562">
              <w:rPr>
                <w:rFonts w:cs="Arial"/>
                <w:b/>
                <w:bCs/>
                <w:color w:val="FFFFFF"/>
                <w:sz w:val="16"/>
                <w:szCs w:val="16"/>
              </w:rPr>
              <w:t>Učitelé</w:t>
            </w:r>
            <w:r w:rsidRPr="00845562">
              <w:rPr>
                <w:rFonts w:cs="Arial"/>
                <w:b/>
                <w:bCs/>
                <w:color w:val="FFFFFF"/>
                <w:sz w:val="16"/>
                <w:szCs w:val="16"/>
                <w:vertAlign w:val="superscript"/>
              </w:rPr>
              <w:t>1)</w:t>
            </w:r>
          </w:p>
        </w:tc>
        <w:tc>
          <w:tcPr>
            <w:tcW w:w="1560" w:type="dxa"/>
            <w:gridSpan w:val="2"/>
            <w:tcBorders>
              <w:top w:val="nil"/>
              <w:left w:val="single" w:sz="4" w:space="0" w:color="FFFFFF"/>
              <w:bottom w:val="nil"/>
              <w:right w:val="nil"/>
            </w:tcBorders>
            <w:shd w:val="clear" w:color="000000" w:fill="C0504D"/>
            <w:vAlign w:val="center"/>
            <w:hideMark/>
          </w:tcPr>
          <w:p w14:paraId="36CBC86E" w14:textId="77777777" w:rsidR="00845562" w:rsidRPr="00845562" w:rsidRDefault="00845562" w:rsidP="005A5387">
            <w:pPr>
              <w:keepNext/>
              <w:spacing w:after="0" w:line="240" w:lineRule="auto"/>
              <w:jc w:val="center"/>
              <w:rPr>
                <w:rFonts w:cs="Arial"/>
                <w:b/>
                <w:bCs/>
                <w:color w:val="FFFFFF"/>
                <w:sz w:val="16"/>
                <w:szCs w:val="16"/>
              </w:rPr>
            </w:pPr>
            <w:r w:rsidRPr="00845562">
              <w:rPr>
                <w:rFonts w:cs="Arial"/>
                <w:b/>
                <w:bCs/>
                <w:color w:val="FFFFFF"/>
                <w:sz w:val="16"/>
                <w:szCs w:val="16"/>
              </w:rPr>
              <w:t>počet žáků na 1:</w:t>
            </w:r>
          </w:p>
        </w:tc>
      </w:tr>
      <w:tr w:rsidR="00845562" w:rsidRPr="00845562" w14:paraId="463DA664" w14:textId="77777777" w:rsidTr="00845562">
        <w:trPr>
          <w:trHeight w:val="314"/>
        </w:trPr>
        <w:tc>
          <w:tcPr>
            <w:tcW w:w="1843" w:type="dxa"/>
            <w:vMerge/>
            <w:tcBorders>
              <w:top w:val="nil"/>
              <w:left w:val="nil"/>
              <w:bottom w:val="nil"/>
              <w:right w:val="nil"/>
            </w:tcBorders>
            <w:vAlign w:val="center"/>
            <w:hideMark/>
          </w:tcPr>
          <w:p w14:paraId="7F8119FF" w14:textId="77777777" w:rsidR="00845562" w:rsidRPr="00845562" w:rsidRDefault="00845562" w:rsidP="005A5387">
            <w:pPr>
              <w:keepNext/>
              <w:spacing w:after="0" w:line="240" w:lineRule="auto"/>
              <w:rPr>
                <w:rFonts w:cs="Arial"/>
                <w:b/>
                <w:bCs/>
                <w:color w:val="FFFFFF"/>
                <w:sz w:val="16"/>
                <w:szCs w:val="16"/>
              </w:rPr>
            </w:pPr>
          </w:p>
        </w:tc>
        <w:tc>
          <w:tcPr>
            <w:tcW w:w="779" w:type="dxa"/>
            <w:tcBorders>
              <w:top w:val="nil"/>
              <w:left w:val="nil"/>
              <w:bottom w:val="single" w:sz="8" w:space="0" w:color="D99594"/>
              <w:right w:val="single" w:sz="8" w:space="0" w:color="D99594"/>
            </w:tcBorders>
            <w:shd w:val="clear" w:color="000000" w:fill="F2DBDB"/>
            <w:noWrap/>
            <w:vAlign w:val="center"/>
            <w:hideMark/>
          </w:tcPr>
          <w:p w14:paraId="16CF3FA1" w14:textId="77777777" w:rsidR="00845562" w:rsidRPr="00845562" w:rsidRDefault="00845562" w:rsidP="005A5387">
            <w:pPr>
              <w:keepNext/>
              <w:spacing w:after="0" w:line="240" w:lineRule="auto"/>
              <w:jc w:val="center"/>
              <w:rPr>
                <w:rFonts w:cs="Arial"/>
                <w:color w:val="000000"/>
                <w:sz w:val="16"/>
                <w:szCs w:val="16"/>
              </w:rPr>
            </w:pPr>
            <w:r w:rsidRPr="00845562">
              <w:rPr>
                <w:rFonts w:cs="Arial"/>
                <w:color w:val="000000"/>
                <w:sz w:val="16"/>
                <w:szCs w:val="16"/>
                <w:lang w:eastAsia="en-US"/>
              </w:rPr>
              <w:t>Abs.</w:t>
            </w:r>
          </w:p>
        </w:tc>
        <w:tc>
          <w:tcPr>
            <w:tcW w:w="780" w:type="dxa"/>
            <w:tcBorders>
              <w:top w:val="nil"/>
              <w:left w:val="nil"/>
              <w:bottom w:val="single" w:sz="8" w:space="0" w:color="D99594"/>
              <w:right w:val="single" w:sz="8" w:space="0" w:color="D99594"/>
            </w:tcBorders>
            <w:shd w:val="clear" w:color="000000" w:fill="F2DBDB"/>
            <w:noWrap/>
            <w:vAlign w:val="center"/>
            <w:hideMark/>
          </w:tcPr>
          <w:p w14:paraId="27C8BDDC" w14:textId="77777777" w:rsidR="00845562" w:rsidRPr="00845562" w:rsidRDefault="00845562" w:rsidP="005A5387">
            <w:pPr>
              <w:keepNext/>
              <w:spacing w:after="0" w:line="240" w:lineRule="auto"/>
              <w:jc w:val="center"/>
              <w:rPr>
                <w:rFonts w:cs="Arial"/>
                <w:color w:val="000000"/>
                <w:sz w:val="16"/>
                <w:szCs w:val="16"/>
              </w:rPr>
            </w:pPr>
            <w:r w:rsidRPr="00845562">
              <w:rPr>
                <w:rFonts w:cs="Arial"/>
                <w:color w:val="000000"/>
                <w:sz w:val="16"/>
                <w:szCs w:val="16"/>
                <w:lang w:eastAsia="en-US"/>
              </w:rPr>
              <w:t>%</w:t>
            </w:r>
          </w:p>
        </w:tc>
        <w:tc>
          <w:tcPr>
            <w:tcW w:w="779" w:type="dxa"/>
            <w:tcBorders>
              <w:top w:val="nil"/>
              <w:left w:val="nil"/>
              <w:bottom w:val="single" w:sz="8" w:space="0" w:color="D99594"/>
              <w:right w:val="single" w:sz="8" w:space="0" w:color="D99594"/>
            </w:tcBorders>
            <w:shd w:val="clear" w:color="000000" w:fill="F2DBDB"/>
            <w:noWrap/>
            <w:vAlign w:val="center"/>
            <w:hideMark/>
          </w:tcPr>
          <w:p w14:paraId="5B286781" w14:textId="77777777" w:rsidR="00845562" w:rsidRPr="00845562" w:rsidRDefault="00845562" w:rsidP="005A5387">
            <w:pPr>
              <w:keepNext/>
              <w:spacing w:after="0" w:line="240" w:lineRule="auto"/>
              <w:jc w:val="center"/>
              <w:rPr>
                <w:rFonts w:cs="Arial"/>
                <w:color w:val="000000"/>
                <w:sz w:val="16"/>
                <w:szCs w:val="16"/>
              </w:rPr>
            </w:pPr>
            <w:r w:rsidRPr="00845562">
              <w:rPr>
                <w:rFonts w:cs="Arial"/>
                <w:color w:val="000000"/>
                <w:sz w:val="16"/>
                <w:szCs w:val="16"/>
                <w:lang w:eastAsia="en-US"/>
              </w:rPr>
              <w:t>Abs.</w:t>
            </w:r>
          </w:p>
        </w:tc>
        <w:tc>
          <w:tcPr>
            <w:tcW w:w="780" w:type="dxa"/>
            <w:tcBorders>
              <w:top w:val="nil"/>
              <w:left w:val="nil"/>
              <w:bottom w:val="single" w:sz="8" w:space="0" w:color="D99594"/>
              <w:right w:val="single" w:sz="8" w:space="0" w:color="D99594"/>
            </w:tcBorders>
            <w:shd w:val="clear" w:color="000000" w:fill="F2DBDB"/>
            <w:noWrap/>
            <w:vAlign w:val="center"/>
            <w:hideMark/>
          </w:tcPr>
          <w:p w14:paraId="38179DC0" w14:textId="77777777" w:rsidR="00845562" w:rsidRPr="00845562" w:rsidRDefault="00845562" w:rsidP="005A5387">
            <w:pPr>
              <w:keepNext/>
              <w:spacing w:after="0" w:line="240" w:lineRule="auto"/>
              <w:jc w:val="center"/>
              <w:rPr>
                <w:rFonts w:cs="Arial"/>
                <w:color w:val="000000"/>
                <w:sz w:val="16"/>
                <w:szCs w:val="16"/>
              </w:rPr>
            </w:pPr>
            <w:r w:rsidRPr="00845562">
              <w:rPr>
                <w:rFonts w:cs="Arial"/>
                <w:color w:val="000000"/>
                <w:sz w:val="16"/>
                <w:szCs w:val="16"/>
                <w:lang w:eastAsia="en-US"/>
              </w:rPr>
              <w:t>%</w:t>
            </w:r>
          </w:p>
        </w:tc>
        <w:tc>
          <w:tcPr>
            <w:tcW w:w="780" w:type="dxa"/>
            <w:tcBorders>
              <w:top w:val="nil"/>
              <w:left w:val="nil"/>
              <w:bottom w:val="single" w:sz="8" w:space="0" w:color="D99594"/>
              <w:right w:val="single" w:sz="8" w:space="0" w:color="D99594"/>
            </w:tcBorders>
            <w:shd w:val="clear" w:color="000000" w:fill="F2DBDB"/>
            <w:noWrap/>
            <w:vAlign w:val="center"/>
            <w:hideMark/>
          </w:tcPr>
          <w:p w14:paraId="7D0B9913" w14:textId="77777777" w:rsidR="00845562" w:rsidRPr="00845562" w:rsidRDefault="00845562" w:rsidP="005A5387">
            <w:pPr>
              <w:keepNext/>
              <w:spacing w:after="0" w:line="240" w:lineRule="auto"/>
              <w:jc w:val="center"/>
              <w:rPr>
                <w:rFonts w:cs="Arial"/>
                <w:color w:val="000000"/>
                <w:sz w:val="16"/>
                <w:szCs w:val="16"/>
              </w:rPr>
            </w:pPr>
            <w:r w:rsidRPr="00845562">
              <w:rPr>
                <w:rFonts w:cs="Arial"/>
                <w:color w:val="000000"/>
                <w:sz w:val="16"/>
                <w:szCs w:val="16"/>
                <w:lang w:eastAsia="en-US"/>
              </w:rPr>
              <w:t>Abs.</w:t>
            </w:r>
          </w:p>
        </w:tc>
        <w:tc>
          <w:tcPr>
            <w:tcW w:w="779" w:type="dxa"/>
            <w:tcBorders>
              <w:top w:val="nil"/>
              <w:left w:val="nil"/>
              <w:bottom w:val="single" w:sz="8" w:space="0" w:color="D99594"/>
              <w:right w:val="single" w:sz="8" w:space="0" w:color="D99594"/>
            </w:tcBorders>
            <w:shd w:val="clear" w:color="000000" w:fill="F2DBDB"/>
            <w:noWrap/>
            <w:vAlign w:val="center"/>
            <w:hideMark/>
          </w:tcPr>
          <w:p w14:paraId="40FC754C" w14:textId="77777777" w:rsidR="00845562" w:rsidRPr="00845562" w:rsidRDefault="00845562" w:rsidP="005A5387">
            <w:pPr>
              <w:keepNext/>
              <w:spacing w:after="0" w:line="240" w:lineRule="auto"/>
              <w:jc w:val="center"/>
              <w:rPr>
                <w:rFonts w:cs="Arial"/>
                <w:color w:val="000000"/>
                <w:sz w:val="16"/>
                <w:szCs w:val="16"/>
              </w:rPr>
            </w:pPr>
            <w:r w:rsidRPr="00845562">
              <w:rPr>
                <w:rFonts w:cs="Arial"/>
                <w:color w:val="000000"/>
                <w:sz w:val="16"/>
                <w:szCs w:val="16"/>
                <w:lang w:eastAsia="en-US"/>
              </w:rPr>
              <w:t>%</w:t>
            </w:r>
          </w:p>
        </w:tc>
        <w:tc>
          <w:tcPr>
            <w:tcW w:w="780" w:type="dxa"/>
            <w:tcBorders>
              <w:top w:val="nil"/>
              <w:left w:val="nil"/>
              <w:bottom w:val="single" w:sz="8" w:space="0" w:color="D99594"/>
              <w:right w:val="single" w:sz="8" w:space="0" w:color="D99594"/>
            </w:tcBorders>
            <w:shd w:val="clear" w:color="000000" w:fill="F2DBDB"/>
            <w:noWrap/>
            <w:vAlign w:val="center"/>
            <w:hideMark/>
          </w:tcPr>
          <w:p w14:paraId="302CC724" w14:textId="77777777" w:rsidR="00845562" w:rsidRPr="00845562" w:rsidRDefault="00845562" w:rsidP="005A5387">
            <w:pPr>
              <w:keepNext/>
              <w:spacing w:after="0" w:line="240" w:lineRule="auto"/>
              <w:jc w:val="center"/>
              <w:rPr>
                <w:rFonts w:cs="Arial"/>
                <w:color w:val="000000"/>
                <w:sz w:val="16"/>
                <w:szCs w:val="16"/>
              </w:rPr>
            </w:pPr>
            <w:r w:rsidRPr="00845562">
              <w:rPr>
                <w:rFonts w:cs="Arial"/>
                <w:color w:val="000000"/>
                <w:sz w:val="16"/>
                <w:szCs w:val="16"/>
                <w:lang w:eastAsia="en-US"/>
              </w:rPr>
              <w:t>Abs.</w:t>
            </w:r>
          </w:p>
        </w:tc>
        <w:tc>
          <w:tcPr>
            <w:tcW w:w="779" w:type="dxa"/>
            <w:tcBorders>
              <w:top w:val="nil"/>
              <w:left w:val="nil"/>
              <w:bottom w:val="single" w:sz="8" w:space="0" w:color="D99594"/>
              <w:right w:val="single" w:sz="8" w:space="0" w:color="D99594"/>
            </w:tcBorders>
            <w:shd w:val="clear" w:color="000000" w:fill="F2DBDB"/>
            <w:noWrap/>
            <w:vAlign w:val="center"/>
            <w:hideMark/>
          </w:tcPr>
          <w:p w14:paraId="40E08473" w14:textId="77777777" w:rsidR="00845562" w:rsidRPr="00845562" w:rsidRDefault="00845562" w:rsidP="005A5387">
            <w:pPr>
              <w:keepNext/>
              <w:spacing w:after="0" w:line="240" w:lineRule="auto"/>
              <w:jc w:val="center"/>
              <w:rPr>
                <w:rFonts w:cs="Arial"/>
                <w:color w:val="000000"/>
                <w:sz w:val="16"/>
                <w:szCs w:val="16"/>
              </w:rPr>
            </w:pPr>
            <w:r w:rsidRPr="00845562">
              <w:rPr>
                <w:rFonts w:cs="Arial"/>
                <w:color w:val="000000"/>
                <w:sz w:val="16"/>
                <w:szCs w:val="16"/>
                <w:lang w:eastAsia="en-US"/>
              </w:rPr>
              <w:t>%</w:t>
            </w:r>
          </w:p>
        </w:tc>
        <w:tc>
          <w:tcPr>
            <w:tcW w:w="780" w:type="dxa"/>
            <w:tcBorders>
              <w:top w:val="nil"/>
              <w:left w:val="nil"/>
              <w:bottom w:val="single" w:sz="8" w:space="0" w:color="D99594"/>
              <w:right w:val="single" w:sz="8" w:space="0" w:color="D99594"/>
            </w:tcBorders>
            <w:shd w:val="clear" w:color="000000" w:fill="F2DBDB"/>
            <w:noWrap/>
            <w:vAlign w:val="center"/>
            <w:hideMark/>
          </w:tcPr>
          <w:p w14:paraId="0045F77D" w14:textId="77777777" w:rsidR="00845562" w:rsidRPr="00845562" w:rsidRDefault="00845562" w:rsidP="005A5387">
            <w:pPr>
              <w:keepNext/>
              <w:spacing w:after="0" w:line="240" w:lineRule="auto"/>
              <w:jc w:val="center"/>
              <w:rPr>
                <w:rFonts w:cs="Arial"/>
                <w:color w:val="000000"/>
                <w:sz w:val="16"/>
                <w:szCs w:val="16"/>
              </w:rPr>
            </w:pPr>
            <w:r w:rsidRPr="00845562">
              <w:rPr>
                <w:rFonts w:cs="Arial"/>
                <w:color w:val="000000"/>
                <w:sz w:val="16"/>
                <w:szCs w:val="16"/>
                <w:lang w:eastAsia="en-US"/>
              </w:rPr>
              <w:t>třídu</w:t>
            </w:r>
          </w:p>
        </w:tc>
        <w:tc>
          <w:tcPr>
            <w:tcW w:w="780" w:type="dxa"/>
            <w:tcBorders>
              <w:top w:val="nil"/>
              <w:left w:val="nil"/>
              <w:bottom w:val="single" w:sz="8" w:space="0" w:color="D99594"/>
              <w:right w:val="single" w:sz="8" w:space="0" w:color="D99594"/>
            </w:tcBorders>
            <w:shd w:val="clear" w:color="000000" w:fill="F2DBDB"/>
            <w:noWrap/>
            <w:vAlign w:val="center"/>
            <w:hideMark/>
          </w:tcPr>
          <w:p w14:paraId="1734235F" w14:textId="77777777" w:rsidR="00845562" w:rsidRPr="00845562" w:rsidRDefault="00845562" w:rsidP="005A5387">
            <w:pPr>
              <w:keepNext/>
              <w:spacing w:after="0" w:line="240" w:lineRule="auto"/>
              <w:jc w:val="center"/>
              <w:rPr>
                <w:rFonts w:cs="Arial"/>
                <w:color w:val="000000"/>
                <w:sz w:val="16"/>
                <w:szCs w:val="16"/>
              </w:rPr>
            </w:pPr>
            <w:r w:rsidRPr="00845562">
              <w:rPr>
                <w:rFonts w:cs="Arial"/>
                <w:color w:val="000000"/>
                <w:sz w:val="16"/>
                <w:szCs w:val="16"/>
                <w:lang w:eastAsia="en-US"/>
              </w:rPr>
              <w:t>učitele</w:t>
            </w:r>
          </w:p>
        </w:tc>
      </w:tr>
      <w:tr w:rsidR="00845562" w:rsidRPr="00845562" w14:paraId="7097F206" w14:textId="77777777" w:rsidTr="00845562">
        <w:trPr>
          <w:trHeight w:val="314"/>
        </w:trPr>
        <w:tc>
          <w:tcPr>
            <w:tcW w:w="1843" w:type="dxa"/>
            <w:tcBorders>
              <w:top w:val="nil"/>
              <w:left w:val="single" w:sz="8" w:space="0" w:color="D99594"/>
              <w:bottom w:val="single" w:sz="8" w:space="0" w:color="D99594"/>
              <w:right w:val="single" w:sz="8" w:space="0" w:color="D99594"/>
            </w:tcBorders>
            <w:shd w:val="clear" w:color="auto" w:fill="auto"/>
            <w:vAlign w:val="center"/>
            <w:hideMark/>
          </w:tcPr>
          <w:p w14:paraId="462518FC" w14:textId="77777777" w:rsidR="00845562" w:rsidRPr="00845562" w:rsidRDefault="00845562" w:rsidP="005A5387">
            <w:pPr>
              <w:keepNext/>
              <w:spacing w:after="0" w:line="240" w:lineRule="auto"/>
              <w:rPr>
                <w:rFonts w:cs="Arial"/>
                <w:b/>
                <w:bCs/>
                <w:color w:val="000000"/>
                <w:sz w:val="16"/>
                <w:szCs w:val="16"/>
              </w:rPr>
            </w:pPr>
            <w:r w:rsidRPr="00845562">
              <w:rPr>
                <w:rFonts w:cs="Arial"/>
                <w:b/>
                <w:bCs/>
                <w:color w:val="000000"/>
                <w:sz w:val="16"/>
                <w:szCs w:val="16"/>
                <w:lang w:eastAsia="en-US"/>
              </w:rPr>
              <w:t>Česká republika</w:t>
            </w:r>
          </w:p>
        </w:tc>
        <w:tc>
          <w:tcPr>
            <w:tcW w:w="779" w:type="dxa"/>
            <w:tcBorders>
              <w:top w:val="nil"/>
              <w:left w:val="nil"/>
              <w:bottom w:val="single" w:sz="8" w:space="0" w:color="D99594"/>
              <w:right w:val="single" w:sz="8" w:space="0" w:color="D99594"/>
            </w:tcBorders>
            <w:shd w:val="clear" w:color="auto" w:fill="auto"/>
            <w:noWrap/>
            <w:vAlign w:val="center"/>
            <w:hideMark/>
          </w:tcPr>
          <w:p w14:paraId="183C529E" w14:textId="77777777" w:rsidR="00845562" w:rsidRPr="00845562" w:rsidRDefault="00845562" w:rsidP="005A5387">
            <w:pPr>
              <w:keepNext/>
              <w:spacing w:after="0" w:line="240" w:lineRule="auto"/>
              <w:jc w:val="right"/>
              <w:rPr>
                <w:rFonts w:cs="Arial"/>
                <w:b/>
                <w:bCs/>
                <w:color w:val="000000"/>
                <w:sz w:val="16"/>
                <w:szCs w:val="16"/>
              </w:rPr>
            </w:pPr>
            <w:r w:rsidRPr="00845562">
              <w:rPr>
                <w:rFonts w:cs="Arial"/>
                <w:b/>
                <w:bCs/>
                <w:color w:val="000000"/>
                <w:sz w:val="16"/>
                <w:szCs w:val="16"/>
              </w:rPr>
              <w:t>4 238</w:t>
            </w:r>
          </w:p>
        </w:tc>
        <w:tc>
          <w:tcPr>
            <w:tcW w:w="780" w:type="dxa"/>
            <w:tcBorders>
              <w:top w:val="nil"/>
              <w:left w:val="nil"/>
              <w:bottom w:val="single" w:sz="8" w:space="0" w:color="D99594"/>
              <w:right w:val="single" w:sz="8" w:space="0" w:color="D99594"/>
            </w:tcBorders>
            <w:shd w:val="clear" w:color="auto" w:fill="auto"/>
            <w:noWrap/>
            <w:vAlign w:val="center"/>
            <w:hideMark/>
          </w:tcPr>
          <w:p w14:paraId="5D3A2D6C" w14:textId="77777777" w:rsidR="00845562" w:rsidRPr="00845562" w:rsidRDefault="00845562" w:rsidP="005A5387">
            <w:pPr>
              <w:keepNext/>
              <w:spacing w:after="0" w:line="240" w:lineRule="auto"/>
              <w:jc w:val="right"/>
              <w:rPr>
                <w:rFonts w:cs="Arial"/>
                <w:b/>
                <w:bCs/>
                <w:color w:val="000000"/>
                <w:sz w:val="16"/>
                <w:szCs w:val="16"/>
              </w:rPr>
            </w:pPr>
            <w:r w:rsidRPr="00845562">
              <w:rPr>
                <w:rFonts w:cs="Arial"/>
                <w:b/>
                <w:bCs/>
                <w:color w:val="000000"/>
                <w:sz w:val="16"/>
                <w:szCs w:val="16"/>
              </w:rPr>
              <w:t>100</w:t>
            </w:r>
          </w:p>
        </w:tc>
        <w:tc>
          <w:tcPr>
            <w:tcW w:w="779" w:type="dxa"/>
            <w:tcBorders>
              <w:top w:val="nil"/>
              <w:left w:val="nil"/>
              <w:bottom w:val="single" w:sz="8" w:space="0" w:color="D99594"/>
              <w:right w:val="single" w:sz="8" w:space="0" w:color="D99594"/>
            </w:tcBorders>
            <w:shd w:val="clear" w:color="auto" w:fill="auto"/>
            <w:noWrap/>
            <w:vAlign w:val="center"/>
            <w:hideMark/>
          </w:tcPr>
          <w:p w14:paraId="1BED60A7" w14:textId="77777777" w:rsidR="00845562" w:rsidRPr="00845562" w:rsidRDefault="00845562" w:rsidP="005A5387">
            <w:pPr>
              <w:keepNext/>
              <w:spacing w:after="0" w:line="240" w:lineRule="auto"/>
              <w:jc w:val="right"/>
              <w:rPr>
                <w:rFonts w:cs="Arial"/>
                <w:b/>
                <w:bCs/>
                <w:color w:val="000000"/>
                <w:sz w:val="16"/>
                <w:szCs w:val="16"/>
              </w:rPr>
            </w:pPr>
            <w:r w:rsidRPr="00845562">
              <w:rPr>
                <w:rFonts w:cs="Arial"/>
                <w:b/>
                <w:bCs/>
                <w:color w:val="000000"/>
                <w:sz w:val="16"/>
                <w:szCs w:val="16"/>
              </w:rPr>
              <w:t>50 050</w:t>
            </w:r>
          </w:p>
        </w:tc>
        <w:tc>
          <w:tcPr>
            <w:tcW w:w="780" w:type="dxa"/>
            <w:tcBorders>
              <w:top w:val="nil"/>
              <w:left w:val="nil"/>
              <w:bottom w:val="single" w:sz="8" w:space="0" w:color="D99594"/>
              <w:right w:val="single" w:sz="8" w:space="0" w:color="D99594"/>
            </w:tcBorders>
            <w:shd w:val="clear" w:color="auto" w:fill="auto"/>
            <w:noWrap/>
            <w:vAlign w:val="center"/>
            <w:hideMark/>
          </w:tcPr>
          <w:p w14:paraId="7CA1A707" w14:textId="77777777" w:rsidR="00845562" w:rsidRPr="00845562" w:rsidRDefault="00845562" w:rsidP="005A5387">
            <w:pPr>
              <w:keepNext/>
              <w:spacing w:after="0" w:line="240" w:lineRule="auto"/>
              <w:jc w:val="right"/>
              <w:rPr>
                <w:rFonts w:cs="Arial"/>
                <w:b/>
                <w:bCs/>
                <w:color w:val="000000"/>
                <w:sz w:val="16"/>
                <w:szCs w:val="16"/>
              </w:rPr>
            </w:pPr>
            <w:r w:rsidRPr="00845562">
              <w:rPr>
                <w:rFonts w:cs="Arial"/>
                <w:b/>
                <w:bCs/>
                <w:color w:val="000000"/>
                <w:sz w:val="16"/>
                <w:szCs w:val="16"/>
              </w:rPr>
              <w:t>100</w:t>
            </w:r>
          </w:p>
        </w:tc>
        <w:tc>
          <w:tcPr>
            <w:tcW w:w="780" w:type="dxa"/>
            <w:tcBorders>
              <w:top w:val="nil"/>
              <w:left w:val="nil"/>
              <w:bottom w:val="single" w:sz="8" w:space="0" w:color="D99594"/>
              <w:right w:val="single" w:sz="8" w:space="0" w:color="D99594"/>
            </w:tcBorders>
            <w:shd w:val="clear" w:color="auto" w:fill="auto"/>
            <w:noWrap/>
            <w:vAlign w:val="center"/>
            <w:hideMark/>
          </w:tcPr>
          <w:p w14:paraId="6091B8DE" w14:textId="77777777" w:rsidR="00845562" w:rsidRPr="00845562" w:rsidRDefault="00845562" w:rsidP="005A5387">
            <w:pPr>
              <w:keepNext/>
              <w:spacing w:after="0" w:line="240" w:lineRule="auto"/>
              <w:jc w:val="right"/>
              <w:rPr>
                <w:rFonts w:cs="Arial"/>
                <w:b/>
                <w:bCs/>
                <w:color w:val="000000"/>
                <w:sz w:val="16"/>
                <w:szCs w:val="16"/>
              </w:rPr>
            </w:pPr>
            <w:r w:rsidRPr="00845562">
              <w:rPr>
                <w:rFonts w:cs="Arial"/>
                <w:b/>
                <w:bCs/>
                <w:color w:val="000000"/>
                <w:sz w:val="16"/>
                <w:szCs w:val="16"/>
              </w:rPr>
              <w:t>964 571</w:t>
            </w:r>
          </w:p>
        </w:tc>
        <w:tc>
          <w:tcPr>
            <w:tcW w:w="779" w:type="dxa"/>
            <w:tcBorders>
              <w:top w:val="nil"/>
              <w:left w:val="nil"/>
              <w:bottom w:val="single" w:sz="8" w:space="0" w:color="D99594"/>
              <w:right w:val="single" w:sz="8" w:space="0" w:color="D99594"/>
            </w:tcBorders>
            <w:shd w:val="clear" w:color="auto" w:fill="auto"/>
            <w:noWrap/>
            <w:vAlign w:val="center"/>
            <w:hideMark/>
          </w:tcPr>
          <w:p w14:paraId="516E0A45" w14:textId="77777777" w:rsidR="00845562" w:rsidRPr="00845562" w:rsidRDefault="00845562" w:rsidP="005A5387">
            <w:pPr>
              <w:keepNext/>
              <w:spacing w:after="0" w:line="240" w:lineRule="auto"/>
              <w:jc w:val="right"/>
              <w:rPr>
                <w:rFonts w:cs="Arial"/>
                <w:b/>
                <w:bCs/>
                <w:color w:val="000000"/>
                <w:sz w:val="16"/>
                <w:szCs w:val="16"/>
              </w:rPr>
            </w:pPr>
            <w:r w:rsidRPr="00845562">
              <w:rPr>
                <w:rFonts w:cs="Arial"/>
                <w:b/>
                <w:bCs/>
                <w:color w:val="000000"/>
                <w:sz w:val="16"/>
                <w:szCs w:val="16"/>
              </w:rPr>
              <w:t>100</w:t>
            </w:r>
          </w:p>
        </w:tc>
        <w:tc>
          <w:tcPr>
            <w:tcW w:w="780" w:type="dxa"/>
            <w:tcBorders>
              <w:top w:val="nil"/>
              <w:left w:val="nil"/>
              <w:bottom w:val="single" w:sz="8" w:space="0" w:color="D99594"/>
              <w:right w:val="single" w:sz="8" w:space="0" w:color="D99594"/>
            </w:tcBorders>
            <w:shd w:val="clear" w:color="auto" w:fill="auto"/>
            <w:noWrap/>
            <w:vAlign w:val="center"/>
            <w:hideMark/>
          </w:tcPr>
          <w:p w14:paraId="058CC8F2" w14:textId="77777777" w:rsidR="00845562" w:rsidRPr="00845562" w:rsidRDefault="00845562" w:rsidP="005A5387">
            <w:pPr>
              <w:keepNext/>
              <w:spacing w:after="0" w:line="240" w:lineRule="auto"/>
              <w:jc w:val="right"/>
              <w:rPr>
                <w:rFonts w:cs="Arial"/>
                <w:b/>
                <w:bCs/>
                <w:color w:val="000000"/>
                <w:sz w:val="16"/>
                <w:szCs w:val="16"/>
              </w:rPr>
            </w:pPr>
            <w:r w:rsidRPr="00845562">
              <w:rPr>
                <w:rFonts w:cs="Arial"/>
                <w:b/>
                <w:bCs/>
                <w:color w:val="000000"/>
                <w:sz w:val="16"/>
                <w:szCs w:val="16"/>
              </w:rPr>
              <w:t>71 325</w:t>
            </w:r>
          </w:p>
        </w:tc>
        <w:tc>
          <w:tcPr>
            <w:tcW w:w="779" w:type="dxa"/>
            <w:tcBorders>
              <w:top w:val="nil"/>
              <w:left w:val="nil"/>
              <w:bottom w:val="single" w:sz="8" w:space="0" w:color="D99594"/>
              <w:right w:val="single" w:sz="8" w:space="0" w:color="D99594"/>
            </w:tcBorders>
            <w:shd w:val="clear" w:color="auto" w:fill="auto"/>
            <w:noWrap/>
            <w:vAlign w:val="center"/>
            <w:hideMark/>
          </w:tcPr>
          <w:p w14:paraId="05059128" w14:textId="77777777" w:rsidR="00845562" w:rsidRPr="00845562" w:rsidRDefault="00845562" w:rsidP="005A5387">
            <w:pPr>
              <w:keepNext/>
              <w:spacing w:after="0" w:line="240" w:lineRule="auto"/>
              <w:jc w:val="right"/>
              <w:rPr>
                <w:rFonts w:cs="Arial"/>
                <w:b/>
                <w:bCs/>
                <w:color w:val="000000"/>
                <w:sz w:val="16"/>
                <w:szCs w:val="16"/>
              </w:rPr>
            </w:pPr>
            <w:r w:rsidRPr="00845562">
              <w:rPr>
                <w:rFonts w:cs="Arial"/>
                <w:b/>
                <w:bCs/>
                <w:color w:val="000000"/>
                <w:sz w:val="16"/>
                <w:szCs w:val="16"/>
              </w:rPr>
              <w:t>100</w:t>
            </w:r>
          </w:p>
        </w:tc>
        <w:tc>
          <w:tcPr>
            <w:tcW w:w="780" w:type="dxa"/>
            <w:tcBorders>
              <w:top w:val="nil"/>
              <w:left w:val="nil"/>
              <w:bottom w:val="single" w:sz="8" w:space="0" w:color="D99594"/>
              <w:right w:val="single" w:sz="8" w:space="0" w:color="D99594"/>
            </w:tcBorders>
            <w:shd w:val="clear" w:color="auto" w:fill="auto"/>
            <w:noWrap/>
            <w:vAlign w:val="center"/>
            <w:hideMark/>
          </w:tcPr>
          <w:p w14:paraId="419E6992" w14:textId="77777777" w:rsidR="00845562" w:rsidRPr="00845562" w:rsidRDefault="00845562" w:rsidP="005A5387">
            <w:pPr>
              <w:keepNext/>
              <w:spacing w:after="0" w:line="240" w:lineRule="auto"/>
              <w:jc w:val="right"/>
              <w:rPr>
                <w:rFonts w:cs="Arial"/>
                <w:b/>
                <w:bCs/>
                <w:color w:val="000000"/>
                <w:sz w:val="16"/>
                <w:szCs w:val="16"/>
              </w:rPr>
            </w:pPr>
            <w:r w:rsidRPr="00845562">
              <w:rPr>
                <w:rFonts w:cs="Arial"/>
                <w:b/>
                <w:bCs/>
                <w:color w:val="000000"/>
                <w:sz w:val="16"/>
                <w:szCs w:val="16"/>
              </w:rPr>
              <w:t>19,3</w:t>
            </w:r>
          </w:p>
        </w:tc>
        <w:tc>
          <w:tcPr>
            <w:tcW w:w="780" w:type="dxa"/>
            <w:tcBorders>
              <w:top w:val="nil"/>
              <w:left w:val="nil"/>
              <w:bottom w:val="single" w:sz="8" w:space="0" w:color="D99594"/>
              <w:right w:val="single" w:sz="8" w:space="0" w:color="D99594"/>
            </w:tcBorders>
            <w:shd w:val="clear" w:color="auto" w:fill="auto"/>
            <w:noWrap/>
            <w:vAlign w:val="center"/>
            <w:hideMark/>
          </w:tcPr>
          <w:p w14:paraId="7544EF29" w14:textId="77777777" w:rsidR="00845562" w:rsidRPr="00845562" w:rsidRDefault="00845562" w:rsidP="005A5387">
            <w:pPr>
              <w:keepNext/>
              <w:spacing w:after="0" w:line="240" w:lineRule="auto"/>
              <w:jc w:val="right"/>
              <w:rPr>
                <w:rFonts w:cs="Arial"/>
                <w:b/>
                <w:bCs/>
                <w:color w:val="000000"/>
                <w:sz w:val="16"/>
                <w:szCs w:val="16"/>
              </w:rPr>
            </w:pPr>
            <w:r w:rsidRPr="00845562">
              <w:rPr>
                <w:rFonts w:cs="Arial"/>
                <w:b/>
                <w:bCs/>
                <w:color w:val="000000"/>
                <w:sz w:val="16"/>
                <w:szCs w:val="16"/>
              </w:rPr>
              <w:t>13,5</w:t>
            </w:r>
          </w:p>
        </w:tc>
      </w:tr>
      <w:tr w:rsidR="00845562" w:rsidRPr="00845562" w14:paraId="765C255C" w14:textId="77777777" w:rsidTr="00845562">
        <w:trPr>
          <w:trHeight w:val="314"/>
        </w:trPr>
        <w:tc>
          <w:tcPr>
            <w:tcW w:w="1843" w:type="dxa"/>
            <w:tcBorders>
              <w:top w:val="nil"/>
              <w:left w:val="single" w:sz="8" w:space="0" w:color="D99594"/>
              <w:bottom w:val="single" w:sz="8" w:space="0" w:color="D99594"/>
              <w:right w:val="single" w:sz="8" w:space="0" w:color="D99594"/>
            </w:tcBorders>
            <w:shd w:val="clear" w:color="000000" w:fill="F2DBDB"/>
            <w:vAlign w:val="center"/>
            <w:hideMark/>
          </w:tcPr>
          <w:p w14:paraId="102CD362" w14:textId="77777777" w:rsidR="00845562" w:rsidRPr="00845562" w:rsidRDefault="00845562" w:rsidP="005A5387">
            <w:pPr>
              <w:keepNext/>
              <w:spacing w:after="0" w:line="240" w:lineRule="auto"/>
              <w:ind w:firstLineChars="100" w:firstLine="160"/>
              <w:rPr>
                <w:rFonts w:cs="Arial"/>
                <w:color w:val="000000"/>
                <w:sz w:val="16"/>
                <w:szCs w:val="16"/>
              </w:rPr>
            </w:pPr>
            <w:r w:rsidRPr="00845562">
              <w:rPr>
                <w:rFonts w:cs="Arial"/>
                <w:color w:val="000000"/>
                <w:sz w:val="16"/>
                <w:szCs w:val="16"/>
              </w:rPr>
              <w:t>Hlavní město Praha</w:t>
            </w:r>
          </w:p>
        </w:tc>
        <w:tc>
          <w:tcPr>
            <w:tcW w:w="779" w:type="dxa"/>
            <w:tcBorders>
              <w:top w:val="nil"/>
              <w:left w:val="nil"/>
              <w:bottom w:val="single" w:sz="8" w:space="0" w:color="D99594"/>
              <w:right w:val="single" w:sz="8" w:space="0" w:color="D99594"/>
            </w:tcBorders>
            <w:shd w:val="clear" w:color="000000" w:fill="F2DBDB"/>
            <w:noWrap/>
            <w:vAlign w:val="center"/>
            <w:hideMark/>
          </w:tcPr>
          <w:p w14:paraId="22B60C2D"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286</w:t>
            </w:r>
          </w:p>
        </w:tc>
        <w:tc>
          <w:tcPr>
            <w:tcW w:w="780" w:type="dxa"/>
            <w:tcBorders>
              <w:top w:val="nil"/>
              <w:left w:val="nil"/>
              <w:bottom w:val="single" w:sz="8" w:space="0" w:color="D99594"/>
              <w:right w:val="single" w:sz="8" w:space="0" w:color="D99594"/>
            </w:tcBorders>
            <w:shd w:val="clear" w:color="000000" w:fill="F2DBDB"/>
            <w:noWrap/>
            <w:vAlign w:val="center"/>
            <w:hideMark/>
          </w:tcPr>
          <w:p w14:paraId="3CFDEF51"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6,7</w:t>
            </w:r>
          </w:p>
        </w:tc>
        <w:tc>
          <w:tcPr>
            <w:tcW w:w="779" w:type="dxa"/>
            <w:tcBorders>
              <w:top w:val="nil"/>
              <w:left w:val="nil"/>
              <w:bottom w:val="single" w:sz="8" w:space="0" w:color="D99594"/>
              <w:right w:val="single" w:sz="8" w:space="0" w:color="D99594"/>
            </w:tcBorders>
            <w:shd w:val="clear" w:color="000000" w:fill="F2DBDB"/>
            <w:noWrap/>
            <w:vAlign w:val="center"/>
            <w:hideMark/>
          </w:tcPr>
          <w:p w14:paraId="74D2CF83"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5 386</w:t>
            </w:r>
          </w:p>
        </w:tc>
        <w:tc>
          <w:tcPr>
            <w:tcW w:w="780" w:type="dxa"/>
            <w:tcBorders>
              <w:top w:val="nil"/>
              <w:left w:val="nil"/>
              <w:bottom w:val="single" w:sz="8" w:space="0" w:color="D99594"/>
              <w:right w:val="single" w:sz="8" w:space="0" w:color="D99594"/>
            </w:tcBorders>
            <w:shd w:val="clear" w:color="000000" w:fill="F2DBDB"/>
            <w:noWrap/>
            <w:vAlign w:val="center"/>
            <w:hideMark/>
          </w:tcPr>
          <w:p w14:paraId="566FD3AB"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10,8</w:t>
            </w:r>
          </w:p>
        </w:tc>
        <w:tc>
          <w:tcPr>
            <w:tcW w:w="780" w:type="dxa"/>
            <w:tcBorders>
              <w:top w:val="nil"/>
              <w:left w:val="nil"/>
              <w:bottom w:val="single" w:sz="8" w:space="0" w:color="D99594"/>
              <w:right w:val="single" w:sz="8" w:space="0" w:color="D99594"/>
            </w:tcBorders>
            <w:shd w:val="clear" w:color="000000" w:fill="F2DBDB"/>
            <w:noWrap/>
            <w:vAlign w:val="center"/>
            <w:hideMark/>
          </w:tcPr>
          <w:p w14:paraId="1B18235C"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112 089</w:t>
            </w:r>
          </w:p>
        </w:tc>
        <w:tc>
          <w:tcPr>
            <w:tcW w:w="779" w:type="dxa"/>
            <w:tcBorders>
              <w:top w:val="nil"/>
              <w:left w:val="nil"/>
              <w:bottom w:val="single" w:sz="8" w:space="0" w:color="D99594"/>
              <w:right w:val="single" w:sz="8" w:space="0" w:color="D99594"/>
            </w:tcBorders>
            <w:shd w:val="clear" w:color="000000" w:fill="F2DBDB"/>
            <w:noWrap/>
            <w:vAlign w:val="center"/>
            <w:hideMark/>
          </w:tcPr>
          <w:p w14:paraId="08114AE8"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11,6</w:t>
            </w:r>
          </w:p>
        </w:tc>
        <w:tc>
          <w:tcPr>
            <w:tcW w:w="780" w:type="dxa"/>
            <w:tcBorders>
              <w:top w:val="nil"/>
              <w:left w:val="nil"/>
              <w:bottom w:val="single" w:sz="8" w:space="0" w:color="D99594"/>
              <w:right w:val="single" w:sz="8" w:space="0" w:color="D99594"/>
            </w:tcBorders>
            <w:shd w:val="clear" w:color="000000" w:fill="F2DBDB"/>
            <w:noWrap/>
            <w:vAlign w:val="center"/>
            <w:hideMark/>
          </w:tcPr>
          <w:p w14:paraId="1A734887"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7 847</w:t>
            </w:r>
          </w:p>
        </w:tc>
        <w:tc>
          <w:tcPr>
            <w:tcW w:w="779" w:type="dxa"/>
            <w:tcBorders>
              <w:top w:val="nil"/>
              <w:left w:val="nil"/>
              <w:bottom w:val="single" w:sz="8" w:space="0" w:color="D99594"/>
              <w:right w:val="single" w:sz="8" w:space="0" w:color="D99594"/>
            </w:tcBorders>
            <w:shd w:val="clear" w:color="000000" w:fill="F2DBDB"/>
            <w:noWrap/>
            <w:vAlign w:val="center"/>
            <w:hideMark/>
          </w:tcPr>
          <w:p w14:paraId="53B216E4"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11,0</w:t>
            </w:r>
          </w:p>
        </w:tc>
        <w:tc>
          <w:tcPr>
            <w:tcW w:w="780" w:type="dxa"/>
            <w:tcBorders>
              <w:top w:val="nil"/>
              <w:left w:val="nil"/>
              <w:bottom w:val="single" w:sz="8" w:space="0" w:color="D99594"/>
              <w:right w:val="single" w:sz="8" w:space="0" w:color="D99594"/>
            </w:tcBorders>
            <w:shd w:val="clear" w:color="000000" w:fill="F2DBDB"/>
            <w:noWrap/>
            <w:vAlign w:val="center"/>
            <w:hideMark/>
          </w:tcPr>
          <w:p w14:paraId="72251D57"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20,8</w:t>
            </w:r>
          </w:p>
        </w:tc>
        <w:tc>
          <w:tcPr>
            <w:tcW w:w="780" w:type="dxa"/>
            <w:tcBorders>
              <w:top w:val="nil"/>
              <w:left w:val="nil"/>
              <w:bottom w:val="single" w:sz="8" w:space="0" w:color="D99594"/>
              <w:right w:val="single" w:sz="8" w:space="0" w:color="D99594"/>
            </w:tcBorders>
            <w:shd w:val="clear" w:color="000000" w:fill="F2DBDB"/>
            <w:noWrap/>
            <w:vAlign w:val="center"/>
            <w:hideMark/>
          </w:tcPr>
          <w:p w14:paraId="14E37DC2"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14,3</w:t>
            </w:r>
          </w:p>
        </w:tc>
      </w:tr>
      <w:tr w:rsidR="00845562" w:rsidRPr="00845562" w14:paraId="2A1101C3" w14:textId="77777777" w:rsidTr="00845562">
        <w:trPr>
          <w:trHeight w:val="314"/>
        </w:trPr>
        <w:tc>
          <w:tcPr>
            <w:tcW w:w="1843" w:type="dxa"/>
            <w:tcBorders>
              <w:top w:val="nil"/>
              <w:left w:val="single" w:sz="8" w:space="0" w:color="D99594"/>
              <w:bottom w:val="single" w:sz="8" w:space="0" w:color="D99594"/>
              <w:right w:val="single" w:sz="8" w:space="0" w:color="D99594"/>
            </w:tcBorders>
            <w:shd w:val="clear" w:color="auto" w:fill="auto"/>
            <w:vAlign w:val="center"/>
            <w:hideMark/>
          </w:tcPr>
          <w:p w14:paraId="481228DE" w14:textId="77777777" w:rsidR="00845562" w:rsidRPr="00845562" w:rsidRDefault="00845562" w:rsidP="005A5387">
            <w:pPr>
              <w:keepNext/>
              <w:spacing w:after="0" w:line="240" w:lineRule="auto"/>
              <w:ind w:firstLineChars="100" w:firstLine="160"/>
              <w:rPr>
                <w:rFonts w:cs="Arial"/>
                <w:color w:val="000000"/>
                <w:sz w:val="16"/>
                <w:szCs w:val="16"/>
              </w:rPr>
            </w:pPr>
            <w:r w:rsidRPr="00845562">
              <w:rPr>
                <w:rFonts w:cs="Arial"/>
                <w:color w:val="000000"/>
                <w:sz w:val="16"/>
                <w:szCs w:val="16"/>
              </w:rPr>
              <w:t>Středočeský kraj</w:t>
            </w:r>
          </w:p>
        </w:tc>
        <w:tc>
          <w:tcPr>
            <w:tcW w:w="779" w:type="dxa"/>
            <w:tcBorders>
              <w:top w:val="nil"/>
              <w:left w:val="nil"/>
              <w:bottom w:val="single" w:sz="8" w:space="0" w:color="D99594"/>
              <w:right w:val="single" w:sz="8" w:space="0" w:color="D99594"/>
            </w:tcBorders>
            <w:shd w:val="clear" w:color="auto" w:fill="auto"/>
            <w:noWrap/>
            <w:vAlign w:val="center"/>
            <w:hideMark/>
          </w:tcPr>
          <w:p w14:paraId="7BB69C98"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574</w:t>
            </w:r>
          </w:p>
        </w:tc>
        <w:tc>
          <w:tcPr>
            <w:tcW w:w="780" w:type="dxa"/>
            <w:tcBorders>
              <w:top w:val="nil"/>
              <w:left w:val="nil"/>
              <w:bottom w:val="single" w:sz="8" w:space="0" w:color="D99594"/>
              <w:right w:val="single" w:sz="8" w:space="0" w:color="D99594"/>
            </w:tcBorders>
            <w:shd w:val="clear" w:color="auto" w:fill="auto"/>
            <w:noWrap/>
            <w:vAlign w:val="center"/>
            <w:hideMark/>
          </w:tcPr>
          <w:p w14:paraId="27A26C28"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13,5</w:t>
            </w:r>
          </w:p>
        </w:tc>
        <w:tc>
          <w:tcPr>
            <w:tcW w:w="779" w:type="dxa"/>
            <w:tcBorders>
              <w:top w:val="nil"/>
              <w:left w:val="nil"/>
              <w:bottom w:val="single" w:sz="8" w:space="0" w:color="D99594"/>
              <w:right w:val="single" w:sz="8" w:space="0" w:color="D99594"/>
            </w:tcBorders>
            <w:shd w:val="clear" w:color="auto" w:fill="auto"/>
            <w:noWrap/>
            <w:vAlign w:val="center"/>
            <w:hideMark/>
          </w:tcPr>
          <w:p w14:paraId="1D1BF49A"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6 858</w:t>
            </w:r>
          </w:p>
        </w:tc>
        <w:tc>
          <w:tcPr>
            <w:tcW w:w="780" w:type="dxa"/>
            <w:tcBorders>
              <w:top w:val="nil"/>
              <w:left w:val="nil"/>
              <w:bottom w:val="single" w:sz="8" w:space="0" w:color="D99594"/>
              <w:right w:val="single" w:sz="8" w:space="0" w:color="D99594"/>
            </w:tcBorders>
            <w:shd w:val="clear" w:color="auto" w:fill="auto"/>
            <w:noWrap/>
            <w:vAlign w:val="center"/>
            <w:hideMark/>
          </w:tcPr>
          <w:p w14:paraId="54838904"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13,7</w:t>
            </w:r>
          </w:p>
        </w:tc>
        <w:tc>
          <w:tcPr>
            <w:tcW w:w="780" w:type="dxa"/>
            <w:tcBorders>
              <w:top w:val="nil"/>
              <w:left w:val="nil"/>
              <w:bottom w:val="single" w:sz="8" w:space="0" w:color="D99594"/>
              <w:right w:val="single" w:sz="8" w:space="0" w:color="D99594"/>
            </w:tcBorders>
            <w:shd w:val="clear" w:color="auto" w:fill="auto"/>
            <w:noWrap/>
            <w:vAlign w:val="center"/>
            <w:hideMark/>
          </w:tcPr>
          <w:p w14:paraId="552C4CD2"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138 970</w:t>
            </w:r>
          </w:p>
        </w:tc>
        <w:tc>
          <w:tcPr>
            <w:tcW w:w="779" w:type="dxa"/>
            <w:tcBorders>
              <w:top w:val="nil"/>
              <w:left w:val="nil"/>
              <w:bottom w:val="single" w:sz="8" w:space="0" w:color="D99594"/>
              <w:right w:val="single" w:sz="8" w:space="0" w:color="D99594"/>
            </w:tcBorders>
            <w:shd w:val="clear" w:color="auto" w:fill="auto"/>
            <w:noWrap/>
            <w:vAlign w:val="center"/>
            <w:hideMark/>
          </w:tcPr>
          <w:p w14:paraId="1F8C037C"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14,4</w:t>
            </w:r>
          </w:p>
        </w:tc>
        <w:tc>
          <w:tcPr>
            <w:tcW w:w="780" w:type="dxa"/>
            <w:tcBorders>
              <w:top w:val="nil"/>
              <w:left w:val="nil"/>
              <w:bottom w:val="single" w:sz="8" w:space="0" w:color="D99594"/>
              <w:right w:val="single" w:sz="8" w:space="0" w:color="D99594"/>
            </w:tcBorders>
            <w:shd w:val="clear" w:color="auto" w:fill="auto"/>
            <w:noWrap/>
            <w:vAlign w:val="center"/>
            <w:hideMark/>
          </w:tcPr>
          <w:p w14:paraId="596E74CD"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9 600</w:t>
            </w:r>
          </w:p>
        </w:tc>
        <w:tc>
          <w:tcPr>
            <w:tcW w:w="779" w:type="dxa"/>
            <w:tcBorders>
              <w:top w:val="nil"/>
              <w:left w:val="nil"/>
              <w:bottom w:val="single" w:sz="8" w:space="0" w:color="D99594"/>
              <w:right w:val="single" w:sz="8" w:space="0" w:color="D99594"/>
            </w:tcBorders>
            <w:shd w:val="clear" w:color="auto" w:fill="auto"/>
            <w:noWrap/>
            <w:vAlign w:val="center"/>
            <w:hideMark/>
          </w:tcPr>
          <w:p w14:paraId="7D83C49F"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13,5</w:t>
            </w:r>
          </w:p>
        </w:tc>
        <w:tc>
          <w:tcPr>
            <w:tcW w:w="780" w:type="dxa"/>
            <w:tcBorders>
              <w:top w:val="nil"/>
              <w:left w:val="nil"/>
              <w:bottom w:val="single" w:sz="8" w:space="0" w:color="D99594"/>
              <w:right w:val="single" w:sz="8" w:space="0" w:color="D99594"/>
            </w:tcBorders>
            <w:shd w:val="clear" w:color="auto" w:fill="auto"/>
            <w:noWrap/>
            <w:vAlign w:val="center"/>
            <w:hideMark/>
          </w:tcPr>
          <w:p w14:paraId="431AF409"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20,3</w:t>
            </w:r>
          </w:p>
        </w:tc>
        <w:tc>
          <w:tcPr>
            <w:tcW w:w="780" w:type="dxa"/>
            <w:tcBorders>
              <w:top w:val="nil"/>
              <w:left w:val="nil"/>
              <w:bottom w:val="single" w:sz="8" w:space="0" w:color="D99594"/>
              <w:right w:val="single" w:sz="8" w:space="0" w:color="D99594"/>
            </w:tcBorders>
            <w:shd w:val="clear" w:color="auto" w:fill="auto"/>
            <w:noWrap/>
            <w:vAlign w:val="center"/>
            <w:hideMark/>
          </w:tcPr>
          <w:p w14:paraId="7C10C2E0" w14:textId="77777777" w:rsidR="00845562" w:rsidRPr="00845562" w:rsidRDefault="00845562" w:rsidP="005A5387">
            <w:pPr>
              <w:keepNext/>
              <w:spacing w:after="0" w:line="240" w:lineRule="auto"/>
              <w:jc w:val="right"/>
              <w:rPr>
                <w:rFonts w:cs="Arial"/>
                <w:color w:val="000000"/>
                <w:sz w:val="16"/>
                <w:szCs w:val="16"/>
              </w:rPr>
            </w:pPr>
            <w:r w:rsidRPr="00845562">
              <w:rPr>
                <w:rFonts w:cs="Arial"/>
                <w:color w:val="000000"/>
                <w:sz w:val="16"/>
                <w:szCs w:val="16"/>
              </w:rPr>
              <w:t>14,5</w:t>
            </w:r>
          </w:p>
        </w:tc>
      </w:tr>
      <w:tr w:rsidR="00845562" w:rsidRPr="00845562" w14:paraId="3E70BC3B" w14:textId="77777777" w:rsidTr="00845562">
        <w:trPr>
          <w:trHeight w:val="314"/>
        </w:trPr>
        <w:tc>
          <w:tcPr>
            <w:tcW w:w="1843" w:type="dxa"/>
            <w:tcBorders>
              <w:top w:val="nil"/>
              <w:left w:val="single" w:sz="8" w:space="0" w:color="D99594"/>
              <w:bottom w:val="single" w:sz="8" w:space="0" w:color="D99594"/>
              <w:right w:val="single" w:sz="8" w:space="0" w:color="D99594"/>
            </w:tcBorders>
            <w:shd w:val="clear" w:color="000000" w:fill="F2DBDB"/>
            <w:vAlign w:val="center"/>
            <w:hideMark/>
          </w:tcPr>
          <w:p w14:paraId="697D6F60" w14:textId="77777777" w:rsidR="00845562" w:rsidRPr="00845562" w:rsidRDefault="00845562" w:rsidP="00845562">
            <w:pPr>
              <w:spacing w:after="0" w:line="240" w:lineRule="auto"/>
              <w:ind w:firstLineChars="100" w:firstLine="160"/>
              <w:rPr>
                <w:rFonts w:cs="Arial"/>
                <w:color w:val="000000"/>
                <w:sz w:val="16"/>
                <w:szCs w:val="16"/>
              </w:rPr>
            </w:pPr>
            <w:r w:rsidRPr="00845562">
              <w:rPr>
                <w:rFonts w:cs="Arial"/>
                <w:color w:val="000000"/>
                <w:sz w:val="16"/>
                <w:szCs w:val="16"/>
              </w:rPr>
              <w:t>Jihočeský kraj</w:t>
            </w:r>
          </w:p>
        </w:tc>
        <w:tc>
          <w:tcPr>
            <w:tcW w:w="779" w:type="dxa"/>
            <w:tcBorders>
              <w:top w:val="nil"/>
              <w:left w:val="nil"/>
              <w:bottom w:val="single" w:sz="8" w:space="0" w:color="D99594"/>
              <w:right w:val="single" w:sz="8" w:space="0" w:color="D99594"/>
            </w:tcBorders>
            <w:shd w:val="clear" w:color="000000" w:fill="F2DBDB"/>
            <w:noWrap/>
            <w:vAlign w:val="center"/>
            <w:hideMark/>
          </w:tcPr>
          <w:p w14:paraId="0C26B867"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270</w:t>
            </w:r>
          </w:p>
        </w:tc>
        <w:tc>
          <w:tcPr>
            <w:tcW w:w="780" w:type="dxa"/>
            <w:tcBorders>
              <w:top w:val="nil"/>
              <w:left w:val="nil"/>
              <w:bottom w:val="single" w:sz="8" w:space="0" w:color="D99594"/>
              <w:right w:val="single" w:sz="8" w:space="0" w:color="D99594"/>
            </w:tcBorders>
            <w:shd w:val="clear" w:color="000000" w:fill="F2DBDB"/>
            <w:noWrap/>
            <w:vAlign w:val="center"/>
            <w:hideMark/>
          </w:tcPr>
          <w:p w14:paraId="447D0AEE"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6,4</w:t>
            </w:r>
          </w:p>
        </w:tc>
        <w:tc>
          <w:tcPr>
            <w:tcW w:w="779" w:type="dxa"/>
            <w:tcBorders>
              <w:top w:val="nil"/>
              <w:left w:val="nil"/>
              <w:bottom w:val="single" w:sz="8" w:space="0" w:color="D99594"/>
              <w:right w:val="single" w:sz="8" w:space="0" w:color="D99594"/>
            </w:tcBorders>
            <w:shd w:val="clear" w:color="000000" w:fill="F2DBDB"/>
            <w:noWrap/>
            <w:vAlign w:val="center"/>
            <w:hideMark/>
          </w:tcPr>
          <w:p w14:paraId="0C191931"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3 067</w:t>
            </w:r>
          </w:p>
        </w:tc>
        <w:tc>
          <w:tcPr>
            <w:tcW w:w="780" w:type="dxa"/>
            <w:tcBorders>
              <w:top w:val="nil"/>
              <w:left w:val="nil"/>
              <w:bottom w:val="single" w:sz="8" w:space="0" w:color="D99594"/>
              <w:right w:val="single" w:sz="8" w:space="0" w:color="D99594"/>
            </w:tcBorders>
            <w:shd w:val="clear" w:color="000000" w:fill="F2DBDB"/>
            <w:noWrap/>
            <w:vAlign w:val="center"/>
            <w:hideMark/>
          </w:tcPr>
          <w:p w14:paraId="39E82047"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6,1</w:t>
            </w:r>
          </w:p>
        </w:tc>
        <w:tc>
          <w:tcPr>
            <w:tcW w:w="780" w:type="dxa"/>
            <w:tcBorders>
              <w:top w:val="nil"/>
              <w:left w:val="nil"/>
              <w:bottom w:val="single" w:sz="8" w:space="0" w:color="D99594"/>
              <w:right w:val="single" w:sz="8" w:space="0" w:color="D99594"/>
            </w:tcBorders>
            <w:shd w:val="clear" w:color="000000" w:fill="F2DBDB"/>
            <w:noWrap/>
            <w:vAlign w:val="center"/>
            <w:hideMark/>
          </w:tcPr>
          <w:p w14:paraId="192B1578"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58 383</w:t>
            </w:r>
          </w:p>
        </w:tc>
        <w:tc>
          <w:tcPr>
            <w:tcW w:w="779" w:type="dxa"/>
            <w:tcBorders>
              <w:top w:val="nil"/>
              <w:left w:val="nil"/>
              <w:bottom w:val="single" w:sz="8" w:space="0" w:color="D99594"/>
              <w:right w:val="single" w:sz="8" w:space="0" w:color="D99594"/>
            </w:tcBorders>
            <w:shd w:val="clear" w:color="000000" w:fill="F2DBDB"/>
            <w:noWrap/>
            <w:vAlign w:val="center"/>
            <w:hideMark/>
          </w:tcPr>
          <w:p w14:paraId="24E34F9F"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6,1</w:t>
            </w:r>
          </w:p>
        </w:tc>
        <w:tc>
          <w:tcPr>
            <w:tcW w:w="780" w:type="dxa"/>
            <w:tcBorders>
              <w:top w:val="nil"/>
              <w:left w:val="nil"/>
              <w:bottom w:val="single" w:sz="8" w:space="0" w:color="D99594"/>
              <w:right w:val="single" w:sz="8" w:space="0" w:color="D99594"/>
            </w:tcBorders>
            <w:shd w:val="clear" w:color="000000" w:fill="F2DBDB"/>
            <w:noWrap/>
            <w:vAlign w:val="center"/>
            <w:hideMark/>
          </w:tcPr>
          <w:p w14:paraId="3F7254FD"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4 300</w:t>
            </w:r>
          </w:p>
        </w:tc>
        <w:tc>
          <w:tcPr>
            <w:tcW w:w="779" w:type="dxa"/>
            <w:tcBorders>
              <w:top w:val="nil"/>
              <w:left w:val="nil"/>
              <w:bottom w:val="single" w:sz="8" w:space="0" w:color="D99594"/>
              <w:right w:val="single" w:sz="8" w:space="0" w:color="D99594"/>
            </w:tcBorders>
            <w:shd w:val="clear" w:color="000000" w:fill="F2DBDB"/>
            <w:noWrap/>
            <w:vAlign w:val="center"/>
            <w:hideMark/>
          </w:tcPr>
          <w:p w14:paraId="203339AA"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6,0</w:t>
            </w:r>
          </w:p>
        </w:tc>
        <w:tc>
          <w:tcPr>
            <w:tcW w:w="780" w:type="dxa"/>
            <w:tcBorders>
              <w:top w:val="nil"/>
              <w:left w:val="nil"/>
              <w:bottom w:val="single" w:sz="8" w:space="0" w:color="D99594"/>
              <w:right w:val="single" w:sz="8" w:space="0" w:color="D99594"/>
            </w:tcBorders>
            <w:shd w:val="clear" w:color="000000" w:fill="F2DBDB"/>
            <w:noWrap/>
            <w:vAlign w:val="center"/>
            <w:hideMark/>
          </w:tcPr>
          <w:p w14:paraId="6837FABC"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19,0</w:t>
            </w:r>
          </w:p>
        </w:tc>
        <w:tc>
          <w:tcPr>
            <w:tcW w:w="780" w:type="dxa"/>
            <w:tcBorders>
              <w:top w:val="nil"/>
              <w:left w:val="nil"/>
              <w:bottom w:val="single" w:sz="8" w:space="0" w:color="D99594"/>
              <w:right w:val="single" w:sz="8" w:space="0" w:color="D99594"/>
            </w:tcBorders>
            <w:shd w:val="clear" w:color="000000" w:fill="F2DBDB"/>
            <w:noWrap/>
            <w:vAlign w:val="center"/>
            <w:hideMark/>
          </w:tcPr>
          <w:p w14:paraId="469ADF2E"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13,6</w:t>
            </w:r>
          </w:p>
        </w:tc>
      </w:tr>
      <w:tr w:rsidR="00845562" w:rsidRPr="00845562" w14:paraId="4DE6E097" w14:textId="77777777" w:rsidTr="00845562">
        <w:trPr>
          <w:trHeight w:val="314"/>
        </w:trPr>
        <w:tc>
          <w:tcPr>
            <w:tcW w:w="1843" w:type="dxa"/>
            <w:tcBorders>
              <w:top w:val="nil"/>
              <w:left w:val="single" w:sz="8" w:space="0" w:color="D99594"/>
              <w:bottom w:val="single" w:sz="8" w:space="0" w:color="D99594"/>
              <w:right w:val="single" w:sz="8" w:space="0" w:color="D99594"/>
            </w:tcBorders>
            <w:shd w:val="clear" w:color="auto" w:fill="auto"/>
            <w:vAlign w:val="center"/>
            <w:hideMark/>
          </w:tcPr>
          <w:p w14:paraId="05F1F915" w14:textId="77777777" w:rsidR="00845562" w:rsidRPr="00845562" w:rsidRDefault="00845562" w:rsidP="00845562">
            <w:pPr>
              <w:spacing w:after="0" w:line="240" w:lineRule="auto"/>
              <w:ind w:firstLineChars="100" w:firstLine="160"/>
              <w:rPr>
                <w:rFonts w:cs="Arial"/>
                <w:color w:val="000000"/>
                <w:sz w:val="16"/>
                <w:szCs w:val="16"/>
              </w:rPr>
            </w:pPr>
            <w:r w:rsidRPr="00845562">
              <w:rPr>
                <w:rFonts w:cs="Arial"/>
                <w:color w:val="000000"/>
                <w:sz w:val="16"/>
                <w:szCs w:val="16"/>
              </w:rPr>
              <w:t>Plzeňský kraj</w:t>
            </w:r>
          </w:p>
        </w:tc>
        <w:tc>
          <w:tcPr>
            <w:tcW w:w="779" w:type="dxa"/>
            <w:tcBorders>
              <w:top w:val="nil"/>
              <w:left w:val="nil"/>
              <w:bottom w:val="single" w:sz="8" w:space="0" w:color="D99594"/>
              <w:right w:val="single" w:sz="8" w:space="0" w:color="D99594"/>
            </w:tcBorders>
            <w:shd w:val="clear" w:color="auto" w:fill="auto"/>
            <w:noWrap/>
            <w:vAlign w:val="center"/>
            <w:hideMark/>
          </w:tcPr>
          <w:p w14:paraId="2EED3F58"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225</w:t>
            </w:r>
          </w:p>
        </w:tc>
        <w:tc>
          <w:tcPr>
            <w:tcW w:w="780" w:type="dxa"/>
            <w:tcBorders>
              <w:top w:val="nil"/>
              <w:left w:val="nil"/>
              <w:bottom w:val="single" w:sz="8" w:space="0" w:color="D99594"/>
              <w:right w:val="single" w:sz="8" w:space="0" w:color="D99594"/>
            </w:tcBorders>
            <w:shd w:val="clear" w:color="auto" w:fill="auto"/>
            <w:noWrap/>
            <w:vAlign w:val="center"/>
            <w:hideMark/>
          </w:tcPr>
          <w:p w14:paraId="5EA3ECF5"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5,3</w:t>
            </w:r>
          </w:p>
        </w:tc>
        <w:tc>
          <w:tcPr>
            <w:tcW w:w="779" w:type="dxa"/>
            <w:tcBorders>
              <w:top w:val="nil"/>
              <w:left w:val="nil"/>
              <w:bottom w:val="single" w:sz="8" w:space="0" w:color="D99594"/>
              <w:right w:val="single" w:sz="8" w:space="0" w:color="D99594"/>
            </w:tcBorders>
            <w:shd w:val="clear" w:color="auto" w:fill="auto"/>
            <w:noWrap/>
            <w:vAlign w:val="center"/>
            <w:hideMark/>
          </w:tcPr>
          <w:p w14:paraId="51C6529D"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2 649</w:t>
            </w:r>
          </w:p>
        </w:tc>
        <w:tc>
          <w:tcPr>
            <w:tcW w:w="780" w:type="dxa"/>
            <w:tcBorders>
              <w:top w:val="nil"/>
              <w:left w:val="nil"/>
              <w:bottom w:val="single" w:sz="8" w:space="0" w:color="D99594"/>
              <w:right w:val="single" w:sz="8" w:space="0" w:color="D99594"/>
            </w:tcBorders>
            <w:shd w:val="clear" w:color="auto" w:fill="auto"/>
            <w:noWrap/>
            <w:vAlign w:val="center"/>
            <w:hideMark/>
          </w:tcPr>
          <w:p w14:paraId="405C222F"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5,3</w:t>
            </w:r>
          </w:p>
        </w:tc>
        <w:tc>
          <w:tcPr>
            <w:tcW w:w="780" w:type="dxa"/>
            <w:tcBorders>
              <w:top w:val="nil"/>
              <w:left w:val="nil"/>
              <w:bottom w:val="single" w:sz="8" w:space="0" w:color="D99594"/>
              <w:right w:val="single" w:sz="8" w:space="0" w:color="D99594"/>
            </w:tcBorders>
            <w:shd w:val="clear" w:color="auto" w:fill="auto"/>
            <w:noWrap/>
            <w:vAlign w:val="center"/>
            <w:hideMark/>
          </w:tcPr>
          <w:p w14:paraId="2998340D"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52 465</w:t>
            </w:r>
          </w:p>
        </w:tc>
        <w:tc>
          <w:tcPr>
            <w:tcW w:w="779" w:type="dxa"/>
            <w:tcBorders>
              <w:top w:val="nil"/>
              <w:left w:val="nil"/>
              <w:bottom w:val="single" w:sz="8" w:space="0" w:color="D99594"/>
              <w:right w:val="single" w:sz="8" w:space="0" w:color="D99594"/>
            </w:tcBorders>
            <w:shd w:val="clear" w:color="auto" w:fill="auto"/>
            <w:noWrap/>
            <w:vAlign w:val="center"/>
            <w:hideMark/>
          </w:tcPr>
          <w:p w14:paraId="4F119B6E"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5,4</w:t>
            </w:r>
          </w:p>
        </w:tc>
        <w:tc>
          <w:tcPr>
            <w:tcW w:w="780" w:type="dxa"/>
            <w:tcBorders>
              <w:top w:val="nil"/>
              <w:left w:val="nil"/>
              <w:bottom w:val="single" w:sz="8" w:space="0" w:color="D99594"/>
              <w:right w:val="single" w:sz="8" w:space="0" w:color="D99594"/>
            </w:tcBorders>
            <w:shd w:val="clear" w:color="auto" w:fill="auto"/>
            <w:noWrap/>
            <w:vAlign w:val="center"/>
            <w:hideMark/>
          </w:tcPr>
          <w:p w14:paraId="7184BA74"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3 772</w:t>
            </w:r>
          </w:p>
        </w:tc>
        <w:tc>
          <w:tcPr>
            <w:tcW w:w="779" w:type="dxa"/>
            <w:tcBorders>
              <w:top w:val="nil"/>
              <w:left w:val="nil"/>
              <w:bottom w:val="single" w:sz="8" w:space="0" w:color="D99594"/>
              <w:right w:val="single" w:sz="8" w:space="0" w:color="D99594"/>
            </w:tcBorders>
            <w:shd w:val="clear" w:color="auto" w:fill="auto"/>
            <w:noWrap/>
            <w:vAlign w:val="center"/>
            <w:hideMark/>
          </w:tcPr>
          <w:p w14:paraId="0BF1D8C6"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5,3</w:t>
            </w:r>
          </w:p>
        </w:tc>
        <w:tc>
          <w:tcPr>
            <w:tcW w:w="780" w:type="dxa"/>
            <w:tcBorders>
              <w:top w:val="nil"/>
              <w:left w:val="nil"/>
              <w:bottom w:val="single" w:sz="8" w:space="0" w:color="D99594"/>
              <w:right w:val="single" w:sz="8" w:space="0" w:color="D99594"/>
            </w:tcBorders>
            <w:shd w:val="clear" w:color="auto" w:fill="auto"/>
            <w:noWrap/>
            <w:vAlign w:val="center"/>
            <w:hideMark/>
          </w:tcPr>
          <w:p w14:paraId="5815D54E"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19,8</w:t>
            </w:r>
          </w:p>
        </w:tc>
        <w:tc>
          <w:tcPr>
            <w:tcW w:w="780" w:type="dxa"/>
            <w:tcBorders>
              <w:top w:val="nil"/>
              <w:left w:val="nil"/>
              <w:bottom w:val="single" w:sz="8" w:space="0" w:color="D99594"/>
              <w:right w:val="single" w:sz="8" w:space="0" w:color="D99594"/>
            </w:tcBorders>
            <w:shd w:val="clear" w:color="auto" w:fill="auto"/>
            <w:noWrap/>
            <w:vAlign w:val="center"/>
            <w:hideMark/>
          </w:tcPr>
          <w:p w14:paraId="58A50613"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13,9</w:t>
            </w:r>
          </w:p>
        </w:tc>
      </w:tr>
      <w:tr w:rsidR="00845562" w:rsidRPr="00845562" w14:paraId="060998CD" w14:textId="77777777" w:rsidTr="00845562">
        <w:trPr>
          <w:trHeight w:val="314"/>
        </w:trPr>
        <w:tc>
          <w:tcPr>
            <w:tcW w:w="1843" w:type="dxa"/>
            <w:tcBorders>
              <w:top w:val="nil"/>
              <w:left w:val="single" w:sz="8" w:space="0" w:color="D99594"/>
              <w:bottom w:val="single" w:sz="8" w:space="0" w:color="D99594"/>
              <w:right w:val="single" w:sz="8" w:space="0" w:color="D99594"/>
            </w:tcBorders>
            <w:shd w:val="clear" w:color="000000" w:fill="F2DBDB"/>
            <w:vAlign w:val="center"/>
            <w:hideMark/>
          </w:tcPr>
          <w:p w14:paraId="2D42EAF5" w14:textId="77777777" w:rsidR="00845562" w:rsidRPr="00845562" w:rsidRDefault="00845562" w:rsidP="00845562">
            <w:pPr>
              <w:spacing w:after="0" w:line="240" w:lineRule="auto"/>
              <w:ind w:firstLineChars="100" w:firstLine="160"/>
              <w:rPr>
                <w:rFonts w:cs="Arial"/>
                <w:color w:val="000000"/>
                <w:sz w:val="16"/>
                <w:szCs w:val="16"/>
              </w:rPr>
            </w:pPr>
            <w:r w:rsidRPr="00845562">
              <w:rPr>
                <w:rFonts w:cs="Arial"/>
                <w:color w:val="000000"/>
                <w:sz w:val="16"/>
                <w:szCs w:val="16"/>
              </w:rPr>
              <w:t>Karlovarský kraj</w:t>
            </w:r>
          </w:p>
        </w:tc>
        <w:tc>
          <w:tcPr>
            <w:tcW w:w="779" w:type="dxa"/>
            <w:tcBorders>
              <w:top w:val="nil"/>
              <w:left w:val="nil"/>
              <w:bottom w:val="single" w:sz="8" w:space="0" w:color="D99594"/>
              <w:right w:val="single" w:sz="8" w:space="0" w:color="D99594"/>
            </w:tcBorders>
            <w:shd w:val="clear" w:color="000000" w:fill="F2DBDB"/>
            <w:noWrap/>
            <w:vAlign w:val="center"/>
            <w:hideMark/>
          </w:tcPr>
          <w:p w14:paraId="7B3C7445"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108</w:t>
            </w:r>
          </w:p>
        </w:tc>
        <w:tc>
          <w:tcPr>
            <w:tcW w:w="780" w:type="dxa"/>
            <w:tcBorders>
              <w:top w:val="nil"/>
              <w:left w:val="nil"/>
              <w:bottom w:val="single" w:sz="8" w:space="0" w:color="D99594"/>
              <w:right w:val="single" w:sz="8" w:space="0" w:color="D99594"/>
            </w:tcBorders>
            <w:shd w:val="clear" w:color="000000" w:fill="F2DBDB"/>
            <w:noWrap/>
            <w:vAlign w:val="center"/>
            <w:hideMark/>
          </w:tcPr>
          <w:p w14:paraId="59456EE8"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2,5</w:t>
            </w:r>
          </w:p>
        </w:tc>
        <w:tc>
          <w:tcPr>
            <w:tcW w:w="779" w:type="dxa"/>
            <w:tcBorders>
              <w:top w:val="nil"/>
              <w:left w:val="nil"/>
              <w:bottom w:val="single" w:sz="8" w:space="0" w:color="D99594"/>
              <w:right w:val="single" w:sz="8" w:space="0" w:color="D99594"/>
            </w:tcBorders>
            <w:shd w:val="clear" w:color="000000" w:fill="F2DBDB"/>
            <w:noWrap/>
            <w:vAlign w:val="center"/>
            <w:hideMark/>
          </w:tcPr>
          <w:p w14:paraId="57BC8D3A"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1 338</w:t>
            </w:r>
          </w:p>
        </w:tc>
        <w:tc>
          <w:tcPr>
            <w:tcW w:w="780" w:type="dxa"/>
            <w:tcBorders>
              <w:top w:val="nil"/>
              <w:left w:val="nil"/>
              <w:bottom w:val="single" w:sz="8" w:space="0" w:color="D99594"/>
              <w:right w:val="single" w:sz="8" w:space="0" w:color="D99594"/>
            </w:tcBorders>
            <w:shd w:val="clear" w:color="000000" w:fill="F2DBDB"/>
            <w:noWrap/>
            <w:vAlign w:val="center"/>
            <w:hideMark/>
          </w:tcPr>
          <w:p w14:paraId="7782C6D4"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2,7</w:t>
            </w:r>
          </w:p>
        </w:tc>
        <w:tc>
          <w:tcPr>
            <w:tcW w:w="780" w:type="dxa"/>
            <w:tcBorders>
              <w:top w:val="nil"/>
              <w:left w:val="nil"/>
              <w:bottom w:val="single" w:sz="8" w:space="0" w:color="D99594"/>
              <w:right w:val="single" w:sz="8" w:space="0" w:color="D99594"/>
            </w:tcBorders>
            <w:shd w:val="clear" w:color="000000" w:fill="F2DBDB"/>
            <w:noWrap/>
            <w:vAlign w:val="center"/>
            <w:hideMark/>
          </w:tcPr>
          <w:p w14:paraId="6F12AE45"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24 834</w:t>
            </w:r>
          </w:p>
        </w:tc>
        <w:tc>
          <w:tcPr>
            <w:tcW w:w="779" w:type="dxa"/>
            <w:tcBorders>
              <w:top w:val="nil"/>
              <w:left w:val="nil"/>
              <w:bottom w:val="single" w:sz="8" w:space="0" w:color="D99594"/>
              <w:right w:val="single" w:sz="8" w:space="0" w:color="D99594"/>
            </w:tcBorders>
            <w:shd w:val="clear" w:color="000000" w:fill="F2DBDB"/>
            <w:noWrap/>
            <w:vAlign w:val="center"/>
            <w:hideMark/>
          </w:tcPr>
          <w:p w14:paraId="3AB485A0"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2,6</w:t>
            </w:r>
          </w:p>
        </w:tc>
        <w:tc>
          <w:tcPr>
            <w:tcW w:w="780" w:type="dxa"/>
            <w:tcBorders>
              <w:top w:val="nil"/>
              <w:left w:val="nil"/>
              <w:bottom w:val="single" w:sz="8" w:space="0" w:color="D99594"/>
              <w:right w:val="single" w:sz="8" w:space="0" w:color="D99594"/>
            </w:tcBorders>
            <w:shd w:val="clear" w:color="000000" w:fill="F2DBDB"/>
            <w:noWrap/>
            <w:vAlign w:val="center"/>
            <w:hideMark/>
          </w:tcPr>
          <w:p w14:paraId="3A772F01"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1 918</w:t>
            </w:r>
          </w:p>
        </w:tc>
        <w:tc>
          <w:tcPr>
            <w:tcW w:w="779" w:type="dxa"/>
            <w:tcBorders>
              <w:top w:val="nil"/>
              <w:left w:val="nil"/>
              <w:bottom w:val="single" w:sz="8" w:space="0" w:color="D99594"/>
              <w:right w:val="single" w:sz="8" w:space="0" w:color="D99594"/>
            </w:tcBorders>
            <w:shd w:val="clear" w:color="000000" w:fill="F2DBDB"/>
            <w:noWrap/>
            <w:vAlign w:val="center"/>
            <w:hideMark/>
          </w:tcPr>
          <w:p w14:paraId="09531814"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2,7</w:t>
            </w:r>
          </w:p>
        </w:tc>
        <w:tc>
          <w:tcPr>
            <w:tcW w:w="780" w:type="dxa"/>
            <w:tcBorders>
              <w:top w:val="nil"/>
              <w:left w:val="nil"/>
              <w:bottom w:val="single" w:sz="8" w:space="0" w:color="D99594"/>
              <w:right w:val="single" w:sz="8" w:space="0" w:color="D99594"/>
            </w:tcBorders>
            <w:shd w:val="clear" w:color="000000" w:fill="F2DBDB"/>
            <w:noWrap/>
            <w:vAlign w:val="center"/>
            <w:hideMark/>
          </w:tcPr>
          <w:p w14:paraId="53CF5B28"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18,6</w:t>
            </w:r>
          </w:p>
        </w:tc>
        <w:tc>
          <w:tcPr>
            <w:tcW w:w="780" w:type="dxa"/>
            <w:tcBorders>
              <w:top w:val="nil"/>
              <w:left w:val="nil"/>
              <w:bottom w:val="single" w:sz="8" w:space="0" w:color="D99594"/>
              <w:right w:val="single" w:sz="8" w:space="0" w:color="D99594"/>
            </w:tcBorders>
            <w:shd w:val="clear" w:color="000000" w:fill="F2DBDB"/>
            <w:noWrap/>
            <w:vAlign w:val="center"/>
            <w:hideMark/>
          </w:tcPr>
          <w:p w14:paraId="54E8E798"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12,9</w:t>
            </w:r>
          </w:p>
        </w:tc>
      </w:tr>
      <w:tr w:rsidR="00845562" w:rsidRPr="00845562" w14:paraId="1E35E6BE" w14:textId="77777777" w:rsidTr="00845562">
        <w:trPr>
          <w:trHeight w:val="314"/>
        </w:trPr>
        <w:tc>
          <w:tcPr>
            <w:tcW w:w="1843" w:type="dxa"/>
            <w:tcBorders>
              <w:top w:val="nil"/>
              <w:left w:val="single" w:sz="8" w:space="0" w:color="D99594"/>
              <w:bottom w:val="single" w:sz="8" w:space="0" w:color="D99594"/>
              <w:right w:val="single" w:sz="8" w:space="0" w:color="D99594"/>
            </w:tcBorders>
            <w:shd w:val="clear" w:color="auto" w:fill="auto"/>
            <w:vAlign w:val="center"/>
            <w:hideMark/>
          </w:tcPr>
          <w:p w14:paraId="39379723" w14:textId="77777777" w:rsidR="00845562" w:rsidRPr="00845562" w:rsidRDefault="00845562" w:rsidP="00845562">
            <w:pPr>
              <w:spacing w:after="0" w:line="240" w:lineRule="auto"/>
              <w:ind w:firstLineChars="100" w:firstLine="160"/>
              <w:rPr>
                <w:rFonts w:cs="Arial"/>
                <w:color w:val="000000"/>
                <w:sz w:val="16"/>
                <w:szCs w:val="16"/>
              </w:rPr>
            </w:pPr>
            <w:r w:rsidRPr="00845562">
              <w:rPr>
                <w:rFonts w:cs="Arial"/>
                <w:color w:val="000000"/>
                <w:sz w:val="16"/>
                <w:szCs w:val="16"/>
              </w:rPr>
              <w:t>Ústecký kraj</w:t>
            </w:r>
          </w:p>
        </w:tc>
        <w:tc>
          <w:tcPr>
            <w:tcW w:w="779" w:type="dxa"/>
            <w:tcBorders>
              <w:top w:val="nil"/>
              <w:left w:val="nil"/>
              <w:bottom w:val="single" w:sz="8" w:space="0" w:color="D99594"/>
              <w:right w:val="single" w:sz="8" w:space="0" w:color="D99594"/>
            </w:tcBorders>
            <w:shd w:val="clear" w:color="auto" w:fill="auto"/>
            <w:noWrap/>
            <w:vAlign w:val="center"/>
            <w:hideMark/>
          </w:tcPr>
          <w:p w14:paraId="24ADE911"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284</w:t>
            </w:r>
          </w:p>
        </w:tc>
        <w:tc>
          <w:tcPr>
            <w:tcW w:w="780" w:type="dxa"/>
            <w:tcBorders>
              <w:top w:val="nil"/>
              <w:left w:val="nil"/>
              <w:bottom w:val="single" w:sz="8" w:space="0" w:color="D99594"/>
              <w:right w:val="single" w:sz="8" w:space="0" w:color="D99594"/>
            </w:tcBorders>
            <w:shd w:val="clear" w:color="auto" w:fill="auto"/>
            <w:noWrap/>
            <w:vAlign w:val="center"/>
            <w:hideMark/>
          </w:tcPr>
          <w:p w14:paraId="3ED2F25D"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6,7</w:t>
            </w:r>
          </w:p>
        </w:tc>
        <w:tc>
          <w:tcPr>
            <w:tcW w:w="779" w:type="dxa"/>
            <w:tcBorders>
              <w:top w:val="nil"/>
              <w:left w:val="nil"/>
              <w:bottom w:val="single" w:sz="8" w:space="0" w:color="D99594"/>
              <w:right w:val="single" w:sz="8" w:space="0" w:color="D99594"/>
            </w:tcBorders>
            <w:shd w:val="clear" w:color="auto" w:fill="auto"/>
            <w:noWrap/>
            <w:vAlign w:val="center"/>
            <w:hideMark/>
          </w:tcPr>
          <w:p w14:paraId="3DA8B4AC"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3 944</w:t>
            </w:r>
          </w:p>
        </w:tc>
        <w:tc>
          <w:tcPr>
            <w:tcW w:w="780" w:type="dxa"/>
            <w:tcBorders>
              <w:top w:val="nil"/>
              <w:left w:val="nil"/>
              <w:bottom w:val="single" w:sz="8" w:space="0" w:color="D99594"/>
              <w:right w:val="single" w:sz="8" w:space="0" w:color="D99594"/>
            </w:tcBorders>
            <w:shd w:val="clear" w:color="auto" w:fill="auto"/>
            <w:noWrap/>
            <w:vAlign w:val="center"/>
            <w:hideMark/>
          </w:tcPr>
          <w:p w14:paraId="0C2810FD"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7,9</w:t>
            </w:r>
          </w:p>
        </w:tc>
        <w:tc>
          <w:tcPr>
            <w:tcW w:w="780" w:type="dxa"/>
            <w:tcBorders>
              <w:top w:val="nil"/>
              <w:left w:val="nil"/>
              <w:bottom w:val="single" w:sz="8" w:space="0" w:color="D99594"/>
              <w:right w:val="single" w:sz="8" w:space="0" w:color="D99594"/>
            </w:tcBorders>
            <w:shd w:val="clear" w:color="auto" w:fill="auto"/>
            <w:noWrap/>
            <w:vAlign w:val="center"/>
            <w:hideMark/>
          </w:tcPr>
          <w:p w14:paraId="78207FF7"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75 176</w:t>
            </w:r>
          </w:p>
        </w:tc>
        <w:tc>
          <w:tcPr>
            <w:tcW w:w="779" w:type="dxa"/>
            <w:tcBorders>
              <w:top w:val="nil"/>
              <w:left w:val="nil"/>
              <w:bottom w:val="single" w:sz="8" w:space="0" w:color="D99594"/>
              <w:right w:val="single" w:sz="8" w:space="0" w:color="D99594"/>
            </w:tcBorders>
            <w:shd w:val="clear" w:color="auto" w:fill="auto"/>
            <w:noWrap/>
            <w:vAlign w:val="center"/>
            <w:hideMark/>
          </w:tcPr>
          <w:p w14:paraId="11DA2091"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7,8</w:t>
            </w:r>
          </w:p>
        </w:tc>
        <w:tc>
          <w:tcPr>
            <w:tcW w:w="780" w:type="dxa"/>
            <w:tcBorders>
              <w:top w:val="nil"/>
              <w:left w:val="nil"/>
              <w:bottom w:val="single" w:sz="8" w:space="0" w:color="D99594"/>
              <w:right w:val="single" w:sz="8" w:space="0" w:color="D99594"/>
            </w:tcBorders>
            <w:shd w:val="clear" w:color="auto" w:fill="auto"/>
            <w:noWrap/>
            <w:vAlign w:val="center"/>
            <w:hideMark/>
          </w:tcPr>
          <w:p w14:paraId="78201BA3"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5 619</w:t>
            </w:r>
          </w:p>
        </w:tc>
        <w:tc>
          <w:tcPr>
            <w:tcW w:w="779" w:type="dxa"/>
            <w:tcBorders>
              <w:top w:val="nil"/>
              <w:left w:val="nil"/>
              <w:bottom w:val="single" w:sz="8" w:space="0" w:color="D99594"/>
              <w:right w:val="single" w:sz="8" w:space="0" w:color="D99594"/>
            </w:tcBorders>
            <w:shd w:val="clear" w:color="auto" w:fill="auto"/>
            <w:noWrap/>
            <w:vAlign w:val="center"/>
            <w:hideMark/>
          </w:tcPr>
          <w:p w14:paraId="02D12891"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7,9</w:t>
            </w:r>
          </w:p>
        </w:tc>
        <w:tc>
          <w:tcPr>
            <w:tcW w:w="780" w:type="dxa"/>
            <w:tcBorders>
              <w:top w:val="nil"/>
              <w:left w:val="nil"/>
              <w:bottom w:val="single" w:sz="8" w:space="0" w:color="D99594"/>
              <w:right w:val="single" w:sz="8" w:space="0" w:color="D99594"/>
            </w:tcBorders>
            <w:shd w:val="clear" w:color="auto" w:fill="auto"/>
            <w:noWrap/>
            <w:vAlign w:val="center"/>
            <w:hideMark/>
          </w:tcPr>
          <w:p w14:paraId="2D0DE8F7"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19,1</w:t>
            </w:r>
          </w:p>
        </w:tc>
        <w:tc>
          <w:tcPr>
            <w:tcW w:w="780" w:type="dxa"/>
            <w:tcBorders>
              <w:top w:val="nil"/>
              <w:left w:val="nil"/>
              <w:bottom w:val="single" w:sz="8" w:space="0" w:color="D99594"/>
              <w:right w:val="single" w:sz="8" w:space="0" w:color="D99594"/>
            </w:tcBorders>
            <w:shd w:val="clear" w:color="auto" w:fill="auto"/>
            <w:noWrap/>
            <w:vAlign w:val="center"/>
            <w:hideMark/>
          </w:tcPr>
          <w:p w14:paraId="09AF1E9B"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13,4</w:t>
            </w:r>
          </w:p>
        </w:tc>
      </w:tr>
      <w:tr w:rsidR="00845562" w:rsidRPr="00845562" w14:paraId="2F2DFC6A" w14:textId="77777777" w:rsidTr="00845562">
        <w:trPr>
          <w:trHeight w:val="314"/>
        </w:trPr>
        <w:tc>
          <w:tcPr>
            <w:tcW w:w="1843" w:type="dxa"/>
            <w:tcBorders>
              <w:top w:val="nil"/>
              <w:left w:val="single" w:sz="8" w:space="0" w:color="D99594"/>
              <w:bottom w:val="single" w:sz="8" w:space="0" w:color="D99594"/>
              <w:right w:val="single" w:sz="8" w:space="0" w:color="D99594"/>
            </w:tcBorders>
            <w:shd w:val="clear" w:color="000000" w:fill="F2DBDB"/>
            <w:vAlign w:val="center"/>
            <w:hideMark/>
          </w:tcPr>
          <w:p w14:paraId="14E1D6FA" w14:textId="77777777" w:rsidR="00845562" w:rsidRPr="00845562" w:rsidRDefault="00845562" w:rsidP="00845562">
            <w:pPr>
              <w:spacing w:after="0" w:line="240" w:lineRule="auto"/>
              <w:ind w:firstLineChars="100" w:firstLine="160"/>
              <w:rPr>
                <w:rFonts w:cs="Arial"/>
                <w:color w:val="000000"/>
                <w:sz w:val="16"/>
                <w:szCs w:val="16"/>
              </w:rPr>
            </w:pPr>
            <w:r w:rsidRPr="00845562">
              <w:rPr>
                <w:rFonts w:cs="Arial"/>
                <w:color w:val="000000"/>
                <w:sz w:val="16"/>
                <w:szCs w:val="16"/>
              </w:rPr>
              <w:t>Liberecký kraj</w:t>
            </w:r>
          </w:p>
        </w:tc>
        <w:tc>
          <w:tcPr>
            <w:tcW w:w="779" w:type="dxa"/>
            <w:tcBorders>
              <w:top w:val="nil"/>
              <w:left w:val="nil"/>
              <w:bottom w:val="single" w:sz="8" w:space="0" w:color="D99594"/>
              <w:right w:val="single" w:sz="8" w:space="0" w:color="D99594"/>
            </w:tcBorders>
            <w:shd w:val="clear" w:color="000000" w:fill="F2DBDB"/>
            <w:noWrap/>
            <w:vAlign w:val="center"/>
            <w:hideMark/>
          </w:tcPr>
          <w:p w14:paraId="3700E107"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201</w:t>
            </w:r>
          </w:p>
        </w:tc>
        <w:tc>
          <w:tcPr>
            <w:tcW w:w="780" w:type="dxa"/>
            <w:tcBorders>
              <w:top w:val="nil"/>
              <w:left w:val="nil"/>
              <w:bottom w:val="single" w:sz="8" w:space="0" w:color="D99594"/>
              <w:right w:val="single" w:sz="8" w:space="0" w:color="D99594"/>
            </w:tcBorders>
            <w:shd w:val="clear" w:color="000000" w:fill="F2DBDB"/>
            <w:noWrap/>
            <w:vAlign w:val="center"/>
            <w:hideMark/>
          </w:tcPr>
          <w:p w14:paraId="37C5A9D4"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4,7</w:t>
            </w:r>
          </w:p>
        </w:tc>
        <w:tc>
          <w:tcPr>
            <w:tcW w:w="779" w:type="dxa"/>
            <w:tcBorders>
              <w:top w:val="nil"/>
              <w:left w:val="nil"/>
              <w:bottom w:val="single" w:sz="8" w:space="0" w:color="D99594"/>
              <w:right w:val="single" w:sz="8" w:space="0" w:color="D99594"/>
            </w:tcBorders>
            <w:shd w:val="clear" w:color="000000" w:fill="F2DBDB"/>
            <w:noWrap/>
            <w:vAlign w:val="center"/>
            <w:hideMark/>
          </w:tcPr>
          <w:p w14:paraId="3510ED27"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2 205</w:t>
            </w:r>
          </w:p>
        </w:tc>
        <w:tc>
          <w:tcPr>
            <w:tcW w:w="780" w:type="dxa"/>
            <w:tcBorders>
              <w:top w:val="nil"/>
              <w:left w:val="nil"/>
              <w:bottom w:val="single" w:sz="8" w:space="0" w:color="D99594"/>
              <w:right w:val="single" w:sz="8" w:space="0" w:color="D99594"/>
            </w:tcBorders>
            <w:shd w:val="clear" w:color="000000" w:fill="F2DBDB"/>
            <w:noWrap/>
            <w:vAlign w:val="center"/>
            <w:hideMark/>
          </w:tcPr>
          <w:p w14:paraId="6566C16A"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4,4</w:t>
            </w:r>
          </w:p>
        </w:tc>
        <w:tc>
          <w:tcPr>
            <w:tcW w:w="780" w:type="dxa"/>
            <w:tcBorders>
              <w:top w:val="nil"/>
              <w:left w:val="nil"/>
              <w:bottom w:val="single" w:sz="8" w:space="0" w:color="D99594"/>
              <w:right w:val="single" w:sz="8" w:space="0" w:color="D99594"/>
            </w:tcBorders>
            <w:shd w:val="clear" w:color="000000" w:fill="F2DBDB"/>
            <w:noWrap/>
            <w:vAlign w:val="center"/>
            <w:hideMark/>
          </w:tcPr>
          <w:p w14:paraId="3216EDF4"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41 737</w:t>
            </w:r>
          </w:p>
        </w:tc>
        <w:tc>
          <w:tcPr>
            <w:tcW w:w="779" w:type="dxa"/>
            <w:tcBorders>
              <w:top w:val="nil"/>
              <w:left w:val="nil"/>
              <w:bottom w:val="single" w:sz="8" w:space="0" w:color="D99594"/>
              <w:right w:val="single" w:sz="8" w:space="0" w:color="D99594"/>
            </w:tcBorders>
            <w:shd w:val="clear" w:color="000000" w:fill="F2DBDB"/>
            <w:noWrap/>
            <w:vAlign w:val="center"/>
            <w:hideMark/>
          </w:tcPr>
          <w:p w14:paraId="34B37971"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4,3</w:t>
            </w:r>
          </w:p>
        </w:tc>
        <w:tc>
          <w:tcPr>
            <w:tcW w:w="780" w:type="dxa"/>
            <w:tcBorders>
              <w:top w:val="nil"/>
              <w:left w:val="nil"/>
              <w:bottom w:val="single" w:sz="8" w:space="0" w:color="D99594"/>
              <w:right w:val="single" w:sz="8" w:space="0" w:color="D99594"/>
            </w:tcBorders>
            <w:shd w:val="clear" w:color="000000" w:fill="F2DBDB"/>
            <w:noWrap/>
            <w:vAlign w:val="center"/>
            <w:hideMark/>
          </w:tcPr>
          <w:p w14:paraId="6446A8AF"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3 158</w:t>
            </w:r>
          </w:p>
        </w:tc>
        <w:tc>
          <w:tcPr>
            <w:tcW w:w="779" w:type="dxa"/>
            <w:tcBorders>
              <w:top w:val="nil"/>
              <w:left w:val="nil"/>
              <w:bottom w:val="single" w:sz="8" w:space="0" w:color="D99594"/>
              <w:right w:val="single" w:sz="8" w:space="0" w:color="D99594"/>
            </w:tcBorders>
            <w:shd w:val="clear" w:color="000000" w:fill="F2DBDB"/>
            <w:noWrap/>
            <w:vAlign w:val="center"/>
            <w:hideMark/>
          </w:tcPr>
          <w:p w14:paraId="05C22A1A"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4,4</w:t>
            </w:r>
          </w:p>
        </w:tc>
        <w:tc>
          <w:tcPr>
            <w:tcW w:w="780" w:type="dxa"/>
            <w:tcBorders>
              <w:top w:val="nil"/>
              <w:left w:val="nil"/>
              <w:bottom w:val="single" w:sz="8" w:space="0" w:color="D99594"/>
              <w:right w:val="single" w:sz="8" w:space="0" w:color="D99594"/>
            </w:tcBorders>
            <w:shd w:val="clear" w:color="000000" w:fill="F2DBDB"/>
            <w:noWrap/>
            <w:vAlign w:val="center"/>
            <w:hideMark/>
          </w:tcPr>
          <w:p w14:paraId="04D5E9D6"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18,9</w:t>
            </w:r>
          </w:p>
        </w:tc>
        <w:tc>
          <w:tcPr>
            <w:tcW w:w="780" w:type="dxa"/>
            <w:tcBorders>
              <w:top w:val="nil"/>
              <w:left w:val="nil"/>
              <w:bottom w:val="single" w:sz="8" w:space="0" w:color="D99594"/>
              <w:right w:val="single" w:sz="8" w:space="0" w:color="D99594"/>
            </w:tcBorders>
            <w:shd w:val="clear" w:color="000000" w:fill="F2DBDB"/>
            <w:noWrap/>
            <w:vAlign w:val="center"/>
            <w:hideMark/>
          </w:tcPr>
          <w:p w14:paraId="1D7867AC"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13,2</w:t>
            </w:r>
          </w:p>
        </w:tc>
      </w:tr>
      <w:tr w:rsidR="00845562" w:rsidRPr="00845562" w14:paraId="5464C802" w14:textId="77777777" w:rsidTr="00845562">
        <w:trPr>
          <w:trHeight w:val="314"/>
        </w:trPr>
        <w:tc>
          <w:tcPr>
            <w:tcW w:w="1843" w:type="dxa"/>
            <w:tcBorders>
              <w:top w:val="nil"/>
              <w:left w:val="single" w:sz="8" w:space="0" w:color="D99594"/>
              <w:bottom w:val="single" w:sz="8" w:space="0" w:color="D99594"/>
              <w:right w:val="single" w:sz="8" w:space="0" w:color="D99594"/>
            </w:tcBorders>
            <w:shd w:val="clear" w:color="auto" w:fill="auto"/>
            <w:vAlign w:val="center"/>
            <w:hideMark/>
          </w:tcPr>
          <w:p w14:paraId="12393A90" w14:textId="77777777" w:rsidR="00845562" w:rsidRPr="00845562" w:rsidRDefault="00845562" w:rsidP="00845562">
            <w:pPr>
              <w:spacing w:after="0" w:line="240" w:lineRule="auto"/>
              <w:ind w:firstLineChars="100" w:firstLine="160"/>
              <w:rPr>
                <w:rFonts w:cs="Arial"/>
                <w:color w:val="000000"/>
                <w:sz w:val="16"/>
                <w:szCs w:val="16"/>
              </w:rPr>
            </w:pPr>
            <w:r w:rsidRPr="00845562">
              <w:rPr>
                <w:rFonts w:cs="Arial"/>
                <w:color w:val="000000"/>
                <w:sz w:val="16"/>
                <w:szCs w:val="16"/>
              </w:rPr>
              <w:t>Královéhradecký kraj</w:t>
            </w:r>
          </w:p>
        </w:tc>
        <w:tc>
          <w:tcPr>
            <w:tcW w:w="779" w:type="dxa"/>
            <w:tcBorders>
              <w:top w:val="nil"/>
              <w:left w:val="nil"/>
              <w:bottom w:val="single" w:sz="8" w:space="0" w:color="D99594"/>
              <w:right w:val="single" w:sz="8" w:space="0" w:color="D99594"/>
            </w:tcBorders>
            <w:shd w:val="clear" w:color="auto" w:fill="auto"/>
            <w:noWrap/>
            <w:vAlign w:val="center"/>
            <w:hideMark/>
          </w:tcPr>
          <w:p w14:paraId="388867CD"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272</w:t>
            </w:r>
          </w:p>
        </w:tc>
        <w:tc>
          <w:tcPr>
            <w:tcW w:w="780" w:type="dxa"/>
            <w:tcBorders>
              <w:top w:val="nil"/>
              <w:left w:val="nil"/>
              <w:bottom w:val="single" w:sz="8" w:space="0" w:color="D99594"/>
              <w:right w:val="single" w:sz="8" w:space="0" w:color="D99594"/>
            </w:tcBorders>
            <w:shd w:val="clear" w:color="auto" w:fill="auto"/>
            <w:noWrap/>
            <w:vAlign w:val="center"/>
            <w:hideMark/>
          </w:tcPr>
          <w:p w14:paraId="6402F3DE"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6,4</w:t>
            </w:r>
          </w:p>
        </w:tc>
        <w:tc>
          <w:tcPr>
            <w:tcW w:w="779" w:type="dxa"/>
            <w:tcBorders>
              <w:top w:val="nil"/>
              <w:left w:val="nil"/>
              <w:bottom w:val="single" w:sz="8" w:space="0" w:color="D99594"/>
              <w:right w:val="single" w:sz="8" w:space="0" w:color="D99594"/>
            </w:tcBorders>
            <w:shd w:val="clear" w:color="auto" w:fill="auto"/>
            <w:noWrap/>
            <w:vAlign w:val="center"/>
            <w:hideMark/>
          </w:tcPr>
          <w:p w14:paraId="60528807"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2 683</w:t>
            </w:r>
          </w:p>
        </w:tc>
        <w:tc>
          <w:tcPr>
            <w:tcW w:w="780" w:type="dxa"/>
            <w:tcBorders>
              <w:top w:val="nil"/>
              <w:left w:val="nil"/>
              <w:bottom w:val="single" w:sz="8" w:space="0" w:color="D99594"/>
              <w:right w:val="single" w:sz="8" w:space="0" w:color="D99594"/>
            </w:tcBorders>
            <w:shd w:val="clear" w:color="auto" w:fill="auto"/>
            <w:noWrap/>
            <w:vAlign w:val="center"/>
            <w:hideMark/>
          </w:tcPr>
          <w:p w14:paraId="59396276"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5,4</w:t>
            </w:r>
          </w:p>
        </w:tc>
        <w:tc>
          <w:tcPr>
            <w:tcW w:w="780" w:type="dxa"/>
            <w:tcBorders>
              <w:top w:val="nil"/>
              <w:left w:val="nil"/>
              <w:bottom w:val="single" w:sz="8" w:space="0" w:color="D99594"/>
              <w:right w:val="single" w:sz="8" w:space="0" w:color="D99594"/>
            </w:tcBorders>
            <w:shd w:val="clear" w:color="auto" w:fill="auto"/>
            <w:noWrap/>
            <w:vAlign w:val="center"/>
            <w:hideMark/>
          </w:tcPr>
          <w:p w14:paraId="0983349E"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49 524</w:t>
            </w:r>
          </w:p>
        </w:tc>
        <w:tc>
          <w:tcPr>
            <w:tcW w:w="779" w:type="dxa"/>
            <w:tcBorders>
              <w:top w:val="nil"/>
              <w:left w:val="nil"/>
              <w:bottom w:val="single" w:sz="8" w:space="0" w:color="D99594"/>
              <w:right w:val="single" w:sz="8" w:space="0" w:color="D99594"/>
            </w:tcBorders>
            <w:shd w:val="clear" w:color="auto" w:fill="auto"/>
            <w:noWrap/>
            <w:vAlign w:val="center"/>
            <w:hideMark/>
          </w:tcPr>
          <w:p w14:paraId="09864C85"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5,1</w:t>
            </w:r>
          </w:p>
        </w:tc>
        <w:tc>
          <w:tcPr>
            <w:tcW w:w="780" w:type="dxa"/>
            <w:tcBorders>
              <w:top w:val="nil"/>
              <w:left w:val="nil"/>
              <w:bottom w:val="single" w:sz="8" w:space="0" w:color="D99594"/>
              <w:right w:val="single" w:sz="8" w:space="0" w:color="D99594"/>
            </w:tcBorders>
            <w:shd w:val="clear" w:color="auto" w:fill="auto"/>
            <w:noWrap/>
            <w:vAlign w:val="center"/>
            <w:hideMark/>
          </w:tcPr>
          <w:p w14:paraId="003249DC"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3 839</w:t>
            </w:r>
          </w:p>
        </w:tc>
        <w:tc>
          <w:tcPr>
            <w:tcW w:w="779" w:type="dxa"/>
            <w:tcBorders>
              <w:top w:val="nil"/>
              <w:left w:val="nil"/>
              <w:bottom w:val="single" w:sz="8" w:space="0" w:color="D99594"/>
              <w:right w:val="single" w:sz="8" w:space="0" w:color="D99594"/>
            </w:tcBorders>
            <w:shd w:val="clear" w:color="auto" w:fill="auto"/>
            <w:noWrap/>
            <w:vAlign w:val="center"/>
            <w:hideMark/>
          </w:tcPr>
          <w:p w14:paraId="24483199"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5,4</w:t>
            </w:r>
          </w:p>
        </w:tc>
        <w:tc>
          <w:tcPr>
            <w:tcW w:w="780" w:type="dxa"/>
            <w:tcBorders>
              <w:top w:val="nil"/>
              <w:left w:val="nil"/>
              <w:bottom w:val="single" w:sz="8" w:space="0" w:color="D99594"/>
              <w:right w:val="single" w:sz="8" w:space="0" w:color="D99594"/>
            </w:tcBorders>
            <w:shd w:val="clear" w:color="auto" w:fill="auto"/>
            <w:noWrap/>
            <w:vAlign w:val="center"/>
            <w:hideMark/>
          </w:tcPr>
          <w:p w14:paraId="00A388AA"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18,5</w:t>
            </w:r>
          </w:p>
        </w:tc>
        <w:tc>
          <w:tcPr>
            <w:tcW w:w="780" w:type="dxa"/>
            <w:tcBorders>
              <w:top w:val="nil"/>
              <w:left w:val="nil"/>
              <w:bottom w:val="single" w:sz="8" w:space="0" w:color="D99594"/>
              <w:right w:val="single" w:sz="8" w:space="0" w:color="D99594"/>
            </w:tcBorders>
            <w:shd w:val="clear" w:color="auto" w:fill="auto"/>
            <w:noWrap/>
            <w:vAlign w:val="center"/>
            <w:hideMark/>
          </w:tcPr>
          <w:p w14:paraId="1CBE8799"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12,9</w:t>
            </w:r>
          </w:p>
        </w:tc>
      </w:tr>
      <w:tr w:rsidR="00845562" w:rsidRPr="00845562" w14:paraId="23E5B923" w14:textId="77777777" w:rsidTr="00845562">
        <w:trPr>
          <w:trHeight w:val="314"/>
        </w:trPr>
        <w:tc>
          <w:tcPr>
            <w:tcW w:w="1843" w:type="dxa"/>
            <w:tcBorders>
              <w:top w:val="nil"/>
              <w:left w:val="single" w:sz="8" w:space="0" w:color="D99594"/>
              <w:bottom w:val="single" w:sz="8" w:space="0" w:color="D99594"/>
              <w:right w:val="single" w:sz="8" w:space="0" w:color="D99594"/>
            </w:tcBorders>
            <w:shd w:val="clear" w:color="000000" w:fill="F2DBDB"/>
            <w:vAlign w:val="center"/>
            <w:hideMark/>
          </w:tcPr>
          <w:p w14:paraId="3959C862" w14:textId="77777777" w:rsidR="00845562" w:rsidRPr="00845562" w:rsidRDefault="00845562" w:rsidP="00845562">
            <w:pPr>
              <w:spacing w:after="0" w:line="240" w:lineRule="auto"/>
              <w:ind w:firstLineChars="100" w:firstLine="160"/>
              <w:rPr>
                <w:rFonts w:cs="Arial"/>
                <w:color w:val="000000"/>
                <w:sz w:val="16"/>
                <w:szCs w:val="16"/>
              </w:rPr>
            </w:pPr>
            <w:r w:rsidRPr="00845562">
              <w:rPr>
                <w:rFonts w:cs="Arial"/>
                <w:color w:val="000000"/>
                <w:sz w:val="16"/>
                <w:szCs w:val="16"/>
              </w:rPr>
              <w:t>Pardubický kraj</w:t>
            </w:r>
          </w:p>
        </w:tc>
        <w:tc>
          <w:tcPr>
            <w:tcW w:w="779" w:type="dxa"/>
            <w:tcBorders>
              <w:top w:val="nil"/>
              <w:left w:val="nil"/>
              <w:bottom w:val="single" w:sz="8" w:space="0" w:color="D99594"/>
              <w:right w:val="single" w:sz="8" w:space="0" w:color="D99594"/>
            </w:tcBorders>
            <w:shd w:val="clear" w:color="000000" w:fill="F2DBDB"/>
            <w:noWrap/>
            <w:vAlign w:val="center"/>
            <w:hideMark/>
          </w:tcPr>
          <w:p w14:paraId="44693D0E"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251</w:t>
            </w:r>
          </w:p>
        </w:tc>
        <w:tc>
          <w:tcPr>
            <w:tcW w:w="780" w:type="dxa"/>
            <w:tcBorders>
              <w:top w:val="nil"/>
              <w:left w:val="nil"/>
              <w:bottom w:val="single" w:sz="8" w:space="0" w:color="D99594"/>
              <w:right w:val="single" w:sz="8" w:space="0" w:color="D99594"/>
            </w:tcBorders>
            <w:shd w:val="clear" w:color="000000" w:fill="F2DBDB"/>
            <w:noWrap/>
            <w:vAlign w:val="center"/>
            <w:hideMark/>
          </w:tcPr>
          <w:p w14:paraId="145819AE"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5,9</w:t>
            </w:r>
          </w:p>
        </w:tc>
        <w:tc>
          <w:tcPr>
            <w:tcW w:w="779" w:type="dxa"/>
            <w:tcBorders>
              <w:top w:val="nil"/>
              <w:left w:val="nil"/>
              <w:bottom w:val="single" w:sz="8" w:space="0" w:color="D99594"/>
              <w:right w:val="single" w:sz="8" w:space="0" w:color="D99594"/>
            </w:tcBorders>
            <w:shd w:val="clear" w:color="000000" w:fill="F2DBDB"/>
            <w:noWrap/>
            <w:vAlign w:val="center"/>
            <w:hideMark/>
          </w:tcPr>
          <w:p w14:paraId="12DDE8A7"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2 481</w:t>
            </w:r>
          </w:p>
        </w:tc>
        <w:tc>
          <w:tcPr>
            <w:tcW w:w="780" w:type="dxa"/>
            <w:tcBorders>
              <w:top w:val="nil"/>
              <w:left w:val="nil"/>
              <w:bottom w:val="single" w:sz="8" w:space="0" w:color="D99594"/>
              <w:right w:val="single" w:sz="8" w:space="0" w:color="D99594"/>
            </w:tcBorders>
            <w:shd w:val="clear" w:color="000000" w:fill="F2DBDB"/>
            <w:noWrap/>
            <w:vAlign w:val="center"/>
            <w:hideMark/>
          </w:tcPr>
          <w:p w14:paraId="66330A3C"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5,0</w:t>
            </w:r>
          </w:p>
        </w:tc>
        <w:tc>
          <w:tcPr>
            <w:tcW w:w="780" w:type="dxa"/>
            <w:tcBorders>
              <w:top w:val="nil"/>
              <w:left w:val="nil"/>
              <w:bottom w:val="single" w:sz="8" w:space="0" w:color="D99594"/>
              <w:right w:val="single" w:sz="8" w:space="0" w:color="D99594"/>
            </w:tcBorders>
            <w:shd w:val="clear" w:color="000000" w:fill="F2DBDB"/>
            <w:noWrap/>
            <w:vAlign w:val="center"/>
            <w:hideMark/>
          </w:tcPr>
          <w:p w14:paraId="4F1C8925"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47 507</w:t>
            </w:r>
          </w:p>
        </w:tc>
        <w:tc>
          <w:tcPr>
            <w:tcW w:w="779" w:type="dxa"/>
            <w:tcBorders>
              <w:top w:val="nil"/>
              <w:left w:val="nil"/>
              <w:bottom w:val="single" w:sz="8" w:space="0" w:color="D99594"/>
              <w:right w:val="single" w:sz="8" w:space="0" w:color="D99594"/>
            </w:tcBorders>
            <w:shd w:val="clear" w:color="000000" w:fill="F2DBDB"/>
            <w:noWrap/>
            <w:vAlign w:val="center"/>
            <w:hideMark/>
          </w:tcPr>
          <w:p w14:paraId="14C6391F"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4,9</w:t>
            </w:r>
          </w:p>
        </w:tc>
        <w:tc>
          <w:tcPr>
            <w:tcW w:w="780" w:type="dxa"/>
            <w:tcBorders>
              <w:top w:val="nil"/>
              <w:left w:val="nil"/>
              <w:bottom w:val="single" w:sz="8" w:space="0" w:color="D99594"/>
              <w:right w:val="single" w:sz="8" w:space="0" w:color="D99594"/>
            </w:tcBorders>
            <w:shd w:val="clear" w:color="000000" w:fill="F2DBDB"/>
            <w:noWrap/>
            <w:vAlign w:val="center"/>
            <w:hideMark/>
          </w:tcPr>
          <w:p w14:paraId="138A0439"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3 518</w:t>
            </w:r>
          </w:p>
        </w:tc>
        <w:tc>
          <w:tcPr>
            <w:tcW w:w="779" w:type="dxa"/>
            <w:tcBorders>
              <w:top w:val="nil"/>
              <w:left w:val="nil"/>
              <w:bottom w:val="single" w:sz="8" w:space="0" w:color="D99594"/>
              <w:right w:val="single" w:sz="8" w:space="0" w:color="D99594"/>
            </w:tcBorders>
            <w:shd w:val="clear" w:color="000000" w:fill="F2DBDB"/>
            <w:noWrap/>
            <w:vAlign w:val="center"/>
            <w:hideMark/>
          </w:tcPr>
          <w:p w14:paraId="30D0CDC2"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4,9</w:t>
            </w:r>
          </w:p>
        </w:tc>
        <w:tc>
          <w:tcPr>
            <w:tcW w:w="780" w:type="dxa"/>
            <w:tcBorders>
              <w:top w:val="nil"/>
              <w:left w:val="nil"/>
              <w:bottom w:val="single" w:sz="8" w:space="0" w:color="D99594"/>
              <w:right w:val="single" w:sz="8" w:space="0" w:color="D99594"/>
            </w:tcBorders>
            <w:shd w:val="clear" w:color="000000" w:fill="F2DBDB"/>
            <w:noWrap/>
            <w:vAlign w:val="center"/>
            <w:hideMark/>
          </w:tcPr>
          <w:p w14:paraId="55725727"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19,1</w:t>
            </w:r>
          </w:p>
        </w:tc>
        <w:tc>
          <w:tcPr>
            <w:tcW w:w="780" w:type="dxa"/>
            <w:tcBorders>
              <w:top w:val="nil"/>
              <w:left w:val="nil"/>
              <w:bottom w:val="single" w:sz="8" w:space="0" w:color="D99594"/>
              <w:right w:val="single" w:sz="8" w:space="0" w:color="D99594"/>
            </w:tcBorders>
            <w:shd w:val="clear" w:color="000000" w:fill="F2DBDB"/>
            <w:noWrap/>
            <w:vAlign w:val="center"/>
            <w:hideMark/>
          </w:tcPr>
          <w:p w14:paraId="1E865E8B"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13,5</w:t>
            </w:r>
          </w:p>
        </w:tc>
      </w:tr>
      <w:tr w:rsidR="00845562" w:rsidRPr="00845562" w14:paraId="613C218E" w14:textId="77777777" w:rsidTr="00845562">
        <w:trPr>
          <w:trHeight w:val="314"/>
        </w:trPr>
        <w:tc>
          <w:tcPr>
            <w:tcW w:w="1843" w:type="dxa"/>
            <w:tcBorders>
              <w:top w:val="nil"/>
              <w:left w:val="single" w:sz="8" w:space="0" w:color="D99594"/>
              <w:bottom w:val="single" w:sz="8" w:space="0" w:color="D99594"/>
              <w:right w:val="single" w:sz="8" w:space="0" w:color="D99594"/>
            </w:tcBorders>
            <w:shd w:val="clear" w:color="auto" w:fill="auto"/>
            <w:vAlign w:val="center"/>
            <w:hideMark/>
          </w:tcPr>
          <w:p w14:paraId="3EFC47DC" w14:textId="77777777" w:rsidR="00845562" w:rsidRPr="00845562" w:rsidRDefault="00845562" w:rsidP="00845562">
            <w:pPr>
              <w:spacing w:after="0" w:line="240" w:lineRule="auto"/>
              <w:ind w:firstLineChars="100" w:firstLine="160"/>
              <w:rPr>
                <w:rFonts w:cs="Arial"/>
                <w:color w:val="000000"/>
                <w:sz w:val="16"/>
                <w:szCs w:val="16"/>
              </w:rPr>
            </w:pPr>
            <w:r w:rsidRPr="00845562">
              <w:rPr>
                <w:rFonts w:cs="Arial"/>
                <w:color w:val="000000"/>
                <w:sz w:val="16"/>
                <w:szCs w:val="16"/>
              </w:rPr>
              <w:t>Kraj Vysočina</w:t>
            </w:r>
          </w:p>
        </w:tc>
        <w:tc>
          <w:tcPr>
            <w:tcW w:w="779" w:type="dxa"/>
            <w:tcBorders>
              <w:top w:val="nil"/>
              <w:left w:val="nil"/>
              <w:bottom w:val="single" w:sz="8" w:space="0" w:color="D99594"/>
              <w:right w:val="single" w:sz="8" w:space="0" w:color="D99594"/>
            </w:tcBorders>
            <w:shd w:val="clear" w:color="auto" w:fill="auto"/>
            <w:noWrap/>
            <w:vAlign w:val="center"/>
            <w:hideMark/>
          </w:tcPr>
          <w:p w14:paraId="6F5D9C15"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272</w:t>
            </w:r>
          </w:p>
        </w:tc>
        <w:tc>
          <w:tcPr>
            <w:tcW w:w="780" w:type="dxa"/>
            <w:tcBorders>
              <w:top w:val="nil"/>
              <w:left w:val="nil"/>
              <w:bottom w:val="single" w:sz="8" w:space="0" w:color="D99594"/>
              <w:right w:val="single" w:sz="8" w:space="0" w:color="D99594"/>
            </w:tcBorders>
            <w:shd w:val="clear" w:color="auto" w:fill="auto"/>
            <w:noWrap/>
            <w:vAlign w:val="center"/>
            <w:hideMark/>
          </w:tcPr>
          <w:p w14:paraId="7539D7AC"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6,4</w:t>
            </w:r>
          </w:p>
        </w:tc>
        <w:tc>
          <w:tcPr>
            <w:tcW w:w="779" w:type="dxa"/>
            <w:tcBorders>
              <w:top w:val="nil"/>
              <w:left w:val="nil"/>
              <w:bottom w:val="single" w:sz="8" w:space="0" w:color="D99594"/>
              <w:right w:val="single" w:sz="8" w:space="0" w:color="D99594"/>
            </w:tcBorders>
            <w:shd w:val="clear" w:color="auto" w:fill="auto"/>
            <w:noWrap/>
            <w:vAlign w:val="center"/>
            <w:hideMark/>
          </w:tcPr>
          <w:p w14:paraId="4713E00A"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2 433</w:t>
            </w:r>
          </w:p>
        </w:tc>
        <w:tc>
          <w:tcPr>
            <w:tcW w:w="780" w:type="dxa"/>
            <w:tcBorders>
              <w:top w:val="nil"/>
              <w:left w:val="nil"/>
              <w:bottom w:val="single" w:sz="8" w:space="0" w:color="D99594"/>
              <w:right w:val="single" w:sz="8" w:space="0" w:color="D99594"/>
            </w:tcBorders>
            <w:shd w:val="clear" w:color="auto" w:fill="auto"/>
            <w:noWrap/>
            <w:vAlign w:val="center"/>
            <w:hideMark/>
          </w:tcPr>
          <w:p w14:paraId="6086B187"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4,9</w:t>
            </w:r>
          </w:p>
        </w:tc>
        <w:tc>
          <w:tcPr>
            <w:tcW w:w="780" w:type="dxa"/>
            <w:tcBorders>
              <w:top w:val="nil"/>
              <w:left w:val="nil"/>
              <w:bottom w:val="single" w:sz="8" w:space="0" w:color="D99594"/>
              <w:right w:val="single" w:sz="8" w:space="0" w:color="D99594"/>
            </w:tcBorders>
            <w:shd w:val="clear" w:color="auto" w:fill="auto"/>
            <w:noWrap/>
            <w:vAlign w:val="center"/>
            <w:hideMark/>
          </w:tcPr>
          <w:p w14:paraId="2A557657"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45 727</w:t>
            </w:r>
          </w:p>
        </w:tc>
        <w:tc>
          <w:tcPr>
            <w:tcW w:w="779" w:type="dxa"/>
            <w:tcBorders>
              <w:top w:val="nil"/>
              <w:left w:val="nil"/>
              <w:bottom w:val="single" w:sz="8" w:space="0" w:color="D99594"/>
              <w:right w:val="single" w:sz="8" w:space="0" w:color="D99594"/>
            </w:tcBorders>
            <w:shd w:val="clear" w:color="auto" w:fill="auto"/>
            <w:noWrap/>
            <w:vAlign w:val="center"/>
            <w:hideMark/>
          </w:tcPr>
          <w:p w14:paraId="2BA9A978"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4,7</w:t>
            </w:r>
          </w:p>
        </w:tc>
        <w:tc>
          <w:tcPr>
            <w:tcW w:w="780" w:type="dxa"/>
            <w:tcBorders>
              <w:top w:val="nil"/>
              <w:left w:val="nil"/>
              <w:bottom w:val="single" w:sz="8" w:space="0" w:color="D99594"/>
              <w:right w:val="single" w:sz="8" w:space="0" w:color="D99594"/>
            </w:tcBorders>
            <w:shd w:val="clear" w:color="auto" w:fill="auto"/>
            <w:noWrap/>
            <w:vAlign w:val="center"/>
            <w:hideMark/>
          </w:tcPr>
          <w:p w14:paraId="26D72D79"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3 473</w:t>
            </w:r>
          </w:p>
        </w:tc>
        <w:tc>
          <w:tcPr>
            <w:tcW w:w="779" w:type="dxa"/>
            <w:tcBorders>
              <w:top w:val="nil"/>
              <w:left w:val="nil"/>
              <w:bottom w:val="single" w:sz="8" w:space="0" w:color="D99594"/>
              <w:right w:val="single" w:sz="8" w:space="0" w:color="D99594"/>
            </w:tcBorders>
            <w:shd w:val="clear" w:color="auto" w:fill="auto"/>
            <w:noWrap/>
            <w:vAlign w:val="center"/>
            <w:hideMark/>
          </w:tcPr>
          <w:p w14:paraId="27F83C5F"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4,9</w:t>
            </w:r>
          </w:p>
        </w:tc>
        <w:tc>
          <w:tcPr>
            <w:tcW w:w="780" w:type="dxa"/>
            <w:tcBorders>
              <w:top w:val="nil"/>
              <w:left w:val="nil"/>
              <w:bottom w:val="single" w:sz="8" w:space="0" w:color="D99594"/>
              <w:right w:val="single" w:sz="8" w:space="0" w:color="D99594"/>
            </w:tcBorders>
            <w:shd w:val="clear" w:color="auto" w:fill="auto"/>
            <w:noWrap/>
            <w:vAlign w:val="center"/>
            <w:hideMark/>
          </w:tcPr>
          <w:p w14:paraId="7930D1F0"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18,8</w:t>
            </w:r>
          </w:p>
        </w:tc>
        <w:tc>
          <w:tcPr>
            <w:tcW w:w="780" w:type="dxa"/>
            <w:tcBorders>
              <w:top w:val="nil"/>
              <w:left w:val="nil"/>
              <w:bottom w:val="single" w:sz="8" w:space="0" w:color="D99594"/>
              <w:right w:val="single" w:sz="8" w:space="0" w:color="D99594"/>
            </w:tcBorders>
            <w:shd w:val="clear" w:color="auto" w:fill="auto"/>
            <w:noWrap/>
            <w:vAlign w:val="center"/>
            <w:hideMark/>
          </w:tcPr>
          <w:p w14:paraId="60F2E4B0"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13,2</w:t>
            </w:r>
          </w:p>
        </w:tc>
      </w:tr>
      <w:tr w:rsidR="00845562" w:rsidRPr="00845562" w14:paraId="540AA359" w14:textId="77777777" w:rsidTr="00845562">
        <w:trPr>
          <w:trHeight w:val="314"/>
        </w:trPr>
        <w:tc>
          <w:tcPr>
            <w:tcW w:w="1843" w:type="dxa"/>
            <w:tcBorders>
              <w:top w:val="nil"/>
              <w:left w:val="single" w:sz="8" w:space="0" w:color="D99594"/>
              <w:bottom w:val="single" w:sz="8" w:space="0" w:color="D99594"/>
              <w:right w:val="single" w:sz="8" w:space="0" w:color="D99594"/>
            </w:tcBorders>
            <w:shd w:val="clear" w:color="000000" w:fill="F2DBDB"/>
            <w:vAlign w:val="center"/>
            <w:hideMark/>
          </w:tcPr>
          <w:p w14:paraId="5AE03AD2" w14:textId="77777777" w:rsidR="00845562" w:rsidRPr="00845562" w:rsidRDefault="00845562" w:rsidP="00845562">
            <w:pPr>
              <w:spacing w:after="0" w:line="240" w:lineRule="auto"/>
              <w:ind w:firstLineChars="100" w:firstLine="160"/>
              <w:rPr>
                <w:rFonts w:cs="Arial"/>
                <w:color w:val="000000"/>
                <w:sz w:val="16"/>
                <w:szCs w:val="16"/>
              </w:rPr>
            </w:pPr>
            <w:r w:rsidRPr="00845562">
              <w:rPr>
                <w:rFonts w:cs="Arial"/>
                <w:color w:val="000000"/>
                <w:sz w:val="16"/>
                <w:szCs w:val="16"/>
              </w:rPr>
              <w:t>Jihomoravský kraj</w:t>
            </w:r>
          </w:p>
        </w:tc>
        <w:tc>
          <w:tcPr>
            <w:tcW w:w="779" w:type="dxa"/>
            <w:tcBorders>
              <w:top w:val="nil"/>
              <w:left w:val="nil"/>
              <w:bottom w:val="single" w:sz="8" w:space="0" w:color="D99594"/>
              <w:right w:val="single" w:sz="8" w:space="0" w:color="D99594"/>
            </w:tcBorders>
            <w:shd w:val="clear" w:color="000000" w:fill="F2DBDB"/>
            <w:noWrap/>
            <w:vAlign w:val="center"/>
            <w:hideMark/>
          </w:tcPr>
          <w:p w14:paraId="673D7C41"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487</w:t>
            </w:r>
          </w:p>
        </w:tc>
        <w:tc>
          <w:tcPr>
            <w:tcW w:w="780" w:type="dxa"/>
            <w:tcBorders>
              <w:top w:val="nil"/>
              <w:left w:val="nil"/>
              <w:bottom w:val="single" w:sz="8" w:space="0" w:color="D99594"/>
              <w:right w:val="single" w:sz="8" w:space="0" w:color="D99594"/>
            </w:tcBorders>
            <w:shd w:val="clear" w:color="000000" w:fill="F2DBDB"/>
            <w:noWrap/>
            <w:vAlign w:val="center"/>
            <w:hideMark/>
          </w:tcPr>
          <w:p w14:paraId="3CD4AE05"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11,5</w:t>
            </w:r>
          </w:p>
        </w:tc>
        <w:tc>
          <w:tcPr>
            <w:tcW w:w="779" w:type="dxa"/>
            <w:tcBorders>
              <w:top w:val="nil"/>
              <w:left w:val="nil"/>
              <w:bottom w:val="single" w:sz="8" w:space="0" w:color="D99594"/>
              <w:right w:val="single" w:sz="8" w:space="0" w:color="D99594"/>
            </w:tcBorders>
            <w:shd w:val="clear" w:color="000000" w:fill="F2DBDB"/>
            <w:noWrap/>
            <w:vAlign w:val="center"/>
            <w:hideMark/>
          </w:tcPr>
          <w:p w14:paraId="4624B894"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5 622</w:t>
            </w:r>
          </w:p>
        </w:tc>
        <w:tc>
          <w:tcPr>
            <w:tcW w:w="780" w:type="dxa"/>
            <w:tcBorders>
              <w:top w:val="nil"/>
              <w:left w:val="nil"/>
              <w:bottom w:val="single" w:sz="8" w:space="0" w:color="D99594"/>
              <w:right w:val="single" w:sz="8" w:space="0" w:color="D99594"/>
            </w:tcBorders>
            <w:shd w:val="clear" w:color="000000" w:fill="F2DBDB"/>
            <w:noWrap/>
            <w:vAlign w:val="center"/>
            <w:hideMark/>
          </w:tcPr>
          <w:p w14:paraId="09C9D98A"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11,2</w:t>
            </w:r>
          </w:p>
        </w:tc>
        <w:tc>
          <w:tcPr>
            <w:tcW w:w="780" w:type="dxa"/>
            <w:tcBorders>
              <w:top w:val="nil"/>
              <w:left w:val="nil"/>
              <w:bottom w:val="single" w:sz="8" w:space="0" w:color="D99594"/>
              <w:right w:val="single" w:sz="8" w:space="0" w:color="D99594"/>
            </w:tcBorders>
            <w:shd w:val="clear" w:color="000000" w:fill="F2DBDB"/>
            <w:noWrap/>
            <w:vAlign w:val="center"/>
            <w:hideMark/>
          </w:tcPr>
          <w:p w14:paraId="1FAB3975"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107 848</w:t>
            </w:r>
          </w:p>
        </w:tc>
        <w:tc>
          <w:tcPr>
            <w:tcW w:w="779" w:type="dxa"/>
            <w:tcBorders>
              <w:top w:val="nil"/>
              <w:left w:val="nil"/>
              <w:bottom w:val="single" w:sz="8" w:space="0" w:color="D99594"/>
              <w:right w:val="single" w:sz="8" w:space="0" w:color="D99594"/>
            </w:tcBorders>
            <w:shd w:val="clear" w:color="000000" w:fill="F2DBDB"/>
            <w:noWrap/>
            <w:vAlign w:val="center"/>
            <w:hideMark/>
          </w:tcPr>
          <w:p w14:paraId="06C80B6F"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11,2</w:t>
            </w:r>
          </w:p>
        </w:tc>
        <w:tc>
          <w:tcPr>
            <w:tcW w:w="780" w:type="dxa"/>
            <w:tcBorders>
              <w:top w:val="nil"/>
              <w:left w:val="nil"/>
              <w:bottom w:val="single" w:sz="8" w:space="0" w:color="D99594"/>
              <w:right w:val="single" w:sz="8" w:space="0" w:color="D99594"/>
            </w:tcBorders>
            <w:shd w:val="clear" w:color="000000" w:fill="F2DBDB"/>
            <w:noWrap/>
            <w:vAlign w:val="center"/>
            <w:hideMark/>
          </w:tcPr>
          <w:p w14:paraId="436B5134"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8 056</w:t>
            </w:r>
          </w:p>
        </w:tc>
        <w:tc>
          <w:tcPr>
            <w:tcW w:w="779" w:type="dxa"/>
            <w:tcBorders>
              <w:top w:val="nil"/>
              <w:left w:val="nil"/>
              <w:bottom w:val="single" w:sz="8" w:space="0" w:color="D99594"/>
              <w:right w:val="single" w:sz="8" w:space="0" w:color="D99594"/>
            </w:tcBorders>
            <w:shd w:val="clear" w:color="000000" w:fill="F2DBDB"/>
            <w:noWrap/>
            <w:vAlign w:val="center"/>
            <w:hideMark/>
          </w:tcPr>
          <w:p w14:paraId="0717145B"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11,3</w:t>
            </w:r>
          </w:p>
        </w:tc>
        <w:tc>
          <w:tcPr>
            <w:tcW w:w="780" w:type="dxa"/>
            <w:tcBorders>
              <w:top w:val="nil"/>
              <w:left w:val="nil"/>
              <w:bottom w:val="single" w:sz="8" w:space="0" w:color="D99594"/>
              <w:right w:val="single" w:sz="8" w:space="0" w:color="D99594"/>
            </w:tcBorders>
            <w:shd w:val="clear" w:color="000000" w:fill="F2DBDB"/>
            <w:noWrap/>
            <w:vAlign w:val="center"/>
            <w:hideMark/>
          </w:tcPr>
          <w:p w14:paraId="1B74A015"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19,2</w:t>
            </w:r>
          </w:p>
        </w:tc>
        <w:tc>
          <w:tcPr>
            <w:tcW w:w="780" w:type="dxa"/>
            <w:tcBorders>
              <w:top w:val="nil"/>
              <w:left w:val="nil"/>
              <w:bottom w:val="single" w:sz="8" w:space="0" w:color="D99594"/>
              <w:right w:val="single" w:sz="8" w:space="0" w:color="D99594"/>
            </w:tcBorders>
            <w:shd w:val="clear" w:color="000000" w:fill="F2DBDB"/>
            <w:noWrap/>
            <w:vAlign w:val="center"/>
            <w:hideMark/>
          </w:tcPr>
          <w:p w14:paraId="642E01DF"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13,4</w:t>
            </w:r>
          </w:p>
        </w:tc>
      </w:tr>
      <w:tr w:rsidR="00845562" w:rsidRPr="00845562" w14:paraId="06606634" w14:textId="77777777" w:rsidTr="00845562">
        <w:trPr>
          <w:trHeight w:val="314"/>
        </w:trPr>
        <w:tc>
          <w:tcPr>
            <w:tcW w:w="1843" w:type="dxa"/>
            <w:tcBorders>
              <w:top w:val="nil"/>
              <w:left w:val="single" w:sz="8" w:space="0" w:color="D99594"/>
              <w:bottom w:val="single" w:sz="8" w:space="0" w:color="D99594"/>
              <w:right w:val="single" w:sz="8" w:space="0" w:color="D99594"/>
            </w:tcBorders>
            <w:shd w:val="clear" w:color="auto" w:fill="auto"/>
            <w:vAlign w:val="center"/>
            <w:hideMark/>
          </w:tcPr>
          <w:p w14:paraId="37297748" w14:textId="77777777" w:rsidR="00845562" w:rsidRPr="00845562" w:rsidRDefault="00845562" w:rsidP="00845562">
            <w:pPr>
              <w:spacing w:after="0" w:line="240" w:lineRule="auto"/>
              <w:ind w:firstLineChars="100" w:firstLine="160"/>
              <w:rPr>
                <w:rFonts w:cs="Arial"/>
                <w:color w:val="000000"/>
                <w:sz w:val="16"/>
                <w:szCs w:val="16"/>
              </w:rPr>
            </w:pPr>
            <w:r w:rsidRPr="00845562">
              <w:rPr>
                <w:rFonts w:cs="Arial"/>
                <w:color w:val="000000"/>
                <w:sz w:val="16"/>
                <w:szCs w:val="16"/>
              </w:rPr>
              <w:t>Olomoucký kraj</w:t>
            </w:r>
          </w:p>
        </w:tc>
        <w:tc>
          <w:tcPr>
            <w:tcW w:w="779" w:type="dxa"/>
            <w:tcBorders>
              <w:top w:val="nil"/>
              <w:left w:val="nil"/>
              <w:bottom w:val="single" w:sz="8" w:space="0" w:color="D99594"/>
              <w:right w:val="single" w:sz="8" w:space="0" w:color="D99594"/>
            </w:tcBorders>
            <w:shd w:val="clear" w:color="auto" w:fill="auto"/>
            <w:noWrap/>
            <w:vAlign w:val="center"/>
            <w:hideMark/>
          </w:tcPr>
          <w:p w14:paraId="4CD1D8DA"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298</w:t>
            </w:r>
          </w:p>
        </w:tc>
        <w:tc>
          <w:tcPr>
            <w:tcW w:w="780" w:type="dxa"/>
            <w:tcBorders>
              <w:top w:val="nil"/>
              <w:left w:val="nil"/>
              <w:bottom w:val="single" w:sz="8" w:space="0" w:color="D99594"/>
              <w:right w:val="single" w:sz="8" w:space="0" w:color="D99594"/>
            </w:tcBorders>
            <w:shd w:val="clear" w:color="auto" w:fill="auto"/>
            <w:noWrap/>
            <w:vAlign w:val="center"/>
            <w:hideMark/>
          </w:tcPr>
          <w:p w14:paraId="2978F8EA"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7,0</w:t>
            </w:r>
          </w:p>
        </w:tc>
        <w:tc>
          <w:tcPr>
            <w:tcW w:w="779" w:type="dxa"/>
            <w:tcBorders>
              <w:top w:val="nil"/>
              <w:left w:val="nil"/>
              <w:bottom w:val="single" w:sz="8" w:space="0" w:color="D99594"/>
              <w:right w:val="single" w:sz="8" w:space="0" w:color="D99594"/>
            </w:tcBorders>
            <w:shd w:val="clear" w:color="auto" w:fill="auto"/>
            <w:noWrap/>
            <w:vAlign w:val="center"/>
            <w:hideMark/>
          </w:tcPr>
          <w:p w14:paraId="20F1FB0E"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3 015</w:t>
            </w:r>
          </w:p>
        </w:tc>
        <w:tc>
          <w:tcPr>
            <w:tcW w:w="780" w:type="dxa"/>
            <w:tcBorders>
              <w:top w:val="nil"/>
              <w:left w:val="nil"/>
              <w:bottom w:val="single" w:sz="8" w:space="0" w:color="D99594"/>
              <w:right w:val="single" w:sz="8" w:space="0" w:color="D99594"/>
            </w:tcBorders>
            <w:shd w:val="clear" w:color="auto" w:fill="auto"/>
            <w:noWrap/>
            <w:vAlign w:val="center"/>
            <w:hideMark/>
          </w:tcPr>
          <w:p w14:paraId="7E391DF3"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6,0</w:t>
            </w:r>
          </w:p>
        </w:tc>
        <w:tc>
          <w:tcPr>
            <w:tcW w:w="780" w:type="dxa"/>
            <w:tcBorders>
              <w:top w:val="nil"/>
              <w:left w:val="nil"/>
              <w:bottom w:val="single" w:sz="8" w:space="0" w:color="D99594"/>
              <w:right w:val="single" w:sz="8" w:space="0" w:color="D99594"/>
            </w:tcBorders>
            <w:shd w:val="clear" w:color="auto" w:fill="auto"/>
            <w:noWrap/>
            <w:vAlign w:val="center"/>
            <w:hideMark/>
          </w:tcPr>
          <w:p w14:paraId="703EF99F"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55 610</w:t>
            </w:r>
          </w:p>
        </w:tc>
        <w:tc>
          <w:tcPr>
            <w:tcW w:w="779" w:type="dxa"/>
            <w:tcBorders>
              <w:top w:val="nil"/>
              <w:left w:val="nil"/>
              <w:bottom w:val="single" w:sz="8" w:space="0" w:color="D99594"/>
              <w:right w:val="single" w:sz="8" w:space="0" w:color="D99594"/>
            </w:tcBorders>
            <w:shd w:val="clear" w:color="auto" w:fill="auto"/>
            <w:noWrap/>
            <w:vAlign w:val="center"/>
            <w:hideMark/>
          </w:tcPr>
          <w:p w14:paraId="3AFB3CD4"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5,8</w:t>
            </w:r>
          </w:p>
        </w:tc>
        <w:tc>
          <w:tcPr>
            <w:tcW w:w="780" w:type="dxa"/>
            <w:tcBorders>
              <w:top w:val="nil"/>
              <w:left w:val="nil"/>
              <w:bottom w:val="single" w:sz="8" w:space="0" w:color="D99594"/>
              <w:right w:val="single" w:sz="8" w:space="0" w:color="D99594"/>
            </w:tcBorders>
            <w:shd w:val="clear" w:color="auto" w:fill="auto"/>
            <w:noWrap/>
            <w:vAlign w:val="center"/>
            <w:hideMark/>
          </w:tcPr>
          <w:p w14:paraId="5359526D"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4 310</w:t>
            </w:r>
          </w:p>
        </w:tc>
        <w:tc>
          <w:tcPr>
            <w:tcW w:w="779" w:type="dxa"/>
            <w:tcBorders>
              <w:top w:val="nil"/>
              <w:left w:val="nil"/>
              <w:bottom w:val="single" w:sz="8" w:space="0" w:color="D99594"/>
              <w:right w:val="single" w:sz="8" w:space="0" w:color="D99594"/>
            </w:tcBorders>
            <w:shd w:val="clear" w:color="auto" w:fill="auto"/>
            <w:noWrap/>
            <w:vAlign w:val="center"/>
            <w:hideMark/>
          </w:tcPr>
          <w:p w14:paraId="24BC0F65"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6,0</w:t>
            </w:r>
          </w:p>
        </w:tc>
        <w:tc>
          <w:tcPr>
            <w:tcW w:w="780" w:type="dxa"/>
            <w:tcBorders>
              <w:top w:val="nil"/>
              <w:left w:val="nil"/>
              <w:bottom w:val="single" w:sz="8" w:space="0" w:color="D99594"/>
              <w:right w:val="single" w:sz="8" w:space="0" w:color="D99594"/>
            </w:tcBorders>
            <w:shd w:val="clear" w:color="auto" w:fill="auto"/>
            <w:noWrap/>
            <w:vAlign w:val="center"/>
            <w:hideMark/>
          </w:tcPr>
          <w:p w14:paraId="5DA74977"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18,4</w:t>
            </w:r>
          </w:p>
        </w:tc>
        <w:tc>
          <w:tcPr>
            <w:tcW w:w="780" w:type="dxa"/>
            <w:tcBorders>
              <w:top w:val="nil"/>
              <w:left w:val="nil"/>
              <w:bottom w:val="single" w:sz="8" w:space="0" w:color="D99594"/>
              <w:right w:val="single" w:sz="8" w:space="0" w:color="D99594"/>
            </w:tcBorders>
            <w:shd w:val="clear" w:color="auto" w:fill="auto"/>
            <w:noWrap/>
            <w:vAlign w:val="center"/>
            <w:hideMark/>
          </w:tcPr>
          <w:p w14:paraId="75BA47C6"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12,9</w:t>
            </w:r>
          </w:p>
        </w:tc>
      </w:tr>
      <w:tr w:rsidR="00845562" w:rsidRPr="00845562" w14:paraId="347BE694" w14:textId="77777777" w:rsidTr="00845562">
        <w:trPr>
          <w:trHeight w:val="314"/>
        </w:trPr>
        <w:tc>
          <w:tcPr>
            <w:tcW w:w="1843" w:type="dxa"/>
            <w:tcBorders>
              <w:top w:val="nil"/>
              <w:left w:val="single" w:sz="8" w:space="0" w:color="D99594"/>
              <w:bottom w:val="single" w:sz="8" w:space="0" w:color="D99594"/>
              <w:right w:val="single" w:sz="8" w:space="0" w:color="D99594"/>
            </w:tcBorders>
            <w:shd w:val="clear" w:color="000000" w:fill="F2DBDB"/>
            <w:vAlign w:val="center"/>
            <w:hideMark/>
          </w:tcPr>
          <w:p w14:paraId="3B3D8254" w14:textId="77777777" w:rsidR="00845562" w:rsidRPr="00845562" w:rsidRDefault="00845562" w:rsidP="00845562">
            <w:pPr>
              <w:spacing w:after="0" w:line="240" w:lineRule="auto"/>
              <w:ind w:firstLineChars="100" w:firstLine="160"/>
              <w:rPr>
                <w:rFonts w:cs="Arial"/>
                <w:color w:val="000000"/>
                <w:sz w:val="16"/>
                <w:szCs w:val="16"/>
              </w:rPr>
            </w:pPr>
            <w:r w:rsidRPr="00845562">
              <w:rPr>
                <w:rFonts w:cs="Arial"/>
                <w:color w:val="000000"/>
                <w:sz w:val="16"/>
                <w:szCs w:val="16"/>
              </w:rPr>
              <w:t>Zlínský kraj</w:t>
            </w:r>
          </w:p>
        </w:tc>
        <w:tc>
          <w:tcPr>
            <w:tcW w:w="779" w:type="dxa"/>
            <w:tcBorders>
              <w:top w:val="nil"/>
              <w:left w:val="nil"/>
              <w:bottom w:val="single" w:sz="8" w:space="0" w:color="D99594"/>
              <w:right w:val="single" w:sz="8" w:space="0" w:color="D99594"/>
            </w:tcBorders>
            <w:shd w:val="clear" w:color="000000" w:fill="F2DBDB"/>
            <w:noWrap/>
            <w:vAlign w:val="center"/>
            <w:hideMark/>
          </w:tcPr>
          <w:p w14:paraId="41BD9526"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264</w:t>
            </w:r>
          </w:p>
        </w:tc>
        <w:tc>
          <w:tcPr>
            <w:tcW w:w="780" w:type="dxa"/>
            <w:tcBorders>
              <w:top w:val="nil"/>
              <w:left w:val="nil"/>
              <w:bottom w:val="single" w:sz="8" w:space="0" w:color="D99594"/>
              <w:right w:val="single" w:sz="8" w:space="0" w:color="D99594"/>
            </w:tcBorders>
            <w:shd w:val="clear" w:color="000000" w:fill="F2DBDB"/>
            <w:noWrap/>
            <w:vAlign w:val="center"/>
            <w:hideMark/>
          </w:tcPr>
          <w:p w14:paraId="210FBB55"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6,2</w:t>
            </w:r>
          </w:p>
        </w:tc>
        <w:tc>
          <w:tcPr>
            <w:tcW w:w="779" w:type="dxa"/>
            <w:tcBorders>
              <w:top w:val="nil"/>
              <w:left w:val="nil"/>
              <w:bottom w:val="single" w:sz="8" w:space="0" w:color="D99594"/>
              <w:right w:val="single" w:sz="8" w:space="0" w:color="D99594"/>
            </w:tcBorders>
            <w:shd w:val="clear" w:color="000000" w:fill="F2DBDB"/>
            <w:noWrap/>
            <w:vAlign w:val="center"/>
            <w:hideMark/>
          </w:tcPr>
          <w:p w14:paraId="73926E43"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2 802</w:t>
            </w:r>
          </w:p>
        </w:tc>
        <w:tc>
          <w:tcPr>
            <w:tcW w:w="780" w:type="dxa"/>
            <w:tcBorders>
              <w:top w:val="nil"/>
              <w:left w:val="nil"/>
              <w:bottom w:val="single" w:sz="8" w:space="0" w:color="D99594"/>
              <w:right w:val="single" w:sz="8" w:space="0" w:color="D99594"/>
            </w:tcBorders>
            <w:shd w:val="clear" w:color="000000" w:fill="F2DBDB"/>
            <w:noWrap/>
            <w:vAlign w:val="center"/>
            <w:hideMark/>
          </w:tcPr>
          <w:p w14:paraId="539CFDFE"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5,6</w:t>
            </w:r>
          </w:p>
        </w:tc>
        <w:tc>
          <w:tcPr>
            <w:tcW w:w="780" w:type="dxa"/>
            <w:tcBorders>
              <w:top w:val="nil"/>
              <w:left w:val="nil"/>
              <w:bottom w:val="single" w:sz="8" w:space="0" w:color="D99594"/>
              <w:right w:val="single" w:sz="8" w:space="0" w:color="D99594"/>
            </w:tcBorders>
            <w:shd w:val="clear" w:color="000000" w:fill="F2DBDB"/>
            <w:noWrap/>
            <w:vAlign w:val="center"/>
            <w:hideMark/>
          </w:tcPr>
          <w:p w14:paraId="48C8EAA4"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50 723</w:t>
            </w:r>
          </w:p>
        </w:tc>
        <w:tc>
          <w:tcPr>
            <w:tcW w:w="779" w:type="dxa"/>
            <w:tcBorders>
              <w:top w:val="nil"/>
              <w:left w:val="nil"/>
              <w:bottom w:val="single" w:sz="8" w:space="0" w:color="D99594"/>
              <w:right w:val="single" w:sz="8" w:space="0" w:color="D99594"/>
            </w:tcBorders>
            <w:shd w:val="clear" w:color="000000" w:fill="F2DBDB"/>
            <w:noWrap/>
            <w:vAlign w:val="center"/>
            <w:hideMark/>
          </w:tcPr>
          <w:p w14:paraId="5EDE6899"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5,3</w:t>
            </w:r>
          </w:p>
        </w:tc>
        <w:tc>
          <w:tcPr>
            <w:tcW w:w="780" w:type="dxa"/>
            <w:tcBorders>
              <w:top w:val="nil"/>
              <w:left w:val="nil"/>
              <w:bottom w:val="single" w:sz="8" w:space="0" w:color="D99594"/>
              <w:right w:val="single" w:sz="8" w:space="0" w:color="D99594"/>
            </w:tcBorders>
            <w:shd w:val="clear" w:color="000000" w:fill="F2DBDB"/>
            <w:noWrap/>
            <w:vAlign w:val="center"/>
            <w:hideMark/>
          </w:tcPr>
          <w:p w14:paraId="155F9951"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3 927</w:t>
            </w:r>
          </w:p>
        </w:tc>
        <w:tc>
          <w:tcPr>
            <w:tcW w:w="779" w:type="dxa"/>
            <w:tcBorders>
              <w:top w:val="nil"/>
              <w:left w:val="nil"/>
              <w:bottom w:val="single" w:sz="8" w:space="0" w:color="D99594"/>
              <w:right w:val="single" w:sz="8" w:space="0" w:color="D99594"/>
            </w:tcBorders>
            <w:shd w:val="clear" w:color="000000" w:fill="F2DBDB"/>
            <w:noWrap/>
            <w:vAlign w:val="center"/>
            <w:hideMark/>
          </w:tcPr>
          <w:p w14:paraId="0F8962D7"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5,5</w:t>
            </w:r>
          </w:p>
        </w:tc>
        <w:tc>
          <w:tcPr>
            <w:tcW w:w="780" w:type="dxa"/>
            <w:tcBorders>
              <w:top w:val="nil"/>
              <w:left w:val="nil"/>
              <w:bottom w:val="single" w:sz="8" w:space="0" w:color="D99594"/>
              <w:right w:val="single" w:sz="8" w:space="0" w:color="D99594"/>
            </w:tcBorders>
            <w:shd w:val="clear" w:color="000000" w:fill="F2DBDB"/>
            <w:noWrap/>
            <w:vAlign w:val="center"/>
            <w:hideMark/>
          </w:tcPr>
          <w:p w14:paraId="24A17E3D"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18,1</w:t>
            </w:r>
          </w:p>
        </w:tc>
        <w:tc>
          <w:tcPr>
            <w:tcW w:w="780" w:type="dxa"/>
            <w:tcBorders>
              <w:top w:val="nil"/>
              <w:left w:val="nil"/>
              <w:bottom w:val="single" w:sz="8" w:space="0" w:color="D99594"/>
              <w:right w:val="single" w:sz="8" w:space="0" w:color="D99594"/>
            </w:tcBorders>
            <w:shd w:val="clear" w:color="000000" w:fill="F2DBDB"/>
            <w:noWrap/>
            <w:vAlign w:val="center"/>
            <w:hideMark/>
          </w:tcPr>
          <w:p w14:paraId="6274C379"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12,9</w:t>
            </w:r>
          </w:p>
        </w:tc>
      </w:tr>
      <w:tr w:rsidR="00845562" w:rsidRPr="00845562" w14:paraId="2588827A" w14:textId="77777777" w:rsidTr="00845562">
        <w:trPr>
          <w:trHeight w:val="314"/>
        </w:trPr>
        <w:tc>
          <w:tcPr>
            <w:tcW w:w="1843" w:type="dxa"/>
            <w:tcBorders>
              <w:top w:val="nil"/>
              <w:left w:val="single" w:sz="8" w:space="0" w:color="D99594"/>
              <w:bottom w:val="single" w:sz="8" w:space="0" w:color="D99594"/>
              <w:right w:val="single" w:sz="8" w:space="0" w:color="D99594"/>
            </w:tcBorders>
            <w:shd w:val="clear" w:color="auto" w:fill="auto"/>
            <w:vAlign w:val="center"/>
            <w:hideMark/>
          </w:tcPr>
          <w:p w14:paraId="10498BA4" w14:textId="77777777" w:rsidR="00845562" w:rsidRPr="00845562" w:rsidRDefault="00845562" w:rsidP="00845562">
            <w:pPr>
              <w:spacing w:after="0" w:line="240" w:lineRule="auto"/>
              <w:ind w:firstLineChars="100" w:firstLine="160"/>
              <w:rPr>
                <w:rFonts w:cs="Arial"/>
                <w:color w:val="000000"/>
                <w:sz w:val="16"/>
                <w:szCs w:val="16"/>
              </w:rPr>
            </w:pPr>
            <w:r w:rsidRPr="00845562">
              <w:rPr>
                <w:rFonts w:cs="Arial"/>
                <w:color w:val="000000"/>
                <w:sz w:val="16"/>
                <w:szCs w:val="16"/>
              </w:rPr>
              <w:t>Moravskoslezský kraj</w:t>
            </w:r>
          </w:p>
        </w:tc>
        <w:tc>
          <w:tcPr>
            <w:tcW w:w="779" w:type="dxa"/>
            <w:tcBorders>
              <w:top w:val="nil"/>
              <w:left w:val="nil"/>
              <w:bottom w:val="single" w:sz="8" w:space="0" w:color="D99594"/>
              <w:right w:val="single" w:sz="8" w:space="0" w:color="D99594"/>
            </w:tcBorders>
            <w:shd w:val="clear" w:color="auto" w:fill="auto"/>
            <w:noWrap/>
            <w:vAlign w:val="center"/>
            <w:hideMark/>
          </w:tcPr>
          <w:p w14:paraId="707EDE2E"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446</w:t>
            </w:r>
          </w:p>
        </w:tc>
        <w:tc>
          <w:tcPr>
            <w:tcW w:w="780" w:type="dxa"/>
            <w:tcBorders>
              <w:top w:val="nil"/>
              <w:left w:val="nil"/>
              <w:bottom w:val="single" w:sz="8" w:space="0" w:color="D99594"/>
              <w:right w:val="single" w:sz="8" w:space="0" w:color="D99594"/>
            </w:tcBorders>
            <w:shd w:val="clear" w:color="auto" w:fill="auto"/>
            <w:noWrap/>
            <w:vAlign w:val="center"/>
            <w:hideMark/>
          </w:tcPr>
          <w:p w14:paraId="4E1E6F1D"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10,5</w:t>
            </w:r>
          </w:p>
        </w:tc>
        <w:tc>
          <w:tcPr>
            <w:tcW w:w="779" w:type="dxa"/>
            <w:tcBorders>
              <w:top w:val="nil"/>
              <w:left w:val="nil"/>
              <w:bottom w:val="single" w:sz="8" w:space="0" w:color="D99594"/>
              <w:right w:val="single" w:sz="8" w:space="0" w:color="D99594"/>
            </w:tcBorders>
            <w:shd w:val="clear" w:color="auto" w:fill="auto"/>
            <w:noWrap/>
            <w:vAlign w:val="center"/>
            <w:hideMark/>
          </w:tcPr>
          <w:p w14:paraId="009994AA"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5 567</w:t>
            </w:r>
          </w:p>
        </w:tc>
        <w:tc>
          <w:tcPr>
            <w:tcW w:w="780" w:type="dxa"/>
            <w:tcBorders>
              <w:top w:val="nil"/>
              <w:left w:val="nil"/>
              <w:bottom w:val="single" w:sz="8" w:space="0" w:color="D99594"/>
              <w:right w:val="single" w:sz="8" w:space="0" w:color="D99594"/>
            </w:tcBorders>
            <w:shd w:val="clear" w:color="auto" w:fill="auto"/>
            <w:noWrap/>
            <w:vAlign w:val="center"/>
            <w:hideMark/>
          </w:tcPr>
          <w:p w14:paraId="1EE8EB2B"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11,1</w:t>
            </w:r>
          </w:p>
        </w:tc>
        <w:tc>
          <w:tcPr>
            <w:tcW w:w="780" w:type="dxa"/>
            <w:tcBorders>
              <w:top w:val="nil"/>
              <w:left w:val="nil"/>
              <w:bottom w:val="single" w:sz="8" w:space="0" w:color="D99594"/>
              <w:right w:val="single" w:sz="8" w:space="0" w:color="D99594"/>
            </w:tcBorders>
            <w:shd w:val="clear" w:color="auto" w:fill="auto"/>
            <w:noWrap/>
            <w:vAlign w:val="center"/>
            <w:hideMark/>
          </w:tcPr>
          <w:p w14:paraId="689286F1"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103 978</w:t>
            </w:r>
          </w:p>
        </w:tc>
        <w:tc>
          <w:tcPr>
            <w:tcW w:w="779" w:type="dxa"/>
            <w:tcBorders>
              <w:top w:val="nil"/>
              <w:left w:val="nil"/>
              <w:bottom w:val="single" w:sz="8" w:space="0" w:color="D99594"/>
              <w:right w:val="single" w:sz="8" w:space="0" w:color="D99594"/>
            </w:tcBorders>
            <w:shd w:val="clear" w:color="auto" w:fill="auto"/>
            <w:noWrap/>
            <w:vAlign w:val="center"/>
            <w:hideMark/>
          </w:tcPr>
          <w:p w14:paraId="584FCB57"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10,8</w:t>
            </w:r>
          </w:p>
        </w:tc>
        <w:tc>
          <w:tcPr>
            <w:tcW w:w="780" w:type="dxa"/>
            <w:tcBorders>
              <w:top w:val="nil"/>
              <w:left w:val="nil"/>
              <w:bottom w:val="single" w:sz="8" w:space="0" w:color="D99594"/>
              <w:right w:val="single" w:sz="8" w:space="0" w:color="D99594"/>
            </w:tcBorders>
            <w:shd w:val="clear" w:color="auto" w:fill="auto"/>
            <w:noWrap/>
            <w:vAlign w:val="center"/>
            <w:hideMark/>
          </w:tcPr>
          <w:p w14:paraId="0838AD76"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7 987</w:t>
            </w:r>
          </w:p>
        </w:tc>
        <w:tc>
          <w:tcPr>
            <w:tcW w:w="779" w:type="dxa"/>
            <w:tcBorders>
              <w:top w:val="nil"/>
              <w:left w:val="nil"/>
              <w:bottom w:val="single" w:sz="8" w:space="0" w:color="D99594"/>
              <w:right w:val="single" w:sz="8" w:space="0" w:color="D99594"/>
            </w:tcBorders>
            <w:shd w:val="clear" w:color="auto" w:fill="auto"/>
            <w:noWrap/>
            <w:vAlign w:val="center"/>
            <w:hideMark/>
          </w:tcPr>
          <w:p w14:paraId="01634E14"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11,2</w:t>
            </w:r>
          </w:p>
        </w:tc>
        <w:tc>
          <w:tcPr>
            <w:tcW w:w="780" w:type="dxa"/>
            <w:tcBorders>
              <w:top w:val="nil"/>
              <w:left w:val="nil"/>
              <w:bottom w:val="single" w:sz="8" w:space="0" w:color="D99594"/>
              <w:right w:val="single" w:sz="8" w:space="0" w:color="D99594"/>
            </w:tcBorders>
            <w:shd w:val="clear" w:color="auto" w:fill="auto"/>
            <w:noWrap/>
            <w:vAlign w:val="center"/>
            <w:hideMark/>
          </w:tcPr>
          <w:p w14:paraId="59B7104F"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18,7</w:t>
            </w:r>
          </w:p>
        </w:tc>
        <w:tc>
          <w:tcPr>
            <w:tcW w:w="780" w:type="dxa"/>
            <w:tcBorders>
              <w:top w:val="nil"/>
              <w:left w:val="nil"/>
              <w:bottom w:val="single" w:sz="8" w:space="0" w:color="D99594"/>
              <w:right w:val="single" w:sz="8" w:space="0" w:color="D99594"/>
            </w:tcBorders>
            <w:shd w:val="clear" w:color="auto" w:fill="auto"/>
            <w:noWrap/>
            <w:vAlign w:val="center"/>
            <w:hideMark/>
          </w:tcPr>
          <w:p w14:paraId="5EF985A2" w14:textId="77777777" w:rsidR="00845562" w:rsidRPr="00845562" w:rsidRDefault="00845562" w:rsidP="00845562">
            <w:pPr>
              <w:spacing w:after="0" w:line="240" w:lineRule="auto"/>
              <w:jc w:val="right"/>
              <w:rPr>
                <w:rFonts w:cs="Arial"/>
                <w:color w:val="000000"/>
                <w:sz w:val="16"/>
                <w:szCs w:val="16"/>
              </w:rPr>
            </w:pPr>
            <w:r w:rsidRPr="00845562">
              <w:rPr>
                <w:rFonts w:cs="Arial"/>
                <w:color w:val="000000"/>
                <w:sz w:val="16"/>
                <w:szCs w:val="16"/>
              </w:rPr>
              <w:t>13,0</w:t>
            </w:r>
          </w:p>
        </w:tc>
      </w:tr>
    </w:tbl>
    <w:p w14:paraId="51274D69" w14:textId="78E89B25" w:rsidR="006601F2" w:rsidRDefault="006601F2" w:rsidP="00845562">
      <w:pPr>
        <w:keepNext/>
        <w:spacing w:before="120" w:after="0" w:line="240" w:lineRule="auto"/>
        <w:jc w:val="both"/>
        <w:rPr>
          <w:rFonts w:cs="Arial"/>
          <w:sz w:val="18"/>
        </w:rPr>
      </w:pPr>
      <w:r w:rsidRPr="002F1BFB">
        <w:rPr>
          <w:rFonts w:cs="Arial"/>
          <w:sz w:val="18"/>
          <w:vertAlign w:val="superscript"/>
        </w:rPr>
        <w:t>1)</w:t>
      </w:r>
      <w:r w:rsidRPr="009E34FC">
        <w:rPr>
          <w:rFonts w:cs="Arial"/>
          <w:sz w:val="18"/>
        </w:rPr>
        <w:t xml:space="preserve"> </w:t>
      </w:r>
      <w:r w:rsidRPr="000D4C13">
        <w:rPr>
          <w:rFonts w:cs="Arial"/>
          <w:sz w:val="16"/>
        </w:rPr>
        <w:t>přepočtení na plně zaměstnané</w:t>
      </w:r>
    </w:p>
    <w:p w14:paraId="6295AEF4" w14:textId="6224AB3C" w:rsidR="000C14A1" w:rsidRPr="00AE2487" w:rsidRDefault="006601F2" w:rsidP="00AE2487">
      <w:pPr>
        <w:jc w:val="right"/>
        <w:rPr>
          <w:rFonts w:cs="Arial"/>
          <w:iCs/>
        </w:rPr>
      </w:pPr>
      <w:r w:rsidRPr="00F94849">
        <w:rPr>
          <w:rFonts w:cs="Arial"/>
          <w:sz w:val="18"/>
        </w:rPr>
        <w:t>Zdroj: ČSÚ</w:t>
      </w:r>
      <w:r w:rsidRPr="00F94849">
        <w:rPr>
          <w:rFonts w:cs="Arial"/>
          <w:noProof/>
        </w:rPr>
        <w:t xml:space="preserve"> </w:t>
      </w:r>
      <w:r w:rsidRPr="00307699">
        <w:rPr>
          <w:rFonts w:cs="Arial"/>
          <w:sz w:val="18"/>
        </w:rPr>
        <w:t>podle údajů MŠMT</w:t>
      </w:r>
    </w:p>
    <w:p w14:paraId="3157FEB1" w14:textId="746CA280" w:rsidR="00FF6B7E" w:rsidRDefault="00FF6B7E" w:rsidP="00FF6B7E">
      <w:pPr>
        <w:spacing w:after="120"/>
        <w:jc w:val="both"/>
        <w:rPr>
          <w:rFonts w:cs="Arial"/>
          <w:szCs w:val="20"/>
        </w:rPr>
      </w:pPr>
      <w:r w:rsidRPr="003C42A8">
        <w:rPr>
          <w:rFonts w:cs="Arial"/>
          <w:b/>
          <w:szCs w:val="20"/>
        </w:rPr>
        <w:t>Vývoj počtu žáků na základních školách</w:t>
      </w:r>
      <w:r w:rsidRPr="00223A85">
        <w:rPr>
          <w:rFonts w:cs="Arial"/>
          <w:szCs w:val="20"/>
        </w:rPr>
        <w:t xml:space="preserve"> </w:t>
      </w:r>
      <w:r>
        <w:rPr>
          <w:rFonts w:cs="Arial"/>
          <w:szCs w:val="20"/>
        </w:rPr>
        <w:t>představený výše</w:t>
      </w:r>
      <w:r w:rsidRPr="00223A85">
        <w:rPr>
          <w:rFonts w:cs="Arial"/>
          <w:szCs w:val="20"/>
        </w:rPr>
        <w:t xml:space="preserve"> nebyl ve všech </w:t>
      </w:r>
      <w:r>
        <w:rPr>
          <w:rFonts w:cs="Arial"/>
          <w:szCs w:val="20"/>
        </w:rPr>
        <w:t>krajích</w:t>
      </w:r>
      <w:r w:rsidRPr="00223A85">
        <w:rPr>
          <w:rFonts w:cs="Arial"/>
          <w:szCs w:val="20"/>
        </w:rPr>
        <w:t xml:space="preserve"> stejný a i do budoucna lze předpokládat výrazné regionální rozdíly. Za posledních deset let procentuálně nejvíce vzrostl počet </w:t>
      </w:r>
      <w:r>
        <w:rPr>
          <w:rFonts w:cs="Arial"/>
          <w:szCs w:val="20"/>
        </w:rPr>
        <w:t>žáků</w:t>
      </w:r>
      <w:r w:rsidRPr="00223A85">
        <w:rPr>
          <w:rFonts w:cs="Arial"/>
          <w:szCs w:val="20"/>
        </w:rPr>
        <w:t xml:space="preserve"> v základních školách v</w:t>
      </w:r>
      <w:r>
        <w:rPr>
          <w:rFonts w:cs="Arial"/>
          <w:szCs w:val="20"/>
        </w:rPr>
        <w:t> </w:t>
      </w:r>
      <w:r w:rsidRPr="00223A85">
        <w:rPr>
          <w:rFonts w:cs="Arial"/>
          <w:szCs w:val="20"/>
        </w:rPr>
        <w:t>Praze</w:t>
      </w:r>
      <w:r>
        <w:rPr>
          <w:rFonts w:cs="Arial"/>
          <w:szCs w:val="20"/>
        </w:rPr>
        <w:t>,</w:t>
      </w:r>
      <w:r w:rsidRPr="00223A85">
        <w:rPr>
          <w:rFonts w:cs="Arial"/>
          <w:szCs w:val="20"/>
        </w:rPr>
        <w:t xml:space="preserve"> a</w:t>
      </w:r>
      <w:r w:rsidR="00BC6C8D">
        <w:rPr>
          <w:rFonts w:cs="Arial"/>
          <w:szCs w:val="20"/>
        </w:rPr>
        <w:t xml:space="preserve"> sice </w:t>
      </w:r>
      <w:r w:rsidR="00D077FD">
        <w:rPr>
          <w:rFonts w:cs="Arial"/>
          <w:szCs w:val="20"/>
        </w:rPr>
        <w:t xml:space="preserve">téměř </w:t>
      </w:r>
      <w:r w:rsidR="00BC6C8D">
        <w:rPr>
          <w:rFonts w:cs="Arial"/>
          <w:szCs w:val="20"/>
        </w:rPr>
        <w:t xml:space="preserve">o polovinu (ze </w:t>
      </w:r>
      <w:r w:rsidR="00D077FD" w:rsidRPr="00D077FD">
        <w:rPr>
          <w:rFonts w:cs="Arial"/>
          <w:szCs w:val="20"/>
        </w:rPr>
        <w:t>76</w:t>
      </w:r>
      <w:r w:rsidR="00D077FD">
        <w:rPr>
          <w:rFonts w:cs="Arial"/>
          <w:szCs w:val="20"/>
        </w:rPr>
        <w:t> </w:t>
      </w:r>
      <w:r w:rsidR="00D077FD" w:rsidRPr="00D077FD">
        <w:rPr>
          <w:rFonts w:cs="Arial"/>
          <w:szCs w:val="20"/>
        </w:rPr>
        <w:t>189</w:t>
      </w:r>
      <w:r w:rsidR="00D077FD">
        <w:rPr>
          <w:rFonts w:cs="Arial"/>
          <w:szCs w:val="20"/>
        </w:rPr>
        <w:t xml:space="preserve"> </w:t>
      </w:r>
      <w:r w:rsidR="00BC6C8D">
        <w:rPr>
          <w:rFonts w:cs="Arial"/>
          <w:szCs w:val="20"/>
        </w:rPr>
        <w:t xml:space="preserve">na </w:t>
      </w:r>
      <w:r w:rsidR="00D077FD" w:rsidRPr="00D077FD">
        <w:rPr>
          <w:rFonts w:cs="Arial"/>
          <w:szCs w:val="20"/>
        </w:rPr>
        <w:t>112</w:t>
      </w:r>
      <w:r w:rsidR="00D077FD">
        <w:rPr>
          <w:rFonts w:cs="Arial"/>
          <w:szCs w:val="20"/>
        </w:rPr>
        <w:t xml:space="preserve"> </w:t>
      </w:r>
      <w:r w:rsidR="00D077FD" w:rsidRPr="00D077FD">
        <w:rPr>
          <w:rFonts w:cs="Arial"/>
          <w:szCs w:val="20"/>
        </w:rPr>
        <w:t>089</w:t>
      </w:r>
      <w:r w:rsidR="00BC6C8D">
        <w:rPr>
          <w:rFonts w:cs="Arial"/>
          <w:szCs w:val="20"/>
        </w:rPr>
        <w:t xml:space="preserve">), a dále </w:t>
      </w:r>
      <w:r w:rsidR="00D077FD">
        <w:rPr>
          <w:rFonts w:cs="Arial"/>
          <w:szCs w:val="20"/>
        </w:rPr>
        <w:t>v kraji Středočeském, tj. o 43</w:t>
      </w:r>
      <w:r w:rsidR="00BC6C8D">
        <w:rPr>
          <w:rFonts w:cs="Arial"/>
          <w:szCs w:val="20"/>
        </w:rPr>
        <w:t xml:space="preserve"> % (z </w:t>
      </w:r>
      <w:r w:rsidR="00D077FD" w:rsidRPr="00D077FD">
        <w:rPr>
          <w:rFonts w:cs="Arial"/>
          <w:szCs w:val="20"/>
        </w:rPr>
        <w:t>97</w:t>
      </w:r>
      <w:r w:rsidR="00D077FD">
        <w:rPr>
          <w:rFonts w:cs="Arial"/>
          <w:szCs w:val="20"/>
        </w:rPr>
        <w:t> </w:t>
      </w:r>
      <w:r w:rsidR="00D077FD" w:rsidRPr="00D077FD">
        <w:rPr>
          <w:rFonts w:cs="Arial"/>
          <w:szCs w:val="20"/>
        </w:rPr>
        <w:t>190</w:t>
      </w:r>
      <w:r w:rsidR="00D077FD">
        <w:rPr>
          <w:rFonts w:cs="Arial"/>
          <w:szCs w:val="20"/>
        </w:rPr>
        <w:t xml:space="preserve"> </w:t>
      </w:r>
      <w:r w:rsidR="00BC6C8D">
        <w:rPr>
          <w:rFonts w:cs="Arial"/>
          <w:szCs w:val="20"/>
        </w:rPr>
        <w:t xml:space="preserve">na </w:t>
      </w:r>
      <w:r w:rsidR="00D077FD" w:rsidRPr="00D077FD">
        <w:rPr>
          <w:rFonts w:cs="Arial"/>
          <w:szCs w:val="20"/>
        </w:rPr>
        <w:t>138</w:t>
      </w:r>
      <w:r w:rsidR="00D077FD">
        <w:rPr>
          <w:rFonts w:cs="Arial"/>
          <w:szCs w:val="20"/>
        </w:rPr>
        <w:t> </w:t>
      </w:r>
      <w:r w:rsidR="00D077FD" w:rsidRPr="00D077FD">
        <w:rPr>
          <w:rFonts w:cs="Arial"/>
          <w:szCs w:val="20"/>
        </w:rPr>
        <w:t>970</w:t>
      </w:r>
      <w:r w:rsidR="00D077FD">
        <w:rPr>
          <w:rFonts w:cs="Arial"/>
          <w:szCs w:val="20"/>
        </w:rPr>
        <w:t xml:space="preserve"> </w:t>
      </w:r>
      <w:r w:rsidR="00BC6C8D">
        <w:rPr>
          <w:rFonts w:cs="Arial"/>
          <w:szCs w:val="20"/>
        </w:rPr>
        <w:t xml:space="preserve">žáků). Ostatní kraje zaznamenaly </w:t>
      </w:r>
      <w:r w:rsidR="00601DBC">
        <w:rPr>
          <w:rFonts w:cs="Arial"/>
          <w:szCs w:val="20"/>
        </w:rPr>
        <w:t xml:space="preserve">cca </w:t>
      </w:r>
      <w:r w:rsidR="00BC6C8D">
        <w:rPr>
          <w:rFonts w:cs="Arial"/>
          <w:szCs w:val="20"/>
        </w:rPr>
        <w:t>čtvrtinový a nižší nárůst, nejmenší byl v kraj</w:t>
      </w:r>
      <w:r w:rsidR="00D077FD">
        <w:rPr>
          <w:rFonts w:cs="Arial"/>
          <w:szCs w:val="20"/>
        </w:rPr>
        <w:t>i Moravskoslezském, a sice o 7,6</w:t>
      </w:r>
      <w:r w:rsidR="00BC6C8D">
        <w:rPr>
          <w:rFonts w:cs="Arial"/>
          <w:szCs w:val="20"/>
        </w:rPr>
        <w:t> %.</w:t>
      </w:r>
    </w:p>
    <w:p w14:paraId="17D289AB" w14:textId="29797C9F" w:rsidR="00FF6B7E" w:rsidRDefault="00FF6B7E" w:rsidP="00C43F18">
      <w:pPr>
        <w:keepNext/>
        <w:spacing w:after="0"/>
        <w:jc w:val="both"/>
        <w:rPr>
          <w:rFonts w:cs="Arial"/>
          <w:b/>
          <w:szCs w:val="20"/>
        </w:rPr>
      </w:pPr>
      <w:r w:rsidRPr="002E5300">
        <w:rPr>
          <w:rFonts w:cs="Arial"/>
          <w:b/>
          <w:szCs w:val="20"/>
        </w:rPr>
        <w:lastRenderedPageBreak/>
        <w:t xml:space="preserve">Graf </w:t>
      </w:r>
      <w:r>
        <w:rPr>
          <w:rFonts w:cs="Arial"/>
          <w:b/>
          <w:szCs w:val="20"/>
        </w:rPr>
        <w:t>2</w:t>
      </w:r>
      <w:r w:rsidRPr="002E5300">
        <w:rPr>
          <w:rFonts w:cs="Arial"/>
          <w:b/>
          <w:szCs w:val="20"/>
        </w:rPr>
        <w:t>.</w:t>
      </w:r>
      <w:r w:rsidR="0094591D">
        <w:rPr>
          <w:rFonts w:cs="Arial"/>
          <w:b/>
          <w:szCs w:val="20"/>
        </w:rPr>
        <w:t>17</w:t>
      </w:r>
      <w:r w:rsidRPr="002E5300">
        <w:rPr>
          <w:rFonts w:cs="Arial"/>
          <w:b/>
          <w:szCs w:val="20"/>
        </w:rPr>
        <w:t xml:space="preserve"> </w:t>
      </w:r>
      <w:r>
        <w:rPr>
          <w:rFonts w:cs="Arial"/>
          <w:b/>
          <w:szCs w:val="20"/>
        </w:rPr>
        <w:t xml:space="preserve">Nárůsty počtu žáků </w:t>
      </w:r>
      <w:r w:rsidR="003D1AB2">
        <w:rPr>
          <w:rFonts w:cs="Arial"/>
          <w:b/>
          <w:szCs w:val="20"/>
        </w:rPr>
        <w:t xml:space="preserve">v ZŠ v krajích ČR mezi </w:t>
      </w:r>
      <w:r w:rsidR="00601DBC">
        <w:rPr>
          <w:rFonts w:cs="Arial"/>
          <w:b/>
          <w:szCs w:val="20"/>
        </w:rPr>
        <w:t xml:space="preserve">školními </w:t>
      </w:r>
      <w:r w:rsidR="00D077FD">
        <w:rPr>
          <w:rFonts w:cs="Arial"/>
          <w:b/>
          <w:szCs w:val="20"/>
        </w:rPr>
        <w:t>roky 20011/12 a 2021/22</w:t>
      </w:r>
    </w:p>
    <w:p w14:paraId="38A241D8" w14:textId="4C3EFDED" w:rsidR="003D1AB2" w:rsidRDefault="00D077FD" w:rsidP="00C97566">
      <w:pPr>
        <w:keepNext/>
        <w:spacing w:after="0"/>
        <w:jc w:val="both"/>
        <w:rPr>
          <w:rFonts w:cs="Arial"/>
          <w:b/>
          <w:szCs w:val="20"/>
        </w:rPr>
      </w:pPr>
      <w:r>
        <w:rPr>
          <w:noProof/>
        </w:rPr>
        <w:drawing>
          <wp:inline distT="0" distB="0" distL="0" distR="0" wp14:anchorId="0E0B7F80" wp14:editId="3107AB65">
            <wp:extent cx="6047740" cy="3324225"/>
            <wp:effectExtent l="0" t="0" r="10160" b="9525"/>
            <wp:docPr id="108" name="Graf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7B5D5B9" w14:textId="08FD7FCF" w:rsidR="00863C3F" w:rsidRPr="00863C3F" w:rsidRDefault="00FF6B7E" w:rsidP="00C97566">
      <w:pPr>
        <w:spacing w:before="120" w:after="120"/>
        <w:jc w:val="right"/>
        <w:rPr>
          <w:rFonts w:cs="Arial"/>
          <w:iCs/>
        </w:rPr>
      </w:pPr>
      <w:r w:rsidRPr="00F94849">
        <w:rPr>
          <w:rFonts w:cs="Arial"/>
          <w:sz w:val="18"/>
        </w:rPr>
        <w:t>Zdroj: ČSÚ</w:t>
      </w:r>
      <w:r w:rsidRPr="00F94849">
        <w:rPr>
          <w:rFonts w:cs="Arial"/>
          <w:noProof/>
        </w:rPr>
        <w:t xml:space="preserve"> </w:t>
      </w:r>
      <w:r w:rsidRPr="00307699">
        <w:rPr>
          <w:rFonts w:cs="Arial"/>
          <w:sz w:val="18"/>
        </w:rPr>
        <w:t>podle údajů MŠMT</w:t>
      </w:r>
    </w:p>
    <w:p w14:paraId="6EF4128B" w14:textId="77777777" w:rsidR="00863C3F" w:rsidRDefault="00863C3F" w:rsidP="00C97566">
      <w:pPr>
        <w:spacing w:before="120" w:after="120"/>
        <w:jc w:val="both"/>
        <w:rPr>
          <w:rFonts w:cs="Arial"/>
          <w:szCs w:val="20"/>
        </w:rPr>
      </w:pPr>
    </w:p>
    <w:p w14:paraId="30C34F7F" w14:textId="18361473" w:rsidR="009F4311" w:rsidRDefault="00FF6B7E" w:rsidP="00FF6B7E">
      <w:pPr>
        <w:spacing w:after="120"/>
        <w:jc w:val="both"/>
        <w:rPr>
          <w:rFonts w:cs="Arial"/>
          <w:szCs w:val="20"/>
        </w:rPr>
      </w:pPr>
      <w:r>
        <w:rPr>
          <w:rFonts w:cs="Arial"/>
          <w:szCs w:val="20"/>
        </w:rPr>
        <w:t xml:space="preserve">Z hlediska </w:t>
      </w:r>
      <w:r w:rsidRPr="003C42A8">
        <w:rPr>
          <w:rFonts w:cs="Arial"/>
          <w:b/>
          <w:szCs w:val="20"/>
        </w:rPr>
        <w:t>zřizovatele</w:t>
      </w:r>
      <w:r w:rsidR="009F4311">
        <w:rPr>
          <w:rFonts w:cs="Arial"/>
          <w:szCs w:val="20"/>
        </w:rPr>
        <w:t xml:space="preserve"> chodilo ve ško</w:t>
      </w:r>
      <w:r w:rsidR="00354158">
        <w:rPr>
          <w:rFonts w:cs="Arial"/>
          <w:szCs w:val="20"/>
        </w:rPr>
        <w:t>lním roce 2021/22</w:t>
      </w:r>
      <w:r>
        <w:rPr>
          <w:rFonts w:cs="Arial"/>
          <w:szCs w:val="20"/>
        </w:rPr>
        <w:t xml:space="preserve"> nejvíce žáků do soukromých škol v</w:t>
      </w:r>
      <w:r w:rsidR="009F4311">
        <w:rPr>
          <w:rFonts w:cs="Arial"/>
          <w:szCs w:val="20"/>
        </w:rPr>
        <w:t> </w:t>
      </w:r>
      <w:r>
        <w:rPr>
          <w:rFonts w:cs="Arial"/>
          <w:szCs w:val="20"/>
        </w:rPr>
        <w:t>Praze</w:t>
      </w:r>
      <w:r w:rsidR="00863C3F">
        <w:rPr>
          <w:rFonts w:cs="Arial"/>
          <w:szCs w:val="20"/>
        </w:rPr>
        <w:t xml:space="preserve"> (4,8</w:t>
      </w:r>
      <w:r w:rsidR="009F4311">
        <w:rPr>
          <w:rFonts w:cs="Arial"/>
          <w:szCs w:val="20"/>
        </w:rPr>
        <w:t> % ze všech žáků základních škol v tomto kraji), více než 2% podíl byl zaznamen</w:t>
      </w:r>
      <w:r w:rsidR="00863C3F">
        <w:rPr>
          <w:rFonts w:cs="Arial"/>
          <w:szCs w:val="20"/>
        </w:rPr>
        <w:t>án též v kraji Středočeském (2,8</w:t>
      </w:r>
      <w:r w:rsidR="009F4311">
        <w:rPr>
          <w:rFonts w:cs="Arial"/>
          <w:szCs w:val="20"/>
        </w:rPr>
        <w:t xml:space="preserve"> %), </w:t>
      </w:r>
      <w:r w:rsidR="00863C3F">
        <w:rPr>
          <w:rFonts w:cs="Arial"/>
          <w:szCs w:val="20"/>
        </w:rPr>
        <w:t>Královéhradeckém (2,5 %), Ústeckém (2,4</w:t>
      </w:r>
      <w:r w:rsidR="009F4311">
        <w:rPr>
          <w:rFonts w:cs="Arial"/>
          <w:szCs w:val="20"/>
        </w:rPr>
        <w:t xml:space="preserve"> %), </w:t>
      </w:r>
      <w:r w:rsidR="00792912">
        <w:rPr>
          <w:rFonts w:cs="Arial"/>
          <w:szCs w:val="20"/>
        </w:rPr>
        <w:t>Karlovarském (2,2 %),</w:t>
      </w:r>
      <w:r w:rsidR="00863C3F">
        <w:rPr>
          <w:rFonts w:cs="Arial"/>
          <w:szCs w:val="20"/>
        </w:rPr>
        <w:t xml:space="preserve"> Jihočeském (2,1 %) a Plzeňském (2,1 %).</w:t>
      </w:r>
      <w:r w:rsidR="009F4311">
        <w:rPr>
          <w:rFonts w:cs="Arial"/>
          <w:szCs w:val="20"/>
        </w:rPr>
        <w:t xml:space="preserve"> Naopak na Vysočině navštěvovalo soukromé školy jen </w:t>
      </w:r>
      <w:r w:rsidR="00863C3F">
        <w:rPr>
          <w:rFonts w:cs="Arial"/>
          <w:szCs w:val="20"/>
        </w:rPr>
        <w:t>1</w:t>
      </w:r>
      <w:r w:rsidR="009F4311">
        <w:rPr>
          <w:rFonts w:cs="Arial"/>
          <w:szCs w:val="20"/>
        </w:rPr>
        <w:t> % ze všech žáků základních škol.</w:t>
      </w:r>
      <w:r>
        <w:rPr>
          <w:rFonts w:cs="Arial"/>
          <w:szCs w:val="20"/>
        </w:rPr>
        <w:t xml:space="preserve"> </w:t>
      </w:r>
      <w:r w:rsidR="009F4311">
        <w:rPr>
          <w:rFonts w:cs="Arial"/>
          <w:szCs w:val="20"/>
        </w:rPr>
        <w:t xml:space="preserve">Co se týče škol církevního zřizovatele, pak nejvyššího podílu žáků v těchto školách dosáhla opět Praha (1,3 %) spolu s krajem Jihočeským (1,3 %). </w:t>
      </w:r>
      <w:r w:rsidR="00321184">
        <w:rPr>
          <w:rFonts w:cs="Arial"/>
          <w:szCs w:val="20"/>
        </w:rPr>
        <w:t xml:space="preserve">Naopak Karlovarský kraj </w:t>
      </w:r>
      <w:r w:rsidR="00324B63">
        <w:rPr>
          <w:rFonts w:cs="Arial"/>
          <w:szCs w:val="20"/>
        </w:rPr>
        <w:t xml:space="preserve">církevní základní </w:t>
      </w:r>
      <w:r w:rsidR="00321184">
        <w:rPr>
          <w:rFonts w:cs="Arial"/>
          <w:szCs w:val="20"/>
        </w:rPr>
        <w:t>školy zcela postrádal.</w:t>
      </w:r>
    </w:p>
    <w:p w14:paraId="27AAD33E" w14:textId="77777777" w:rsidR="00331F80" w:rsidRDefault="00331F80" w:rsidP="00FF6B7E">
      <w:pPr>
        <w:pStyle w:val="Nadpis2"/>
        <w:spacing w:after="120"/>
        <w:rPr>
          <w:bCs w:val="0"/>
        </w:rPr>
      </w:pPr>
    </w:p>
    <w:p w14:paraId="7C1B2513" w14:textId="1FA21275" w:rsidR="00FF6B7E" w:rsidRPr="00A3136E" w:rsidRDefault="00FF6B7E" w:rsidP="00FF6B7E">
      <w:pPr>
        <w:pStyle w:val="Nadpis2"/>
        <w:spacing w:after="120"/>
      </w:pPr>
      <w:bookmarkStart w:id="13" w:name="_Toc112069077"/>
      <w:r w:rsidRPr="002D21AC">
        <w:rPr>
          <w:bCs w:val="0"/>
        </w:rPr>
        <w:t>2.</w:t>
      </w:r>
      <w:r>
        <w:rPr>
          <w:bCs w:val="0"/>
        </w:rPr>
        <w:t>6</w:t>
      </w:r>
      <w:r w:rsidRPr="00933DF0">
        <w:rPr>
          <w:b w:val="0"/>
          <w:bCs w:val="0"/>
        </w:rPr>
        <w:t xml:space="preserve"> </w:t>
      </w:r>
      <w:r w:rsidRPr="00A3136E">
        <w:t>Žáci nově přijatí do 1. ročník</w:t>
      </w:r>
      <w:r>
        <w:t>ů</w:t>
      </w:r>
      <w:r w:rsidRPr="00A3136E">
        <w:t xml:space="preserve"> základních škol</w:t>
      </w:r>
      <w:bookmarkEnd w:id="13"/>
    </w:p>
    <w:p w14:paraId="6690207D" w14:textId="27DCFD70" w:rsidR="00990AD8" w:rsidRDefault="00FF6B7E" w:rsidP="00FF6B7E">
      <w:pPr>
        <w:spacing w:after="120"/>
        <w:jc w:val="both"/>
        <w:rPr>
          <w:rFonts w:cs="Arial"/>
          <w:szCs w:val="20"/>
        </w:rPr>
      </w:pPr>
      <w:r w:rsidRPr="008E62DB">
        <w:rPr>
          <w:rFonts w:cs="Arial"/>
          <w:szCs w:val="20"/>
        </w:rPr>
        <w:t>V</w:t>
      </w:r>
      <w:r>
        <w:rPr>
          <w:rFonts w:cs="Arial"/>
          <w:szCs w:val="20"/>
        </w:rPr>
        <w:t>e školním</w:t>
      </w:r>
      <w:r w:rsidR="001337D0">
        <w:rPr>
          <w:rFonts w:cs="Arial"/>
          <w:szCs w:val="20"/>
        </w:rPr>
        <w:t> roce 2021</w:t>
      </w:r>
      <w:r w:rsidRPr="008E62DB">
        <w:rPr>
          <w:rFonts w:cs="Arial"/>
          <w:szCs w:val="20"/>
        </w:rPr>
        <w:t>/</w:t>
      </w:r>
      <w:r w:rsidR="001337D0">
        <w:rPr>
          <w:rFonts w:cs="Arial"/>
          <w:szCs w:val="20"/>
        </w:rPr>
        <w:t>22</w:t>
      </w:r>
      <w:r w:rsidRPr="008E62DB">
        <w:rPr>
          <w:rFonts w:cs="Arial"/>
          <w:szCs w:val="20"/>
        </w:rPr>
        <w:t xml:space="preserve"> bylo do prvních tříd základních škol </w:t>
      </w:r>
      <w:r w:rsidR="00321184">
        <w:rPr>
          <w:rFonts w:cs="Arial"/>
          <w:szCs w:val="20"/>
        </w:rPr>
        <w:t>přijato celkem 108</w:t>
      </w:r>
      <w:r w:rsidRPr="008E62DB">
        <w:rPr>
          <w:rFonts w:cs="Arial"/>
          <w:szCs w:val="20"/>
        </w:rPr>
        <w:t xml:space="preserve"> </w:t>
      </w:r>
      <w:r w:rsidR="001337D0">
        <w:rPr>
          <w:rFonts w:cs="Arial"/>
          <w:szCs w:val="20"/>
        </w:rPr>
        <w:t>143 žáků, což je nepatrně</w:t>
      </w:r>
      <w:r w:rsidR="00B1170B">
        <w:rPr>
          <w:rFonts w:cs="Arial"/>
          <w:szCs w:val="20"/>
        </w:rPr>
        <w:t xml:space="preserve"> méně</w:t>
      </w:r>
      <w:r w:rsidRPr="008E62DB">
        <w:rPr>
          <w:rFonts w:cs="Arial"/>
          <w:szCs w:val="20"/>
        </w:rPr>
        <w:t xml:space="preserve"> </w:t>
      </w:r>
      <w:r w:rsidR="00B1170B" w:rsidRPr="00B1170B">
        <w:rPr>
          <w:rFonts w:cs="Arial"/>
          <w:szCs w:val="20"/>
        </w:rPr>
        <w:t xml:space="preserve">než v roce 2020/21 </w:t>
      </w:r>
      <w:r w:rsidR="001337D0">
        <w:rPr>
          <w:rFonts w:cs="Arial"/>
          <w:szCs w:val="20"/>
        </w:rPr>
        <w:t>(</w:t>
      </w:r>
      <w:r w:rsidR="00B1170B">
        <w:rPr>
          <w:rFonts w:cs="Arial"/>
          <w:szCs w:val="20"/>
        </w:rPr>
        <w:t xml:space="preserve">tj. </w:t>
      </w:r>
      <w:r w:rsidR="001337D0">
        <w:rPr>
          <w:rFonts w:cs="Arial"/>
          <w:szCs w:val="20"/>
        </w:rPr>
        <w:t>o 487 žáků, resp. 0,4</w:t>
      </w:r>
      <w:r w:rsidR="00B1170B">
        <w:rPr>
          <w:rFonts w:cs="Arial"/>
          <w:szCs w:val="20"/>
        </w:rPr>
        <w:t> %)</w:t>
      </w:r>
      <w:r w:rsidR="001337D0">
        <w:rPr>
          <w:rFonts w:cs="Arial"/>
          <w:szCs w:val="20"/>
        </w:rPr>
        <w:t xml:space="preserve">. </w:t>
      </w:r>
      <w:r w:rsidR="00321184">
        <w:rPr>
          <w:rFonts w:cs="Arial"/>
          <w:szCs w:val="20"/>
        </w:rPr>
        <w:t xml:space="preserve"> </w:t>
      </w:r>
      <w:r w:rsidR="001337D0">
        <w:rPr>
          <w:rFonts w:cs="Arial"/>
          <w:szCs w:val="20"/>
        </w:rPr>
        <w:t xml:space="preserve">Lze konstatovat, že v posledních </w:t>
      </w:r>
      <w:r w:rsidR="00B1170B">
        <w:rPr>
          <w:rFonts w:cs="Arial"/>
          <w:szCs w:val="20"/>
        </w:rPr>
        <w:t>pěti letech, neboli od školního roku 2016/17,</w:t>
      </w:r>
      <w:r w:rsidR="001337D0">
        <w:rPr>
          <w:rFonts w:cs="Arial"/>
          <w:szCs w:val="20"/>
        </w:rPr>
        <w:t xml:space="preserve"> se počet nově přijatých žáků snižoval, ovšem s výjimkou školního roku 2020/21, ve kterém došlo k nárůstu o 2</w:t>
      </w:r>
      <w:r w:rsidR="00B1170B">
        <w:rPr>
          <w:rFonts w:cs="Arial"/>
          <w:szCs w:val="20"/>
        </w:rPr>
        <w:t> </w:t>
      </w:r>
      <w:r w:rsidR="00971D2C">
        <w:rPr>
          <w:rFonts w:cs="Arial"/>
          <w:szCs w:val="20"/>
        </w:rPr>
        <w:t>005 žáků, resp.</w:t>
      </w:r>
      <w:r w:rsidR="001337D0">
        <w:rPr>
          <w:rFonts w:cs="Arial"/>
          <w:szCs w:val="20"/>
        </w:rPr>
        <w:t xml:space="preserve"> o 1,9 %. Počet nově přijatých žáků byl tak v uplynulém školním roce o 7,7 % nižší než ve školním roce 2016/17. Oproti školnímu roku 2011/12 byl však naopak o 7,4 % vyšší.</w:t>
      </w:r>
      <w:r w:rsidR="00B1170B">
        <w:rPr>
          <w:rFonts w:cs="Arial"/>
          <w:szCs w:val="20"/>
        </w:rPr>
        <w:t xml:space="preserve"> </w:t>
      </w:r>
      <w:r>
        <w:rPr>
          <w:rFonts w:cs="Arial"/>
          <w:szCs w:val="20"/>
        </w:rPr>
        <w:t>N</w:t>
      </w:r>
      <w:r w:rsidRPr="00186F05">
        <w:rPr>
          <w:rFonts w:cs="Arial"/>
          <w:szCs w:val="20"/>
        </w:rPr>
        <w:t xml:space="preserve">ejvyšší počet žáků prvních ročníků </w:t>
      </w:r>
      <w:r>
        <w:rPr>
          <w:rFonts w:cs="Arial"/>
          <w:szCs w:val="20"/>
        </w:rPr>
        <w:t xml:space="preserve">byl z posledních </w:t>
      </w:r>
      <w:r w:rsidR="00324B63">
        <w:rPr>
          <w:rFonts w:cs="Arial"/>
          <w:szCs w:val="20"/>
        </w:rPr>
        <w:t xml:space="preserve">deseti školních </w:t>
      </w:r>
      <w:r w:rsidR="00FC03F1">
        <w:rPr>
          <w:rFonts w:cs="Arial"/>
          <w:szCs w:val="20"/>
        </w:rPr>
        <w:t>roků</w:t>
      </w:r>
      <w:r>
        <w:rPr>
          <w:rFonts w:cs="Arial"/>
          <w:szCs w:val="20"/>
        </w:rPr>
        <w:t xml:space="preserve"> zaznamenán ve školním roce 2014/15</w:t>
      </w:r>
      <w:r w:rsidR="00321184">
        <w:rPr>
          <w:rFonts w:cs="Arial"/>
          <w:szCs w:val="20"/>
        </w:rPr>
        <w:t>, a sice 117 374</w:t>
      </w:r>
      <w:r w:rsidRPr="008E62DB">
        <w:rPr>
          <w:rFonts w:cs="Arial"/>
          <w:szCs w:val="20"/>
        </w:rPr>
        <w:t xml:space="preserve">. </w:t>
      </w:r>
    </w:p>
    <w:p w14:paraId="3DBB169C" w14:textId="453731D7" w:rsidR="00014F55" w:rsidRPr="00530D76" w:rsidRDefault="00FF6B7E" w:rsidP="009F0181">
      <w:pPr>
        <w:spacing w:after="120"/>
        <w:jc w:val="both"/>
        <w:rPr>
          <w:rFonts w:cs="Arial"/>
          <w:szCs w:val="20"/>
          <w:shd w:val="clear" w:color="auto" w:fill="FFFF00"/>
        </w:rPr>
      </w:pPr>
      <w:r w:rsidRPr="00363E22">
        <w:rPr>
          <w:rFonts w:cs="Arial"/>
          <w:szCs w:val="20"/>
        </w:rPr>
        <w:t xml:space="preserve">Z hlediska </w:t>
      </w:r>
      <w:r w:rsidRPr="00363E22">
        <w:rPr>
          <w:rFonts w:cs="Arial"/>
          <w:b/>
          <w:szCs w:val="20"/>
        </w:rPr>
        <w:t>regionálního srovnání</w:t>
      </w:r>
      <w:r w:rsidR="00363E22">
        <w:rPr>
          <w:rFonts w:cs="Arial"/>
          <w:szCs w:val="20"/>
        </w:rPr>
        <w:t xml:space="preserve"> bylo ve školním roce 2021/22</w:t>
      </w:r>
      <w:r>
        <w:rPr>
          <w:rFonts w:cs="Arial"/>
          <w:szCs w:val="20"/>
        </w:rPr>
        <w:t xml:space="preserve"> nejvíce </w:t>
      </w:r>
      <w:r w:rsidR="00321184">
        <w:rPr>
          <w:rFonts w:cs="Arial"/>
          <w:szCs w:val="20"/>
        </w:rPr>
        <w:t xml:space="preserve">nově přijatých </w:t>
      </w:r>
      <w:r w:rsidR="009F0181">
        <w:rPr>
          <w:rFonts w:cs="Arial"/>
          <w:szCs w:val="20"/>
        </w:rPr>
        <w:t>žáků do prvního ročníku v kraji Středočeském</w:t>
      </w:r>
      <w:r w:rsidRPr="008E62DB">
        <w:rPr>
          <w:rFonts w:cs="Arial"/>
          <w:szCs w:val="20"/>
        </w:rPr>
        <w:t> (</w:t>
      </w:r>
      <w:r w:rsidR="00321184">
        <w:rPr>
          <w:rFonts w:cs="Arial"/>
          <w:szCs w:val="20"/>
        </w:rPr>
        <w:t>16 </w:t>
      </w:r>
      <w:r w:rsidR="00363E22">
        <w:rPr>
          <w:rFonts w:cs="Arial"/>
          <w:szCs w:val="20"/>
        </w:rPr>
        <w:t>124</w:t>
      </w:r>
      <w:r>
        <w:rPr>
          <w:rFonts w:cs="Arial"/>
          <w:szCs w:val="20"/>
        </w:rPr>
        <w:t>)</w:t>
      </w:r>
      <w:r w:rsidRPr="008E62DB">
        <w:rPr>
          <w:rFonts w:cs="Arial"/>
          <w:szCs w:val="20"/>
        </w:rPr>
        <w:t>, v Praze (</w:t>
      </w:r>
      <w:r w:rsidR="00363E22">
        <w:rPr>
          <w:rFonts w:cs="Arial"/>
          <w:szCs w:val="20"/>
        </w:rPr>
        <w:t>13 061</w:t>
      </w:r>
      <w:r w:rsidRPr="008E62DB">
        <w:rPr>
          <w:rFonts w:cs="Arial"/>
          <w:szCs w:val="20"/>
        </w:rPr>
        <w:t>)</w:t>
      </w:r>
      <w:r>
        <w:rPr>
          <w:rFonts w:cs="Arial"/>
          <w:szCs w:val="20"/>
        </w:rPr>
        <w:t>, v</w:t>
      </w:r>
      <w:r w:rsidR="00321184">
        <w:rPr>
          <w:rFonts w:cs="Arial"/>
          <w:szCs w:val="20"/>
        </w:rPr>
        <w:t xml:space="preserve"> kraji </w:t>
      </w:r>
      <w:r w:rsidRPr="008E62DB">
        <w:rPr>
          <w:rFonts w:cs="Arial"/>
          <w:szCs w:val="20"/>
        </w:rPr>
        <w:t>Jihomoravském (</w:t>
      </w:r>
      <w:r w:rsidR="00363E22">
        <w:rPr>
          <w:rFonts w:cs="Arial"/>
          <w:szCs w:val="20"/>
        </w:rPr>
        <w:t>12 601</w:t>
      </w:r>
      <w:r w:rsidRPr="008E62DB">
        <w:rPr>
          <w:rFonts w:cs="Arial"/>
          <w:szCs w:val="20"/>
        </w:rPr>
        <w:t>)</w:t>
      </w:r>
      <w:r w:rsidR="00321184">
        <w:rPr>
          <w:rFonts w:cs="Arial"/>
          <w:szCs w:val="20"/>
        </w:rPr>
        <w:t xml:space="preserve"> a</w:t>
      </w:r>
      <w:r>
        <w:rPr>
          <w:rFonts w:cs="Arial"/>
          <w:szCs w:val="20"/>
        </w:rPr>
        <w:t> Moravsko</w:t>
      </w:r>
      <w:r w:rsidR="009F0181">
        <w:rPr>
          <w:rFonts w:cs="Arial"/>
          <w:szCs w:val="20"/>
        </w:rPr>
        <w:t>-</w:t>
      </w:r>
      <w:r>
        <w:rPr>
          <w:rFonts w:cs="Arial"/>
          <w:szCs w:val="20"/>
        </w:rPr>
        <w:t>slezském (</w:t>
      </w:r>
      <w:r w:rsidR="00321184">
        <w:rPr>
          <w:rFonts w:cs="Arial"/>
          <w:szCs w:val="20"/>
        </w:rPr>
        <w:t>11 </w:t>
      </w:r>
      <w:r w:rsidR="00363E22">
        <w:rPr>
          <w:rFonts w:cs="Arial"/>
          <w:szCs w:val="20"/>
        </w:rPr>
        <w:t>348</w:t>
      </w:r>
      <w:r w:rsidR="00321184">
        <w:rPr>
          <w:rFonts w:cs="Arial"/>
          <w:szCs w:val="20"/>
        </w:rPr>
        <w:t xml:space="preserve">). Logicky se jedná </w:t>
      </w:r>
      <w:r>
        <w:rPr>
          <w:rFonts w:cs="Arial"/>
          <w:szCs w:val="20"/>
        </w:rPr>
        <w:t xml:space="preserve">o nejlidnatější kraje. Ve srovnání se situací </w:t>
      </w:r>
      <w:r w:rsidRPr="00180C3A">
        <w:rPr>
          <w:rFonts w:cs="Arial"/>
          <w:b/>
          <w:szCs w:val="20"/>
        </w:rPr>
        <w:t>před pěti lety</w:t>
      </w:r>
      <w:r>
        <w:rPr>
          <w:rFonts w:cs="Arial"/>
          <w:szCs w:val="20"/>
        </w:rPr>
        <w:t>, tj. ve školní</w:t>
      </w:r>
      <w:r w:rsidR="00363E22">
        <w:rPr>
          <w:rFonts w:cs="Arial"/>
          <w:szCs w:val="20"/>
        </w:rPr>
        <w:t>m roce 2016/17</w:t>
      </w:r>
      <w:r>
        <w:rPr>
          <w:rFonts w:cs="Arial"/>
          <w:szCs w:val="20"/>
        </w:rPr>
        <w:t xml:space="preserve">, došlo </w:t>
      </w:r>
      <w:r w:rsidR="00990AD8">
        <w:rPr>
          <w:rFonts w:cs="Arial"/>
          <w:szCs w:val="20"/>
        </w:rPr>
        <w:t>v</w:t>
      </w:r>
      <w:r w:rsidR="00FC03F1">
        <w:rPr>
          <w:rFonts w:cs="Arial"/>
          <w:szCs w:val="20"/>
        </w:rPr>
        <w:t>e školním</w:t>
      </w:r>
      <w:r w:rsidR="00990AD8">
        <w:rPr>
          <w:rFonts w:cs="Arial"/>
          <w:szCs w:val="20"/>
        </w:rPr>
        <w:t xml:space="preserve"> roce </w:t>
      </w:r>
      <w:r w:rsidR="00363E22">
        <w:rPr>
          <w:rFonts w:cs="Arial"/>
          <w:szCs w:val="20"/>
        </w:rPr>
        <w:t>2021/22</w:t>
      </w:r>
      <w:r w:rsidR="00FC03F1">
        <w:rPr>
          <w:rFonts w:cs="Arial"/>
          <w:szCs w:val="20"/>
        </w:rPr>
        <w:t xml:space="preserve"> </w:t>
      </w:r>
      <w:r>
        <w:rPr>
          <w:rFonts w:cs="Arial"/>
          <w:szCs w:val="20"/>
        </w:rPr>
        <w:t xml:space="preserve">ve všech krajích České </w:t>
      </w:r>
      <w:r w:rsidRPr="00530D76">
        <w:rPr>
          <w:rFonts w:cs="Arial"/>
          <w:szCs w:val="20"/>
        </w:rPr>
        <w:t xml:space="preserve">republiky k poklesu počtu </w:t>
      </w:r>
      <w:r w:rsidR="009F0181" w:rsidRPr="00530D76">
        <w:rPr>
          <w:rFonts w:cs="Arial"/>
          <w:szCs w:val="20"/>
        </w:rPr>
        <w:t>žák</w:t>
      </w:r>
      <w:r w:rsidRPr="00530D76">
        <w:rPr>
          <w:rFonts w:cs="Arial"/>
          <w:szCs w:val="20"/>
        </w:rPr>
        <w:t>ů</w:t>
      </w:r>
      <w:r w:rsidR="009F0181" w:rsidRPr="00530D76">
        <w:rPr>
          <w:rFonts w:cs="Arial"/>
          <w:szCs w:val="20"/>
        </w:rPr>
        <w:t xml:space="preserve"> </w:t>
      </w:r>
      <w:r w:rsidR="00530D76" w:rsidRPr="00530D76">
        <w:rPr>
          <w:rFonts w:cs="Arial"/>
          <w:szCs w:val="20"/>
        </w:rPr>
        <w:t xml:space="preserve">nově přijatých do </w:t>
      </w:r>
      <w:r w:rsidR="009F0181" w:rsidRPr="00530D76">
        <w:rPr>
          <w:rFonts w:cs="Arial"/>
          <w:szCs w:val="20"/>
        </w:rPr>
        <w:t>prvního ročníku</w:t>
      </w:r>
      <w:r w:rsidRPr="00530D76">
        <w:rPr>
          <w:rFonts w:cs="Arial"/>
          <w:szCs w:val="20"/>
        </w:rPr>
        <w:t>.</w:t>
      </w:r>
      <w:r w:rsidR="00990AD8" w:rsidRPr="00530D76">
        <w:rPr>
          <w:rFonts w:cs="Arial"/>
          <w:szCs w:val="20"/>
        </w:rPr>
        <w:t xml:space="preserve"> K největšímu </w:t>
      </w:r>
      <w:r w:rsidR="00014F55" w:rsidRPr="00530D76">
        <w:rPr>
          <w:rFonts w:cs="Arial"/>
          <w:szCs w:val="20"/>
        </w:rPr>
        <w:t xml:space="preserve">relativnímu </w:t>
      </w:r>
      <w:r w:rsidR="00990AD8" w:rsidRPr="00530D76">
        <w:rPr>
          <w:rFonts w:cs="Arial"/>
          <w:szCs w:val="20"/>
        </w:rPr>
        <w:t>poklesu došlo v </w:t>
      </w:r>
      <w:r w:rsidR="00530D76" w:rsidRPr="00530D76">
        <w:rPr>
          <w:rFonts w:cs="Arial"/>
          <w:szCs w:val="20"/>
        </w:rPr>
        <w:t xml:space="preserve">kraji Karlovarském, a sice o 16,5 </w:t>
      </w:r>
      <w:r w:rsidR="00990AD8" w:rsidRPr="00530D76">
        <w:rPr>
          <w:rFonts w:cs="Arial"/>
          <w:szCs w:val="20"/>
        </w:rPr>
        <w:t>%</w:t>
      </w:r>
      <w:r w:rsidR="00F244A4" w:rsidRPr="00530D76">
        <w:rPr>
          <w:rFonts w:cs="Arial"/>
          <w:szCs w:val="20"/>
        </w:rPr>
        <w:t>. V</w:t>
      </w:r>
      <w:r w:rsidR="00990AD8" w:rsidRPr="00530D76">
        <w:rPr>
          <w:rFonts w:cs="Arial"/>
          <w:szCs w:val="20"/>
        </w:rPr>
        <w:t>íce než 10% pokles zaznamenaly také kraje Liberecký</w:t>
      </w:r>
      <w:r w:rsidR="00530D76" w:rsidRPr="00530D76">
        <w:rPr>
          <w:rFonts w:cs="Arial"/>
          <w:szCs w:val="20"/>
        </w:rPr>
        <w:t xml:space="preserve"> a Královéhradecký (pokles shodně o 13,9 %), Ústecký (o 12,8</w:t>
      </w:r>
      <w:r w:rsidR="00990AD8" w:rsidRPr="00530D76">
        <w:rPr>
          <w:rFonts w:cs="Arial"/>
          <w:szCs w:val="20"/>
        </w:rPr>
        <w:t xml:space="preserve"> %), </w:t>
      </w:r>
      <w:r w:rsidR="00530D76" w:rsidRPr="00530D76">
        <w:rPr>
          <w:rFonts w:cs="Arial"/>
          <w:szCs w:val="20"/>
        </w:rPr>
        <w:t>Olomoucký (o 10,7 %) a Moravskoslezský (o 10,5</w:t>
      </w:r>
      <w:r w:rsidR="009F0181" w:rsidRPr="00530D76">
        <w:rPr>
          <w:rFonts w:cs="Arial"/>
          <w:szCs w:val="20"/>
        </w:rPr>
        <w:t> %)</w:t>
      </w:r>
      <w:r w:rsidR="00530D76" w:rsidRPr="00530D76">
        <w:rPr>
          <w:rFonts w:cs="Arial"/>
          <w:szCs w:val="20"/>
        </w:rPr>
        <w:t xml:space="preserve"> a Plzeňský (o 10,4 %)</w:t>
      </w:r>
      <w:r w:rsidR="00990AD8" w:rsidRPr="00530D76">
        <w:rPr>
          <w:rFonts w:cs="Arial"/>
          <w:szCs w:val="20"/>
        </w:rPr>
        <w:t>.</w:t>
      </w:r>
      <w:r w:rsidR="00530D76" w:rsidRPr="00530D76">
        <w:rPr>
          <w:rFonts w:cs="Arial"/>
          <w:szCs w:val="20"/>
        </w:rPr>
        <w:t xml:space="preserve"> Naopak</w:t>
      </w:r>
      <w:r w:rsidR="00530D76">
        <w:rPr>
          <w:rFonts w:cs="Arial"/>
          <w:szCs w:val="20"/>
        </w:rPr>
        <w:t xml:space="preserve"> v kraji Středočeském poklesl počet nově přijatých žáků do 1. ročníku za posledních pět let jen o 2,1 % a na Vysočině o 2,6 %.</w:t>
      </w:r>
      <w:r w:rsidR="00990AD8">
        <w:rPr>
          <w:rFonts w:cs="Arial"/>
          <w:szCs w:val="20"/>
        </w:rPr>
        <w:t xml:space="preserve"> </w:t>
      </w:r>
    </w:p>
    <w:p w14:paraId="5FEEE809" w14:textId="3A834EDF" w:rsidR="00FF6B7E" w:rsidRDefault="00FC03F1" w:rsidP="00FF6B7E">
      <w:pPr>
        <w:spacing w:after="120"/>
        <w:jc w:val="both"/>
        <w:rPr>
          <w:rFonts w:cs="Arial"/>
          <w:szCs w:val="20"/>
        </w:rPr>
      </w:pPr>
      <w:r>
        <w:rPr>
          <w:rFonts w:cs="Arial"/>
          <w:szCs w:val="20"/>
        </w:rPr>
        <w:lastRenderedPageBreak/>
        <w:t>Vývoj po</w:t>
      </w:r>
      <w:r w:rsidR="00180C3A">
        <w:rPr>
          <w:rFonts w:cs="Arial"/>
          <w:szCs w:val="20"/>
        </w:rPr>
        <w:t xml:space="preserve">čtu žáků </w:t>
      </w:r>
      <w:r w:rsidR="00CA663A">
        <w:rPr>
          <w:rFonts w:cs="Arial"/>
          <w:szCs w:val="20"/>
        </w:rPr>
        <w:t xml:space="preserve">přijatých do 1. ročníků </w:t>
      </w:r>
      <w:r w:rsidR="00180C3A">
        <w:rPr>
          <w:rFonts w:cs="Arial"/>
          <w:szCs w:val="20"/>
        </w:rPr>
        <w:t>mezi školními roky 2011/12, 2016</w:t>
      </w:r>
      <w:r>
        <w:rPr>
          <w:rFonts w:cs="Arial"/>
          <w:szCs w:val="20"/>
        </w:rPr>
        <w:t>/1</w:t>
      </w:r>
      <w:r w:rsidR="00180C3A">
        <w:rPr>
          <w:rFonts w:cs="Arial"/>
          <w:szCs w:val="20"/>
        </w:rPr>
        <w:t>7 a 2021/22</w:t>
      </w:r>
      <w:r w:rsidR="0094591D">
        <w:rPr>
          <w:rFonts w:cs="Arial"/>
          <w:szCs w:val="20"/>
        </w:rPr>
        <w:t xml:space="preserve"> znázorňuje graf 2.18</w:t>
      </w:r>
      <w:r>
        <w:rPr>
          <w:rFonts w:cs="Arial"/>
          <w:szCs w:val="20"/>
        </w:rPr>
        <w:t>, který navíc pro změnu ukazuje procen</w:t>
      </w:r>
      <w:r w:rsidR="00BA33BD">
        <w:rPr>
          <w:rFonts w:cs="Arial"/>
          <w:szCs w:val="20"/>
        </w:rPr>
        <w:t>tuální vývoj za posledních deset</w:t>
      </w:r>
      <w:r>
        <w:rPr>
          <w:rFonts w:cs="Arial"/>
          <w:szCs w:val="20"/>
        </w:rPr>
        <w:t xml:space="preserve"> let. </w:t>
      </w:r>
      <w:r w:rsidR="00180C3A">
        <w:rPr>
          <w:rFonts w:cs="Arial"/>
          <w:szCs w:val="20"/>
        </w:rPr>
        <w:t xml:space="preserve">Jak je zřejmé, </w:t>
      </w:r>
      <w:r w:rsidR="00BA33BD">
        <w:rPr>
          <w:rFonts w:cs="Arial"/>
          <w:szCs w:val="20"/>
        </w:rPr>
        <w:t>v</w:t>
      </w:r>
      <w:r w:rsidR="00180C3A">
        <w:rPr>
          <w:rFonts w:cs="Arial"/>
          <w:szCs w:val="20"/>
        </w:rPr>
        <w:t> </w:t>
      </w:r>
      <w:r w:rsidR="00BA33BD">
        <w:rPr>
          <w:rFonts w:cs="Arial"/>
          <w:szCs w:val="20"/>
        </w:rPr>
        <w:t>deseti</w:t>
      </w:r>
      <w:r w:rsidR="00014F55">
        <w:rPr>
          <w:rFonts w:cs="Arial"/>
          <w:szCs w:val="20"/>
        </w:rPr>
        <w:t>letém</w:t>
      </w:r>
      <w:r w:rsidR="00180C3A">
        <w:rPr>
          <w:rFonts w:cs="Arial"/>
          <w:szCs w:val="20"/>
        </w:rPr>
        <w:t xml:space="preserve"> časovém</w:t>
      </w:r>
      <w:r w:rsidR="00014F55">
        <w:rPr>
          <w:rFonts w:cs="Arial"/>
          <w:szCs w:val="20"/>
        </w:rPr>
        <w:t xml:space="preserve"> intervalu došlo k  poklesu počtu žáků </w:t>
      </w:r>
      <w:r w:rsidR="00180C3A">
        <w:rPr>
          <w:rFonts w:cs="Arial"/>
          <w:szCs w:val="20"/>
        </w:rPr>
        <w:t xml:space="preserve">přijatých do 1. ročníku </w:t>
      </w:r>
      <w:r w:rsidR="00014F55">
        <w:rPr>
          <w:rFonts w:cs="Arial"/>
          <w:szCs w:val="20"/>
        </w:rPr>
        <w:t xml:space="preserve">v kraji </w:t>
      </w:r>
      <w:r w:rsidR="00180C3A">
        <w:rPr>
          <w:rFonts w:cs="Arial"/>
          <w:szCs w:val="20"/>
        </w:rPr>
        <w:t>Ústeckém, Moravskoslezském a Karlovarském. Ostatní kraje zaznamenaly naopak nárůst, v největší míře kraj Středočeský a Praha (tj. o více než pětinu).</w:t>
      </w:r>
    </w:p>
    <w:p w14:paraId="6B4887EB" w14:textId="4B6EB306" w:rsidR="00FF6B7E" w:rsidRPr="00B34465" w:rsidRDefault="0094591D" w:rsidP="00324B63">
      <w:pPr>
        <w:keepNext/>
        <w:spacing w:after="0" w:line="276" w:lineRule="auto"/>
        <w:rPr>
          <w:rFonts w:cs="Arial"/>
          <w:b/>
          <w:noProof/>
          <w:szCs w:val="20"/>
        </w:rPr>
      </w:pPr>
      <w:r>
        <w:rPr>
          <w:rFonts w:cs="Arial"/>
          <w:b/>
          <w:noProof/>
          <w:szCs w:val="20"/>
        </w:rPr>
        <w:t>Graf 2.18</w:t>
      </w:r>
      <w:r w:rsidR="00FF6B7E" w:rsidRPr="00721BAC">
        <w:rPr>
          <w:rFonts w:cs="Arial"/>
          <w:b/>
          <w:noProof/>
          <w:szCs w:val="20"/>
        </w:rPr>
        <w:t xml:space="preserve"> Počet nově přijatých žáků do 1. ročníků základních škol v jednotlivých krajích</w:t>
      </w:r>
    </w:p>
    <w:p w14:paraId="01CC9AE1" w14:textId="23779B1D" w:rsidR="00680CF4" w:rsidRDefault="00FF6B7E" w:rsidP="00324B63">
      <w:pPr>
        <w:keepNext/>
        <w:spacing w:after="120" w:line="276" w:lineRule="auto"/>
        <w:jc w:val="both"/>
        <w:rPr>
          <w:rFonts w:cs="Arial"/>
          <w:szCs w:val="20"/>
        </w:rPr>
      </w:pPr>
      <w:r w:rsidRPr="009702F5">
        <w:rPr>
          <w:rFonts w:cs="Arial"/>
          <w:szCs w:val="20"/>
        </w:rPr>
        <w:t>(kraje jsou seřazeny dle procentuálního nárůstu za posledních 10 let)</w:t>
      </w:r>
    </w:p>
    <w:p w14:paraId="0613730F" w14:textId="6BFF17A2" w:rsidR="00680CF4" w:rsidRDefault="00792912" w:rsidP="00530D76">
      <w:pPr>
        <w:keepNext/>
        <w:spacing w:after="120" w:line="276" w:lineRule="auto"/>
        <w:jc w:val="both"/>
        <w:rPr>
          <w:rFonts w:cs="Arial"/>
          <w:szCs w:val="20"/>
        </w:rPr>
      </w:pPr>
      <w:r>
        <w:rPr>
          <w:noProof/>
        </w:rPr>
        <w:drawing>
          <wp:inline distT="0" distB="0" distL="0" distR="0" wp14:anchorId="32B33827" wp14:editId="5E198C28">
            <wp:extent cx="6120130" cy="3829050"/>
            <wp:effectExtent l="0" t="0" r="13970" b="0"/>
            <wp:docPr id="82" name="Graf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AD5F5B2" w14:textId="0CB3A79F" w:rsidR="00FF6B7E" w:rsidRPr="00721BAC" w:rsidRDefault="00FF6B7E" w:rsidP="00792798">
      <w:pPr>
        <w:spacing w:after="120"/>
        <w:jc w:val="right"/>
        <w:rPr>
          <w:rFonts w:cs="Arial"/>
          <w:sz w:val="18"/>
        </w:rPr>
      </w:pPr>
      <w:r w:rsidRPr="00721BAC">
        <w:rPr>
          <w:rFonts w:cs="Arial"/>
          <w:sz w:val="18"/>
        </w:rPr>
        <w:t>Zdroj: MŠMT a vlastní dopočty ČSÚ</w:t>
      </w:r>
    </w:p>
    <w:p w14:paraId="6E0AFC81" w14:textId="77777777" w:rsidR="00CA663A" w:rsidRDefault="00FF6B7E" w:rsidP="00FF6B7E">
      <w:pPr>
        <w:spacing w:after="120"/>
        <w:jc w:val="both"/>
        <w:rPr>
          <w:rFonts w:cs="Arial"/>
          <w:szCs w:val="20"/>
        </w:rPr>
      </w:pPr>
      <w:r w:rsidRPr="00AA0BD9">
        <w:rPr>
          <w:rFonts w:cs="Arial"/>
          <w:szCs w:val="20"/>
        </w:rPr>
        <w:t>Největší podíl žáků, kteří</w:t>
      </w:r>
      <w:r w:rsidRPr="00A007BE">
        <w:rPr>
          <w:rFonts w:cs="Arial"/>
          <w:szCs w:val="20"/>
        </w:rPr>
        <w:t xml:space="preserve"> byli přijati do 1. ročníku, tvoří žáci </w:t>
      </w:r>
      <w:r w:rsidRPr="00A007BE">
        <w:rPr>
          <w:rFonts w:cs="Arial"/>
          <w:b/>
          <w:szCs w:val="20"/>
        </w:rPr>
        <w:t>ve věku 6 let.</w:t>
      </w:r>
      <w:r w:rsidR="00AA0BD9">
        <w:rPr>
          <w:rFonts w:cs="Arial"/>
          <w:szCs w:val="20"/>
        </w:rPr>
        <w:t xml:space="preserve"> Ve školním roce 2021/22</w:t>
      </w:r>
      <w:r w:rsidRPr="00A007BE">
        <w:rPr>
          <w:rFonts w:cs="Arial"/>
          <w:szCs w:val="20"/>
        </w:rPr>
        <w:t xml:space="preserve"> jich do prvních tříd nastoupilo </w:t>
      </w:r>
      <w:r w:rsidR="00AA0BD9" w:rsidRPr="00AA0BD9">
        <w:rPr>
          <w:rFonts w:cs="Arial"/>
          <w:szCs w:val="20"/>
        </w:rPr>
        <w:t>81</w:t>
      </w:r>
      <w:r w:rsidR="00AA0BD9">
        <w:rPr>
          <w:rFonts w:cs="Arial"/>
          <w:szCs w:val="20"/>
        </w:rPr>
        <w:t> </w:t>
      </w:r>
      <w:r w:rsidR="00AA0BD9" w:rsidRPr="00AA0BD9">
        <w:rPr>
          <w:rFonts w:cs="Arial"/>
          <w:szCs w:val="20"/>
        </w:rPr>
        <w:t>863</w:t>
      </w:r>
      <w:r w:rsidRPr="00A007BE">
        <w:rPr>
          <w:rFonts w:cs="Arial"/>
          <w:szCs w:val="20"/>
        </w:rPr>
        <w:t>. V</w:t>
      </w:r>
      <w:r w:rsidR="00FC4FD9">
        <w:rPr>
          <w:rFonts w:cs="Arial"/>
          <w:szCs w:val="20"/>
        </w:rPr>
        <w:t>e školním roce 2014/2015</w:t>
      </w:r>
      <w:r w:rsidR="00A007BE" w:rsidRPr="00A007BE">
        <w:rPr>
          <w:rFonts w:cs="Arial"/>
          <w:szCs w:val="20"/>
        </w:rPr>
        <w:t xml:space="preserve"> p</w:t>
      </w:r>
      <w:r w:rsidR="00FC4FD9">
        <w:rPr>
          <w:rFonts w:cs="Arial"/>
          <w:szCs w:val="20"/>
        </w:rPr>
        <w:t>ředstavovali šestiletí žáci přesně čtyři pětiny</w:t>
      </w:r>
      <w:r w:rsidRPr="00A007BE">
        <w:rPr>
          <w:rFonts w:cs="Arial"/>
          <w:szCs w:val="20"/>
        </w:rPr>
        <w:t xml:space="preserve"> nově přijatých žáků, </w:t>
      </w:r>
      <w:r w:rsidR="00A007BE" w:rsidRPr="00A007BE">
        <w:rPr>
          <w:rFonts w:cs="Arial"/>
          <w:szCs w:val="20"/>
        </w:rPr>
        <w:t xml:space="preserve">poté </w:t>
      </w:r>
      <w:r w:rsidR="002D41B1">
        <w:rPr>
          <w:rFonts w:cs="Arial"/>
          <w:szCs w:val="20"/>
        </w:rPr>
        <w:t>jejich podíl mírně klesal</w:t>
      </w:r>
      <w:r w:rsidR="00AA0BD9">
        <w:rPr>
          <w:rFonts w:cs="Arial"/>
          <w:szCs w:val="20"/>
        </w:rPr>
        <w:t xml:space="preserve"> až na současných 75,7</w:t>
      </w:r>
      <w:r w:rsidRPr="00A007BE">
        <w:rPr>
          <w:rFonts w:cs="Arial"/>
          <w:szCs w:val="20"/>
        </w:rPr>
        <w:t xml:space="preserve"> %</w:t>
      </w:r>
      <w:r w:rsidR="00FC4FD9">
        <w:rPr>
          <w:rFonts w:cs="Arial"/>
          <w:szCs w:val="20"/>
        </w:rPr>
        <w:t xml:space="preserve"> (tedy cca tři čtvrtiny)</w:t>
      </w:r>
      <w:r w:rsidRPr="00A007BE">
        <w:rPr>
          <w:rFonts w:cs="Arial"/>
          <w:szCs w:val="20"/>
        </w:rPr>
        <w:t xml:space="preserve">. Žáků </w:t>
      </w:r>
      <w:r w:rsidR="0018265D" w:rsidRPr="0018265D">
        <w:rPr>
          <w:rFonts w:cs="Arial"/>
          <w:b/>
          <w:szCs w:val="20"/>
        </w:rPr>
        <w:t>sedmiletých a</w:t>
      </w:r>
      <w:r w:rsidR="0018265D">
        <w:rPr>
          <w:rFonts w:cs="Arial"/>
          <w:szCs w:val="20"/>
        </w:rPr>
        <w:t xml:space="preserve"> </w:t>
      </w:r>
      <w:r w:rsidRPr="00A007BE">
        <w:rPr>
          <w:rFonts w:cs="Arial"/>
          <w:b/>
          <w:szCs w:val="20"/>
        </w:rPr>
        <w:t xml:space="preserve">starších </w:t>
      </w:r>
      <w:r w:rsidRPr="00A007BE">
        <w:rPr>
          <w:rFonts w:cs="Arial"/>
          <w:szCs w:val="20"/>
        </w:rPr>
        <w:t>(jedná se o žáky, kteří nastoupili po odkladu povinné školní docház</w:t>
      </w:r>
      <w:r w:rsidR="00A007BE" w:rsidRPr="00A007BE">
        <w:rPr>
          <w:rFonts w:cs="Arial"/>
          <w:szCs w:val="20"/>
        </w:rPr>
        <w:t xml:space="preserve">ky) zasedlo ve školním </w:t>
      </w:r>
      <w:r w:rsidR="00AA0BD9">
        <w:rPr>
          <w:rFonts w:cs="Arial"/>
          <w:szCs w:val="20"/>
        </w:rPr>
        <w:t>roce 2021/22</w:t>
      </w:r>
      <w:r w:rsidRPr="00A007BE">
        <w:rPr>
          <w:rFonts w:cs="Arial"/>
          <w:szCs w:val="20"/>
        </w:rPr>
        <w:t xml:space="preserve"> poprvé do školních lavic prvních tříd </w:t>
      </w:r>
      <w:r w:rsidR="00AA0BD9">
        <w:rPr>
          <w:rFonts w:cs="Arial"/>
          <w:szCs w:val="20"/>
        </w:rPr>
        <w:t>25</w:t>
      </w:r>
      <w:r w:rsidR="00FC4FD9">
        <w:rPr>
          <w:rFonts w:cs="Arial"/>
          <w:szCs w:val="20"/>
        </w:rPr>
        <w:t> </w:t>
      </w:r>
      <w:r w:rsidR="00AA0BD9">
        <w:rPr>
          <w:rFonts w:cs="Arial"/>
          <w:szCs w:val="20"/>
        </w:rPr>
        <w:t>717</w:t>
      </w:r>
      <w:r w:rsidR="00A007BE" w:rsidRPr="00A007BE">
        <w:rPr>
          <w:rFonts w:cs="Arial"/>
          <w:szCs w:val="20"/>
        </w:rPr>
        <w:t xml:space="preserve">. </w:t>
      </w:r>
      <w:r w:rsidR="002E26D6">
        <w:rPr>
          <w:rFonts w:cs="Arial"/>
          <w:szCs w:val="20"/>
        </w:rPr>
        <w:t>Jejich podíl ze všech nově přijatých žáků se v posledních deseti letech pohyboval mezi necelou pětinou (19,3 %) ve školním roce 2014/15 a necelou čtvrtinou (23,8 %) ve školním roce 2021/22.</w:t>
      </w:r>
    </w:p>
    <w:p w14:paraId="069C416B" w14:textId="6D559187" w:rsidR="0018265D" w:rsidRPr="008E62DB" w:rsidRDefault="00CA663A" w:rsidP="00FF6B7E">
      <w:pPr>
        <w:spacing w:after="120"/>
        <w:jc w:val="both"/>
        <w:rPr>
          <w:rFonts w:cs="Arial"/>
          <w:szCs w:val="20"/>
        </w:rPr>
      </w:pPr>
      <w:r>
        <w:rPr>
          <w:rFonts w:cs="Arial"/>
          <w:szCs w:val="20"/>
        </w:rPr>
        <w:t>Jak rovněž dokládá graf 2.19</w:t>
      </w:r>
      <w:r w:rsidRPr="00AA0BD9">
        <w:rPr>
          <w:rFonts w:cs="Arial"/>
          <w:szCs w:val="20"/>
        </w:rPr>
        <w:t>, značné rozdíly jsou mezi dívkami a chlapci.</w:t>
      </w:r>
      <w:r>
        <w:rPr>
          <w:rFonts w:cs="Arial"/>
          <w:szCs w:val="20"/>
        </w:rPr>
        <w:t xml:space="preserve"> Podíl sedmiletých či starších dívek z těch, které ve školním roce 2021</w:t>
      </w:r>
      <w:r w:rsidRPr="008E62DB">
        <w:rPr>
          <w:rFonts w:cs="Arial"/>
          <w:szCs w:val="20"/>
        </w:rPr>
        <w:t>/</w:t>
      </w:r>
      <w:r>
        <w:rPr>
          <w:rFonts w:cs="Arial"/>
          <w:szCs w:val="20"/>
        </w:rPr>
        <w:t>22</w:t>
      </w:r>
      <w:r w:rsidRPr="008E62DB">
        <w:rPr>
          <w:rFonts w:cs="Arial"/>
          <w:szCs w:val="20"/>
        </w:rPr>
        <w:t xml:space="preserve"> </w:t>
      </w:r>
      <w:r>
        <w:rPr>
          <w:rFonts w:cs="Arial"/>
          <w:szCs w:val="20"/>
        </w:rPr>
        <w:t xml:space="preserve">nastoupily do první třídy, činil téměř pětinu (17,2 %). Podíl takových chlapců byl ve srovnání s tím bezmála třetinový (30 %).  </w:t>
      </w:r>
      <w:r w:rsidRPr="008E62DB">
        <w:rPr>
          <w:rFonts w:cs="Arial"/>
          <w:szCs w:val="20"/>
        </w:rPr>
        <w:t xml:space="preserve">Ve </w:t>
      </w:r>
      <w:r>
        <w:rPr>
          <w:rFonts w:cs="Arial"/>
          <w:szCs w:val="20"/>
        </w:rPr>
        <w:t xml:space="preserve">srovnání jednotlivých krajů byl podíl sedmiletých a starších dětí nově přijatých do první třídy nejvyšší v kraji Ústeckém (27,1 %) a  Olomouckém (26,4 %) a nejnižší naopak v kraji Středočeském (22,1 %) a v Praze (22,3 %). Nejvyšší podíl chlapců s odloženým nástupem do základní školy zaznamenal kraj Olomoucký (33,2 %) a nejvyšší podíl takových dívek pak kraj Ústecký (20,9 %). </w:t>
      </w:r>
      <w:r w:rsidR="002E26D6">
        <w:rPr>
          <w:rFonts w:cs="Arial"/>
          <w:szCs w:val="20"/>
        </w:rPr>
        <w:t xml:space="preserve"> </w:t>
      </w:r>
    </w:p>
    <w:p w14:paraId="12817F22" w14:textId="678AF77E" w:rsidR="00FF6B7E" w:rsidRDefault="00FF6B7E" w:rsidP="00CA663A">
      <w:pPr>
        <w:keepNext/>
        <w:spacing w:after="0" w:line="276" w:lineRule="auto"/>
        <w:rPr>
          <w:rFonts w:cs="Arial"/>
          <w:b/>
          <w:noProof/>
          <w:szCs w:val="20"/>
        </w:rPr>
      </w:pPr>
      <w:r w:rsidRPr="00B34465">
        <w:rPr>
          <w:rFonts w:cs="Arial"/>
          <w:b/>
          <w:noProof/>
          <w:szCs w:val="20"/>
        </w:rPr>
        <w:lastRenderedPageBreak/>
        <w:t xml:space="preserve">Graf </w:t>
      </w:r>
      <w:r w:rsidR="00BA33BD">
        <w:rPr>
          <w:rFonts w:cs="Arial"/>
          <w:b/>
          <w:noProof/>
          <w:szCs w:val="20"/>
        </w:rPr>
        <w:t>2.1</w:t>
      </w:r>
      <w:r w:rsidR="0094591D">
        <w:rPr>
          <w:rFonts w:cs="Arial"/>
          <w:b/>
          <w:noProof/>
          <w:szCs w:val="20"/>
        </w:rPr>
        <w:t>9</w:t>
      </w:r>
      <w:r w:rsidRPr="00B34465">
        <w:rPr>
          <w:rFonts w:cs="Arial"/>
          <w:b/>
          <w:noProof/>
          <w:szCs w:val="20"/>
        </w:rPr>
        <w:t xml:space="preserve"> Po</w:t>
      </w:r>
      <w:r>
        <w:rPr>
          <w:rFonts w:cs="Arial"/>
          <w:b/>
          <w:noProof/>
          <w:szCs w:val="20"/>
        </w:rPr>
        <w:t xml:space="preserve">díl dívek a chlapců </w:t>
      </w:r>
      <w:r w:rsidR="00581E84">
        <w:rPr>
          <w:rFonts w:cs="Arial"/>
          <w:b/>
          <w:noProof/>
          <w:szCs w:val="20"/>
        </w:rPr>
        <w:t>ve věku</w:t>
      </w:r>
      <w:r>
        <w:rPr>
          <w:rFonts w:cs="Arial"/>
          <w:b/>
          <w:noProof/>
          <w:szCs w:val="20"/>
        </w:rPr>
        <w:t xml:space="preserve"> 7 let</w:t>
      </w:r>
      <w:r w:rsidR="00581E84">
        <w:rPr>
          <w:rFonts w:cs="Arial"/>
          <w:b/>
          <w:noProof/>
          <w:szCs w:val="20"/>
        </w:rPr>
        <w:t xml:space="preserve"> a více</w:t>
      </w:r>
      <w:r>
        <w:rPr>
          <w:rFonts w:cs="Arial"/>
          <w:b/>
          <w:noProof/>
          <w:szCs w:val="20"/>
        </w:rPr>
        <w:t xml:space="preserve"> z</w:t>
      </w:r>
      <w:r w:rsidR="00581E84">
        <w:rPr>
          <w:rFonts w:cs="Arial"/>
          <w:b/>
          <w:noProof/>
          <w:szCs w:val="20"/>
        </w:rPr>
        <w:t xml:space="preserve"> nově </w:t>
      </w:r>
      <w:r>
        <w:rPr>
          <w:rFonts w:cs="Arial"/>
          <w:b/>
          <w:noProof/>
          <w:szCs w:val="20"/>
        </w:rPr>
        <w:t xml:space="preserve">přijatých do </w:t>
      </w:r>
      <w:r w:rsidR="00675844">
        <w:rPr>
          <w:rFonts w:cs="Arial"/>
          <w:b/>
          <w:noProof/>
          <w:szCs w:val="20"/>
        </w:rPr>
        <w:t xml:space="preserve">1. ročníku ZŠ </w:t>
      </w:r>
      <w:r w:rsidR="002E26D6">
        <w:rPr>
          <w:rFonts w:cs="Arial"/>
          <w:b/>
          <w:noProof/>
          <w:szCs w:val="20"/>
        </w:rPr>
        <w:t>celkem a dle kraje</w:t>
      </w:r>
      <w:r w:rsidR="00675844">
        <w:rPr>
          <w:rFonts w:cs="Arial"/>
          <w:b/>
          <w:noProof/>
          <w:szCs w:val="20"/>
        </w:rPr>
        <w:t xml:space="preserve"> ČR (2021/22</w:t>
      </w:r>
      <w:r>
        <w:rPr>
          <w:rFonts w:cs="Arial"/>
          <w:b/>
          <w:noProof/>
          <w:szCs w:val="20"/>
        </w:rPr>
        <w:t>)</w:t>
      </w:r>
    </w:p>
    <w:p w14:paraId="5E0DBA83" w14:textId="3258C848" w:rsidR="002E26D6" w:rsidRDefault="002E26D6" w:rsidP="00FF6B7E">
      <w:pPr>
        <w:spacing w:after="0" w:line="276" w:lineRule="auto"/>
        <w:rPr>
          <w:rFonts w:cs="Arial"/>
          <w:b/>
          <w:noProof/>
          <w:szCs w:val="20"/>
        </w:rPr>
      </w:pPr>
      <w:r>
        <w:rPr>
          <w:noProof/>
        </w:rPr>
        <mc:AlternateContent>
          <mc:Choice Requires="wps">
            <w:drawing>
              <wp:anchor distT="0" distB="0" distL="114300" distR="114300" simplePos="0" relativeHeight="251668480" behindDoc="0" locked="0" layoutInCell="1" allowOverlap="1" wp14:anchorId="13085118" wp14:editId="6B234AC6">
                <wp:simplePos x="0" y="0"/>
                <wp:positionH relativeFrom="margin">
                  <wp:align>left</wp:align>
                </wp:positionH>
                <wp:positionV relativeFrom="paragraph">
                  <wp:posOffset>69850</wp:posOffset>
                </wp:positionV>
                <wp:extent cx="342900" cy="295275"/>
                <wp:effectExtent l="0" t="0" r="0" b="47625"/>
                <wp:wrapNone/>
                <wp:docPr id="84" name="Obdélník 84"/>
                <wp:cNvGraphicFramePr/>
                <a:graphic xmlns:a="http://schemas.openxmlformats.org/drawingml/2006/main">
                  <a:graphicData uri="http://schemas.microsoft.com/office/word/2010/wordprocessingShape">
                    <wps:wsp>
                      <wps:cNvSpPr/>
                      <wps:spPr>
                        <a:xfrm>
                          <a:off x="0" y="0"/>
                          <a:ext cx="342900" cy="295275"/>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14:paraId="1E2F5B29" w14:textId="119076FE" w:rsidR="00A0215E" w:rsidRPr="002E26D6" w:rsidRDefault="00A0215E" w:rsidP="002E26D6">
                            <w:pPr>
                              <w:jc w:val="center"/>
                              <w:rPr>
                                <w:color w:val="000000" w:themeColor="text1"/>
                                <w:sz w:val="16"/>
                                <w:szCs w:val="16"/>
                              </w:rPr>
                            </w:pPr>
                            <w:r w:rsidRPr="002E26D6">
                              <w:rPr>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85118" id="Obdélník 84" o:spid="_x0000_s1027" style="position:absolute;margin-left:0;margin-top:5.5pt;width:27pt;height:23.25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" filled="f" stroked="f">
                <v:shadow on="t" color="black" opacity="22937f" origin=",.5" offset="0,.63889mm"/>
                <v:textbox>
                  <w:txbxContent>
                    <w:p w14:paraId="1E2F5B29" w14:textId="119076FE" w:rsidR="00A0215E" w:rsidRPr="002E26D6" w:rsidRDefault="00A0215E" w:rsidP="002E26D6">
                      <w:pPr>
                        <w:jc w:val="center"/>
                        <w:rPr>
                          <w:color w:val="000000" w:themeColor="text1"/>
                          <w:sz w:val="16"/>
                          <w:szCs w:val="16"/>
                        </w:rPr>
                      </w:pPr>
                      <w:r w:rsidRPr="002E26D6">
                        <w:rPr>
                          <w:color w:val="000000" w:themeColor="text1"/>
                          <w:sz w:val="16"/>
                          <w:szCs w:val="16"/>
                        </w:rPr>
                        <w:t>%</w:t>
                      </w:r>
                    </w:p>
                  </w:txbxContent>
                </v:textbox>
                <w10:wrap anchorx="margin"/>
              </v:rect>
            </w:pict>
          </mc:Fallback>
        </mc:AlternateContent>
      </w:r>
      <w:r>
        <w:rPr>
          <w:noProof/>
        </w:rPr>
        <w:drawing>
          <wp:inline distT="0" distB="0" distL="0" distR="0" wp14:anchorId="45250BD9" wp14:editId="32E04FE6">
            <wp:extent cx="6120130" cy="2828925"/>
            <wp:effectExtent l="0" t="0" r="13970" b="9525"/>
            <wp:docPr id="83" name="Graf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CF6FFC4" w14:textId="1DA0D684" w:rsidR="00FF6B7E" w:rsidRPr="00675844" w:rsidRDefault="00FF6B7E" w:rsidP="00675844">
      <w:pPr>
        <w:spacing w:after="0" w:line="276" w:lineRule="auto"/>
        <w:rPr>
          <w:rFonts w:cs="Arial"/>
          <w:b/>
          <w:noProof/>
          <w:szCs w:val="20"/>
        </w:rPr>
      </w:pPr>
    </w:p>
    <w:p w14:paraId="7ABEAF75" w14:textId="77777777" w:rsidR="00FF6B7E" w:rsidRDefault="00FF6B7E" w:rsidP="00454D57">
      <w:pPr>
        <w:spacing w:after="120"/>
        <w:jc w:val="right"/>
        <w:rPr>
          <w:rFonts w:cs="Arial"/>
          <w:sz w:val="18"/>
        </w:rPr>
      </w:pPr>
      <w:r w:rsidRPr="00901B53">
        <w:rPr>
          <w:rFonts w:cs="Arial"/>
          <w:sz w:val="18"/>
        </w:rPr>
        <w:t>Zdroj: MŠMT a vlastní dopočty ČSÚ</w:t>
      </w:r>
    </w:p>
    <w:p w14:paraId="7B12494F" w14:textId="77777777" w:rsidR="00365CC1" w:rsidRDefault="00365CC1" w:rsidP="00FF6B7E">
      <w:pPr>
        <w:pStyle w:val="Nadpis2"/>
        <w:spacing w:after="120"/>
        <w:rPr>
          <w:bCs w:val="0"/>
        </w:rPr>
      </w:pPr>
    </w:p>
    <w:p w14:paraId="33B053A4" w14:textId="158A70B3" w:rsidR="00FF6B7E" w:rsidRPr="00A3136E" w:rsidRDefault="00FF6B7E" w:rsidP="00FF6B7E">
      <w:pPr>
        <w:pStyle w:val="Nadpis2"/>
        <w:spacing w:after="120"/>
      </w:pPr>
      <w:bookmarkStart w:id="14" w:name="_Toc112069078"/>
      <w:r w:rsidRPr="00815282">
        <w:rPr>
          <w:bCs w:val="0"/>
        </w:rPr>
        <w:t>2.7</w:t>
      </w:r>
      <w:r w:rsidRPr="00815282">
        <w:rPr>
          <w:b w:val="0"/>
          <w:bCs w:val="0"/>
        </w:rPr>
        <w:t xml:space="preserve"> </w:t>
      </w:r>
      <w:r w:rsidRPr="00815282">
        <w:t>Žáci s individuálním vzděláváním a vzdělávající se v zahraničí</w:t>
      </w:r>
      <w:bookmarkEnd w:id="14"/>
    </w:p>
    <w:p w14:paraId="0E85970B" w14:textId="07AEC6EA" w:rsidR="00FF6B7E" w:rsidRPr="008B214A" w:rsidRDefault="00FF6B7E" w:rsidP="00FF6B7E">
      <w:pPr>
        <w:spacing w:after="120"/>
        <w:jc w:val="both"/>
        <w:rPr>
          <w:rFonts w:cs="Arial"/>
          <w:szCs w:val="20"/>
        </w:rPr>
      </w:pPr>
      <w:r w:rsidRPr="008B214A">
        <w:rPr>
          <w:rFonts w:cs="Arial"/>
          <w:szCs w:val="20"/>
        </w:rPr>
        <w:t>Individuálně vzdělávaný žák je podle § 41 Školského zákona žák přijatý do školy k plnění povinné školní docházky, který se však vzdělává mimo instituci školy. Za každé pololetí vykonává ve škole</w:t>
      </w:r>
      <w:r w:rsidR="00B9104B">
        <w:rPr>
          <w:rFonts w:cs="Arial"/>
          <w:szCs w:val="20"/>
        </w:rPr>
        <w:t>, do níž byl přijat k </w:t>
      </w:r>
      <w:r w:rsidRPr="008B214A">
        <w:rPr>
          <w:rFonts w:cs="Arial"/>
          <w:szCs w:val="20"/>
        </w:rPr>
        <w:t xml:space="preserve">plnění povinné školní docházky, zkoušky z příslušného </w:t>
      </w:r>
      <w:r w:rsidR="003F042C">
        <w:rPr>
          <w:rFonts w:cs="Arial"/>
          <w:szCs w:val="20"/>
        </w:rPr>
        <w:t>učiva. Až do roku 2015</w:t>
      </w:r>
      <w:r w:rsidRPr="009702F5">
        <w:rPr>
          <w:rFonts w:cs="Arial"/>
          <w:szCs w:val="20"/>
        </w:rPr>
        <w:t>/</w:t>
      </w:r>
      <w:r w:rsidR="003F042C">
        <w:rPr>
          <w:rFonts w:cs="Arial"/>
          <w:szCs w:val="20"/>
        </w:rPr>
        <w:t>16</w:t>
      </w:r>
      <w:r w:rsidR="007C1D85">
        <w:rPr>
          <w:rFonts w:cs="Arial"/>
          <w:szCs w:val="20"/>
        </w:rPr>
        <w:t xml:space="preserve"> šlo individuální vzdělávání </w:t>
      </w:r>
      <w:r w:rsidRPr="009702F5">
        <w:rPr>
          <w:rFonts w:cs="Arial"/>
          <w:szCs w:val="20"/>
        </w:rPr>
        <w:t>povolit pouze žákovi prvního stupně základní školy.</w:t>
      </w:r>
      <w:r w:rsidRPr="008B214A">
        <w:rPr>
          <w:rFonts w:cs="Arial"/>
          <w:szCs w:val="20"/>
        </w:rPr>
        <w:t xml:space="preserve"> </w:t>
      </w:r>
    </w:p>
    <w:p w14:paraId="36004867" w14:textId="0D4863C8" w:rsidR="00FF6B7E" w:rsidRDefault="00FF6B7E" w:rsidP="00FF6B7E">
      <w:pPr>
        <w:spacing w:after="120"/>
        <w:jc w:val="both"/>
        <w:rPr>
          <w:rFonts w:cs="Arial"/>
          <w:szCs w:val="20"/>
        </w:rPr>
      </w:pPr>
      <w:r>
        <w:rPr>
          <w:rFonts w:cs="Arial"/>
          <w:szCs w:val="20"/>
        </w:rPr>
        <w:t xml:space="preserve">I když jde o formu, která se v Česku využívá stále spíše okrajově, počet žáků, kterým bylo povoleno individuální vzdělávání, rychle přibývá. </w:t>
      </w:r>
      <w:r w:rsidRPr="00C56D37">
        <w:rPr>
          <w:rFonts w:cs="Arial"/>
          <w:szCs w:val="20"/>
        </w:rPr>
        <w:t>V</w:t>
      </w:r>
      <w:r w:rsidR="00064A90" w:rsidRPr="00C56D37">
        <w:rPr>
          <w:rFonts w:cs="Arial"/>
          <w:szCs w:val="20"/>
        </w:rPr>
        <w:t>e školním roce 2021/22</w:t>
      </w:r>
      <w:r w:rsidRPr="008B214A">
        <w:rPr>
          <w:rFonts w:cs="Arial"/>
          <w:szCs w:val="20"/>
        </w:rPr>
        <w:t xml:space="preserve"> </w:t>
      </w:r>
      <w:r>
        <w:rPr>
          <w:rFonts w:cs="Arial"/>
          <w:szCs w:val="20"/>
        </w:rPr>
        <w:t xml:space="preserve">se </w:t>
      </w:r>
      <w:r w:rsidRPr="008B214A">
        <w:rPr>
          <w:rFonts w:cs="Arial"/>
          <w:szCs w:val="20"/>
        </w:rPr>
        <w:t>účastnilo</w:t>
      </w:r>
      <w:r>
        <w:rPr>
          <w:rFonts w:cs="Arial"/>
          <w:szCs w:val="20"/>
        </w:rPr>
        <w:t xml:space="preserve"> indivi</w:t>
      </w:r>
      <w:r w:rsidR="00FE2718">
        <w:rPr>
          <w:rFonts w:cs="Arial"/>
          <w:szCs w:val="20"/>
        </w:rPr>
        <w:t xml:space="preserve">duálního vzdělávání celkem </w:t>
      </w:r>
      <w:r w:rsidR="00C56D37">
        <w:rPr>
          <w:rFonts w:cs="Arial"/>
          <w:szCs w:val="20"/>
        </w:rPr>
        <w:t>5 812</w:t>
      </w:r>
      <w:r>
        <w:rPr>
          <w:rFonts w:cs="Arial"/>
          <w:szCs w:val="20"/>
        </w:rPr>
        <w:t xml:space="preserve"> žáků</w:t>
      </w:r>
      <w:r w:rsidR="00312793">
        <w:rPr>
          <w:rFonts w:cs="Arial"/>
          <w:szCs w:val="20"/>
        </w:rPr>
        <w:t xml:space="preserve"> základních škol</w:t>
      </w:r>
      <w:r w:rsidR="00312793">
        <w:rPr>
          <w:rStyle w:val="Znakapoznpodarou"/>
          <w:rFonts w:cs="Arial"/>
          <w:szCs w:val="20"/>
        </w:rPr>
        <w:footnoteReference w:id="23"/>
      </w:r>
      <w:r>
        <w:rPr>
          <w:rFonts w:cs="Arial"/>
          <w:szCs w:val="20"/>
        </w:rPr>
        <w:t xml:space="preserve">, z toho </w:t>
      </w:r>
      <w:r w:rsidR="00C56D37">
        <w:rPr>
          <w:rFonts w:cs="Arial"/>
          <w:szCs w:val="20"/>
        </w:rPr>
        <w:t>68,9</w:t>
      </w:r>
      <w:r w:rsidR="00FE2718">
        <w:rPr>
          <w:rFonts w:cs="Arial"/>
          <w:szCs w:val="20"/>
        </w:rPr>
        <w:t> %</w:t>
      </w:r>
      <w:r>
        <w:rPr>
          <w:rFonts w:cs="Arial"/>
          <w:szCs w:val="20"/>
        </w:rPr>
        <w:t xml:space="preserve"> na </w:t>
      </w:r>
      <w:r w:rsidRPr="008B214A">
        <w:rPr>
          <w:rFonts w:cs="Arial"/>
          <w:szCs w:val="20"/>
        </w:rPr>
        <w:t>1. stupn</w:t>
      </w:r>
      <w:r>
        <w:rPr>
          <w:rFonts w:cs="Arial"/>
          <w:szCs w:val="20"/>
        </w:rPr>
        <w:t>i</w:t>
      </w:r>
      <w:r w:rsidRPr="008B214A">
        <w:rPr>
          <w:rFonts w:cs="Arial"/>
          <w:szCs w:val="20"/>
        </w:rPr>
        <w:t xml:space="preserve"> základních škol</w:t>
      </w:r>
      <w:r>
        <w:rPr>
          <w:rFonts w:cs="Arial"/>
          <w:szCs w:val="20"/>
        </w:rPr>
        <w:t xml:space="preserve">, kde tuto možnost využilo </w:t>
      </w:r>
      <w:r w:rsidR="00C56D37">
        <w:rPr>
          <w:rFonts w:cs="Arial"/>
          <w:szCs w:val="20"/>
        </w:rPr>
        <w:t>4 006</w:t>
      </w:r>
      <w:r>
        <w:rPr>
          <w:rFonts w:cs="Arial"/>
          <w:szCs w:val="20"/>
        </w:rPr>
        <w:t xml:space="preserve"> chlapců a dívek</w:t>
      </w:r>
      <w:r w:rsidRPr="008B214A">
        <w:rPr>
          <w:rFonts w:cs="Arial"/>
          <w:szCs w:val="20"/>
        </w:rPr>
        <w:t xml:space="preserve">. </w:t>
      </w:r>
      <w:r w:rsidR="00C56D37">
        <w:rPr>
          <w:rFonts w:cs="Arial"/>
          <w:szCs w:val="20"/>
        </w:rPr>
        <w:t>Ve školním roce 2016/17</w:t>
      </w:r>
      <w:r>
        <w:rPr>
          <w:rFonts w:cs="Arial"/>
          <w:szCs w:val="20"/>
        </w:rPr>
        <w:t xml:space="preserve"> tuto možnost na 1</w:t>
      </w:r>
      <w:r w:rsidR="00F62279">
        <w:rPr>
          <w:rFonts w:cs="Arial"/>
          <w:szCs w:val="20"/>
        </w:rPr>
        <w:t>. stupni využívalo ‘pouze‘ 1 </w:t>
      </w:r>
      <w:r w:rsidR="00C56D37">
        <w:rPr>
          <w:rFonts w:cs="Arial"/>
          <w:szCs w:val="20"/>
        </w:rPr>
        <w:t>620</w:t>
      </w:r>
      <w:r>
        <w:rPr>
          <w:rFonts w:cs="Arial"/>
          <w:szCs w:val="20"/>
        </w:rPr>
        <w:t xml:space="preserve"> žáků. </w:t>
      </w:r>
      <w:r w:rsidR="00FE2718">
        <w:rPr>
          <w:rFonts w:cs="Arial"/>
          <w:szCs w:val="20"/>
        </w:rPr>
        <w:t>Na druhém stupni bylo individuál</w:t>
      </w:r>
      <w:r w:rsidR="00F62279">
        <w:rPr>
          <w:rFonts w:cs="Arial"/>
          <w:szCs w:val="20"/>
        </w:rPr>
        <w:t xml:space="preserve">ní vzdělávání </w:t>
      </w:r>
      <w:r w:rsidR="00261B88">
        <w:rPr>
          <w:rFonts w:cs="Arial"/>
          <w:szCs w:val="20"/>
        </w:rPr>
        <w:t>legislativně umožněno</w:t>
      </w:r>
      <w:r w:rsidR="00F62279">
        <w:rPr>
          <w:rFonts w:cs="Arial"/>
          <w:szCs w:val="20"/>
        </w:rPr>
        <w:t xml:space="preserve"> od roku 2016/17</w:t>
      </w:r>
      <w:r w:rsidR="00261B88">
        <w:rPr>
          <w:rFonts w:cs="Arial"/>
          <w:szCs w:val="20"/>
        </w:rPr>
        <w:t>, kdy se týkalo</w:t>
      </w:r>
      <w:r w:rsidR="00761B7D">
        <w:rPr>
          <w:rFonts w:cs="Arial"/>
          <w:szCs w:val="20"/>
        </w:rPr>
        <w:t xml:space="preserve"> 447</w:t>
      </w:r>
      <w:r w:rsidR="00261B88">
        <w:rPr>
          <w:rFonts w:cs="Arial"/>
          <w:szCs w:val="20"/>
        </w:rPr>
        <w:t xml:space="preserve"> žáků</w:t>
      </w:r>
      <w:r w:rsidR="000F2B5C">
        <w:rPr>
          <w:rFonts w:cs="Arial"/>
          <w:szCs w:val="20"/>
        </w:rPr>
        <w:t>. Do školního roku 2021/22</w:t>
      </w:r>
      <w:r w:rsidR="00F62279">
        <w:rPr>
          <w:rFonts w:cs="Arial"/>
          <w:szCs w:val="20"/>
        </w:rPr>
        <w:t xml:space="preserve"> se jejich počet</w:t>
      </w:r>
      <w:r w:rsidR="00761B7D">
        <w:rPr>
          <w:rFonts w:cs="Arial"/>
          <w:szCs w:val="20"/>
        </w:rPr>
        <w:t xml:space="preserve"> </w:t>
      </w:r>
      <w:r w:rsidR="00F62279">
        <w:rPr>
          <w:rFonts w:cs="Arial"/>
          <w:szCs w:val="20"/>
        </w:rPr>
        <w:t>přitom zvýšil</w:t>
      </w:r>
      <w:r w:rsidR="00761B7D">
        <w:rPr>
          <w:rFonts w:cs="Arial"/>
          <w:szCs w:val="20"/>
        </w:rPr>
        <w:t xml:space="preserve"> na </w:t>
      </w:r>
      <w:r w:rsidR="00C56D37">
        <w:rPr>
          <w:rFonts w:cs="Arial"/>
          <w:szCs w:val="20"/>
        </w:rPr>
        <w:t>čtyř</w:t>
      </w:r>
      <w:r w:rsidR="00761B7D">
        <w:rPr>
          <w:rFonts w:cs="Arial"/>
          <w:szCs w:val="20"/>
        </w:rPr>
        <w:t>násobek, tj. 1 </w:t>
      </w:r>
      <w:r w:rsidR="00C56D37">
        <w:rPr>
          <w:rFonts w:cs="Arial"/>
          <w:szCs w:val="20"/>
        </w:rPr>
        <w:t>806</w:t>
      </w:r>
      <w:r w:rsidR="00761B7D">
        <w:rPr>
          <w:rFonts w:cs="Arial"/>
          <w:szCs w:val="20"/>
        </w:rPr>
        <w:t xml:space="preserve">. </w:t>
      </w:r>
    </w:p>
    <w:p w14:paraId="655C3043" w14:textId="6434E188" w:rsidR="00761B7D" w:rsidRDefault="00761B7D" w:rsidP="00FF6B7E">
      <w:pPr>
        <w:spacing w:after="120"/>
        <w:jc w:val="both"/>
        <w:rPr>
          <w:rFonts w:cs="Arial"/>
          <w:szCs w:val="20"/>
        </w:rPr>
      </w:pPr>
      <w:r>
        <w:rPr>
          <w:rFonts w:cs="Arial"/>
          <w:szCs w:val="20"/>
        </w:rPr>
        <w:t>Podíl individuálně vzdělávaných žáků za posledních pět let tak</w:t>
      </w:r>
      <w:r w:rsidR="00C56D37">
        <w:rPr>
          <w:rFonts w:cs="Arial"/>
          <w:szCs w:val="20"/>
        </w:rPr>
        <w:t xml:space="preserve"> vzrostl na prvním stupni z 0,28</w:t>
      </w:r>
      <w:r>
        <w:rPr>
          <w:rFonts w:cs="Arial"/>
          <w:szCs w:val="20"/>
        </w:rPr>
        <w:t xml:space="preserve"> % na </w:t>
      </w:r>
      <w:r w:rsidR="00C56D37">
        <w:rPr>
          <w:rFonts w:cs="Arial"/>
          <w:szCs w:val="20"/>
        </w:rPr>
        <w:t>0,73</w:t>
      </w:r>
      <w:r w:rsidR="003F042C">
        <w:rPr>
          <w:rFonts w:cs="Arial"/>
          <w:szCs w:val="20"/>
        </w:rPr>
        <w:t> % a na druhém stupni z 0,13</w:t>
      </w:r>
      <w:r>
        <w:rPr>
          <w:rFonts w:cs="Arial"/>
          <w:szCs w:val="20"/>
        </w:rPr>
        <w:t xml:space="preserve"> % </w:t>
      </w:r>
      <w:r w:rsidR="003F042C">
        <w:rPr>
          <w:rFonts w:cs="Arial"/>
          <w:szCs w:val="20"/>
        </w:rPr>
        <w:t>ve školním roce 2016/17</w:t>
      </w:r>
      <w:r>
        <w:rPr>
          <w:rFonts w:cs="Arial"/>
          <w:szCs w:val="20"/>
        </w:rPr>
        <w:t xml:space="preserve"> na </w:t>
      </w:r>
      <w:r w:rsidR="007A6A37">
        <w:rPr>
          <w:rFonts w:cs="Arial"/>
          <w:szCs w:val="20"/>
        </w:rPr>
        <w:t>0,43 % ve školním roce 2021/22</w:t>
      </w:r>
      <w:r>
        <w:rPr>
          <w:rFonts w:cs="Arial"/>
          <w:szCs w:val="20"/>
        </w:rPr>
        <w:t>.</w:t>
      </w:r>
      <w:r w:rsidR="00261B88">
        <w:rPr>
          <w:rFonts w:cs="Arial"/>
          <w:szCs w:val="20"/>
        </w:rPr>
        <w:t xml:space="preserve"> Celkově bylo </w:t>
      </w:r>
      <w:r w:rsidR="007A6A37">
        <w:rPr>
          <w:rFonts w:cs="Arial"/>
          <w:szCs w:val="20"/>
        </w:rPr>
        <w:t>ve školním roce 2021/2022 individuálně vzdělávaných 0,6</w:t>
      </w:r>
      <w:r w:rsidR="00261B88">
        <w:rPr>
          <w:rFonts w:cs="Arial"/>
          <w:szCs w:val="20"/>
        </w:rPr>
        <w:t> % žáků základních škol.</w:t>
      </w:r>
      <w:r w:rsidR="007A6A37">
        <w:rPr>
          <w:rFonts w:cs="Arial"/>
          <w:szCs w:val="20"/>
        </w:rPr>
        <w:t xml:space="preserve"> Z grafu 2.17 je přitom patrné, že </w:t>
      </w:r>
      <w:r w:rsidR="00983847">
        <w:rPr>
          <w:rFonts w:cs="Arial"/>
          <w:szCs w:val="20"/>
        </w:rPr>
        <w:t>nárůst těchto žáků mezi posledními dvěma roky byl výraznější než v předchozím období.</w:t>
      </w:r>
      <w:r w:rsidR="00F9748B">
        <w:rPr>
          <w:rFonts w:cs="Arial"/>
          <w:szCs w:val="20"/>
        </w:rPr>
        <w:t xml:space="preserve"> Je možné, že někteří rodiče přestoupili na individuální vzděláv</w:t>
      </w:r>
      <w:r w:rsidR="00EB1C38">
        <w:rPr>
          <w:rFonts w:cs="Arial"/>
          <w:szCs w:val="20"/>
        </w:rPr>
        <w:t>ání svého dítěte po zkušenosti s</w:t>
      </w:r>
      <w:r w:rsidR="00F9748B">
        <w:rPr>
          <w:rFonts w:cs="Arial"/>
          <w:szCs w:val="20"/>
        </w:rPr>
        <w:t> domácí výukou během pandemie covid-19</w:t>
      </w:r>
      <w:r w:rsidR="002041CD">
        <w:rPr>
          <w:rFonts w:cs="Arial"/>
          <w:szCs w:val="20"/>
        </w:rPr>
        <w:t>, popř. z důvodu narušeného duševního zdraví a přerušených sociálních kontaktů s vrstevníky během distanční výuky</w:t>
      </w:r>
      <w:r w:rsidR="00F9748B">
        <w:rPr>
          <w:rFonts w:cs="Arial"/>
          <w:szCs w:val="20"/>
        </w:rPr>
        <w:t>.</w:t>
      </w:r>
      <w:r w:rsidR="002921A5">
        <w:rPr>
          <w:rStyle w:val="Znakapoznpodarou"/>
          <w:rFonts w:cs="Arial"/>
          <w:szCs w:val="20"/>
        </w:rPr>
        <w:footnoteReference w:id="24"/>
      </w:r>
      <w:r w:rsidR="002041CD" w:rsidRPr="002041CD">
        <w:t xml:space="preserve"> </w:t>
      </w:r>
      <w:r w:rsidR="002041CD" w:rsidRPr="002041CD">
        <w:rPr>
          <w:rFonts w:cs="Arial"/>
          <w:szCs w:val="20"/>
        </w:rPr>
        <w:t xml:space="preserve">Dodejme, že v posledních </w:t>
      </w:r>
      <w:r w:rsidR="00E16105">
        <w:rPr>
          <w:rFonts w:cs="Arial"/>
          <w:szCs w:val="20"/>
        </w:rPr>
        <w:t>letech také</w:t>
      </w:r>
      <w:r w:rsidR="002041CD" w:rsidRPr="002041CD">
        <w:rPr>
          <w:rFonts w:cs="Arial"/>
          <w:szCs w:val="20"/>
        </w:rPr>
        <w:t xml:space="preserve"> narůstá počet rodičů, kteří si zakládají komunitní školy způsobem, že své dítě přihlásí na individuální vzdělávání a pak si společně </w:t>
      </w:r>
      <w:r w:rsidR="002041CD">
        <w:rPr>
          <w:rFonts w:cs="Arial"/>
          <w:szCs w:val="20"/>
        </w:rPr>
        <w:t>najmou</w:t>
      </w:r>
      <w:r w:rsidR="002041CD" w:rsidRPr="002041CD">
        <w:rPr>
          <w:rFonts w:cs="Arial"/>
          <w:szCs w:val="20"/>
        </w:rPr>
        <w:t xml:space="preserve"> učitele. Děti tak </w:t>
      </w:r>
      <w:r w:rsidR="002041CD">
        <w:rPr>
          <w:rFonts w:cs="Arial"/>
          <w:szCs w:val="20"/>
        </w:rPr>
        <w:t>vzdělávají neoficiálně a na registrující školu docházejí pouze na přezkušování</w:t>
      </w:r>
      <w:r w:rsidR="002041CD" w:rsidRPr="002041CD">
        <w:rPr>
          <w:rFonts w:cs="Arial"/>
          <w:szCs w:val="20"/>
        </w:rPr>
        <w:t>.</w:t>
      </w:r>
    </w:p>
    <w:p w14:paraId="43E6753A" w14:textId="26368799" w:rsidR="00FF6B7E" w:rsidRDefault="00FF6B7E" w:rsidP="00CD5ED1">
      <w:pPr>
        <w:keepNext/>
        <w:spacing w:after="120" w:line="276" w:lineRule="auto"/>
        <w:rPr>
          <w:rFonts w:cs="Arial"/>
          <w:b/>
          <w:noProof/>
          <w:szCs w:val="20"/>
        </w:rPr>
      </w:pPr>
      <w:r w:rsidRPr="00721BAC">
        <w:rPr>
          <w:rFonts w:cs="Arial"/>
          <w:b/>
          <w:noProof/>
          <w:szCs w:val="20"/>
        </w:rPr>
        <w:lastRenderedPageBreak/>
        <w:t>Graf 2.</w:t>
      </w:r>
      <w:r w:rsidR="00705C42">
        <w:rPr>
          <w:rFonts w:cs="Arial"/>
          <w:b/>
          <w:noProof/>
          <w:szCs w:val="20"/>
        </w:rPr>
        <w:t>20</w:t>
      </w:r>
      <w:r w:rsidRPr="00721BAC">
        <w:rPr>
          <w:rFonts w:cs="Arial"/>
          <w:b/>
          <w:noProof/>
          <w:szCs w:val="20"/>
        </w:rPr>
        <w:t xml:space="preserve"> </w:t>
      </w:r>
      <w:r w:rsidRPr="00227220">
        <w:rPr>
          <w:rFonts w:cs="Arial"/>
          <w:b/>
          <w:noProof/>
          <w:szCs w:val="20"/>
        </w:rPr>
        <w:t xml:space="preserve">Žáci </w:t>
      </w:r>
      <w:r>
        <w:rPr>
          <w:rFonts w:cs="Arial"/>
          <w:b/>
          <w:noProof/>
          <w:szCs w:val="20"/>
        </w:rPr>
        <w:t xml:space="preserve">1. </w:t>
      </w:r>
      <w:r w:rsidR="00FE2718">
        <w:rPr>
          <w:rFonts w:cs="Arial"/>
          <w:b/>
          <w:noProof/>
          <w:szCs w:val="20"/>
        </w:rPr>
        <w:t xml:space="preserve">a 2. </w:t>
      </w:r>
      <w:r>
        <w:rPr>
          <w:rFonts w:cs="Arial"/>
          <w:b/>
          <w:noProof/>
          <w:szCs w:val="20"/>
        </w:rPr>
        <w:t xml:space="preserve">stupně </w:t>
      </w:r>
      <w:r w:rsidRPr="00227220">
        <w:rPr>
          <w:rFonts w:cs="Arial"/>
          <w:b/>
          <w:noProof/>
          <w:szCs w:val="20"/>
        </w:rPr>
        <w:t xml:space="preserve">základních škol </w:t>
      </w:r>
      <w:r>
        <w:rPr>
          <w:rFonts w:cs="Arial"/>
          <w:b/>
          <w:noProof/>
          <w:szCs w:val="20"/>
        </w:rPr>
        <w:t>v individuálním vzdělávání</w:t>
      </w:r>
    </w:p>
    <w:p w14:paraId="2CFCF241" w14:textId="62EBED9C" w:rsidR="00064A90" w:rsidRDefault="00064A90" w:rsidP="00FB1537">
      <w:pPr>
        <w:keepNext/>
        <w:spacing w:after="0" w:line="276" w:lineRule="auto"/>
        <w:rPr>
          <w:rFonts w:cs="Arial"/>
          <w:b/>
          <w:noProof/>
          <w:szCs w:val="20"/>
        </w:rPr>
      </w:pPr>
      <w:r>
        <w:rPr>
          <w:noProof/>
        </w:rPr>
        <w:drawing>
          <wp:inline distT="0" distB="0" distL="0" distR="0" wp14:anchorId="5DD8FF34" wp14:editId="4DF9FE23">
            <wp:extent cx="6120130" cy="2466975"/>
            <wp:effectExtent l="0" t="0" r="13970" b="9525"/>
            <wp:docPr id="119" name="Graf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D380F1E" w14:textId="70F2FD92" w:rsidR="00890C63" w:rsidRPr="00AC4B87" w:rsidRDefault="00FF6B7E" w:rsidP="00AC4B87">
      <w:pPr>
        <w:spacing w:before="120" w:after="120"/>
        <w:jc w:val="right"/>
        <w:rPr>
          <w:rFonts w:cs="Arial"/>
          <w:sz w:val="18"/>
        </w:rPr>
      </w:pPr>
      <w:r w:rsidRPr="00721BAC">
        <w:rPr>
          <w:rFonts w:cs="Arial"/>
          <w:sz w:val="18"/>
        </w:rPr>
        <w:t>Zd</w:t>
      </w:r>
      <w:r w:rsidR="00AC4B87">
        <w:rPr>
          <w:rFonts w:cs="Arial"/>
          <w:sz w:val="18"/>
        </w:rPr>
        <w:t>roj: MŠMT a vlastní dopočty ČSÚ</w:t>
      </w:r>
    </w:p>
    <w:p w14:paraId="26F51668" w14:textId="40E44FA0" w:rsidR="00890C63" w:rsidRDefault="00890C63" w:rsidP="00FF6B7E">
      <w:pPr>
        <w:spacing w:after="120"/>
        <w:jc w:val="both"/>
        <w:rPr>
          <w:rFonts w:cs="Arial"/>
          <w:szCs w:val="20"/>
        </w:rPr>
      </w:pPr>
      <w:r>
        <w:rPr>
          <w:rFonts w:cs="Arial"/>
          <w:szCs w:val="20"/>
        </w:rPr>
        <w:t>Pokud se jedná o rozdíly mezi kraji, pak nejvyšší podíl žáků vzdělávajících se individuálně byl ve školním roce 2021/22 zaznamenán v kraji Zlínském (1,9</w:t>
      </w:r>
      <w:r w:rsidR="00AC4B87">
        <w:rPr>
          <w:rFonts w:cs="Arial"/>
          <w:szCs w:val="20"/>
        </w:rPr>
        <w:t>1</w:t>
      </w:r>
      <w:r>
        <w:rPr>
          <w:rFonts w:cs="Arial"/>
          <w:szCs w:val="20"/>
        </w:rPr>
        <w:t> %) a Královéhradeckém (1,2</w:t>
      </w:r>
      <w:r w:rsidR="00AC4B87">
        <w:rPr>
          <w:rFonts w:cs="Arial"/>
          <w:szCs w:val="20"/>
        </w:rPr>
        <w:t>0</w:t>
      </w:r>
      <w:r>
        <w:rPr>
          <w:rFonts w:cs="Arial"/>
          <w:szCs w:val="20"/>
        </w:rPr>
        <w:t> %), s odstupem pak následuje kraj Liberecký (0,85 %) a Středočeský (0,81 %). Naopak nejméně byl tento způsob vzdělávání využíván v kraji Karlovarském (0,21 % žáků), na Vysočině (0,25 % žáků) a v kraji Plzeňském (0,29 %). V ostatních krajích se podíl takových žáků pohyboval mezi 0,35 % a 0,53 %.</w:t>
      </w:r>
    </w:p>
    <w:p w14:paraId="1FD65257" w14:textId="0CB32228" w:rsidR="00890C63" w:rsidRPr="00890C63" w:rsidRDefault="00705C42" w:rsidP="00FF6B7E">
      <w:pPr>
        <w:spacing w:after="120"/>
        <w:jc w:val="both"/>
        <w:rPr>
          <w:rFonts w:cs="Arial"/>
          <w:b/>
          <w:szCs w:val="20"/>
        </w:rPr>
      </w:pPr>
      <w:r>
        <w:rPr>
          <w:rFonts w:cs="Arial"/>
          <w:b/>
          <w:szCs w:val="20"/>
        </w:rPr>
        <w:t>Graf 2.21</w:t>
      </w:r>
      <w:r w:rsidR="00890C63" w:rsidRPr="00890C63">
        <w:rPr>
          <w:rFonts w:cs="Arial"/>
          <w:b/>
          <w:szCs w:val="20"/>
        </w:rPr>
        <w:t xml:space="preserve"> Žáci základních škol v individuálním vzdělávání v krajském členění (2021/22)</w:t>
      </w:r>
    </w:p>
    <w:p w14:paraId="292596CB" w14:textId="0748B325" w:rsidR="00890C63" w:rsidRDefault="00890C63" w:rsidP="00FF6B7E">
      <w:pPr>
        <w:spacing w:after="120"/>
        <w:jc w:val="both"/>
        <w:rPr>
          <w:rFonts w:cs="Arial"/>
          <w:szCs w:val="20"/>
        </w:rPr>
      </w:pPr>
      <w:r>
        <w:rPr>
          <w:noProof/>
        </w:rPr>
        <w:drawing>
          <wp:inline distT="0" distB="0" distL="0" distR="0" wp14:anchorId="0B0D3DFA" wp14:editId="6211464C">
            <wp:extent cx="6105525" cy="3543300"/>
            <wp:effectExtent l="0" t="0" r="9525" b="0"/>
            <wp:docPr id="122" name="Graf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DDF66C1" w14:textId="3070DD4E" w:rsidR="00890C63" w:rsidRPr="00AC4B87" w:rsidRDefault="00AC4B87" w:rsidP="00AC4B87">
      <w:pPr>
        <w:spacing w:before="120" w:after="120"/>
        <w:jc w:val="right"/>
        <w:rPr>
          <w:rFonts w:cs="Arial"/>
          <w:sz w:val="18"/>
        </w:rPr>
      </w:pPr>
      <w:r w:rsidRPr="00721BAC">
        <w:rPr>
          <w:rFonts w:cs="Arial"/>
          <w:sz w:val="18"/>
        </w:rPr>
        <w:t>Zd</w:t>
      </w:r>
      <w:r>
        <w:rPr>
          <w:rFonts w:cs="Arial"/>
          <w:sz w:val="18"/>
        </w:rPr>
        <w:t>roj: MŠMT a vlastní dopočty ČSÚ</w:t>
      </w:r>
    </w:p>
    <w:p w14:paraId="029A3929" w14:textId="46BA4F67" w:rsidR="004B3710" w:rsidRDefault="00FF6B7E" w:rsidP="00FF6B7E">
      <w:pPr>
        <w:spacing w:after="120"/>
        <w:jc w:val="both"/>
        <w:rPr>
          <w:rFonts w:cs="Arial"/>
          <w:szCs w:val="20"/>
        </w:rPr>
      </w:pPr>
      <w:r w:rsidRPr="009702F5">
        <w:rPr>
          <w:rFonts w:cs="Arial"/>
          <w:szCs w:val="20"/>
        </w:rPr>
        <w:t xml:space="preserve">Žáci s povinností základní školní docházky se mohou vzdělávat i </w:t>
      </w:r>
      <w:r w:rsidRPr="009702F5">
        <w:rPr>
          <w:rFonts w:cs="Arial"/>
          <w:b/>
          <w:szCs w:val="20"/>
        </w:rPr>
        <w:t>v zahraničí či na zahraniční škole v České republice</w:t>
      </w:r>
      <w:r w:rsidRPr="009702F5">
        <w:rPr>
          <w:rFonts w:cs="Arial"/>
          <w:szCs w:val="20"/>
        </w:rPr>
        <w:t>, a sice</w:t>
      </w:r>
      <w:r w:rsidRPr="009702F5">
        <w:rPr>
          <w:rFonts w:cs="Arial"/>
          <w:b/>
          <w:szCs w:val="20"/>
        </w:rPr>
        <w:t xml:space="preserve"> </w:t>
      </w:r>
      <w:r w:rsidRPr="009702F5">
        <w:rPr>
          <w:rFonts w:cs="Arial"/>
          <w:szCs w:val="20"/>
        </w:rPr>
        <w:t>podle § 38 Školsk</w:t>
      </w:r>
      <w:r w:rsidR="008814AF">
        <w:rPr>
          <w:rFonts w:cs="Arial"/>
          <w:szCs w:val="20"/>
        </w:rPr>
        <w:t xml:space="preserve">ého zákona. </w:t>
      </w:r>
      <w:r w:rsidR="004B3710">
        <w:rPr>
          <w:rFonts w:cs="Arial"/>
          <w:szCs w:val="20"/>
        </w:rPr>
        <w:t xml:space="preserve">Plněním povinné školní docházky v zahraničí se rozumí, </w:t>
      </w:r>
      <w:r w:rsidR="003F042C">
        <w:rPr>
          <w:rFonts w:cs="Arial"/>
          <w:szCs w:val="20"/>
        </w:rPr>
        <w:t>že</w:t>
      </w:r>
      <w:r w:rsidR="004B3710">
        <w:rPr>
          <w:rFonts w:cs="Arial"/>
          <w:szCs w:val="20"/>
        </w:rPr>
        <w:t xml:space="preserve"> se žák vzdělává</w:t>
      </w:r>
      <w:r w:rsidR="004B3710" w:rsidRPr="004B3710">
        <w:rPr>
          <w:rFonts w:cs="Arial"/>
          <w:szCs w:val="20"/>
        </w:rPr>
        <w:t xml:space="preserve"> ve škole zřízené při diplomatické misi nebo konzu</w:t>
      </w:r>
      <w:r w:rsidR="00F01056">
        <w:rPr>
          <w:rFonts w:cs="Arial"/>
          <w:szCs w:val="20"/>
        </w:rPr>
        <w:t>lárním úřadu České republiky, v </w:t>
      </w:r>
      <w:r w:rsidR="004B3710" w:rsidRPr="004B3710">
        <w:rPr>
          <w:rFonts w:cs="Arial"/>
          <w:szCs w:val="20"/>
        </w:rPr>
        <w:t>evropské ško</w:t>
      </w:r>
      <w:r w:rsidR="004B3710">
        <w:rPr>
          <w:rFonts w:cs="Arial"/>
          <w:szCs w:val="20"/>
        </w:rPr>
        <w:t>le působící na základě Úmluvy o </w:t>
      </w:r>
      <w:r w:rsidR="004B3710" w:rsidRPr="004B3710">
        <w:rPr>
          <w:rFonts w:cs="Arial"/>
          <w:szCs w:val="20"/>
        </w:rPr>
        <w:t>statutu Evropských škol, n</w:t>
      </w:r>
      <w:r w:rsidR="00F01056">
        <w:rPr>
          <w:rFonts w:cs="Arial"/>
          <w:szCs w:val="20"/>
        </w:rPr>
        <w:t>ebo formou individuální výuky v </w:t>
      </w:r>
      <w:r w:rsidR="004B3710" w:rsidRPr="004B3710">
        <w:rPr>
          <w:rFonts w:cs="Arial"/>
          <w:szCs w:val="20"/>
        </w:rPr>
        <w:t xml:space="preserve">zahraničí. Od školního roku 2017/18 přitom není povinností, aby dítě bylo v evidenci kmenové školy v ČR. </w:t>
      </w:r>
      <w:r w:rsidR="002217B5">
        <w:rPr>
          <w:rFonts w:cs="Arial"/>
          <w:szCs w:val="20"/>
        </w:rPr>
        <w:t>V</w:t>
      </w:r>
      <w:r w:rsidR="004B3710" w:rsidRPr="004B3710">
        <w:rPr>
          <w:rFonts w:cs="Arial"/>
          <w:szCs w:val="20"/>
        </w:rPr>
        <w:t xml:space="preserve">edle zápisu do </w:t>
      </w:r>
      <w:r w:rsidR="004B3710" w:rsidRPr="004B3710">
        <w:rPr>
          <w:rFonts w:cs="Arial"/>
          <w:szCs w:val="20"/>
        </w:rPr>
        <w:lastRenderedPageBreak/>
        <w:t xml:space="preserve">kmenové školy </w:t>
      </w:r>
      <w:r w:rsidR="002217B5">
        <w:rPr>
          <w:rFonts w:cs="Arial"/>
          <w:szCs w:val="20"/>
        </w:rPr>
        <w:t xml:space="preserve">mohou rodiče </w:t>
      </w:r>
      <w:r w:rsidR="004B3710" w:rsidRPr="004B3710">
        <w:rPr>
          <w:rFonts w:cs="Arial"/>
          <w:szCs w:val="20"/>
        </w:rPr>
        <w:t xml:space="preserve">také dokládat plnění povinné školní docházky </w:t>
      </w:r>
      <w:r w:rsidR="002217B5">
        <w:rPr>
          <w:rFonts w:cs="Arial"/>
          <w:szCs w:val="20"/>
        </w:rPr>
        <w:t xml:space="preserve">přímo </w:t>
      </w:r>
      <w:r w:rsidR="004B3710" w:rsidRPr="004B3710">
        <w:rPr>
          <w:rFonts w:cs="Arial"/>
          <w:szCs w:val="20"/>
        </w:rPr>
        <w:t>ministerstvu.</w:t>
      </w:r>
      <w:r w:rsidR="00F01056">
        <w:rPr>
          <w:rFonts w:cs="Arial"/>
          <w:szCs w:val="20"/>
        </w:rPr>
        <w:t xml:space="preserve"> Vzhledem k tomu, že tato analýza vychází ze statistik sbíraných pomocí výkazů od škol, nejsou žáci vzdělávající se v zahraničí bez přihlášení ke kmenové škole do indikátorů započteni. </w:t>
      </w:r>
    </w:p>
    <w:p w14:paraId="36F7AAB7" w14:textId="1A72F6BC" w:rsidR="0092269D" w:rsidRDefault="00B705AA" w:rsidP="00C440A8">
      <w:pPr>
        <w:spacing w:after="120"/>
        <w:jc w:val="both"/>
        <w:rPr>
          <w:rFonts w:cs="Arial"/>
          <w:szCs w:val="20"/>
        </w:rPr>
      </w:pPr>
      <w:r>
        <w:rPr>
          <w:rFonts w:cs="Arial"/>
          <w:szCs w:val="20"/>
        </w:rPr>
        <w:t>Ve školním roce 2021/22</w:t>
      </w:r>
      <w:r w:rsidR="008814AF">
        <w:rPr>
          <w:rFonts w:cs="Arial"/>
          <w:szCs w:val="20"/>
        </w:rPr>
        <w:t xml:space="preserve"> </w:t>
      </w:r>
      <w:r w:rsidR="00F01056">
        <w:rPr>
          <w:rFonts w:cs="Arial"/>
          <w:szCs w:val="20"/>
        </w:rPr>
        <w:t xml:space="preserve">základní školy vykázaly, že </w:t>
      </w:r>
      <w:r w:rsidR="004B3710">
        <w:rPr>
          <w:rFonts w:cs="Arial"/>
          <w:szCs w:val="20"/>
        </w:rPr>
        <w:t>se v zahraničí či v zahraniční škole v České republice vzdělávalo</w:t>
      </w:r>
      <w:r w:rsidR="008814AF">
        <w:rPr>
          <w:rFonts w:cs="Arial"/>
          <w:szCs w:val="20"/>
        </w:rPr>
        <w:t xml:space="preserve"> </w:t>
      </w:r>
      <w:r>
        <w:rPr>
          <w:rFonts w:cs="Arial"/>
          <w:szCs w:val="20"/>
        </w:rPr>
        <w:t>9 </w:t>
      </w:r>
      <w:r w:rsidR="003D49C4">
        <w:rPr>
          <w:rFonts w:cs="Arial"/>
          <w:szCs w:val="20"/>
        </w:rPr>
        <w:t>483</w:t>
      </w:r>
      <w:r w:rsidR="008814AF">
        <w:rPr>
          <w:rFonts w:cs="Arial"/>
          <w:szCs w:val="20"/>
        </w:rPr>
        <w:t xml:space="preserve"> </w:t>
      </w:r>
      <w:r w:rsidR="004B3710">
        <w:rPr>
          <w:rFonts w:cs="Arial"/>
          <w:szCs w:val="20"/>
        </w:rPr>
        <w:t xml:space="preserve">školou povinných </w:t>
      </w:r>
      <w:r w:rsidR="008814AF">
        <w:rPr>
          <w:rFonts w:cs="Arial"/>
          <w:szCs w:val="20"/>
        </w:rPr>
        <w:t>žáků</w:t>
      </w:r>
      <w:r w:rsidR="00312793">
        <w:rPr>
          <w:rStyle w:val="Znakapoznpodarou"/>
          <w:rFonts w:cs="Arial"/>
          <w:szCs w:val="20"/>
        </w:rPr>
        <w:footnoteReference w:id="25"/>
      </w:r>
      <w:r w:rsidR="008814AF">
        <w:rPr>
          <w:rFonts w:cs="Arial"/>
          <w:szCs w:val="20"/>
        </w:rPr>
        <w:t>.</w:t>
      </w:r>
      <w:r w:rsidR="00FF6B7E" w:rsidRPr="009702F5">
        <w:rPr>
          <w:rFonts w:cs="Arial"/>
          <w:szCs w:val="20"/>
        </w:rPr>
        <w:t xml:space="preserve"> </w:t>
      </w:r>
      <w:r w:rsidR="00C87E10">
        <w:rPr>
          <w:rFonts w:cs="Arial"/>
          <w:szCs w:val="20"/>
        </w:rPr>
        <w:t xml:space="preserve">Po mírném poklesu, který byl poprvé za deset sledovaných let zaznamenán ve školním roce 2020/21, začal počet takových žáků </w:t>
      </w:r>
      <w:r w:rsidR="00CF4ADA">
        <w:rPr>
          <w:rFonts w:cs="Arial"/>
          <w:szCs w:val="20"/>
        </w:rPr>
        <w:t xml:space="preserve">opět </w:t>
      </w:r>
      <w:r w:rsidR="00C87E10">
        <w:rPr>
          <w:rFonts w:cs="Arial"/>
          <w:szCs w:val="20"/>
        </w:rPr>
        <w:t>růst</w:t>
      </w:r>
      <w:r w:rsidR="00C440A8">
        <w:rPr>
          <w:rFonts w:cs="Arial"/>
          <w:szCs w:val="20"/>
        </w:rPr>
        <w:t>. Přitom p</w:t>
      </w:r>
      <w:r w:rsidR="00C87E10">
        <w:rPr>
          <w:rFonts w:cs="Arial"/>
          <w:szCs w:val="20"/>
        </w:rPr>
        <w:t>odíl, jaký zaujímali tito žáci na všech žácích základních škol</w:t>
      </w:r>
      <w:r w:rsidR="00CF4ADA">
        <w:rPr>
          <w:rFonts w:cs="Arial"/>
          <w:szCs w:val="20"/>
        </w:rPr>
        <w:t xml:space="preserve"> (tj. 0,98 %)</w:t>
      </w:r>
      <w:r w:rsidR="00C440A8">
        <w:rPr>
          <w:rFonts w:cs="Arial"/>
          <w:szCs w:val="20"/>
        </w:rPr>
        <w:t>,</w:t>
      </w:r>
      <w:r w:rsidR="00C87E10">
        <w:rPr>
          <w:rFonts w:cs="Arial"/>
          <w:szCs w:val="20"/>
        </w:rPr>
        <w:t xml:space="preserve"> se </w:t>
      </w:r>
      <w:r w:rsidR="00CF4ADA">
        <w:rPr>
          <w:rFonts w:cs="Arial"/>
          <w:szCs w:val="20"/>
        </w:rPr>
        <w:t xml:space="preserve">téměř </w:t>
      </w:r>
      <w:r w:rsidR="00C87E10">
        <w:rPr>
          <w:rFonts w:cs="Arial"/>
          <w:szCs w:val="20"/>
        </w:rPr>
        <w:t xml:space="preserve">vyrovnal hodnotě zaznamenané ve školních rocích 2018/19 a 2019/20 (tj. 0,99 %). </w:t>
      </w:r>
      <w:r w:rsidR="0092269D">
        <w:rPr>
          <w:rFonts w:cs="Arial"/>
          <w:szCs w:val="20"/>
        </w:rPr>
        <w:t>Zde nutno poznamenat,</w:t>
      </w:r>
      <w:r w:rsidR="008814AF">
        <w:rPr>
          <w:rFonts w:cs="Arial"/>
          <w:szCs w:val="20"/>
        </w:rPr>
        <w:t xml:space="preserve"> </w:t>
      </w:r>
      <w:r w:rsidR="00C440A8">
        <w:rPr>
          <w:rFonts w:cs="Arial"/>
          <w:szCs w:val="20"/>
        </w:rPr>
        <w:t xml:space="preserve">že </w:t>
      </w:r>
      <w:r w:rsidR="008814AF">
        <w:rPr>
          <w:rFonts w:cs="Arial"/>
          <w:szCs w:val="20"/>
        </w:rPr>
        <w:t>školní rok</w:t>
      </w:r>
      <w:r w:rsidR="0092269D">
        <w:rPr>
          <w:rFonts w:cs="Arial"/>
          <w:szCs w:val="20"/>
        </w:rPr>
        <w:t xml:space="preserve"> 2020/21</w:t>
      </w:r>
      <w:r w:rsidR="008814AF">
        <w:rPr>
          <w:rFonts w:cs="Arial"/>
          <w:szCs w:val="20"/>
        </w:rPr>
        <w:t xml:space="preserve"> je zároveň rokem, který provázela pandemie onemocnění </w:t>
      </w:r>
      <w:r w:rsidR="005D7896">
        <w:rPr>
          <w:rFonts w:cs="Arial"/>
          <w:szCs w:val="20"/>
        </w:rPr>
        <w:t>covid</w:t>
      </w:r>
      <w:r w:rsidR="008814AF">
        <w:rPr>
          <w:rFonts w:cs="Arial"/>
          <w:szCs w:val="20"/>
        </w:rPr>
        <w:t>-19 a s tím spojené ztížené podmínky pro cestování do zahraničí</w:t>
      </w:r>
      <w:r w:rsidR="00FF6B7E" w:rsidRPr="009702F5">
        <w:rPr>
          <w:rFonts w:cs="Arial"/>
          <w:szCs w:val="20"/>
        </w:rPr>
        <w:t>.</w:t>
      </w:r>
      <w:r w:rsidR="0092269D">
        <w:rPr>
          <w:rFonts w:cs="Arial"/>
          <w:szCs w:val="20"/>
        </w:rPr>
        <w:t xml:space="preserve"> </w:t>
      </w:r>
      <w:r w:rsidR="00C440A8">
        <w:rPr>
          <w:rFonts w:cs="Arial"/>
          <w:szCs w:val="20"/>
        </w:rPr>
        <w:t xml:space="preserve">V období od školního roku 2011/12 do školního roku 2018/19 podíl žáků plnících si povinnou školní docházku v zahraničí či na zahraniční škole trvale rostl, a sice z 0,49 % ve školním toce 2011/12 na 0,99 % ve školním roce 2018/19. </w:t>
      </w:r>
      <w:r w:rsidR="00F01056">
        <w:rPr>
          <w:rFonts w:cs="Arial"/>
          <w:szCs w:val="20"/>
        </w:rPr>
        <w:t>Pomalejší růst od školního roku 2017/18 přitom může mít na svědomí skutečnost, že již není povinné přihlásit žáka vzdělávajícího se v zahraniční škole ke kmenové škole v České republice.</w:t>
      </w:r>
      <w:r w:rsidR="00E44BA2">
        <w:rPr>
          <w:rFonts w:cs="Arial"/>
          <w:szCs w:val="20"/>
        </w:rPr>
        <w:t xml:space="preserve"> Tito žáci pak nejsou do statistik zahrnuti (viz výše).</w:t>
      </w:r>
      <w:r w:rsidR="00C440A8" w:rsidRPr="00C440A8">
        <w:t xml:space="preserve"> </w:t>
      </w:r>
    </w:p>
    <w:p w14:paraId="67492339" w14:textId="1FC56B30" w:rsidR="00EA2C94" w:rsidRDefault="00EA2C94" w:rsidP="00FB1537">
      <w:pPr>
        <w:keepNext/>
        <w:spacing w:after="0" w:line="276" w:lineRule="auto"/>
        <w:rPr>
          <w:rFonts w:cs="Arial"/>
          <w:b/>
          <w:noProof/>
          <w:szCs w:val="20"/>
        </w:rPr>
      </w:pPr>
      <w:r w:rsidRPr="00721BAC">
        <w:rPr>
          <w:rFonts w:cs="Arial"/>
          <w:b/>
          <w:noProof/>
          <w:szCs w:val="20"/>
        </w:rPr>
        <w:t>Graf 2.</w:t>
      </w:r>
      <w:r w:rsidR="00705C42">
        <w:rPr>
          <w:rFonts w:cs="Arial"/>
          <w:b/>
          <w:noProof/>
          <w:szCs w:val="20"/>
        </w:rPr>
        <w:t>22</w:t>
      </w:r>
      <w:r w:rsidRPr="00721BAC">
        <w:rPr>
          <w:rFonts w:cs="Arial"/>
          <w:b/>
          <w:noProof/>
          <w:szCs w:val="20"/>
        </w:rPr>
        <w:t xml:space="preserve"> </w:t>
      </w:r>
      <w:r>
        <w:rPr>
          <w:rFonts w:cs="Arial"/>
          <w:b/>
          <w:noProof/>
          <w:szCs w:val="20"/>
        </w:rPr>
        <w:t>Žáci</w:t>
      </w:r>
      <w:r w:rsidR="00A253BB">
        <w:rPr>
          <w:rFonts w:cs="Arial"/>
          <w:b/>
          <w:noProof/>
          <w:szCs w:val="20"/>
        </w:rPr>
        <w:t xml:space="preserve"> základních škol</w:t>
      </w:r>
      <w:r>
        <w:rPr>
          <w:rFonts w:cs="Arial"/>
          <w:b/>
          <w:noProof/>
          <w:szCs w:val="20"/>
        </w:rPr>
        <w:t xml:space="preserve"> plnící </w:t>
      </w:r>
      <w:r w:rsidR="00A253BB">
        <w:rPr>
          <w:rFonts w:cs="Arial"/>
          <w:b/>
          <w:noProof/>
          <w:szCs w:val="20"/>
        </w:rPr>
        <w:t xml:space="preserve">si </w:t>
      </w:r>
      <w:r>
        <w:rPr>
          <w:rFonts w:cs="Arial"/>
          <w:b/>
          <w:noProof/>
          <w:szCs w:val="20"/>
        </w:rPr>
        <w:t>povinnou</w:t>
      </w:r>
      <w:r w:rsidRPr="009B563C">
        <w:rPr>
          <w:rFonts w:cs="Arial"/>
          <w:b/>
          <w:noProof/>
          <w:szCs w:val="20"/>
        </w:rPr>
        <w:t xml:space="preserve"> školní docházk</w:t>
      </w:r>
      <w:r>
        <w:rPr>
          <w:rFonts w:cs="Arial"/>
          <w:b/>
          <w:noProof/>
          <w:szCs w:val="20"/>
        </w:rPr>
        <w:t>u</w:t>
      </w:r>
      <w:r w:rsidRPr="009B563C">
        <w:rPr>
          <w:rFonts w:cs="Arial"/>
          <w:b/>
          <w:noProof/>
          <w:szCs w:val="20"/>
        </w:rPr>
        <w:t xml:space="preserve"> v zahraničí nebo na zahraniční škole v</w:t>
      </w:r>
      <w:r w:rsidR="00B705AA">
        <w:rPr>
          <w:rFonts w:cs="Arial"/>
          <w:b/>
          <w:noProof/>
          <w:szCs w:val="20"/>
        </w:rPr>
        <w:t> </w:t>
      </w:r>
      <w:r w:rsidRPr="009B563C">
        <w:rPr>
          <w:rFonts w:cs="Arial"/>
          <w:b/>
          <w:noProof/>
          <w:szCs w:val="20"/>
        </w:rPr>
        <w:t>Č</w:t>
      </w:r>
      <w:r>
        <w:rPr>
          <w:rFonts w:cs="Arial"/>
          <w:b/>
          <w:noProof/>
          <w:szCs w:val="20"/>
        </w:rPr>
        <w:t>R</w:t>
      </w:r>
    </w:p>
    <w:p w14:paraId="7BD93AA3" w14:textId="2AD90112" w:rsidR="00EA2C94" w:rsidRDefault="00B705AA" w:rsidP="00B705AA">
      <w:pPr>
        <w:keepNext/>
        <w:spacing w:after="0" w:line="276" w:lineRule="auto"/>
        <w:rPr>
          <w:rFonts w:cs="Arial"/>
          <w:b/>
          <w:noProof/>
          <w:szCs w:val="20"/>
        </w:rPr>
      </w:pPr>
      <w:r>
        <w:rPr>
          <w:noProof/>
        </w:rPr>
        <w:drawing>
          <wp:inline distT="0" distB="0" distL="0" distR="0" wp14:anchorId="0A419046" wp14:editId="37D5BD19">
            <wp:extent cx="6120130" cy="3314700"/>
            <wp:effectExtent l="0" t="0" r="13970" b="0"/>
            <wp:docPr id="120" name="Graf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7AB85DC" w14:textId="77777777" w:rsidR="00EA2C94" w:rsidRPr="008814AF" w:rsidRDefault="00EA2C94" w:rsidP="00EA2C94">
      <w:pPr>
        <w:spacing w:after="0" w:line="276" w:lineRule="auto"/>
        <w:rPr>
          <w:rFonts w:cs="Arial"/>
          <w:b/>
          <w:noProof/>
          <w:sz w:val="16"/>
          <w:szCs w:val="16"/>
        </w:rPr>
      </w:pPr>
    </w:p>
    <w:p w14:paraId="5EEC3254" w14:textId="2E1A9E2A" w:rsidR="00EA2C94" w:rsidRPr="00EA2C94" w:rsidRDefault="00EA2C94" w:rsidP="00EA2C94">
      <w:pPr>
        <w:spacing w:after="120"/>
        <w:jc w:val="right"/>
        <w:rPr>
          <w:rFonts w:cs="Arial"/>
          <w:sz w:val="18"/>
        </w:rPr>
      </w:pPr>
      <w:r w:rsidRPr="00721BAC">
        <w:rPr>
          <w:rFonts w:cs="Arial"/>
          <w:sz w:val="18"/>
        </w:rPr>
        <w:t>Zdroj: MŠMT a vlastní dopočty ČSÚ</w:t>
      </w:r>
    </w:p>
    <w:p w14:paraId="525B9CC9" w14:textId="0B4847BD" w:rsidR="00FF6B7E" w:rsidRDefault="00956B96" w:rsidP="00FF6B7E">
      <w:pPr>
        <w:spacing w:after="120"/>
        <w:jc w:val="both"/>
        <w:rPr>
          <w:rFonts w:cs="Arial"/>
          <w:noProof/>
          <w:szCs w:val="20"/>
        </w:rPr>
      </w:pPr>
      <w:r>
        <w:rPr>
          <w:rFonts w:cs="Arial"/>
          <w:szCs w:val="20"/>
        </w:rPr>
        <w:t>R</w:t>
      </w:r>
      <w:r w:rsidR="003F042C">
        <w:rPr>
          <w:rFonts w:cs="Arial"/>
          <w:szCs w:val="20"/>
        </w:rPr>
        <w:t>ozdělí</w:t>
      </w:r>
      <w:r w:rsidR="004B3710">
        <w:rPr>
          <w:rFonts w:cs="Arial"/>
          <w:szCs w:val="20"/>
        </w:rPr>
        <w:t xml:space="preserve">me-li </w:t>
      </w:r>
      <w:r w:rsidR="004B3710" w:rsidRPr="00E44BA2">
        <w:rPr>
          <w:rFonts w:cs="Arial"/>
          <w:szCs w:val="20"/>
        </w:rPr>
        <w:t xml:space="preserve">žáky dle </w:t>
      </w:r>
      <w:r w:rsidR="00E44BA2" w:rsidRPr="00E44BA2">
        <w:rPr>
          <w:rFonts w:cs="Arial"/>
          <w:szCs w:val="20"/>
        </w:rPr>
        <w:t>sídla</w:t>
      </w:r>
      <w:r w:rsidR="00E44BA2">
        <w:rPr>
          <w:rFonts w:cs="Arial"/>
          <w:szCs w:val="20"/>
        </w:rPr>
        <w:t xml:space="preserve"> kmenové školy</w:t>
      </w:r>
      <w:r w:rsidRPr="00737861">
        <w:rPr>
          <w:rFonts w:cs="Arial"/>
          <w:szCs w:val="20"/>
        </w:rPr>
        <w:t>,</w:t>
      </w:r>
      <w:r>
        <w:rPr>
          <w:rFonts w:cs="Arial"/>
          <w:szCs w:val="20"/>
        </w:rPr>
        <w:t xml:space="preserve"> pak ve školním</w:t>
      </w:r>
      <w:r w:rsidR="002651FD">
        <w:rPr>
          <w:rFonts w:cs="Arial"/>
          <w:szCs w:val="20"/>
        </w:rPr>
        <w:t xml:space="preserve"> roce 2021/22</w:t>
      </w:r>
      <w:r w:rsidR="003F042C">
        <w:rPr>
          <w:rFonts w:cs="Arial"/>
          <w:szCs w:val="20"/>
        </w:rPr>
        <w:t xml:space="preserve"> využívali</w:t>
      </w:r>
      <w:r>
        <w:rPr>
          <w:rFonts w:cs="Arial"/>
          <w:szCs w:val="20"/>
        </w:rPr>
        <w:t xml:space="preserve"> možnost </w:t>
      </w:r>
      <w:r w:rsidR="003F042C">
        <w:rPr>
          <w:rFonts w:cs="Arial"/>
          <w:szCs w:val="20"/>
        </w:rPr>
        <w:t>vzdělávání v zahraničí či na zahraniční škole nejčastěji</w:t>
      </w:r>
      <w:r w:rsidR="00FF6B7E" w:rsidRPr="009702F5">
        <w:rPr>
          <w:rFonts w:cs="Arial"/>
          <w:szCs w:val="20"/>
        </w:rPr>
        <w:t xml:space="preserve"> žáci </w:t>
      </w:r>
      <w:r w:rsidR="00E44BA2">
        <w:rPr>
          <w:rFonts w:cs="Arial"/>
          <w:szCs w:val="20"/>
        </w:rPr>
        <w:t xml:space="preserve">zapsaní do </w:t>
      </w:r>
      <w:r w:rsidR="003F042C">
        <w:rPr>
          <w:rFonts w:cs="Arial"/>
          <w:szCs w:val="20"/>
        </w:rPr>
        <w:t xml:space="preserve">pražských </w:t>
      </w:r>
      <w:r w:rsidR="007B763E">
        <w:rPr>
          <w:rFonts w:cs="Arial"/>
          <w:szCs w:val="20"/>
        </w:rPr>
        <w:t xml:space="preserve">základních </w:t>
      </w:r>
      <w:r w:rsidR="003F042C">
        <w:rPr>
          <w:rFonts w:cs="Arial"/>
          <w:szCs w:val="20"/>
        </w:rPr>
        <w:t xml:space="preserve">škol - </w:t>
      </w:r>
      <w:r w:rsidR="00E44BA2">
        <w:rPr>
          <w:rFonts w:cs="Arial"/>
          <w:szCs w:val="20"/>
        </w:rPr>
        <w:t>tvořili</w:t>
      </w:r>
      <w:r w:rsidR="006F5D76">
        <w:rPr>
          <w:rFonts w:cs="Arial"/>
          <w:szCs w:val="20"/>
        </w:rPr>
        <w:t xml:space="preserve"> </w:t>
      </w:r>
      <w:r w:rsidR="003F042C">
        <w:rPr>
          <w:rFonts w:cs="Arial"/>
          <w:szCs w:val="20"/>
        </w:rPr>
        <w:t xml:space="preserve">zde </w:t>
      </w:r>
      <w:r w:rsidR="002651FD">
        <w:rPr>
          <w:rFonts w:cs="Arial"/>
          <w:szCs w:val="20"/>
        </w:rPr>
        <w:t>2,72</w:t>
      </w:r>
      <w:r w:rsidR="006F5D76">
        <w:rPr>
          <w:rFonts w:cs="Arial"/>
          <w:szCs w:val="20"/>
        </w:rPr>
        <w:t> % z celkového počtu žáků. Nad</w:t>
      </w:r>
      <w:r w:rsidR="00E44BA2">
        <w:rPr>
          <w:rFonts w:cs="Arial"/>
          <w:szCs w:val="20"/>
        </w:rPr>
        <w:t>průměrný a současně vyšší než 1</w:t>
      </w:r>
      <w:r w:rsidR="006F5D76">
        <w:rPr>
          <w:rFonts w:cs="Arial"/>
          <w:szCs w:val="20"/>
        </w:rPr>
        <w:t>% byl tento podíl</w:t>
      </w:r>
      <w:r w:rsidR="00FF6B7E" w:rsidRPr="009B563C">
        <w:rPr>
          <w:rFonts w:cs="Arial"/>
          <w:noProof/>
          <w:szCs w:val="20"/>
        </w:rPr>
        <w:t xml:space="preserve">  </w:t>
      </w:r>
      <w:r w:rsidR="006F5D76">
        <w:rPr>
          <w:rFonts w:cs="Arial"/>
          <w:noProof/>
          <w:szCs w:val="20"/>
        </w:rPr>
        <w:t>též v kraji Karlovarském (1,</w:t>
      </w:r>
      <w:r w:rsidR="002651FD">
        <w:rPr>
          <w:rFonts w:cs="Arial"/>
          <w:noProof/>
          <w:szCs w:val="20"/>
        </w:rPr>
        <w:t>23 %), Zlínském (1,20</w:t>
      </w:r>
      <w:r w:rsidR="00D9113E">
        <w:rPr>
          <w:rFonts w:cs="Arial"/>
          <w:noProof/>
          <w:szCs w:val="20"/>
        </w:rPr>
        <w:t> %) a Ústeckém (1,</w:t>
      </w:r>
      <w:r w:rsidR="002651FD">
        <w:rPr>
          <w:rFonts w:cs="Arial"/>
          <w:noProof/>
          <w:szCs w:val="20"/>
        </w:rPr>
        <w:t>13</w:t>
      </w:r>
      <w:r w:rsidR="006F5D76">
        <w:rPr>
          <w:rFonts w:cs="Arial"/>
          <w:noProof/>
          <w:szCs w:val="20"/>
        </w:rPr>
        <w:t> %). Naopak jendoznačně nejmenší podíl žáků využívajících této možnos</w:t>
      </w:r>
      <w:r w:rsidR="003F042C">
        <w:rPr>
          <w:rFonts w:cs="Arial"/>
          <w:noProof/>
          <w:szCs w:val="20"/>
        </w:rPr>
        <w:t>ti najdeme na V</w:t>
      </w:r>
      <w:r w:rsidR="002651FD">
        <w:rPr>
          <w:rFonts w:cs="Arial"/>
          <w:noProof/>
          <w:szCs w:val="20"/>
        </w:rPr>
        <w:t>ysočině (0,35</w:t>
      </w:r>
      <w:r w:rsidR="00705C42">
        <w:rPr>
          <w:rFonts w:cs="Arial"/>
          <w:noProof/>
          <w:szCs w:val="20"/>
        </w:rPr>
        <w:t> %) – viz graf 2.23</w:t>
      </w:r>
      <w:r w:rsidR="003F042C">
        <w:rPr>
          <w:rFonts w:cs="Arial"/>
          <w:noProof/>
          <w:szCs w:val="20"/>
        </w:rPr>
        <w:t>.</w:t>
      </w:r>
    </w:p>
    <w:p w14:paraId="20BFA009" w14:textId="0543014C" w:rsidR="00EA2C94" w:rsidRDefault="00EA2C94" w:rsidP="00E44BA2">
      <w:pPr>
        <w:keepNext/>
        <w:spacing w:after="0" w:line="276" w:lineRule="auto"/>
        <w:rPr>
          <w:rFonts w:cs="Arial"/>
          <w:b/>
          <w:noProof/>
          <w:szCs w:val="20"/>
        </w:rPr>
      </w:pPr>
      <w:r w:rsidRPr="00721BAC">
        <w:rPr>
          <w:rFonts w:cs="Arial"/>
          <w:b/>
          <w:noProof/>
          <w:szCs w:val="20"/>
        </w:rPr>
        <w:lastRenderedPageBreak/>
        <w:t>Graf 2.</w:t>
      </w:r>
      <w:r w:rsidR="00705C42">
        <w:rPr>
          <w:rFonts w:cs="Arial"/>
          <w:b/>
          <w:noProof/>
          <w:szCs w:val="20"/>
        </w:rPr>
        <w:t>23</w:t>
      </w:r>
      <w:r w:rsidRPr="00721BAC">
        <w:rPr>
          <w:rFonts w:cs="Arial"/>
          <w:b/>
          <w:noProof/>
          <w:szCs w:val="20"/>
        </w:rPr>
        <w:t xml:space="preserve"> </w:t>
      </w:r>
      <w:r w:rsidR="002C78B4">
        <w:rPr>
          <w:rFonts w:cs="Arial"/>
          <w:b/>
          <w:noProof/>
          <w:szCs w:val="20"/>
        </w:rPr>
        <w:t xml:space="preserve">Žáci </w:t>
      </w:r>
      <w:r w:rsidR="007B763E">
        <w:rPr>
          <w:rFonts w:cs="Arial"/>
          <w:b/>
          <w:noProof/>
          <w:szCs w:val="20"/>
        </w:rPr>
        <w:t xml:space="preserve">základních škol </w:t>
      </w:r>
      <w:r w:rsidR="002C78B4" w:rsidRPr="002C78B4">
        <w:rPr>
          <w:rFonts w:cs="Arial"/>
          <w:b/>
          <w:noProof/>
          <w:szCs w:val="20"/>
        </w:rPr>
        <w:t>plnící povinnou školní docházku</w:t>
      </w:r>
      <w:r w:rsidR="002C78B4">
        <w:rPr>
          <w:rFonts w:cs="Arial"/>
          <w:b/>
          <w:noProof/>
          <w:szCs w:val="20"/>
        </w:rPr>
        <w:t xml:space="preserve"> </w:t>
      </w:r>
      <w:r w:rsidRPr="009B563C">
        <w:rPr>
          <w:rFonts w:cs="Arial"/>
          <w:b/>
          <w:noProof/>
          <w:szCs w:val="20"/>
        </w:rPr>
        <w:t>v zahraničí nebo na zahraniční škole v</w:t>
      </w:r>
      <w:r w:rsidR="002C78B4">
        <w:rPr>
          <w:rFonts w:cs="Arial"/>
          <w:b/>
          <w:noProof/>
          <w:szCs w:val="20"/>
        </w:rPr>
        <w:t> </w:t>
      </w:r>
      <w:r w:rsidRPr="009B563C">
        <w:rPr>
          <w:rFonts w:cs="Arial"/>
          <w:b/>
          <w:noProof/>
          <w:szCs w:val="20"/>
        </w:rPr>
        <w:t>Č</w:t>
      </w:r>
      <w:r>
        <w:rPr>
          <w:rFonts w:cs="Arial"/>
          <w:b/>
          <w:noProof/>
          <w:szCs w:val="20"/>
        </w:rPr>
        <w:t>R</w:t>
      </w:r>
      <w:r w:rsidR="002C78B4">
        <w:rPr>
          <w:rFonts w:cs="Arial"/>
          <w:b/>
          <w:noProof/>
          <w:szCs w:val="20"/>
        </w:rPr>
        <w:t xml:space="preserve"> dle </w:t>
      </w:r>
      <w:r w:rsidR="00E44BA2">
        <w:rPr>
          <w:rFonts w:cs="Arial"/>
          <w:b/>
          <w:noProof/>
          <w:szCs w:val="20"/>
        </w:rPr>
        <w:t>sídla kmenové školy</w:t>
      </w:r>
      <w:r w:rsidR="00527F80">
        <w:rPr>
          <w:rFonts w:cs="Arial"/>
          <w:b/>
          <w:noProof/>
          <w:szCs w:val="20"/>
        </w:rPr>
        <w:t xml:space="preserve"> (2021/22</w:t>
      </w:r>
      <w:r w:rsidR="002C78B4">
        <w:rPr>
          <w:rFonts w:cs="Arial"/>
          <w:b/>
          <w:noProof/>
          <w:szCs w:val="20"/>
        </w:rPr>
        <w:t>)</w:t>
      </w:r>
    </w:p>
    <w:p w14:paraId="6C18865F" w14:textId="06213CA1" w:rsidR="00CF4ADA" w:rsidRPr="00AB6565" w:rsidRDefault="00CF4ADA" w:rsidP="00E44BA2">
      <w:pPr>
        <w:keepNext/>
        <w:spacing w:after="0" w:line="276" w:lineRule="auto"/>
        <w:rPr>
          <w:rFonts w:cs="Arial"/>
          <w:b/>
          <w:noProof/>
          <w:sz w:val="12"/>
          <w:szCs w:val="12"/>
        </w:rPr>
      </w:pPr>
    </w:p>
    <w:p w14:paraId="335DA783" w14:textId="10500C97" w:rsidR="00EA2C94" w:rsidRPr="00EA2C94" w:rsidRDefault="00CF4ADA" w:rsidP="00AB6565">
      <w:pPr>
        <w:keepNext/>
        <w:spacing w:after="0" w:line="276" w:lineRule="auto"/>
        <w:rPr>
          <w:rFonts w:cs="Arial"/>
          <w:b/>
          <w:noProof/>
          <w:szCs w:val="20"/>
        </w:rPr>
      </w:pPr>
      <w:r>
        <w:rPr>
          <w:noProof/>
        </w:rPr>
        <w:drawing>
          <wp:inline distT="0" distB="0" distL="0" distR="0" wp14:anchorId="18F23B58" wp14:editId="5B2298BE">
            <wp:extent cx="6105525" cy="3400425"/>
            <wp:effectExtent l="0" t="0" r="9525" b="9525"/>
            <wp:docPr id="121" name="Graf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5A3B7E7" w14:textId="2D00C97C" w:rsidR="00EA2C94" w:rsidRPr="00721BAC" w:rsidRDefault="00EA2C94" w:rsidP="005D3B87">
      <w:pPr>
        <w:spacing w:after="120"/>
        <w:jc w:val="right"/>
        <w:rPr>
          <w:rFonts w:cs="Arial"/>
          <w:sz w:val="18"/>
        </w:rPr>
      </w:pPr>
      <w:r w:rsidRPr="00721BAC">
        <w:rPr>
          <w:rFonts w:cs="Arial"/>
          <w:sz w:val="18"/>
        </w:rPr>
        <w:t>Zdroj: MŠMT a vlastní dopočty ČSÚ</w:t>
      </w:r>
    </w:p>
    <w:p w14:paraId="46C7255B" w14:textId="67B84805" w:rsidR="008814AF" w:rsidRDefault="008814AF" w:rsidP="00FF6B7E">
      <w:pPr>
        <w:spacing w:after="120"/>
        <w:jc w:val="both"/>
        <w:rPr>
          <w:rFonts w:cs="Arial"/>
          <w:sz w:val="18"/>
        </w:rPr>
      </w:pPr>
    </w:p>
    <w:p w14:paraId="23AFC661" w14:textId="77777777" w:rsidR="00527F80" w:rsidRPr="00721BAC" w:rsidRDefault="00527F80" w:rsidP="00FF6B7E">
      <w:pPr>
        <w:spacing w:after="120"/>
        <w:jc w:val="both"/>
        <w:rPr>
          <w:rFonts w:cs="Arial"/>
          <w:sz w:val="18"/>
        </w:rPr>
      </w:pPr>
    </w:p>
    <w:p w14:paraId="534B517B" w14:textId="77777777" w:rsidR="00FF6B7E" w:rsidRPr="00A3136E" w:rsidRDefault="00FF6B7E" w:rsidP="00FF6B7E">
      <w:pPr>
        <w:pStyle w:val="Nadpis2"/>
        <w:spacing w:after="120"/>
      </w:pPr>
      <w:bookmarkStart w:id="15" w:name="_Toc112069079"/>
      <w:r w:rsidRPr="00FC7D90">
        <w:rPr>
          <w:bCs w:val="0"/>
        </w:rPr>
        <w:t>2.</w:t>
      </w:r>
      <w:r>
        <w:rPr>
          <w:bCs w:val="0"/>
        </w:rPr>
        <w:t>8</w:t>
      </w:r>
      <w:r w:rsidRPr="00FC7D90">
        <w:rPr>
          <w:b w:val="0"/>
          <w:bCs w:val="0"/>
        </w:rPr>
        <w:t xml:space="preserve"> </w:t>
      </w:r>
      <w:r w:rsidRPr="00FC7D90">
        <w:t>Žáci opakující ročník</w:t>
      </w:r>
      <w:bookmarkEnd w:id="15"/>
    </w:p>
    <w:p w14:paraId="1DA50F11" w14:textId="4D6B0D0E" w:rsidR="004148D5" w:rsidRPr="006A5807" w:rsidRDefault="00FF6B7E" w:rsidP="00FF6B7E">
      <w:pPr>
        <w:spacing w:after="120"/>
        <w:jc w:val="both"/>
        <w:rPr>
          <w:rFonts w:cs="Arial"/>
          <w:szCs w:val="20"/>
        </w:rPr>
      </w:pPr>
      <w:r w:rsidRPr="008E62DB">
        <w:rPr>
          <w:rFonts w:cs="Arial"/>
          <w:szCs w:val="20"/>
        </w:rPr>
        <w:t>V</w:t>
      </w:r>
      <w:r>
        <w:rPr>
          <w:rFonts w:cs="Arial"/>
          <w:szCs w:val="20"/>
        </w:rPr>
        <w:t>e</w:t>
      </w:r>
      <w:r w:rsidRPr="008E62DB">
        <w:rPr>
          <w:rFonts w:cs="Arial"/>
          <w:szCs w:val="20"/>
        </w:rPr>
        <w:t> </w:t>
      </w:r>
      <w:r>
        <w:rPr>
          <w:rFonts w:cs="Arial"/>
          <w:szCs w:val="20"/>
        </w:rPr>
        <w:t xml:space="preserve">školním roce </w:t>
      </w:r>
      <w:r w:rsidR="00557FDA">
        <w:rPr>
          <w:rFonts w:cs="Arial"/>
          <w:szCs w:val="20"/>
        </w:rPr>
        <w:t>2021</w:t>
      </w:r>
      <w:r w:rsidRPr="008E62DB">
        <w:rPr>
          <w:rFonts w:cs="Arial"/>
          <w:szCs w:val="20"/>
        </w:rPr>
        <w:t>/</w:t>
      </w:r>
      <w:r w:rsidR="00557FDA">
        <w:rPr>
          <w:rFonts w:cs="Arial"/>
          <w:szCs w:val="20"/>
        </w:rPr>
        <w:t>22</w:t>
      </w:r>
      <w:r w:rsidRPr="008E62DB">
        <w:rPr>
          <w:rFonts w:cs="Arial"/>
          <w:szCs w:val="20"/>
        </w:rPr>
        <w:t xml:space="preserve"> </w:t>
      </w:r>
      <w:r>
        <w:rPr>
          <w:rFonts w:cs="Arial"/>
          <w:szCs w:val="20"/>
        </w:rPr>
        <w:t xml:space="preserve">muselo celkem </w:t>
      </w:r>
      <w:r w:rsidR="00557FDA">
        <w:rPr>
          <w:rFonts w:cs="Arial"/>
          <w:szCs w:val="20"/>
        </w:rPr>
        <w:t>8 204</w:t>
      </w:r>
      <w:r>
        <w:rPr>
          <w:rFonts w:cs="Arial"/>
          <w:szCs w:val="20"/>
        </w:rPr>
        <w:t xml:space="preserve"> žáků základních škol opakovat ročník</w:t>
      </w:r>
      <w:r w:rsidR="00E66D62">
        <w:rPr>
          <w:rFonts w:cs="Arial"/>
          <w:szCs w:val="20"/>
        </w:rPr>
        <w:t xml:space="preserve"> (0,85 % z celkového </w:t>
      </w:r>
      <w:r w:rsidR="00897D09">
        <w:rPr>
          <w:rFonts w:cs="Arial"/>
          <w:szCs w:val="20"/>
        </w:rPr>
        <w:t xml:space="preserve">počtu </w:t>
      </w:r>
      <w:r w:rsidR="00E66D62">
        <w:rPr>
          <w:rFonts w:cs="Arial"/>
          <w:szCs w:val="20"/>
        </w:rPr>
        <w:t>žáků)</w:t>
      </w:r>
      <w:r>
        <w:rPr>
          <w:rFonts w:cs="Arial"/>
          <w:szCs w:val="20"/>
        </w:rPr>
        <w:t xml:space="preserve">. </w:t>
      </w:r>
      <w:r w:rsidR="006964CE">
        <w:rPr>
          <w:rFonts w:cs="Arial"/>
          <w:szCs w:val="20"/>
        </w:rPr>
        <w:t xml:space="preserve">Jedná se o </w:t>
      </w:r>
      <w:r w:rsidR="00557FDA">
        <w:rPr>
          <w:rFonts w:cs="Arial"/>
          <w:szCs w:val="20"/>
        </w:rPr>
        <w:t>nejvyšší</w:t>
      </w:r>
      <w:r w:rsidR="006964CE">
        <w:rPr>
          <w:rFonts w:cs="Arial"/>
          <w:szCs w:val="20"/>
        </w:rPr>
        <w:t xml:space="preserve"> počet žáků</w:t>
      </w:r>
      <w:r w:rsidR="00557FDA">
        <w:rPr>
          <w:rFonts w:cs="Arial"/>
          <w:szCs w:val="20"/>
        </w:rPr>
        <w:t xml:space="preserve"> za posledních 10 let</w:t>
      </w:r>
      <w:r w:rsidR="00E66D62">
        <w:rPr>
          <w:rFonts w:cs="Arial"/>
          <w:szCs w:val="20"/>
        </w:rPr>
        <w:t xml:space="preserve"> </w:t>
      </w:r>
      <w:r w:rsidR="00557FDA">
        <w:rPr>
          <w:rFonts w:cs="Arial"/>
          <w:szCs w:val="20"/>
        </w:rPr>
        <w:t>a o 4 999 žáků více než v předchozím školním roce</w:t>
      </w:r>
      <w:r w:rsidR="00E66D62">
        <w:rPr>
          <w:rFonts w:cs="Arial"/>
          <w:szCs w:val="20"/>
        </w:rPr>
        <w:t xml:space="preserve"> (tehdy činil 0,33 % z celku)</w:t>
      </w:r>
      <w:r w:rsidR="00557FDA">
        <w:rPr>
          <w:rFonts w:cs="Arial"/>
          <w:szCs w:val="20"/>
        </w:rPr>
        <w:t>. J</w:t>
      </w:r>
      <w:r w:rsidR="005B2ADE">
        <w:rPr>
          <w:rFonts w:cs="Arial"/>
          <w:szCs w:val="20"/>
        </w:rPr>
        <w:t>e pravděpodobné</w:t>
      </w:r>
      <w:r w:rsidR="00557FDA">
        <w:rPr>
          <w:rFonts w:cs="Arial"/>
          <w:szCs w:val="20"/>
        </w:rPr>
        <w:t xml:space="preserve">, že uvedený nárůst má na svědomí pandemie covid-19 a uzavírání škol. </w:t>
      </w:r>
      <w:r w:rsidR="00557FDA">
        <w:t>Z důvodu distanční výuky, a tudíž omezeného vlivu školy a nerovným domácím podmínkám, se v roce 2020 ustupovalo od striktní klasifikace, která by mohla vést k opakování ročníku</w:t>
      </w:r>
      <w:r w:rsidR="00E66D62">
        <w:t xml:space="preserve"> (viz pokyny vydané MŠMT)</w:t>
      </w:r>
      <w:r w:rsidR="00557FDA">
        <w:t xml:space="preserve">. </w:t>
      </w:r>
      <w:r w:rsidR="00557FDA">
        <w:rPr>
          <w:rFonts w:cs="Arial"/>
          <w:szCs w:val="20"/>
        </w:rPr>
        <w:t xml:space="preserve">To způsobilo, že ve </w:t>
      </w:r>
      <w:r w:rsidR="00557FDA" w:rsidRPr="006A5807">
        <w:rPr>
          <w:rFonts w:cs="Arial"/>
          <w:szCs w:val="20"/>
        </w:rPr>
        <w:t>školním roce 2020/21opakovalo ročník výrazně méně žáků než předchozí roky (jen 3 205 oproti např. 6</w:t>
      </w:r>
      <w:r w:rsidR="006B5118" w:rsidRPr="006A5807">
        <w:rPr>
          <w:rFonts w:cs="Arial"/>
          <w:szCs w:val="20"/>
        </w:rPr>
        <w:t> 795 ve školním roce 2019/20).</w:t>
      </w:r>
      <w:r w:rsidR="004148D5" w:rsidRPr="006A5807">
        <w:rPr>
          <w:rFonts w:cs="Arial"/>
          <w:szCs w:val="20"/>
        </w:rPr>
        <w:t xml:space="preserve"> Pokud však žáci během tohoto školního roku nestihli své opoždění dohnat, do dalšího ročníku již nepostoupili. Ve školním roce 2021/22 proto opakovali ročník nejen ti, kteří si dostatečně neosvojili učivo probírané v daném školním roce, ale i ti, kteří </w:t>
      </w:r>
      <w:r w:rsidR="0099086B">
        <w:rPr>
          <w:rFonts w:cs="Arial"/>
          <w:szCs w:val="20"/>
        </w:rPr>
        <w:t>v míře osvojeného učiva</w:t>
      </w:r>
      <w:r w:rsidR="0076309B">
        <w:rPr>
          <w:rFonts w:cs="Arial"/>
          <w:szCs w:val="20"/>
        </w:rPr>
        <w:t xml:space="preserve"> a kompetencí</w:t>
      </w:r>
      <w:r w:rsidR="004148D5" w:rsidRPr="006A5807">
        <w:rPr>
          <w:rFonts w:cs="Arial"/>
          <w:szCs w:val="20"/>
        </w:rPr>
        <w:t xml:space="preserve"> zaostávali již v předchozím školním roce.</w:t>
      </w:r>
    </w:p>
    <w:p w14:paraId="2402822E" w14:textId="0AF30801" w:rsidR="00557FDA" w:rsidRDefault="003C60D5" w:rsidP="00FF6B7E">
      <w:pPr>
        <w:spacing w:after="120"/>
        <w:jc w:val="both"/>
        <w:rPr>
          <w:rFonts w:cs="Arial"/>
          <w:szCs w:val="20"/>
        </w:rPr>
      </w:pPr>
      <w:r w:rsidRPr="006A5807">
        <w:rPr>
          <w:rFonts w:cs="Arial"/>
          <w:szCs w:val="20"/>
        </w:rPr>
        <w:t>Celkově lze říci, že ve školních rocích 2011/12 až 2015/16 byly žáků opakujících</w:t>
      </w:r>
      <w:r>
        <w:rPr>
          <w:rFonts w:cs="Arial"/>
          <w:szCs w:val="20"/>
        </w:rPr>
        <w:t xml:space="preserve"> ročník ze všech žáků základních škol cca tři čtvrtiny procenta. </w:t>
      </w:r>
      <w:r w:rsidR="004148D5">
        <w:rPr>
          <w:rFonts w:cs="Arial"/>
          <w:szCs w:val="20"/>
        </w:rPr>
        <w:t>Ve školním roce 2016/17 činil jejich podíl dvě třetiny procenta (0,67 %), následně však rostl až na 0,71 % ve školním roce 2019/20. Ve školním roce 2020/21 se propadl na 0,3</w:t>
      </w:r>
      <w:r w:rsidR="000B4AD2">
        <w:rPr>
          <w:rFonts w:cs="Arial"/>
          <w:szCs w:val="20"/>
        </w:rPr>
        <w:t>3</w:t>
      </w:r>
      <w:r w:rsidR="004148D5">
        <w:rPr>
          <w:rFonts w:cs="Arial"/>
          <w:szCs w:val="20"/>
        </w:rPr>
        <w:t xml:space="preserve"> % a v uplynulém školním roce 2021/22 dosáhl rekordních 0,85 %. </w:t>
      </w:r>
      <w:r w:rsidR="00D56CD4">
        <w:rPr>
          <w:rFonts w:cs="Arial"/>
          <w:szCs w:val="20"/>
        </w:rPr>
        <w:t>Lze připomenout, že též v předškolním vzdělávání se v uplynulém školním roce zvýšil podíl žáků ve věku 6 a více let před zahájením školního roku, a sice z 6,8 % na 7,4 %, což je výraznější nárůst než v rocích předešlých (viz graf 1.24 výše).</w:t>
      </w:r>
      <w:r w:rsidR="00DF4636">
        <w:rPr>
          <w:rFonts w:cs="Arial"/>
          <w:szCs w:val="20"/>
        </w:rPr>
        <w:t xml:space="preserve"> Tyto děti přitom, dá se říci, „opakují“ povinný rok předškolní přípravy. </w:t>
      </w:r>
      <w:r w:rsidR="006B5118">
        <w:rPr>
          <w:rFonts w:cs="Arial"/>
          <w:szCs w:val="20"/>
        </w:rPr>
        <w:t xml:space="preserve"> </w:t>
      </w:r>
      <w:r w:rsidR="00024EB8" w:rsidRPr="00024EB8">
        <w:rPr>
          <w:rFonts w:cs="Arial"/>
          <w:szCs w:val="20"/>
        </w:rPr>
        <w:t>Zdá se, že část dětí, resp. žáků  na počátku pandemie covid-19 kvůli omezením s ní spojeným nezvládla vstřebat všechny potřebné kompetence či učivo.</w:t>
      </w:r>
    </w:p>
    <w:p w14:paraId="642F5B29" w14:textId="77777777" w:rsidR="003C60D5" w:rsidRDefault="00FF6B7E" w:rsidP="00862B65">
      <w:pPr>
        <w:spacing w:after="120"/>
        <w:jc w:val="both"/>
        <w:rPr>
          <w:rFonts w:cs="Arial"/>
          <w:szCs w:val="20"/>
        </w:rPr>
      </w:pPr>
      <w:r>
        <w:rPr>
          <w:rFonts w:cs="Arial"/>
          <w:szCs w:val="20"/>
        </w:rPr>
        <w:t>Na prvním stupni žáci o</w:t>
      </w:r>
      <w:r w:rsidR="0065031F">
        <w:rPr>
          <w:rFonts w:cs="Arial"/>
          <w:szCs w:val="20"/>
        </w:rPr>
        <w:t>pakovali</w:t>
      </w:r>
      <w:r w:rsidR="00862B65">
        <w:rPr>
          <w:rFonts w:cs="Arial"/>
          <w:szCs w:val="20"/>
        </w:rPr>
        <w:t xml:space="preserve"> ve školním roce 2021/22 nejčastěji hned 1. třídu (třetina</w:t>
      </w:r>
      <w:r w:rsidR="006964CE">
        <w:rPr>
          <w:rFonts w:cs="Arial"/>
          <w:szCs w:val="20"/>
        </w:rPr>
        <w:t xml:space="preserve"> ze všech dětí opakujících ročník na 1. stupni)</w:t>
      </w:r>
      <w:r w:rsidR="00862B65">
        <w:rPr>
          <w:rFonts w:cs="Arial"/>
          <w:szCs w:val="20"/>
        </w:rPr>
        <w:t>. N</w:t>
      </w:r>
      <w:r>
        <w:rPr>
          <w:rFonts w:cs="Arial"/>
          <w:szCs w:val="20"/>
        </w:rPr>
        <w:t xml:space="preserve">a 2. stupni </w:t>
      </w:r>
      <w:r w:rsidR="00862B65">
        <w:rPr>
          <w:rFonts w:cs="Arial"/>
          <w:szCs w:val="20"/>
        </w:rPr>
        <w:t xml:space="preserve">žáci </w:t>
      </w:r>
      <w:r>
        <w:rPr>
          <w:rFonts w:cs="Arial"/>
          <w:szCs w:val="20"/>
        </w:rPr>
        <w:t>ne</w:t>
      </w:r>
      <w:r w:rsidR="00862B65">
        <w:rPr>
          <w:rFonts w:cs="Arial"/>
          <w:szCs w:val="20"/>
        </w:rPr>
        <w:t>jčastěji  opakovali 7</w:t>
      </w:r>
      <w:r w:rsidR="00677072">
        <w:rPr>
          <w:rFonts w:cs="Arial"/>
          <w:szCs w:val="20"/>
        </w:rPr>
        <w:t>. ročník</w:t>
      </w:r>
      <w:r>
        <w:rPr>
          <w:rFonts w:cs="Arial"/>
          <w:szCs w:val="20"/>
        </w:rPr>
        <w:t xml:space="preserve"> </w:t>
      </w:r>
      <w:r w:rsidR="00862B65">
        <w:rPr>
          <w:rFonts w:cs="Arial"/>
          <w:szCs w:val="20"/>
        </w:rPr>
        <w:t>(34,9</w:t>
      </w:r>
      <w:r w:rsidR="00677072">
        <w:rPr>
          <w:rFonts w:cs="Arial"/>
          <w:szCs w:val="20"/>
        </w:rPr>
        <w:t xml:space="preserve"> % ze všech dětí opakujících ročník na 2. stupni)</w:t>
      </w:r>
      <w:r>
        <w:rPr>
          <w:rFonts w:cs="Arial"/>
          <w:szCs w:val="20"/>
        </w:rPr>
        <w:t xml:space="preserve">. </w:t>
      </w:r>
    </w:p>
    <w:p w14:paraId="0B81C81C" w14:textId="6E987453" w:rsidR="00FF6B7E" w:rsidRDefault="00677072" w:rsidP="00862B65">
      <w:pPr>
        <w:spacing w:after="120"/>
        <w:jc w:val="both"/>
        <w:rPr>
          <w:rFonts w:cs="Arial"/>
          <w:szCs w:val="20"/>
        </w:rPr>
      </w:pPr>
      <w:r>
        <w:rPr>
          <w:rFonts w:cs="Arial"/>
          <w:szCs w:val="20"/>
        </w:rPr>
        <w:lastRenderedPageBreak/>
        <w:t xml:space="preserve">Dlouhodobě </w:t>
      </w:r>
      <w:r w:rsidR="003C60D5">
        <w:rPr>
          <w:rFonts w:cs="Arial"/>
          <w:szCs w:val="20"/>
        </w:rPr>
        <w:t xml:space="preserve">se opakování ročníku </w:t>
      </w:r>
      <w:r w:rsidR="004148D5">
        <w:rPr>
          <w:rFonts w:cs="Arial"/>
          <w:szCs w:val="20"/>
        </w:rPr>
        <w:t xml:space="preserve">týká </w:t>
      </w:r>
      <w:r>
        <w:rPr>
          <w:rFonts w:cs="Arial"/>
          <w:szCs w:val="20"/>
        </w:rPr>
        <w:t xml:space="preserve">ve větší míře </w:t>
      </w:r>
      <w:r w:rsidR="0065031F">
        <w:rPr>
          <w:rFonts w:cs="Arial"/>
          <w:szCs w:val="20"/>
        </w:rPr>
        <w:t>chlapců</w:t>
      </w:r>
      <w:r>
        <w:rPr>
          <w:rFonts w:cs="Arial"/>
          <w:szCs w:val="20"/>
        </w:rPr>
        <w:t xml:space="preserve"> než </w:t>
      </w:r>
      <w:r w:rsidR="0065031F">
        <w:rPr>
          <w:rFonts w:cs="Arial"/>
          <w:szCs w:val="20"/>
        </w:rPr>
        <w:t>dívek</w:t>
      </w:r>
      <w:r>
        <w:rPr>
          <w:rFonts w:cs="Arial"/>
          <w:szCs w:val="20"/>
        </w:rPr>
        <w:t xml:space="preserve">. </w:t>
      </w:r>
      <w:r w:rsidR="00862B65">
        <w:rPr>
          <w:rFonts w:cs="Arial"/>
          <w:szCs w:val="20"/>
        </w:rPr>
        <w:t>Ve školním roce 2021/22 tvořili chlapci 56,9</w:t>
      </w:r>
      <w:r>
        <w:rPr>
          <w:rFonts w:cs="Arial"/>
          <w:szCs w:val="20"/>
        </w:rPr>
        <w:t> </w:t>
      </w:r>
      <w:r w:rsidR="00862B65">
        <w:rPr>
          <w:rFonts w:cs="Arial"/>
          <w:szCs w:val="20"/>
        </w:rPr>
        <w:t>% všech žáků opakujících ročník</w:t>
      </w:r>
      <w:r>
        <w:rPr>
          <w:rFonts w:cs="Arial"/>
          <w:szCs w:val="20"/>
        </w:rPr>
        <w:t xml:space="preserve">. </w:t>
      </w:r>
      <w:r w:rsidR="003C60D5">
        <w:rPr>
          <w:rFonts w:cs="Arial"/>
          <w:szCs w:val="20"/>
        </w:rPr>
        <w:t>Přitom největší rozdíly mezi chlapci a dívkami byly ve školním roce 2011/12, kdy chlapců opakujících ročník bylo o 61,5 % více než dívek opakujících ročník. Oproti tomu v posledních třech školních rocích bylo chlapců opakujících ročník již j</w:t>
      </w:r>
      <w:r w:rsidR="009A33AF">
        <w:rPr>
          <w:rFonts w:cs="Arial"/>
          <w:szCs w:val="20"/>
        </w:rPr>
        <w:t>en cca o třetinu více než dívek</w:t>
      </w:r>
      <w:r w:rsidR="00864CB6">
        <w:rPr>
          <w:rFonts w:cs="Arial"/>
          <w:szCs w:val="20"/>
        </w:rPr>
        <w:t>.  Více viz graf</w:t>
      </w:r>
      <w:r w:rsidR="00705C42">
        <w:rPr>
          <w:rFonts w:cs="Arial"/>
          <w:szCs w:val="20"/>
        </w:rPr>
        <w:t xml:space="preserve"> 2.24</w:t>
      </w:r>
      <w:r w:rsidR="003C60D5">
        <w:rPr>
          <w:rFonts w:cs="Arial"/>
          <w:szCs w:val="20"/>
        </w:rPr>
        <w:t>.</w:t>
      </w:r>
      <w:r w:rsidR="00FF6B7E">
        <w:rPr>
          <w:rFonts w:cs="Arial"/>
          <w:szCs w:val="20"/>
        </w:rPr>
        <w:t xml:space="preserve"> </w:t>
      </w:r>
    </w:p>
    <w:p w14:paraId="0CE68748" w14:textId="02E6C27F" w:rsidR="00FF6B7E" w:rsidRDefault="00FF6B7E" w:rsidP="007615EC">
      <w:pPr>
        <w:keepNext/>
        <w:spacing w:after="0" w:line="276" w:lineRule="auto"/>
        <w:rPr>
          <w:rFonts w:cs="Arial"/>
          <w:b/>
          <w:noProof/>
          <w:szCs w:val="20"/>
        </w:rPr>
      </w:pPr>
      <w:r w:rsidRPr="00721BAC">
        <w:rPr>
          <w:rFonts w:cs="Arial"/>
          <w:b/>
          <w:noProof/>
          <w:szCs w:val="20"/>
        </w:rPr>
        <w:t>Graf 2.</w:t>
      </w:r>
      <w:r w:rsidR="00705C42">
        <w:rPr>
          <w:rFonts w:cs="Arial"/>
          <w:b/>
          <w:noProof/>
          <w:szCs w:val="20"/>
        </w:rPr>
        <w:t>24</w:t>
      </w:r>
      <w:r w:rsidRPr="00721BAC">
        <w:rPr>
          <w:rFonts w:cs="Arial"/>
          <w:b/>
          <w:noProof/>
          <w:szCs w:val="20"/>
        </w:rPr>
        <w:t xml:space="preserve"> </w:t>
      </w:r>
      <w:r w:rsidR="006E0594">
        <w:rPr>
          <w:rFonts w:cs="Arial"/>
          <w:b/>
          <w:noProof/>
          <w:szCs w:val="20"/>
        </w:rPr>
        <w:t>Žáci základních škol opakující</w:t>
      </w:r>
      <w:r w:rsidRPr="00227220">
        <w:rPr>
          <w:rFonts w:cs="Arial"/>
          <w:b/>
          <w:noProof/>
          <w:szCs w:val="20"/>
        </w:rPr>
        <w:t xml:space="preserve"> ročník</w:t>
      </w:r>
      <w:r w:rsidR="001E07F5">
        <w:rPr>
          <w:rFonts w:cs="Arial"/>
          <w:b/>
          <w:noProof/>
          <w:szCs w:val="20"/>
        </w:rPr>
        <w:t xml:space="preserve"> celkem a dle pohlaví (vývoj v čase)</w:t>
      </w:r>
    </w:p>
    <w:p w14:paraId="009495F2" w14:textId="6499264B" w:rsidR="00DD5695" w:rsidRDefault="00DD5695" w:rsidP="001E07F5">
      <w:pPr>
        <w:keepNext/>
        <w:spacing w:after="120" w:line="276" w:lineRule="auto"/>
        <w:rPr>
          <w:rFonts w:cs="Arial"/>
          <w:b/>
          <w:noProof/>
          <w:szCs w:val="20"/>
        </w:rPr>
      </w:pPr>
      <w:r w:rsidRPr="004E17E8">
        <w:rPr>
          <w:rFonts w:cs="Arial"/>
          <w:i/>
          <w:noProof/>
          <w:szCs w:val="20"/>
        </w:rPr>
        <w:t>(</w:t>
      </w:r>
      <w:r>
        <w:rPr>
          <w:rFonts w:cs="Arial"/>
          <w:i/>
          <w:noProof/>
          <w:szCs w:val="20"/>
        </w:rPr>
        <w:t xml:space="preserve">celkový počet a </w:t>
      </w:r>
      <w:r w:rsidRPr="004E17E8">
        <w:rPr>
          <w:rFonts w:cs="Arial"/>
          <w:i/>
          <w:noProof/>
          <w:szCs w:val="20"/>
        </w:rPr>
        <w:t>podíly na celkovém počtu žáků</w:t>
      </w:r>
      <w:r>
        <w:rPr>
          <w:rFonts w:cs="Arial"/>
          <w:i/>
          <w:noProof/>
          <w:szCs w:val="20"/>
        </w:rPr>
        <w:t>,</w:t>
      </w:r>
      <w:r w:rsidRPr="004E17E8">
        <w:rPr>
          <w:rFonts w:cs="Arial"/>
          <w:i/>
          <w:noProof/>
          <w:szCs w:val="20"/>
        </w:rPr>
        <w:t xml:space="preserve"> resp. </w:t>
      </w:r>
      <w:r>
        <w:rPr>
          <w:rFonts w:cs="Arial"/>
          <w:i/>
          <w:noProof/>
          <w:szCs w:val="20"/>
        </w:rPr>
        <w:t>chlapců či dívek</w:t>
      </w:r>
      <w:r w:rsidRPr="004E17E8">
        <w:rPr>
          <w:rFonts w:cs="Arial"/>
          <w:i/>
          <w:noProof/>
          <w:szCs w:val="20"/>
        </w:rPr>
        <w:t xml:space="preserve"> na základních školách</w:t>
      </w:r>
      <w:r>
        <w:rPr>
          <w:rFonts w:cs="Arial"/>
          <w:i/>
          <w:noProof/>
          <w:szCs w:val="20"/>
        </w:rPr>
        <w:t>)</w:t>
      </w:r>
    </w:p>
    <w:p w14:paraId="7E3E021A" w14:textId="730E2228" w:rsidR="006964CE" w:rsidRDefault="000B4AD2" w:rsidP="000B4AD2">
      <w:pPr>
        <w:keepNext/>
        <w:spacing w:after="120" w:line="276" w:lineRule="auto"/>
        <w:rPr>
          <w:rFonts w:cs="Arial"/>
          <w:b/>
          <w:noProof/>
          <w:szCs w:val="20"/>
        </w:rPr>
      </w:pPr>
      <w:r w:rsidRPr="000B4AD2">
        <w:rPr>
          <w:rFonts w:cs="Arial"/>
          <w:b/>
          <w:noProof/>
          <w:szCs w:val="20"/>
        </w:rPr>
        <w:drawing>
          <wp:inline distT="0" distB="0" distL="0" distR="0" wp14:anchorId="5AAB8631" wp14:editId="4C0E274B">
            <wp:extent cx="6120130" cy="3619500"/>
            <wp:effectExtent l="0" t="0" r="13970" b="0"/>
            <wp:docPr id="15" name="Graf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7CE62980" w14:textId="5168085B" w:rsidR="00FF6B7E" w:rsidRPr="00721BAC" w:rsidRDefault="00FF6B7E" w:rsidP="001E07F5">
      <w:pPr>
        <w:spacing w:before="120" w:after="120"/>
        <w:jc w:val="right"/>
        <w:rPr>
          <w:rFonts w:cs="Arial"/>
          <w:sz w:val="18"/>
        </w:rPr>
      </w:pPr>
      <w:r w:rsidRPr="00721BAC">
        <w:rPr>
          <w:rFonts w:cs="Arial"/>
          <w:sz w:val="18"/>
        </w:rPr>
        <w:t>Zdroj: MŠMT a vlastní dopočty ČSÚ</w:t>
      </w:r>
    </w:p>
    <w:p w14:paraId="4FE451DC" w14:textId="6BEA3FEB" w:rsidR="00FF6B7E" w:rsidRDefault="00FF6B7E" w:rsidP="00FF6B7E">
      <w:pPr>
        <w:spacing w:after="120"/>
        <w:jc w:val="both"/>
        <w:rPr>
          <w:rFonts w:cs="Arial"/>
          <w:szCs w:val="20"/>
        </w:rPr>
      </w:pPr>
      <w:r>
        <w:rPr>
          <w:rFonts w:cs="Arial"/>
          <w:szCs w:val="20"/>
        </w:rPr>
        <w:t xml:space="preserve">I v tomto ukazateli existují významné </w:t>
      </w:r>
      <w:r w:rsidRPr="00FC7D90">
        <w:rPr>
          <w:rFonts w:cs="Arial"/>
          <w:b/>
          <w:szCs w:val="20"/>
        </w:rPr>
        <w:t>regionální rozdíly</w:t>
      </w:r>
      <w:r>
        <w:rPr>
          <w:rFonts w:cs="Arial"/>
          <w:szCs w:val="20"/>
        </w:rPr>
        <w:t>.</w:t>
      </w:r>
      <w:r w:rsidR="00875626">
        <w:rPr>
          <w:rFonts w:cs="Arial"/>
          <w:szCs w:val="20"/>
        </w:rPr>
        <w:t xml:space="preserve"> Nejvyšší podíl žáků opakujících ročník, a to dívek i c</w:t>
      </w:r>
      <w:r w:rsidR="009F7060">
        <w:rPr>
          <w:rFonts w:cs="Arial"/>
          <w:szCs w:val="20"/>
        </w:rPr>
        <w:t>hlapců, byl ve školním roce 2021/22</w:t>
      </w:r>
      <w:r w:rsidR="00875626">
        <w:rPr>
          <w:rFonts w:cs="Arial"/>
          <w:szCs w:val="20"/>
        </w:rPr>
        <w:t xml:space="preserve"> za</w:t>
      </w:r>
      <w:r w:rsidR="009F7060">
        <w:rPr>
          <w:rFonts w:cs="Arial"/>
          <w:szCs w:val="20"/>
        </w:rPr>
        <w:t>znamenán v Ústeckém kraji (1,7</w:t>
      </w:r>
      <w:r w:rsidR="00875626">
        <w:rPr>
          <w:rFonts w:cs="Arial"/>
          <w:szCs w:val="20"/>
        </w:rPr>
        <w:t> %</w:t>
      </w:r>
      <w:r w:rsidR="00ED4D0E">
        <w:rPr>
          <w:rFonts w:cs="Arial"/>
          <w:szCs w:val="20"/>
        </w:rPr>
        <w:t xml:space="preserve"> ze všech žáků</w:t>
      </w:r>
      <w:r w:rsidR="00690DB2">
        <w:rPr>
          <w:rFonts w:cs="Arial"/>
          <w:szCs w:val="20"/>
        </w:rPr>
        <w:t>), nejnižší naopak v Praze (0,4</w:t>
      </w:r>
      <w:r w:rsidR="00875626">
        <w:rPr>
          <w:rFonts w:cs="Arial"/>
          <w:szCs w:val="20"/>
        </w:rPr>
        <w:t> %)</w:t>
      </w:r>
      <w:r w:rsidR="002D5FC9">
        <w:rPr>
          <w:rStyle w:val="Znakapoznpodarou"/>
          <w:rFonts w:cs="Arial"/>
          <w:szCs w:val="20"/>
        </w:rPr>
        <w:footnoteReference w:id="26"/>
      </w:r>
      <w:r w:rsidR="00875626">
        <w:rPr>
          <w:rFonts w:cs="Arial"/>
          <w:szCs w:val="20"/>
        </w:rPr>
        <w:t xml:space="preserve">. V </w:t>
      </w:r>
      <w:r w:rsidR="009F7060">
        <w:rPr>
          <w:rFonts w:cs="Arial"/>
          <w:szCs w:val="20"/>
        </w:rPr>
        <w:t>Ústeckém</w:t>
      </w:r>
      <w:r w:rsidR="00875626">
        <w:rPr>
          <w:rFonts w:cs="Arial"/>
          <w:szCs w:val="20"/>
        </w:rPr>
        <w:t xml:space="preserve"> </w:t>
      </w:r>
      <w:r w:rsidR="00690DB2">
        <w:rPr>
          <w:rFonts w:cs="Arial"/>
          <w:szCs w:val="20"/>
        </w:rPr>
        <w:t xml:space="preserve">kraji </w:t>
      </w:r>
      <w:r w:rsidR="00875626">
        <w:rPr>
          <w:rFonts w:cs="Arial"/>
          <w:szCs w:val="20"/>
        </w:rPr>
        <w:t xml:space="preserve">byl zároveň </w:t>
      </w:r>
      <w:r w:rsidR="009F7060">
        <w:rPr>
          <w:rFonts w:cs="Arial"/>
          <w:szCs w:val="20"/>
        </w:rPr>
        <w:t>nejvyrovnanější podíl opakujících chlapců a</w:t>
      </w:r>
      <w:r w:rsidR="00875626">
        <w:rPr>
          <w:rFonts w:cs="Arial"/>
          <w:szCs w:val="20"/>
        </w:rPr>
        <w:t xml:space="preserve"> dívek</w:t>
      </w:r>
      <w:r w:rsidR="009F7060">
        <w:rPr>
          <w:rFonts w:cs="Arial"/>
          <w:szCs w:val="20"/>
        </w:rPr>
        <w:t xml:space="preserve">, chlapců bylo jen o 16,4 % více (688 chlapců a 591 dívek). Naopak v kraji Zlínském bylo chlapců o 81,1 % více (201 chlapců a 111 dívek). </w:t>
      </w:r>
      <w:r w:rsidR="00EC639B">
        <w:rPr>
          <w:rFonts w:cs="Arial"/>
          <w:szCs w:val="20"/>
        </w:rPr>
        <w:t>Ví</w:t>
      </w:r>
      <w:r w:rsidR="00864CB6">
        <w:rPr>
          <w:rFonts w:cs="Arial"/>
          <w:szCs w:val="20"/>
        </w:rPr>
        <w:t>ce viz graf</w:t>
      </w:r>
      <w:r w:rsidR="00705C42">
        <w:rPr>
          <w:rFonts w:cs="Arial"/>
          <w:szCs w:val="20"/>
        </w:rPr>
        <w:t xml:space="preserve"> 2.25</w:t>
      </w:r>
      <w:r w:rsidR="00EC639B">
        <w:rPr>
          <w:rFonts w:cs="Arial"/>
          <w:szCs w:val="20"/>
        </w:rPr>
        <w:t>.</w:t>
      </w:r>
    </w:p>
    <w:p w14:paraId="052540F0" w14:textId="2EAFD4CF" w:rsidR="00FF6B7E" w:rsidRDefault="00FF6B7E" w:rsidP="00875626">
      <w:pPr>
        <w:keepNext/>
        <w:spacing w:after="0" w:line="276" w:lineRule="auto"/>
        <w:rPr>
          <w:rFonts w:cs="Arial"/>
          <w:b/>
          <w:noProof/>
          <w:szCs w:val="20"/>
        </w:rPr>
      </w:pPr>
      <w:r w:rsidRPr="00721BAC">
        <w:rPr>
          <w:rFonts w:cs="Arial"/>
          <w:b/>
          <w:noProof/>
          <w:szCs w:val="20"/>
        </w:rPr>
        <w:lastRenderedPageBreak/>
        <w:t>Graf 2.</w:t>
      </w:r>
      <w:r>
        <w:rPr>
          <w:rFonts w:cs="Arial"/>
          <w:b/>
          <w:noProof/>
          <w:szCs w:val="20"/>
        </w:rPr>
        <w:t>2</w:t>
      </w:r>
      <w:r w:rsidR="00705C42">
        <w:rPr>
          <w:rFonts w:cs="Arial"/>
          <w:b/>
          <w:noProof/>
          <w:szCs w:val="20"/>
        </w:rPr>
        <w:t>5</w:t>
      </w:r>
      <w:r w:rsidRPr="00721BAC">
        <w:rPr>
          <w:rFonts w:cs="Arial"/>
          <w:b/>
          <w:noProof/>
          <w:szCs w:val="20"/>
        </w:rPr>
        <w:t xml:space="preserve"> </w:t>
      </w:r>
      <w:r w:rsidR="00DD5695">
        <w:rPr>
          <w:rFonts w:cs="Arial"/>
          <w:b/>
          <w:noProof/>
          <w:szCs w:val="20"/>
        </w:rPr>
        <w:t>Žáci základních škol opakující</w:t>
      </w:r>
      <w:r w:rsidRPr="00227220">
        <w:rPr>
          <w:rFonts w:cs="Arial"/>
          <w:b/>
          <w:noProof/>
          <w:szCs w:val="20"/>
        </w:rPr>
        <w:t xml:space="preserve"> ročník</w:t>
      </w:r>
      <w:r>
        <w:rPr>
          <w:rFonts w:cs="Arial"/>
          <w:b/>
          <w:noProof/>
          <w:szCs w:val="20"/>
        </w:rPr>
        <w:t xml:space="preserve"> v</w:t>
      </w:r>
      <w:r w:rsidR="00065939">
        <w:rPr>
          <w:rFonts w:cs="Arial"/>
          <w:b/>
          <w:noProof/>
          <w:szCs w:val="20"/>
        </w:rPr>
        <w:t> krajích ČR ve školním roce 2021/22</w:t>
      </w:r>
      <w:r>
        <w:rPr>
          <w:rFonts w:cs="Arial"/>
          <w:b/>
          <w:noProof/>
          <w:szCs w:val="20"/>
        </w:rPr>
        <w:t xml:space="preserve"> </w:t>
      </w:r>
    </w:p>
    <w:p w14:paraId="0138ECC4" w14:textId="6471DF44" w:rsidR="00FF6B7E" w:rsidRDefault="00FF6B7E" w:rsidP="001E07F5">
      <w:pPr>
        <w:keepNext/>
        <w:spacing w:after="120" w:line="276" w:lineRule="auto"/>
        <w:rPr>
          <w:rFonts w:cs="Arial"/>
          <w:i/>
          <w:noProof/>
          <w:szCs w:val="20"/>
        </w:rPr>
      </w:pPr>
      <w:r w:rsidRPr="004E17E8">
        <w:rPr>
          <w:rFonts w:cs="Arial"/>
          <w:i/>
          <w:noProof/>
          <w:szCs w:val="20"/>
        </w:rPr>
        <w:t>(podíly na celkovém počtu žáků</w:t>
      </w:r>
      <w:r w:rsidR="00DD5695">
        <w:rPr>
          <w:rFonts w:cs="Arial"/>
          <w:i/>
          <w:noProof/>
          <w:szCs w:val="20"/>
        </w:rPr>
        <w:t>,</w:t>
      </w:r>
      <w:r w:rsidRPr="004E17E8">
        <w:rPr>
          <w:rFonts w:cs="Arial"/>
          <w:i/>
          <w:noProof/>
          <w:szCs w:val="20"/>
        </w:rPr>
        <w:t xml:space="preserve"> resp. </w:t>
      </w:r>
      <w:r>
        <w:rPr>
          <w:rFonts w:cs="Arial"/>
          <w:i/>
          <w:noProof/>
          <w:szCs w:val="20"/>
        </w:rPr>
        <w:t>chlapců či dívek</w:t>
      </w:r>
      <w:r w:rsidRPr="004E17E8">
        <w:rPr>
          <w:rFonts w:cs="Arial"/>
          <w:i/>
          <w:noProof/>
          <w:szCs w:val="20"/>
        </w:rPr>
        <w:t xml:space="preserve"> na základních školách v daném kraji)</w:t>
      </w:r>
    </w:p>
    <w:p w14:paraId="2FDEC7D6" w14:textId="67CABA75" w:rsidR="00465AD1" w:rsidRDefault="00465AD1" w:rsidP="00875626">
      <w:pPr>
        <w:keepNext/>
        <w:spacing w:after="0" w:line="276" w:lineRule="auto"/>
        <w:rPr>
          <w:rFonts w:cs="Arial"/>
          <w:i/>
          <w:noProof/>
          <w:szCs w:val="20"/>
        </w:rPr>
      </w:pPr>
      <w:r>
        <w:rPr>
          <w:noProof/>
        </w:rPr>
        <w:drawing>
          <wp:inline distT="0" distB="0" distL="0" distR="0" wp14:anchorId="6760092C" wp14:editId="66570ADF">
            <wp:extent cx="6120130" cy="3057525"/>
            <wp:effectExtent l="0" t="0" r="13970" b="9525"/>
            <wp:docPr id="89" name="Graf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FDFC9CE" w14:textId="3429EA44" w:rsidR="00FF6B7E" w:rsidRPr="00FB55A4" w:rsidRDefault="00FF6B7E" w:rsidP="00FB55A4">
      <w:pPr>
        <w:spacing w:after="0" w:line="240" w:lineRule="auto"/>
        <w:jc w:val="both"/>
        <w:rPr>
          <w:rFonts w:cs="Arial"/>
          <w:sz w:val="16"/>
          <w:szCs w:val="16"/>
          <w:highlight w:val="yellow"/>
        </w:rPr>
      </w:pPr>
    </w:p>
    <w:p w14:paraId="474DE34A" w14:textId="77777777" w:rsidR="00FF6B7E" w:rsidRPr="00721BAC" w:rsidRDefault="00FF6B7E" w:rsidP="00FB55A4">
      <w:pPr>
        <w:jc w:val="right"/>
        <w:rPr>
          <w:rFonts w:cs="Arial"/>
          <w:sz w:val="18"/>
        </w:rPr>
      </w:pPr>
      <w:r w:rsidRPr="00721BAC">
        <w:rPr>
          <w:rFonts w:cs="Arial"/>
          <w:sz w:val="18"/>
        </w:rPr>
        <w:t>Zdroj: MŠMT a vlastní dopočty ČSÚ</w:t>
      </w:r>
    </w:p>
    <w:p w14:paraId="12157237" w14:textId="77777777" w:rsidR="00FF6B7E" w:rsidRPr="00A3136E" w:rsidRDefault="00FF6B7E" w:rsidP="00FF6B7E">
      <w:pPr>
        <w:pStyle w:val="Nadpis2"/>
        <w:spacing w:after="120"/>
      </w:pPr>
      <w:bookmarkStart w:id="16" w:name="_Toc112069080"/>
      <w:r w:rsidRPr="00FC7D90">
        <w:rPr>
          <w:bCs w:val="0"/>
        </w:rPr>
        <w:t>2.</w:t>
      </w:r>
      <w:r>
        <w:rPr>
          <w:bCs w:val="0"/>
        </w:rPr>
        <w:t>9</w:t>
      </w:r>
      <w:r w:rsidRPr="00FC7D90">
        <w:rPr>
          <w:b w:val="0"/>
          <w:bCs w:val="0"/>
        </w:rPr>
        <w:t xml:space="preserve"> </w:t>
      </w:r>
      <w:r w:rsidRPr="001D67FE">
        <w:t>Přestupy na víceletá gymnázia nebo osmileté konzervatoře</w:t>
      </w:r>
      <w:bookmarkEnd w:id="16"/>
    </w:p>
    <w:p w14:paraId="2F9D7363" w14:textId="47BE6F4A" w:rsidR="00377D23" w:rsidRDefault="006E0594" w:rsidP="00FF6B7E">
      <w:pPr>
        <w:spacing w:after="120"/>
        <w:jc w:val="both"/>
      </w:pPr>
      <w:r>
        <w:rPr>
          <w:rFonts w:cs="Arial"/>
          <w:szCs w:val="20"/>
        </w:rPr>
        <w:t>Po ukončení školního roku</w:t>
      </w:r>
      <w:r w:rsidR="005C00E4">
        <w:rPr>
          <w:rFonts w:cs="Arial"/>
          <w:szCs w:val="20"/>
        </w:rPr>
        <w:t xml:space="preserve"> 2020/21</w:t>
      </w:r>
      <w:r w:rsidR="00FF6B7E" w:rsidRPr="00757985">
        <w:rPr>
          <w:rFonts w:cs="Arial"/>
          <w:szCs w:val="20"/>
        </w:rPr>
        <w:t xml:space="preserve"> přestoupilo na víceletá gymnázia či o</w:t>
      </w:r>
      <w:r w:rsidR="00BA74FC">
        <w:rPr>
          <w:rFonts w:cs="Arial"/>
          <w:szCs w:val="20"/>
        </w:rPr>
        <w:t>smileté konzervatoře celkem 10 </w:t>
      </w:r>
      <w:r w:rsidR="00235806">
        <w:rPr>
          <w:rFonts w:cs="Arial"/>
          <w:szCs w:val="20"/>
        </w:rPr>
        <w:t>337</w:t>
      </w:r>
      <w:r w:rsidR="00FF6B7E" w:rsidRPr="00757985">
        <w:rPr>
          <w:rFonts w:cs="Arial"/>
          <w:szCs w:val="20"/>
        </w:rPr>
        <w:t xml:space="preserve"> </w:t>
      </w:r>
      <w:r w:rsidR="00FF6B7E">
        <w:rPr>
          <w:rFonts w:cs="Arial"/>
          <w:szCs w:val="20"/>
        </w:rPr>
        <w:t>žáků základních škol</w:t>
      </w:r>
      <w:r w:rsidR="00235806">
        <w:rPr>
          <w:rFonts w:cs="Arial"/>
          <w:szCs w:val="20"/>
        </w:rPr>
        <w:t>. Od školního roku 2021/22</w:t>
      </w:r>
      <w:r w:rsidR="00DB0A08">
        <w:rPr>
          <w:rFonts w:cs="Arial"/>
          <w:szCs w:val="20"/>
        </w:rPr>
        <w:t xml:space="preserve"> již tak studovali </w:t>
      </w:r>
      <w:r w:rsidR="00DB0A08" w:rsidRPr="00235806">
        <w:rPr>
          <w:rFonts w:cs="Arial"/>
          <w:szCs w:val="20"/>
        </w:rPr>
        <w:t>střední školu</w:t>
      </w:r>
      <w:r w:rsidR="00FF6B7E" w:rsidRPr="00235806">
        <w:rPr>
          <w:rFonts w:cs="Arial"/>
          <w:szCs w:val="20"/>
        </w:rPr>
        <w:t xml:space="preserve">. </w:t>
      </w:r>
      <w:r w:rsidR="0034095F" w:rsidRPr="00235806">
        <w:rPr>
          <w:rFonts w:cs="Arial"/>
          <w:szCs w:val="20"/>
        </w:rPr>
        <w:t>Z celkového počtu žáků v 5. a</w:t>
      </w:r>
      <w:r w:rsidR="00FF6B7E" w:rsidRPr="00235806">
        <w:rPr>
          <w:rFonts w:cs="Arial"/>
          <w:szCs w:val="20"/>
        </w:rPr>
        <w:t xml:space="preserve"> 7. ročníku </w:t>
      </w:r>
      <w:r w:rsidR="00D74A8A">
        <w:rPr>
          <w:rFonts w:cs="Arial"/>
          <w:szCs w:val="20"/>
        </w:rPr>
        <w:t>přešlo</w:t>
      </w:r>
      <w:r w:rsidR="00FF6B7E" w:rsidRPr="00235806">
        <w:rPr>
          <w:rFonts w:cs="Arial"/>
          <w:szCs w:val="20"/>
        </w:rPr>
        <w:t xml:space="preserve"> na víceletá gymnázia či </w:t>
      </w:r>
      <w:r w:rsidR="002C6907" w:rsidRPr="00235806">
        <w:rPr>
          <w:rFonts w:cs="Arial"/>
          <w:szCs w:val="20"/>
        </w:rPr>
        <w:t xml:space="preserve">osmileté </w:t>
      </w:r>
      <w:r w:rsidR="00235806" w:rsidRPr="00235806">
        <w:rPr>
          <w:rFonts w:cs="Arial"/>
          <w:szCs w:val="20"/>
        </w:rPr>
        <w:t>konzervatoře 4,6</w:t>
      </w:r>
      <w:r w:rsidR="00FF6B7E" w:rsidRPr="00235806">
        <w:rPr>
          <w:rFonts w:cs="Arial"/>
          <w:szCs w:val="20"/>
        </w:rPr>
        <w:t xml:space="preserve"> %. </w:t>
      </w:r>
      <w:r w:rsidR="0034095F" w:rsidRPr="00235806">
        <w:rPr>
          <w:rFonts w:cs="Arial"/>
          <w:szCs w:val="20"/>
        </w:rPr>
        <w:t>Přitom z</w:t>
      </w:r>
      <w:r w:rsidR="00FF6B7E" w:rsidRPr="00235806">
        <w:rPr>
          <w:rFonts w:cs="Arial"/>
          <w:szCs w:val="20"/>
        </w:rPr>
        <w:t xml:space="preserve"> 5. ročník</w:t>
      </w:r>
      <w:r w:rsidR="0034095F" w:rsidRPr="00235806">
        <w:rPr>
          <w:rFonts w:cs="Arial"/>
          <w:szCs w:val="20"/>
        </w:rPr>
        <w:t>u jich bylo více (8 </w:t>
      </w:r>
      <w:r w:rsidR="00235806" w:rsidRPr="00235806">
        <w:rPr>
          <w:rFonts w:cs="Arial"/>
          <w:szCs w:val="20"/>
        </w:rPr>
        <w:t>077</w:t>
      </w:r>
      <w:r w:rsidR="00FF6B7E" w:rsidRPr="00235806">
        <w:rPr>
          <w:rFonts w:cs="Arial"/>
          <w:szCs w:val="20"/>
        </w:rPr>
        <w:t>,</w:t>
      </w:r>
      <w:r w:rsidR="00235806" w:rsidRPr="00235806">
        <w:rPr>
          <w:rFonts w:cs="Arial"/>
          <w:szCs w:val="20"/>
        </w:rPr>
        <w:t xml:space="preserve"> neboli 6,9</w:t>
      </w:r>
      <w:r w:rsidR="0034095F" w:rsidRPr="00235806">
        <w:rPr>
          <w:rFonts w:cs="Arial"/>
          <w:szCs w:val="20"/>
        </w:rPr>
        <w:t> % z celkového počtu žáků)</w:t>
      </w:r>
      <w:r w:rsidR="00FF6B7E" w:rsidRPr="00235806">
        <w:rPr>
          <w:rFonts w:cs="Arial"/>
          <w:szCs w:val="20"/>
        </w:rPr>
        <w:t xml:space="preserve"> n</w:t>
      </w:r>
      <w:r w:rsidR="002C6907" w:rsidRPr="00235806">
        <w:rPr>
          <w:rFonts w:cs="Arial"/>
          <w:szCs w:val="20"/>
        </w:rPr>
        <w:t>ež těch z ročníku sedmého (2</w:t>
      </w:r>
      <w:r w:rsidR="0034095F" w:rsidRPr="00235806">
        <w:rPr>
          <w:rFonts w:cs="Arial"/>
          <w:szCs w:val="20"/>
        </w:rPr>
        <w:t> </w:t>
      </w:r>
      <w:r w:rsidR="00235806" w:rsidRPr="00235806">
        <w:rPr>
          <w:rFonts w:cs="Arial"/>
          <w:szCs w:val="20"/>
        </w:rPr>
        <w:t>173</w:t>
      </w:r>
      <w:r w:rsidR="0034095F">
        <w:rPr>
          <w:rFonts w:cs="Arial"/>
          <w:szCs w:val="20"/>
        </w:rPr>
        <w:t xml:space="preserve">, neboli </w:t>
      </w:r>
      <w:r w:rsidR="00A65D20">
        <w:rPr>
          <w:rFonts w:cs="Arial"/>
          <w:szCs w:val="20"/>
        </w:rPr>
        <w:t>2 %</w:t>
      </w:r>
      <w:r w:rsidR="00FF6B7E">
        <w:rPr>
          <w:rFonts w:cs="Arial"/>
          <w:szCs w:val="20"/>
        </w:rPr>
        <w:t xml:space="preserve">). </w:t>
      </w:r>
      <w:r w:rsidR="00377D23">
        <w:rPr>
          <w:rFonts w:cs="Arial"/>
          <w:szCs w:val="20"/>
        </w:rPr>
        <w:t>Z</w:t>
      </w:r>
      <w:r w:rsidR="00235806">
        <w:rPr>
          <w:rFonts w:cs="Arial"/>
          <w:szCs w:val="20"/>
        </w:rPr>
        <w:t>a posledních šest</w:t>
      </w:r>
      <w:r w:rsidR="00FF6B7E" w:rsidRPr="001D67FE">
        <w:rPr>
          <w:rFonts w:cs="Arial"/>
          <w:szCs w:val="20"/>
        </w:rPr>
        <w:t xml:space="preserve"> let mírně k</w:t>
      </w:r>
      <w:r w:rsidR="003B41E7">
        <w:rPr>
          <w:rFonts w:cs="Arial"/>
          <w:szCs w:val="20"/>
        </w:rPr>
        <w:t xml:space="preserve">lesl podíl žáků, kteří </w:t>
      </w:r>
      <w:r w:rsidR="00B9104B">
        <w:rPr>
          <w:rFonts w:cs="Arial"/>
          <w:szCs w:val="20"/>
        </w:rPr>
        <w:t>na střední školy</w:t>
      </w:r>
      <w:r w:rsidR="00D74A8A">
        <w:rPr>
          <w:rFonts w:cs="Arial"/>
          <w:szCs w:val="20"/>
        </w:rPr>
        <w:t xml:space="preserve"> nastoupili z </w:t>
      </w:r>
      <w:r w:rsidR="00D74A8A" w:rsidRPr="001D67FE">
        <w:rPr>
          <w:rFonts w:cs="Arial"/>
          <w:szCs w:val="20"/>
        </w:rPr>
        <w:t>5. roč</w:t>
      </w:r>
      <w:r w:rsidR="00D74A8A">
        <w:rPr>
          <w:rFonts w:cs="Arial"/>
          <w:szCs w:val="20"/>
        </w:rPr>
        <w:t>níku</w:t>
      </w:r>
      <w:r w:rsidR="00B9104B">
        <w:rPr>
          <w:rFonts w:cs="Arial"/>
          <w:szCs w:val="20"/>
        </w:rPr>
        <w:t>, a sice z</w:t>
      </w:r>
      <w:r w:rsidR="00235806">
        <w:rPr>
          <w:rFonts w:cs="Arial"/>
          <w:szCs w:val="20"/>
        </w:rPr>
        <w:t xml:space="preserve"> 8,3 % </w:t>
      </w:r>
      <w:r w:rsidR="00D74A8A">
        <w:rPr>
          <w:rFonts w:cs="Arial"/>
          <w:szCs w:val="20"/>
        </w:rPr>
        <w:t xml:space="preserve">páťáků </w:t>
      </w:r>
      <w:r w:rsidR="00235806">
        <w:rPr>
          <w:rFonts w:cs="Arial"/>
          <w:szCs w:val="20"/>
        </w:rPr>
        <w:t>ve školním roce 2014/15 na 6,9 % ve školním roce 2020/21</w:t>
      </w:r>
      <w:r w:rsidR="00FF6B7E" w:rsidRPr="001D67FE">
        <w:rPr>
          <w:rFonts w:cs="Arial"/>
          <w:szCs w:val="20"/>
        </w:rPr>
        <w:t>. Podíl žáků, kteří na střední školy přešli ze 7. ročníku</w:t>
      </w:r>
      <w:r w:rsidR="002C6907">
        <w:rPr>
          <w:rFonts w:cs="Arial"/>
          <w:szCs w:val="20"/>
        </w:rPr>
        <w:t xml:space="preserve"> základní školy, kolísal mez</w:t>
      </w:r>
      <w:r w:rsidR="00235806">
        <w:rPr>
          <w:rFonts w:cs="Arial"/>
          <w:szCs w:val="20"/>
        </w:rPr>
        <w:t>i 1,9</w:t>
      </w:r>
      <w:r w:rsidR="00120CA7">
        <w:rPr>
          <w:rFonts w:cs="Arial"/>
          <w:szCs w:val="20"/>
        </w:rPr>
        <w:t xml:space="preserve"> % a 2,5 %</w:t>
      </w:r>
      <w:r w:rsidR="00235806">
        <w:rPr>
          <w:rFonts w:cs="Arial"/>
          <w:szCs w:val="20"/>
        </w:rPr>
        <w:t>. Po snížení z 2,5 % na 1,9 % mezi školními roky 2016/17 a 2019/20 se v posledním roce o desetinu procenta zvýšil na 2 %</w:t>
      </w:r>
      <w:r w:rsidR="002C6907">
        <w:rPr>
          <w:rFonts w:cs="Arial"/>
          <w:szCs w:val="20"/>
        </w:rPr>
        <w:t>.</w:t>
      </w:r>
      <w:r w:rsidR="00C53BD5" w:rsidRPr="00C53BD5">
        <w:rPr>
          <w:rFonts w:cs="Arial"/>
          <w:szCs w:val="20"/>
        </w:rPr>
        <w:t xml:space="preserve"> </w:t>
      </w:r>
      <w:r w:rsidR="00C53BD5">
        <w:rPr>
          <w:rFonts w:cs="Arial"/>
          <w:szCs w:val="20"/>
        </w:rPr>
        <w:t>Přitom platí, že na střední školy před zakončením povinné školní docházky přestupuje více dívek n</w:t>
      </w:r>
      <w:r w:rsidR="00D74A8A">
        <w:rPr>
          <w:rFonts w:cs="Arial"/>
          <w:szCs w:val="20"/>
        </w:rPr>
        <w:t>ež chlapců. Ze žáků, kteří na střední školy přešli po ukončení školního roku 2020/21, jakož</w:t>
      </w:r>
      <w:r w:rsidR="00235806">
        <w:rPr>
          <w:rFonts w:cs="Arial"/>
          <w:szCs w:val="20"/>
        </w:rPr>
        <w:t> </w:t>
      </w:r>
      <w:r w:rsidR="00D74A8A">
        <w:rPr>
          <w:rFonts w:cs="Arial"/>
          <w:szCs w:val="20"/>
        </w:rPr>
        <w:t>i po ukončení předchozích dvou školních roků</w:t>
      </w:r>
      <w:r w:rsidR="00235806">
        <w:rPr>
          <w:rFonts w:cs="Arial"/>
          <w:szCs w:val="20"/>
        </w:rPr>
        <w:t>,</w:t>
      </w:r>
      <w:r w:rsidR="00C53BD5">
        <w:rPr>
          <w:rFonts w:cs="Arial"/>
          <w:szCs w:val="20"/>
        </w:rPr>
        <w:t xml:space="preserve"> tvořily dívky 54 %</w:t>
      </w:r>
      <w:r w:rsidR="006224A6">
        <w:t xml:space="preserve">, přičemž podíl dívek se v posledních deseti letech pohyboval mezi </w:t>
      </w:r>
      <w:r w:rsidR="0082649F">
        <w:t>53 % a 56 %.</w:t>
      </w:r>
    </w:p>
    <w:p w14:paraId="18EA3F8F" w14:textId="73F6E4AE" w:rsidR="00377D23" w:rsidRDefault="0059439A" w:rsidP="00FF6B7E">
      <w:pPr>
        <w:spacing w:after="120"/>
        <w:jc w:val="both"/>
      </w:pPr>
      <w:r>
        <w:t>Počet</w:t>
      </w:r>
      <w:r w:rsidR="0082649F">
        <w:t xml:space="preserve"> žáků, kteří přešli z 5.</w:t>
      </w:r>
      <w:r w:rsidR="003A4175">
        <w:t xml:space="preserve"> ročníku na </w:t>
      </w:r>
      <w:r w:rsidR="0082649F">
        <w:t>osmileté gymnázium, za posledních 5</w:t>
      </w:r>
      <w:r w:rsidR="003A4175">
        <w:t xml:space="preserve"> let </w:t>
      </w:r>
      <w:r w:rsidR="00F646F7">
        <w:t>poklesl, a sice o 1,7 %</w:t>
      </w:r>
      <w:r w:rsidR="0082649F">
        <w:t>. Celkový p</w:t>
      </w:r>
      <w:r w:rsidR="00AA3CCD">
        <w:t>očet žáků v</w:t>
      </w:r>
      <w:r w:rsidR="0082649F">
        <w:t> 5. </w:t>
      </w:r>
      <w:r w:rsidR="00AA3CCD">
        <w:t>ročníku se přitom mezi školními roky 2015/16 a 2020/21 zvýšil o 17,3 %. Poče</w:t>
      </w:r>
      <w:r w:rsidR="0082649F">
        <w:t>t žáků, kteří přešli na víceletá</w:t>
      </w:r>
      <w:r w:rsidR="00AA3CCD">
        <w:t xml:space="preserve"> gymnázia po </w:t>
      </w:r>
      <w:r w:rsidR="0082649F">
        <w:t>7. ročníku</w:t>
      </w:r>
      <w:r w:rsidR="00F646F7">
        <w:t>,</w:t>
      </w:r>
      <w:r w:rsidR="0082649F">
        <w:t xml:space="preserve"> se sice </w:t>
      </w:r>
      <w:r w:rsidR="00F646F7">
        <w:t>za sled</w:t>
      </w:r>
      <w:r w:rsidR="00233109">
        <w:t>o</w:t>
      </w:r>
      <w:r w:rsidR="00F646F7">
        <w:t xml:space="preserve">vaných pět let </w:t>
      </w:r>
      <w:r w:rsidR="0082649F">
        <w:t>o </w:t>
      </w:r>
      <w:r w:rsidR="00AA3CCD">
        <w:t>5,1 %</w:t>
      </w:r>
      <w:r w:rsidR="00236C95">
        <w:t xml:space="preserve"> zvýšil, nicméně </w:t>
      </w:r>
      <w:r w:rsidR="00F646F7">
        <w:t xml:space="preserve">celkový </w:t>
      </w:r>
      <w:r w:rsidR="00236C95">
        <w:t xml:space="preserve">počet žáků </w:t>
      </w:r>
      <w:r w:rsidR="00233109">
        <w:t>se zvýšil podstatně více</w:t>
      </w:r>
      <w:r w:rsidR="00AA3CCD">
        <w:t xml:space="preserve"> </w:t>
      </w:r>
      <w:r w:rsidR="00233109">
        <w:t>(</w:t>
      </w:r>
      <w:r w:rsidR="00AA3CCD">
        <w:t>o 28,3 %</w:t>
      </w:r>
      <w:r w:rsidR="00233109">
        <w:t>)</w:t>
      </w:r>
      <w:r w:rsidR="00AA3CCD">
        <w:t xml:space="preserve">. Jak je </w:t>
      </w:r>
      <w:r w:rsidR="001532A2">
        <w:t xml:space="preserve">též z grafu 2.26 </w:t>
      </w:r>
      <w:r w:rsidR="00AA3CCD">
        <w:t xml:space="preserve">patrné, kapacita </w:t>
      </w:r>
      <w:r w:rsidR="00AA3CCD" w:rsidRPr="00AA3CCD">
        <w:t>víceletých gymnázií se zcela nepřizpůsobila</w:t>
      </w:r>
      <w:r w:rsidR="00AA3CCD">
        <w:t xml:space="preserve"> rostoucímu počtu obyvatel daných věkových kategorií</w:t>
      </w:r>
      <w:r w:rsidR="00E20D1A">
        <w:t xml:space="preserve"> (kapacity gymnázií jsou limitované vládní strategií a dlouhodobými záměry krajských úřadů)</w:t>
      </w:r>
      <w:r w:rsidR="00AA3CCD">
        <w:t xml:space="preserve">. </w:t>
      </w:r>
    </w:p>
    <w:p w14:paraId="24BF7AD3" w14:textId="56693349" w:rsidR="00FF6B7E" w:rsidRDefault="00FF6B7E" w:rsidP="002C6907">
      <w:pPr>
        <w:keepNext/>
        <w:spacing w:after="0" w:line="276" w:lineRule="auto"/>
        <w:rPr>
          <w:rFonts w:cs="Arial"/>
          <w:b/>
          <w:noProof/>
          <w:szCs w:val="20"/>
        </w:rPr>
      </w:pPr>
      <w:r w:rsidRPr="00721BAC">
        <w:rPr>
          <w:rFonts w:cs="Arial"/>
          <w:b/>
          <w:noProof/>
          <w:szCs w:val="20"/>
        </w:rPr>
        <w:lastRenderedPageBreak/>
        <w:t>Graf 2.</w:t>
      </w:r>
      <w:r w:rsidR="00867384">
        <w:rPr>
          <w:rFonts w:cs="Arial"/>
          <w:b/>
          <w:noProof/>
          <w:szCs w:val="20"/>
        </w:rPr>
        <w:t>26</w:t>
      </w:r>
      <w:r w:rsidRPr="00721BAC">
        <w:rPr>
          <w:rFonts w:cs="Arial"/>
          <w:b/>
          <w:noProof/>
          <w:szCs w:val="20"/>
        </w:rPr>
        <w:t xml:space="preserve"> </w:t>
      </w:r>
      <w:r w:rsidRPr="00B22B13">
        <w:rPr>
          <w:rFonts w:cs="Arial"/>
          <w:b/>
          <w:noProof/>
          <w:szCs w:val="20"/>
        </w:rPr>
        <w:t xml:space="preserve">Žáci základních škol, kteří </w:t>
      </w:r>
      <w:r w:rsidR="00844AFF">
        <w:rPr>
          <w:rFonts w:cs="Arial"/>
          <w:b/>
          <w:noProof/>
          <w:szCs w:val="20"/>
        </w:rPr>
        <w:t xml:space="preserve">po ukončení daného školního roku </w:t>
      </w:r>
      <w:r w:rsidRPr="00B22B13">
        <w:rPr>
          <w:rFonts w:cs="Arial"/>
          <w:b/>
          <w:noProof/>
          <w:szCs w:val="20"/>
        </w:rPr>
        <w:t>přestoupili na víceletá gymnázia</w:t>
      </w:r>
      <w:r w:rsidR="00BA74FC">
        <w:rPr>
          <w:rFonts w:cs="Arial"/>
          <w:b/>
          <w:noProof/>
          <w:szCs w:val="20"/>
        </w:rPr>
        <w:t xml:space="preserve"> nebo osmileté konzervatoře</w:t>
      </w:r>
    </w:p>
    <w:p w14:paraId="1CE1588E" w14:textId="604394EE" w:rsidR="0059439A" w:rsidRDefault="0059439A" w:rsidP="002C6907">
      <w:pPr>
        <w:keepNext/>
        <w:spacing w:after="0" w:line="276" w:lineRule="auto"/>
        <w:rPr>
          <w:rFonts w:cs="Arial"/>
          <w:b/>
          <w:noProof/>
          <w:szCs w:val="20"/>
        </w:rPr>
      </w:pPr>
      <w:r>
        <w:rPr>
          <w:noProof/>
        </w:rPr>
        <w:drawing>
          <wp:inline distT="0" distB="0" distL="0" distR="0" wp14:anchorId="623C43FF" wp14:editId="6D19CEEB">
            <wp:extent cx="6119495" cy="3895725"/>
            <wp:effectExtent l="0" t="0" r="14605" b="9525"/>
            <wp:docPr id="12" name="Graf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8D9AB2C" w14:textId="60AFAE01" w:rsidR="00BA74FC" w:rsidRPr="00DB0A08" w:rsidRDefault="00BA74FC" w:rsidP="00FF6B7E">
      <w:pPr>
        <w:spacing w:after="0" w:line="276" w:lineRule="auto"/>
        <w:rPr>
          <w:rFonts w:cs="Arial"/>
          <w:b/>
          <w:noProof/>
          <w:sz w:val="12"/>
          <w:szCs w:val="12"/>
        </w:rPr>
      </w:pPr>
    </w:p>
    <w:p w14:paraId="4C1F3364" w14:textId="5E40C2F3" w:rsidR="00FF6B7E" w:rsidRDefault="00FF6B7E" w:rsidP="00FB55A4">
      <w:pPr>
        <w:spacing w:after="120"/>
        <w:jc w:val="right"/>
        <w:rPr>
          <w:rFonts w:cs="Arial"/>
          <w:sz w:val="18"/>
        </w:rPr>
      </w:pPr>
      <w:r w:rsidRPr="00721BAC">
        <w:rPr>
          <w:rFonts w:cs="Arial"/>
          <w:sz w:val="18"/>
        </w:rPr>
        <w:t>Zdroj: MŠMT a vlastní dopočty ČSÚ</w:t>
      </w:r>
    </w:p>
    <w:p w14:paraId="1E40DF16" w14:textId="77777777" w:rsidR="0059439A" w:rsidRPr="00377D23" w:rsidRDefault="0059439A" w:rsidP="0059439A">
      <w:pPr>
        <w:spacing w:after="120"/>
        <w:jc w:val="both"/>
      </w:pPr>
      <w:r>
        <w:t>V této souvislosti lze také poznamenat, že konkrétně v období pandemie onemocnění covid-19 (mezi roky 2019 a 2021) se snížil počet přihlášek na víceletá gymnázia. V roce 2022 však již začal znovu růst a sledujeme-li pouze počet uchazečů o šestiletá gymnázia, byl nejvyšší za posledních pět let.</w:t>
      </w:r>
      <w:r w:rsidRPr="00236C95">
        <w:rPr>
          <w:rStyle w:val="Znakapoznpodarou"/>
        </w:rPr>
        <w:t xml:space="preserve"> </w:t>
      </w:r>
      <w:r>
        <w:rPr>
          <w:rStyle w:val="Znakapoznpodarou"/>
        </w:rPr>
        <w:footnoteReference w:id="27"/>
      </w:r>
      <w:r>
        <w:t xml:space="preserve"> </w:t>
      </w:r>
      <w:r w:rsidRPr="006A5807">
        <w:t xml:space="preserve">Jak již bylo výše uvedeno, díky populačně silným ročníkům vzrostl počet dětí, které se po </w:t>
      </w:r>
      <w:r>
        <w:t xml:space="preserve">ukončení </w:t>
      </w:r>
      <w:r w:rsidRPr="006A5807">
        <w:t xml:space="preserve">5. ročníku na osmileté gymnázium nedostanou, a ti se pak mohou pokoušet o přijetí do šestiletého gymnázia ze 7. ročníku. Vzhledem ke snížení počtu přihlášek na víceletá gymnázia v době pandemie je však také možné, že se někteří žáci rozhodli </w:t>
      </w:r>
      <w:r>
        <w:t>odložit nástup do gymnázií na dobu po ukončení 7. či 9. ročníku</w:t>
      </w:r>
      <w:r w:rsidRPr="006A5807">
        <w:t>, aby se při přestupu do náročnějšího studijního programu vyhnuli úskalím výuky na dálku.</w:t>
      </w:r>
      <w:r>
        <w:t xml:space="preserve"> </w:t>
      </w:r>
    </w:p>
    <w:p w14:paraId="2FF83366" w14:textId="5A9645B9" w:rsidR="00BD3D66" w:rsidRDefault="004154EA" w:rsidP="00FF6B7E">
      <w:pPr>
        <w:spacing w:after="120"/>
        <w:jc w:val="both"/>
        <w:rPr>
          <w:rFonts w:cs="Arial"/>
          <w:szCs w:val="20"/>
        </w:rPr>
      </w:pPr>
      <w:r>
        <w:t xml:space="preserve">Obraťme pozornost na rozdíly mezi jednotlivými kraji České republiky. </w:t>
      </w:r>
      <w:r w:rsidR="00867384">
        <w:t>Graf 2.27</w:t>
      </w:r>
      <w:r w:rsidR="001301C4">
        <w:t xml:space="preserve"> ukazuje, že</w:t>
      </w:r>
      <w:r w:rsidR="00C53BD5">
        <w:t xml:space="preserve"> ze všech krajů nejvyšší podíl žáků, kteří přestoupili</w:t>
      </w:r>
      <w:r w:rsidR="00FF6B7E">
        <w:t xml:space="preserve"> na </w:t>
      </w:r>
      <w:r w:rsidR="00C53BD5">
        <w:t>střední školy v průběhu povinné školní docházky,</w:t>
      </w:r>
      <w:r w:rsidR="001301C4" w:rsidRPr="001301C4">
        <w:t xml:space="preserve"> </w:t>
      </w:r>
      <w:r w:rsidR="001301C4">
        <w:t xml:space="preserve">byl zaznamenán v Praze, </w:t>
      </w:r>
      <w:r w:rsidR="00C53BD5">
        <w:t xml:space="preserve">a to jak v </w:t>
      </w:r>
      <w:r w:rsidR="00FF6B7E">
        <w:t>5.</w:t>
      </w:r>
      <w:r w:rsidR="00C53BD5">
        <w:t>, tak</w:t>
      </w:r>
      <w:r w:rsidR="00FF6B7E">
        <w:t xml:space="preserve"> i </w:t>
      </w:r>
      <w:r w:rsidR="00C53BD5">
        <w:t>v 7. ročníku</w:t>
      </w:r>
      <w:r w:rsidR="00FF6B7E">
        <w:rPr>
          <w:rFonts w:cs="Arial"/>
          <w:szCs w:val="20"/>
        </w:rPr>
        <w:t>.</w:t>
      </w:r>
      <w:r w:rsidR="00FF6B7E" w:rsidRPr="006C39B9">
        <w:rPr>
          <w:rFonts w:cs="Arial"/>
          <w:szCs w:val="20"/>
        </w:rPr>
        <w:t xml:space="preserve"> </w:t>
      </w:r>
      <w:r w:rsidR="00897362">
        <w:rPr>
          <w:rFonts w:cs="Arial"/>
          <w:szCs w:val="20"/>
        </w:rPr>
        <w:t>Z</w:t>
      </w:r>
      <w:r w:rsidR="00BD3D66">
        <w:rPr>
          <w:rFonts w:cs="Arial"/>
          <w:szCs w:val="20"/>
        </w:rPr>
        <w:t xml:space="preserve"> těchto dvou ročníků </w:t>
      </w:r>
      <w:r w:rsidR="00897362">
        <w:rPr>
          <w:rFonts w:cs="Arial"/>
          <w:szCs w:val="20"/>
        </w:rPr>
        <w:t xml:space="preserve">celkem </w:t>
      </w:r>
      <w:r w:rsidR="00BD3D66">
        <w:rPr>
          <w:rFonts w:cs="Arial"/>
          <w:szCs w:val="20"/>
        </w:rPr>
        <w:t>přešlo na střední školy v Pr</w:t>
      </w:r>
      <w:r w:rsidR="001F16D9">
        <w:rPr>
          <w:rFonts w:cs="Arial"/>
          <w:szCs w:val="20"/>
        </w:rPr>
        <w:t>aze 7,7 % dětí, z pátého 10,5 % a ze sedmého 4,4</w:t>
      </w:r>
      <w:r w:rsidR="00BD3D66">
        <w:rPr>
          <w:rFonts w:cs="Arial"/>
          <w:szCs w:val="20"/>
        </w:rPr>
        <w:t> %. Naopak kraj</w:t>
      </w:r>
      <w:r w:rsidR="004B59BC">
        <w:rPr>
          <w:rFonts w:cs="Arial"/>
          <w:szCs w:val="20"/>
        </w:rPr>
        <w:t>e</w:t>
      </w:r>
      <w:r w:rsidR="001F16D9">
        <w:rPr>
          <w:rFonts w:cs="Arial"/>
          <w:szCs w:val="20"/>
        </w:rPr>
        <w:t xml:space="preserve"> </w:t>
      </w:r>
      <w:r w:rsidR="00BD3D66">
        <w:rPr>
          <w:rFonts w:cs="Arial"/>
          <w:szCs w:val="20"/>
        </w:rPr>
        <w:t>Liberecký</w:t>
      </w:r>
      <w:r w:rsidR="001F16D9">
        <w:rPr>
          <w:rFonts w:cs="Arial"/>
          <w:szCs w:val="20"/>
        </w:rPr>
        <w:t xml:space="preserve"> a Ústecký</w:t>
      </w:r>
      <w:r w:rsidR="00BD3D66">
        <w:rPr>
          <w:rFonts w:cs="Arial"/>
          <w:szCs w:val="20"/>
        </w:rPr>
        <w:t xml:space="preserve"> zaznamenaly nejmenší podíl žáků, kteří se v průběhu povinné školní docházky odešli vzdělávat na střední školy (</w:t>
      </w:r>
      <w:r w:rsidR="001301C4">
        <w:rPr>
          <w:rFonts w:cs="Arial"/>
          <w:szCs w:val="20"/>
        </w:rPr>
        <w:t xml:space="preserve">celkový podíl za oba ročníky činí </w:t>
      </w:r>
      <w:r w:rsidR="001F16D9">
        <w:rPr>
          <w:rFonts w:cs="Arial"/>
          <w:szCs w:val="20"/>
        </w:rPr>
        <w:t>2,8 %, resp. 3</w:t>
      </w:r>
      <w:r w:rsidR="00BD3D66">
        <w:rPr>
          <w:rFonts w:cs="Arial"/>
          <w:szCs w:val="20"/>
        </w:rPr>
        <w:t xml:space="preserve"> %). </w:t>
      </w:r>
      <w:r w:rsidR="00FF6B7E" w:rsidRPr="006C39B9">
        <w:rPr>
          <w:rFonts w:cs="Arial"/>
          <w:szCs w:val="20"/>
        </w:rPr>
        <w:t xml:space="preserve">   </w:t>
      </w:r>
      <w:r w:rsidR="00FF6B7E" w:rsidRPr="00B22B13">
        <w:rPr>
          <w:rFonts w:cs="Arial"/>
          <w:szCs w:val="20"/>
        </w:rPr>
        <w:t xml:space="preserve"> </w:t>
      </w:r>
    </w:p>
    <w:p w14:paraId="302D28E1" w14:textId="4EF2ED10" w:rsidR="00C53BD5" w:rsidRDefault="00C53BD5" w:rsidP="006C48E4">
      <w:pPr>
        <w:keepNext/>
        <w:spacing w:after="0" w:line="276" w:lineRule="auto"/>
        <w:rPr>
          <w:rFonts w:cs="Arial"/>
          <w:b/>
          <w:noProof/>
          <w:szCs w:val="20"/>
        </w:rPr>
      </w:pPr>
      <w:r w:rsidRPr="00721BAC">
        <w:rPr>
          <w:rFonts w:cs="Arial"/>
          <w:b/>
          <w:noProof/>
          <w:szCs w:val="20"/>
        </w:rPr>
        <w:lastRenderedPageBreak/>
        <w:t>Graf 2.</w:t>
      </w:r>
      <w:r w:rsidR="00867384">
        <w:rPr>
          <w:rFonts w:cs="Arial"/>
          <w:b/>
          <w:noProof/>
          <w:szCs w:val="20"/>
        </w:rPr>
        <w:t>27</w:t>
      </w:r>
      <w:r w:rsidRPr="00721BAC">
        <w:rPr>
          <w:rFonts w:cs="Arial"/>
          <w:b/>
          <w:noProof/>
          <w:szCs w:val="20"/>
        </w:rPr>
        <w:t xml:space="preserve"> </w:t>
      </w:r>
      <w:r w:rsidRPr="009C7823">
        <w:rPr>
          <w:rFonts w:cs="Arial"/>
          <w:b/>
          <w:noProof/>
          <w:szCs w:val="20"/>
        </w:rPr>
        <w:t xml:space="preserve">Žáci základních škol, kteří </w:t>
      </w:r>
      <w:r w:rsidR="00EB3C65">
        <w:rPr>
          <w:rFonts w:cs="Arial"/>
          <w:b/>
          <w:noProof/>
          <w:szCs w:val="20"/>
        </w:rPr>
        <w:t xml:space="preserve">po ukončení školního roku 2020/21 </w:t>
      </w:r>
      <w:r w:rsidRPr="009C7823">
        <w:rPr>
          <w:rFonts w:cs="Arial"/>
          <w:b/>
          <w:noProof/>
          <w:szCs w:val="20"/>
        </w:rPr>
        <w:t>přestoupili na víceletá gymnázia</w:t>
      </w:r>
      <w:r w:rsidR="00B34138">
        <w:rPr>
          <w:rFonts w:cs="Arial"/>
          <w:b/>
          <w:noProof/>
          <w:szCs w:val="20"/>
        </w:rPr>
        <w:t xml:space="preserve"> </w:t>
      </w:r>
      <w:r w:rsidR="00610DCE">
        <w:rPr>
          <w:rFonts w:cs="Arial"/>
          <w:b/>
          <w:noProof/>
          <w:szCs w:val="20"/>
        </w:rPr>
        <w:t xml:space="preserve">dle </w:t>
      </w:r>
      <w:r w:rsidR="004154EA">
        <w:rPr>
          <w:rFonts w:cs="Arial"/>
          <w:b/>
          <w:noProof/>
          <w:szCs w:val="20"/>
        </w:rPr>
        <w:t xml:space="preserve">kraje </w:t>
      </w:r>
      <w:r w:rsidR="00610DCE">
        <w:rPr>
          <w:rFonts w:cs="Arial"/>
          <w:b/>
          <w:noProof/>
          <w:szCs w:val="20"/>
        </w:rPr>
        <w:t>sídla školy</w:t>
      </w:r>
    </w:p>
    <w:p w14:paraId="1D191BFB" w14:textId="3862D492" w:rsidR="001F16D9" w:rsidRDefault="001F16D9" w:rsidP="006C48E4">
      <w:pPr>
        <w:keepNext/>
        <w:spacing w:after="0" w:line="276" w:lineRule="auto"/>
        <w:rPr>
          <w:rFonts w:cs="Arial"/>
          <w:b/>
          <w:noProof/>
          <w:szCs w:val="20"/>
        </w:rPr>
      </w:pPr>
      <w:r>
        <w:rPr>
          <w:noProof/>
        </w:rPr>
        <w:drawing>
          <wp:inline distT="0" distB="0" distL="0" distR="0" wp14:anchorId="4281BAFB" wp14:editId="5F4C34A9">
            <wp:extent cx="6119495" cy="4467225"/>
            <wp:effectExtent l="0" t="0" r="14605" b="9525"/>
            <wp:docPr id="17" name="Graf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BD3FCDC" w14:textId="1041A2A3" w:rsidR="005A40F7" w:rsidRPr="000B5943" w:rsidRDefault="005A40F7" w:rsidP="00C53BD5">
      <w:pPr>
        <w:spacing w:after="0" w:line="276" w:lineRule="auto"/>
        <w:rPr>
          <w:rFonts w:cs="Arial"/>
          <w:b/>
          <w:noProof/>
          <w:sz w:val="8"/>
          <w:szCs w:val="8"/>
        </w:rPr>
      </w:pPr>
    </w:p>
    <w:p w14:paraId="2623C378" w14:textId="612CE7F4" w:rsidR="00FF6B7E" w:rsidRPr="00721BAC" w:rsidRDefault="00FF6B7E" w:rsidP="002F5A49">
      <w:pPr>
        <w:spacing w:after="120"/>
        <w:jc w:val="right"/>
        <w:rPr>
          <w:rFonts w:cs="Arial"/>
          <w:sz w:val="18"/>
        </w:rPr>
      </w:pPr>
      <w:r w:rsidRPr="00721BAC">
        <w:rPr>
          <w:rFonts w:cs="Arial"/>
          <w:sz w:val="18"/>
        </w:rPr>
        <w:t>Zdroj: MŠMT a vlastní dopočty ČSÚ</w:t>
      </w:r>
    </w:p>
    <w:p w14:paraId="79E4DC90" w14:textId="77777777" w:rsidR="004333D3" w:rsidRPr="004333D3" w:rsidRDefault="004333D3" w:rsidP="002F5A49">
      <w:pPr>
        <w:pStyle w:val="Nadpis2"/>
        <w:spacing w:line="240" w:lineRule="auto"/>
        <w:jc w:val="right"/>
        <w:rPr>
          <w:bCs w:val="0"/>
          <w:sz w:val="20"/>
          <w:szCs w:val="20"/>
        </w:rPr>
      </w:pPr>
    </w:p>
    <w:p w14:paraId="450EA4A4" w14:textId="7B0E97DC" w:rsidR="00FF6B7E" w:rsidRPr="00A3136E" w:rsidRDefault="00FF6B7E" w:rsidP="00FF6B7E">
      <w:pPr>
        <w:pStyle w:val="Nadpis2"/>
        <w:spacing w:after="120"/>
      </w:pPr>
      <w:bookmarkStart w:id="17" w:name="_Toc112069081"/>
      <w:r w:rsidRPr="00BC6B40">
        <w:rPr>
          <w:bCs w:val="0"/>
        </w:rPr>
        <w:t>2.10</w:t>
      </w:r>
      <w:r w:rsidRPr="00BC6B40">
        <w:rPr>
          <w:b w:val="0"/>
          <w:bCs w:val="0"/>
        </w:rPr>
        <w:t xml:space="preserve"> </w:t>
      </w:r>
      <w:r w:rsidRPr="00BC6B40">
        <w:t>Žáci, kteří ukončili povinnou školní docházku</w:t>
      </w:r>
      <w:bookmarkEnd w:id="17"/>
    </w:p>
    <w:p w14:paraId="347C8FC7" w14:textId="31D41C33" w:rsidR="007925AD" w:rsidRDefault="007925AD" w:rsidP="00FF6B7E">
      <w:pPr>
        <w:spacing w:after="120"/>
        <w:jc w:val="both"/>
        <w:rPr>
          <w:rFonts w:cs="Arial"/>
          <w:szCs w:val="20"/>
        </w:rPr>
      </w:pPr>
      <w:r w:rsidRPr="00BA121F">
        <w:rPr>
          <w:rFonts w:cs="Arial"/>
          <w:szCs w:val="20"/>
        </w:rPr>
        <w:t xml:space="preserve">Povinná školní docházka začíná počátkem školního roku, který následuje po dni, kdy dítě dosáhne šestého roku věku, pokud mu není </w:t>
      </w:r>
      <w:r w:rsidR="00345CBF">
        <w:rPr>
          <w:rFonts w:cs="Arial"/>
          <w:szCs w:val="20"/>
        </w:rPr>
        <w:t>udě</w:t>
      </w:r>
      <w:r w:rsidRPr="00BA121F">
        <w:rPr>
          <w:rFonts w:cs="Arial"/>
          <w:szCs w:val="20"/>
        </w:rPr>
        <w:t>len odklad.</w:t>
      </w:r>
      <w:r>
        <w:rPr>
          <w:rFonts w:cs="Arial"/>
          <w:szCs w:val="20"/>
        </w:rPr>
        <w:t xml:space="preserve"> </w:t>
      </w:r>
      <w:r w:rsidRPr="00BA121F">
        <w:rPr>
          <w:rFonts w:cs="Arial"/>
          <w:szCs w:val="20"/>
        </w:rPr>
        <w:t>Školní docházka je povinná po dobu devíti školních roků, nejvýše však do konce školního roku, v němž žák</w:t>
      </w:r>
      <w:r>
        <w:rPr>
          <w:rFonts w:cs="Arial"/>
          <w:szCs w:val="20"/>
        </w:rPr>
        <w:t xml:space="preserve"> dosáhne sedmnáctého roku věku.</w:t>
      </w:r>
      <w:r w:rsidRPr="00BA121F">
        <w:rPr>
          <w:rFonts w:cs="Arial"/>
          <w:szCs w:val="20"/>
        </w:rPr>
        <w:t xml:space="preserve"> </w:t>
      </w:r>
    </w:p>
    <w:p w14:paraId="1BF5971C" w14:textId="58F84CF3" w:rsidR="00961B51" w:rsidRPr="0023118E" w:rsidRDefault="004845F6" w:rsidP="0023118E">
      <w:pPr>
        <w:pStyle w:val="Textpoznpodarou"/>
        <w:spacing w:after="120" w:line="288" w:lineRule="auto"/>
        <w:jc w:val="both"/>
        <w:rPr>
          <w:rFonts w:ascii="Arial" w:hAnsi="Arial" w:cs="Arial"/>
        </w:rPr>
      </w:pPr>
      <w:r w:rsidRPr="0023118E">
        <w:rPr>
          <w:rFonts w:ascii="Arial" w:hAnsi="Arial" w:cs="Arial"/>
        </w:rPr>
        <w:t>Ve školním roce 2020/21</w:t>
      </w:r>
      <w:r w:rsidR="00FF6B7E" w:rsidRPr="0023118E">
        <w:rPr>
          <w:rFonts w:ascii="Arial" w:hAnsi="Arial" w:cs="Arial"/>
        </w:rPr>
        <w:t xml:space="preserve"> ukončilo povinnou školní docházku na základních </w:t>
      </w:r>
      <w:r w:rsidR="00B9104B" w:rsidRPr="0023118E">
        <w:rPr>
          <w:rFonts w:ascii="Arial" w:hAnsi="Arial" w:cs="Arial"/>
        </w:rPr>
        <w:t xml:space="preserve">školách celkem </w:t>
      </w:r>
      <w:r w:rsidRPr="0023118E">
        <w:rPr>
          <w:rFonts w:ascii="Arial" w:hAnsi="Arial" w:cs="Arial"/>
        </w:rPr>
        <w:t>94 407</w:t>
      </w:r>
      <w:r w:rsidR="00B9104B" w:rsidRPr="0023118E">
        <w:rPr>
          <w:rFonts w:ascii="Arial" w:hAnsi="Arial" w:cs="Arial"/>
        </w:rPr>
        <w:t xml:space="preserve"> žáků, tj. </w:t>
      </w:r>
      <w:r w:rsidRPr="0023118E">
        <w:rPr>
          <w:rFonts w:ascii="Arial" w:hAnsi="Arial" w:cs="Arial"/>
        </w:rPr>
        <w:t>o 6</w:t>
      </w:r>
      <w:r w:rsidR="00961B51" w:rsidRPr="0023118E">
        <w:rPr>
          <w:rFonts w:ascii="Arial" w:hAnsi="Arial" w:cs="Arial"/>
        </w:rPr>
        <w:t>,4</w:t>
      </w:r>
      <w:r w:rsidR="00FF6B7E" w:rsidRPr="0023118E">
        <w:rPr>
          <w:rFonts w:ascii="Arial" w:hAnsi="Arial" w:cs="Arial"/>
        </w:rPr>
        <w:t> % více než v předchozím školním roce. Jak bylo uvedeno výše, dalších 10 </w:t>
      </w:r>
      <w:r w:rsidRPr="0023118E">
        <w:rPr>
          <w:rFonts w:ascii="Arial" w:hAnsi="Arial" w:cs="Arial"/>
        </w:rPr>
        <w:t>337</w:t>
      </w:r>
      <w:r w:rsidR="00FF6B7E" w:rsidRPr="0023118E">
        <w:rPr>
          <w:rFonts w:ascii="Arial" w:hAnsi="Arial" w:cs="Arial"/>
        </w:rPr>
        <w:t xml:space="preserve"> žáků </w:t>
      </w:r>
      <w:r w:rsidR="00CB1944" w:rsidRPr="0023118E">
        <w:rPr>
          <w:rFonts w:ascii="Arial" w:hAnsi="Arial" w:cs="Arial"/>
        </w:rPr>
        <w:t xml:space="preserve">po ukončení </w:t>
      </w:r>
      <w:r w:rsidRPr="0023118E">
        <w:rPr>
          <w:rFonts w:ascii="Arial" w:hAnsi="Arial" w:cs="Arial"/>
        </w:rPr>
        <w:t>školního roku 2020/21</w:t>
      </w:r>
      <w:r w:rsidR="00216B72" w:rsidRPr="0023118E">
        <w:rPr>
          <w:rFonts w:ascii="Arial" w:hAnsi="Arial" w:cs="Arial"/>
        </w:rPr>
        <w:t xml:space="preserve"> </w:t>
      </w:r>
      <w:r w:rsidR="00FF6B7E" w:rsidRPr="0023118E">
        <w:rPr>
          <w:rFonts w:ascii="Arial" w:hAnsi="Arial" w:cs="Arial"/>
        </w:rPr>
        <w:t xml:space="preserve">odešlo </w:t>
      </w:r>
      <w:r w:rsidR="007925AD" w:rsidRPr="0023118E">
        <w:rPr>
          <w:rFonts w:ascii="Arial" w:hAnsi="Arial" w:cs="Arial"/>
        </w:rPr>
        <w:t xml:space="preserve">ještě </w:t>
      </w:r>
      <w:r w:rsidR="00FF6B7E" w:rsidRPr="0023118E">
        <w:rPr>
          <w:rFonts w:ascii="Arial" w:hAnsi="Arial" w:cs="Arial"/>
        </w:rPr>
        <w:t xml:space="preserve">před </w:t>
      </w:r>
      <w:r w:rsidR="00CB1944" w:rsidRPr="0023118E">
        <w:rPr>
          <w:rFonts w:ascii="Arial" w:hAnsi="Arial" w:cs="Arial"/>
        </w:rPr>
        <w:t>završením</w:t>
      </w:r>
      <w:r w:rsidR="00FF6B7E" w:rsidRPr="0023118E">
        <w:rPr>
          <w:rFonts w:ascii="Arial" w:hAnsi="Arial" w:cs="Arial"/>
        </w:rPr>
        <w:t xml:space="preserve"> povinné školní docházky na víceletá gymn</w:t>
      </w:r>
      <w:r w:rsidR="00D21B68">
        <w:rPr>
          <w:rFonts w:ascii="Arial" w:hAnsi="Arial" w:cs="Arial"/>
        </w:rPr>
        <w:t xml:space="preserve">ázia či osmileté konzervatoře. </w:t>
      </w:r>
      <w:r w:rsidR="00961B51" w:rsidRPr="0023118E">
        <w:rPr>
          <w:rFonts w:ascii="Arial" w:hAnsi="Arial" w:cs="Arial"/>
        </w:rPr>
        <w:t>Z</w:t>
      </w:r>
      <w:r w:rsidR="009F0F9B" w:rsidRPr="0023118E">
        <w:rPr>
          <w:rFonts w:ascii="Arial" w:hAnsi="Arial" w:cs="Arial"/>
        </w:rPr>
        <w:t>e</w:t>
      </w:r>
      <w:r w:rsidR="00961B51" w:rsidRPr="0023118E">
        <w:rPr>
          <w:rFonts w:ascii="Arial" w:hAnsi="Arial" w:cs="Arial"/>
        </w:rPr>
        <w:t> </w:t>
      </w:r>
      <w:r w:rsidRPr="0023118E">
        <w:rPr>
          <w:rFonts w:ascii="Arial" w:hAnsi="Arial" w:cs="Arial"/>
        </w:rPr>
        <w:t>žáků, kteří ve školním roce 2020/21</w:t>
      </w:r>
      <w:r w:rsidR="00961B51" w:rsidRPr="0023118E">
        <w:rPr>
          <w:rFonts w:ascii="Arial" w:hAnsi="Arial" w:cs="Arial"/>
        </w:rPr>
        <w:t xml:space="preserve"> ukončili pov</w:t>
      </w:r>
      <w:r w:rsidR="004333D3" w:rsidRPr="0023118E">
        <w:rPr>
          <w:rFonts w:ascii="Arial" w:hAnsi="Arial" w:cs="Arial"/>
        </w:rPr>
        <w:t xml:space="preserve">innou školní docházku, jich </w:t>
      </w:r>
      <w:r w:rsidR="001F12FA" w:rsidRPr="0023118E">
        <w:rPr>
          <w:rFonts w:ascii="Arial" w:hAnsi="Arial" w:cs="Arial"/>
        </w:rPr>
        <w:t xml:space="preserve">tak </w:t>
      </w:r>
      <w:r w:rsidRPr="0023118E">
        <w:rPr>
          <w:rFonts w:ascii="Arial" w:hAnsi="Arial" w:cs="Arial"/>
        </w:rPr>
        <w:t>96,2</w:t>
      </w:r>
      <w:r w:rsidR="00216B72" w:rsidRPr="0023118E">
        <w:rPr>
          <w:rFonts w:ascii="Arial" w:hAnsi="Arial" w:cs="Arial"/>
        </w:rPr>
        <w:t> % učinily</w:t>
      </w:r>
      <w:r w:rsidR="00961B51" w:rsidRPr="0023118E">
        <w:rPr>
          <w:rFonts w:ascii="Arial" w:hAnsi="Arial" w:cs="Arial"/>
        </w:rPr>
        <w:t xml:space="preserve"> v 9.-10. ročníku</w:t>
      </w:r>
      <w:r w:rsidRPr="0023118E">
        <w:rPr>
          <w:rFonts w:ascii="Arial" w:hAnsi="Arial" w:cs="Arial"/>
        </w:rPr>
        <w:t>, 2,9</w:t>
      </w:r>
      <w:r w:rsidR="00216B72" w:rsidRPr="0023118E">
        <w:rPr>
          <w:rFonts w:ascii="Arial" w:hAnsi="Arial" w:cs="Arial"/>
        </w:rPr>
        <w:t xml:space="preserve"> % v 8. ročníku a </w:t>
      </w:r>
      <w:r w:rsidRPr="0023118E">
        <w:rPr>
          <w:rFonts w:ascii="Arial" w:hAnsi="Arial" w:cs="Arial"/>
        </w:rPr>
        <w:t xml:space="preserve">necelé procento </w:t>
      </w:r>
      <w:r w:rsidR="00216B72" w:rsidRPr="0023118E">
        <w:rPr>
          <w:rFonts w:ascii="Arial" w:hAnsi="Arial" w:cs="Arial"/>
        </w:rPr>
        <w:t>v 1.</w:t>
      </w:r>
      <w:r w:rsidR="00961B51" w:rsidRPr="0023118E">
        <w:rPr>
          <w:rFonts w:ascii="Arial" w:hAnsi="Arial" w:cs="Arial"/>
        </w:rPr>
        <w:t xml:space="preserve"> -7. ročníku, příp. u nich není </w:t>
      </w:r>
      <w:r w:rsidR="00BC6B40" w:rsidRPr="0023118E">
        <w:rPr>
          <w:rFonts w:ascii="Arial" w:hAnsi="Arial" w:cs="Arial"/>
        </w:rPr>
        <w:t>ročník, po kterém odešli, vyká</w:t>
      </w:r>
      <w:r w:rsidR="00961B51" w:rsidRPr="0023118E">
        <w:rPr>
          <w:rFonts w:ascii="Arial" w:hAnsi="Arial" w:cs="Arial"/>
        </w:rPr>
        <w:t>zán.</w:t>
      </w:r>
      <w:r w:rsidR="0043159F" w:rsidRPr="0023118E">
        <w:rPr>
          <w:rFonts w:ascii="Arial" w:hAnsi="Arial" w:cs="Arial"/>
        </w:rPr>
        <w:t xml:space="preserve"> Z</w:t>
      </w:r>
      <w:r w:rsidR="007925AD" w:rsidRPr="0023118E">
        <w:rPr>
          <w:rFonts w:ascii="Arial" w:hAnsi="Arial" w:cs="Arial"/>
        </w:rPr>
        <w:t xml:space="preserve"> těchto</w:t>
      </w:r>
      <w:r w:rsidR="0043159F" w:rsidRPr="0023118E">
        <w:rPr>
          <w:rFonts w:ascii="Arial" w:hAnsi="Arial" w:cs="Arial"/>
        </w:rPr>
        <w:t> žáků</w:t>
      </w:r>
      <w:r w:rsidR="007925AD" w:rsidRPr="0023118E">
        <w:rPr>
          <w:rFonts w:ascii="Arial" w:hAnsi="Arial" w:cs="Arial"/>
        </w:rPr>
        <w:t xml:space="preserve"> jich tedy</w:t>
      </w:r>
      <w:r w:rsidR="0043159F" w:rsidRPr="0023118E">
        <w:rPr>
          <w:rFonts w:ascii="Arial" w:hAnsi="Arial" w:cs="Arial"/>
        </w:rPr>
        <w:t xml:space="preserve"> </w:t>
      </w:r>
      <w:r w:rsidR="007925AD" w:rsidRPr="0023118E">
        <w:rPr>
          <w:rFonts w:ascii="Arial" w:hAnsi="Arial" w:cs="Arial"/>
        </w:rPr>
        <w:t xml:space="preserve">v souhrnu </w:t>
      </w:r>
      <w:r w:rsidR="0043159F" w:rsidRPr="0023118E">
        <w:rPr>
          <w:rFonts w:ascii="Arial" w:hAnsi="Arial" w:cs="Arial"/>
        </w:rPr>
        <w:t xml:space="preserve">3,8 % </w:t>
      </w:r>
      <w:r w:rsidR="007925AD" w:rsidRPr="0023118E">
        <w:rPr>
          <w:rFonts w:ascii="Arial" w:hAnsi="Arial" w:cs="Arial"/>
        </w:rPr>
        <w:t>nevychodilo všech devět ročníků spadajících do základního vzdělávání</w:t>
      </w:r>
      <w:r w:rsidR="000B238D" w:rsidRPr="0023118E">
        <w:rPr>
          <w:rFonts w:ascii="Arial" w:hAnsi="Arial" w:cs="Arial"/>
        </w:rPr>
        <w:t xml:space="preserve">. </w:t>
      </w:r>
      <w:r w:rsidR="0023118E" w:rsidRPr="0023118E">
        <w:rPr>
          <w:rFonts w:ascii="Arial" w:hAnsi="Arial" w:cs="Arial"/>
        </w:rPr>
        <w:t>Jedná se o velmi negativní jev spojený často s existencí sociálně vyloučených lokalit a zvýšenou úrovní sociálně - patologických jevů. Bez ukončeného základního vzdělání má jedinec na trhu práce velmi špatnou pozici a často stráví většinu produktivního života na sociálních dávkách.</w:t>
      </w:r>
      <w:r w:rsidR="0023118E">
        <w:rPr>
          <w:rFonts w:ascii="Arial" w:hAnsi="Arial" w:cs="Arial"/>
        </w:rPr>
        <w:t xml:space="preserve"> </w:t>
      </w:r>
      <w:r w:rsidR="000B238D" w:rsidRPr="0023118E">
        <w:rPr>
          <w:rFonts w:ascii="Arial" w:hAnsi="Arial" w:cs="Arial"/>
        </w:rPr>
        <w:t>V předchozích 9</w:t>
      </w:r>
      <w:r w:rsidR="0043159F" w:rsidRPr="0023118E">
        <w:rPr>
          <w:rFonts w:ascii="Arial" w:hAnsi="Arial" w:cs="Arial"/>
        </w:rPr>
        <w:t xml:space="preserve"> letech se přitom tento podíl pohyboval kolem 5 %</w:t>
      </w:r>
      <w:r w:rsidR="000B1FBB">
        <w:rPr>
          <w:rFonts w:ascii="Arial" w:hAnsi="Arial" w:cs="Arial"/>
        </w:rPr>
        <w:t xml:space="preserve"> (viz graf 2.28</w:t>
      </w:r>
      <w:r w:rsidR="000B238D" w:rsidRPr="0023118E">
        <w:rPr>
          <w:rFonts w:ascii="Arial" w:hAnsi="Arial" w:cs="Arial"/>
        </w:rPr>
        <w:t>)</w:t>
      </w:r>
      <w:r w:rsidR="0043159F" w:rsidRPr="0023118E">
        <w:rPr>
          <w:rFonts w:ascii="Arial" w:hAnsi="Arial" w:cs="Arial"/>
        </w:rPr>
        <w:t>.</w:t>
      </w:r>
    </w:p>
    <w:p w14:paraId="68DDDE65" w14:textId="64480ED8" w:rsidR="00FF6B7E" w:rsidRDefault="001F12FA" w:rsidP="004845F6">
      <w:pPr>
        <w:jc w:val="both"/>
      </w:pPr>
      <w:r>
        <w:t xml:space="preserve">I zde platí, že předčasně </w:t>
      </w:r>
      <w:r w:rsidR="007925AD">
        <w:t xml:space="preserve">(tj. dříve než v devátém ročníku) </w:t>
      </w:r>
      <w:r w:rsidR="00FF6B7E">
        <w:t>ukonč</w:t>
      </w:r>
      <w:r w:rsidR="00961B51">
        <w:t>uj</w:t>
      </w:r>
      <w:r w:rsidR="00FF6B7E">
        <w:t>í povinné vzdělávání na základních školách častěji chlapci než dívky. Ve školním r</w:t>
      </w:r>
      <w:r w:rsidR="004845F6">
        <w:t xml:space="preserve">oce 2020/21 </w:t>
      </w:r>
      <w:r w:rsidR="007925AD">
        <w:t xml:space="preserve">bylo mezi těmito žáky </w:t>
      </w:r>
      <w:r w:rsidR="00FF6B7E">
        <w:t xml:space="preserve">o </w:t>
      </w:r>
      <w:r w:rsidR="004845F6">
        <w:t>44,5 %</w:t>
      </w:r>
      <w:r w:rsidR="00FF6B7E">
        <w:t xml:space="preserve"> více chlapců (</w:t>
      </w:r>
      <w:r w:rsidR="00B74518">
        <w:t>2 </w:t>
      </w:r>
      <w:r w:rsidR="004845F6">
        <w:t>143</w:t>
      </w:r>
      <w:r w:rsidR="00FF6B7E">
        <w:t>) než dívek (</w:t>
      </w:r>
      <w:r w:rsidR="00B74518">
        <w:t>1 </w:t>
      </w:r>
      <w:r w:rsidR="004845F6">
        <w:t>483</w:t>
      </w:r>
      <w:r w:rsidR="00FF6B7E">
        <w:t>)</w:t>
      </w:r>
      <w:r w:rsidR="007925AD">
        <w:t>. Jinými slovy,</w:t>
      </w:r>
      <w:r w:rsidR="004845F6">
        <w:t xml:space="preserve"> </w:t>
      </w:r>
      <w:r w:rsidR="007925AD">
        <w:t>c</w:t>
      </w:r>
      <w:r w:rsidR="004845F6">
        <w:t xml:space="preserve">hlapci zaujímali tři pětiny </w:t>
      </w:r>
      <w:r w:rsidR="000B5943">
        <w:t>z celku</w:t>
      </w:r>
      <w:r w:rsidR="00FF6B7E">
        <w:t>.</w:t>
      </w:r>
    </w:p>
    <w:p w14:paraId="4DBB2DE2" w14:textId="3A072206" w:rsidR="0043159F" w:rsidRDefault="00FF6B7E" w:rsidP="00E92137">
      <w:pPr>
        <w:keepNext/>
        <w:spacing w:after="120" w:line="276" w:lineRule="auto"/>
        <w:rPr>
          <w:rFonts w:cs="Arial"/>
          <w:b/>
          <w:noProof/>
          <w:szCs w:val="20"/>
        </w:rPr>
      </w:pPr>
      <w:r w:rsidRPr="00721BAC">
        <w:rPr>
          <w:rFonts w:cs="Arial"/>
          <w:b/>
          <w:noProof/>
          <w:szCs w:val="20"/>
        </w:rPr>
        <w:lastRenderedPageBreak/>
        <w:t>Graf 2.</w:t>
      </w:r>
      <w:r w:rsidR="00867384">
        <w:rPr>
          <w:rFonts w:cs="Arial"/>
          <w:b/>
          <w:noProof/>
          <w:szCs w:val="20"/>
        </w:rPr>
        <w:t>28</w:t>
      </w:r>
      <w:r w:rsidRPr="00721BAC">
        <w:rPr>
          <w:rFonts w:cs="Arial"/>
          <w:b/>
          <w:noProof/>
          <w:szCs w:val="20"/>
        </w:rPr>
        <w:t xml:space="preserve"> </w:t>
      </w:r>
      <w:r w:rsidRPr="00227220">
        <w:rPr>
          <w:rFonts w:cs="Arial"/>
          <w:b/>
          <w:noProof/>
          <w:szCs w:val="20"/>
        </w:rPr>
        <w:t>Žáci</w:t>
      </w:r>
      <w:r>
        <w:rPr>
          <w:rFonts w:cs="Arial"/>
          <w:b/>
          <w:noProof/>
          <w:szCs w:val="20"/>
        </w:rPr>
        <w:t xml:space="preserve"> základních škol, kteří uk</w:t>
      </w:r>
      <w:r w:rsidR="00E92137">
        <w:rPr>
          <w:rFonts w:cs="Arial"/>
          <w:b/>
          <w:noProof/>
          <w:szCs w:val="20"/>
        </w:rPr>
        <w:t>ončili povinnou školní docházku</w:t>
      </w:r>
    </w:p>
    <w:p w14:paraId="1AFBD03B" w14:textId="2EB59775" w:rsidR="0043159F" w:rsidRDefault="00FA003F" w:rsidP="00FA003F">
      <w:pPr>
        <w:keepNext/>
        <w:spacing w:after="120" w:line="276" w:lineRule="auto"/>
        <w:rPr>
          <w:rFonts w:cs="Arial"/>
          <w:b/>
          <w:noProof/>
          <w:szCs w:val="20"/>
        </w:rPr>
      </w:pPr>
      <w:r>
        <w:rPr>
          <w:noProof/>
        </w:rPr>
        <w:drawing>
          <wp:inline distT="0" distB="0" distL="0" distR="0" wp14:anchorId="1138635E" wp14:editId="2762CFA3">
            <wp:extent cx="6011545" cy="2981325"/>
            <wp:effectExtent l="0" t="0" r="8255" b="9525"/>
            <wp:docPr id="8" name="Graf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B79ED80" w14:textId="77777777" w:rsidR="00FF6B7E" w:rsidRPr="00721BAC" w:rsidRDefault="00FF6B7E" w:rsidP="00B74518">
      <w:pPr>
        <w:spacing w:after="120"/>
        <w:jc w:val="right"/>
        <w:rPr>
          <w:rFonts w:cs="Arial"/>
          <w:sz w:val="18"/>
        </w:rPr>
      </w:pPr>
      <w:r w:rsidRPr="00721BAC">
        <w:rPr>
          <w:rFonts w:cs="Arial"/>
          <w:sz w:val="18"/>
        </w:rPr>
        <w:t>Zdroj: MŠMT a vlastní dopočty ČSÚ</w:t>
      </w:r>
    </w:p>
    <w:p w14:paraId="5F98FF05" w14:textId="721D1A64" w:rsidR="00FF6B7E" w:rsidRPr="008B214A" w:rsidRDefault="00FF6B7E" w:rsidP="00FF6B7E">
      <w:pPr>
        <w:spacing w:after="120"/>
        <w:jc w:val="both"/>
        <w:rPr>
          <w:rFonts w:cs="Arial"/>
          <w:szCs w:val="20"/>
        </w:rPr>
      </w:pPr>
      <w:r>
        <w:rPr>
          <w:rFonts w:cs="Arial"/>
          <w:szCs w:val="20"/>
        </w:rPr>
        <w:t xml:space="preserve">Pokud jde o </w:t>
      </w:r>
      <w:r w:rsidR="00A23943">
        <w:rPr>
          <w:rFonts w:cs="Arial"/>
          <w:b/>
          <w:szCs w:val="20"/>
        </w:rPr>
        <w:t>regionální srovnání</w:t>
      </w:r>
      <w:r w:rsidR="0043159F">
        <w:rPr>
          <w:rFonts w:cs="Arial"/>
          <w:szCs w:val="20"/>
        </w:rPr>
        <w:t>, bylo ve školním roce 2020/21</w:t>
      </w:r>
      <w:r>
        <w:rPr>
          <w:rFonts w:cs="Arial"/>
          <w:szCs w:val="20"/>
        </w:rPr>
        <w:t xml:space="preserve"> absolutně i procentuálně nejvíce žáků, kteří předčasně </w:t>
      </w:r>
      <w:r w:rsidR="00C164FA">
        <w:rPr>
          <w:rFonts w:cs="Arial"/>
          <w:szCs w:val="20"/>
        </w:rPr>
        <w:t xml:space="preserve">(tj. před dokončením 9. ročníku) </w:t>
      </w:r>
      <w:r>
        <w:rPr>
          <w:rFonts w:cs="Arial"/>
          <w:szCs w:val="20"/>
        </w:rPr>
        <w:t>ukončili povinné vzdělávání na základních školách, v kraji Ústeckém</w:t>
      </w:r>
      <w:r w:rsidR="0043159F">
        <w:rPr>
          <w:rFonts w:cs="Arial"/>
          <w:szCs w:val="20"/>
        </w:rPr>
        <w:t xml:space="preserve"> (9,1</w:t>
      </w:r>
      <w:r w:rsidR="00C164FA">
        <w:rPr>
          <w:rFonts w:cs="Arial"/>
          <w:szCs w:val="20"/>
        </w:rPr>
        <w:t> </w:t>
      </w:r>
      <w:r w:rsidR="004A6219">
        <w:rPr>
          <w:rFonts w:cs="Arial"/>
          <w:szCs w:val="20"/>
        </w:rPr>
        <w:t>%</w:t>
      </w:r>
      <w:r w:rsidR="00C164FA">
        <w:rPr>
          <w:rFonts w:cs="Arial"/>
          <w:szCs w:val="20"/>
        </w:rPr>
        <w:t>)</w:t>
      </w:r>
      <w:r>
        <w:rPr>
          <w:rFonts w:cs="Arial"/>
          <w:szCs w:val="20"/>
        </w:rPr>
        <w:t>.</w:t>
      </w:r>
      <w:r w:rsidR="005D2CF3">
        <w:rPr>
          <w:rFonts w:cs="Arial"/>
          <w:szCs w:val="20"/>
        </w:rPr>
        <w:t xml:space="preserve"> </w:t>
      </w:r>
      <w:r w:rsidR="0043159F">
        <w:rPr>
          <w:rFonts w:cs="Arial"/>
          <w:szCs w:val="20"/>
        </w:rPr>
        <w:t>S odstupem jej pak následuje kraj Karlovarský (6,3</w:t>
      </w:r>
      <w:r w:rsidR="005D2CF3">
        <w:rPr>
          <w:rFonts w:cs="Arial"/>
          <w:szCs w:val="20"/>
        </w:rPr>
        <w:t xml:space="preserve"> %).</w:t>
      </w:r>
      <w:r>
        <w:rPr>
          <w:rFonts w:cs="Arial"/>
          <w:szCs w:val="20"/>
        </w:rPr>
        <w:t xml:space="preserve"> Na opačném žebříčku stojí hlavní město Praha s</w:t>
      </w:r>
      <w:r w:rsidR="0043159F">
        <w:rPr>
          <w:rFonts w:cs="Arial"/>
          <w:szCs w:val="20"/>
        </w:rPr>
        <w:t> 1,4</w:t>
      </w:r>
      <w:r>
        <w:rPr>
          <w:rFonts w:cs="Arial"/>
          <w:szCs w:val="20"/>
        </w:rPr>
        <w:t>% podílem takovýchto žáků</w:t>
      </w:r>
      <w:r w:rsidR="005D2CF3">
        <w:rPr>
          <w:rFonts w:cs="Arial"/>
          <w:szCs w:val="20"/>
        </w:rPr>
        <w:t xml:space="preserve"> </w:t>
      </w:r>
      <w:r w:rsidR="0043159F">
        <w:rPr>
          <w:rFonts w:cs="Arial"/>
          <w:szCs w:val="20"/>
        </w:rPr>
        <w:t>následované krajem Zlínským (2,0</w:t>
      </w:r>
      <w:r w:rsidR="005D2CF3">
        <w:rPr>
          <w:rFonts w:cs="Arial"/>
          <w:szCs w:val="20"/>
        </w:rPr>
        <w:t> %)</w:t>
      </w:r>
      <w:r w:rsidR="0043159F">
        <w:rPr>
          <w:rFonts w:cs="Arial"/>
          <w:szCs w:val="20"/>
        </w:rPr>
        <w:t>, Jihomoravským (2,1 %) a Vysočinou (2,1 %)</w:t>
      </w:r>
      <w:r>
        <w:rPr>
          <w:rFonts w:cs="Arial"/>
          <w:szCs w:val="20"/>
        </w:rPr>
        <w:t xml:space="preserve">.  </w:t>
      </w:r>
      <w:r w:rsidR="0043159F">
        <w:rPr>
          <w:rFonts w:cs="Arial"/>
          <w:szCs w:val="20"/>
        </w:rPr>
        <w:t>V ostatních krajích se podíl takových žáků pohybuje mezi třemi a pěti procenty.</w:t>
      </w:r>
    </w:p>
    <w:p w14:paraId="0B7C5383" w14:textId="434580C5" w:rsidR="00FF6B7E" w:rsidRDefault="00FF6B7E" w:rsidP="00E92137">
      <w:pPr>
        <w:keepNext/>
        <w:spacing w:after="120" w:line="276" w:lineRule="auto"/>
        <w:rPr>
          <w:rFonts w:cs="Arial"/>
          <w:b/>
          <w:noProof/>
          <w:szCs w:val="20"/>
        </w:rPr>
      </w:pPr>
      <w:r w:rsidRPr="00721BAC">
        <w:rPr>
          <w:rFonts w:cs="Arial"/>
          <w:b/>
          <w:noProof/>
          <w:szCs w:val="20"/>
        </w:rPr>
        <w:t>Graf 2.</w:t>
      </w:r>
      <w:r w:rsidR="00867384">
        <w:rPr>
          <w:rFonts w:cs="Arial"/>
          <w:b/>
          <w:noProof/>
          <w:szCs w:val="20"/>
        </w:rPr>
        <w:t>29</w:t>
      </w:r>
      <w:r w:rsidRPr="00721BAC">
        <w:rPr>
          <w:rFonts w:cs="Arial"/>
          <w:b/>
          <w:noProof/>
          <w:szCs w:val="20"/>
        </w:rPr>
        <w:t xml:space="preserve"> </w:t>
      </w:r>
      <w:r w:rsidRPr="001F37DD">
        <w:rPr>
          <w:rFonts w:cs="Arial"/>
          <w:b/>
          <w:noProof/>
          <w:szCs w:val="20"/>
        </w:rPr>
        <w:t xml:space="preserve">Žáci </w:t>
      </w:r>
      <w:r w:rsidR="00610DCE">
        <w:rPr>
          <w:rFonts w:cs="Arial"/>
          <w:b/>
          <w:noProof/>
          <w:szCs w:val="20"/>
        </w:rPr>
        <w:t>ZŠ</w:t>
      </w:r>
      <w:r w:rsidRPr="001F37DD">
        <w:rPr>
          <w:rFonts w:cs="Arial"/>
          <w:b/>
          <w:noProof/>
          <w:szCs w:val="20"/>
        </w:rPr>
        <w:t>, kteří předčasně ukončili povinnou</w:t>
      </w:r>
      <w:r w:rsidR="00C164FA">
        <w:rPr>
          <w:rFonts w:cs="Arial"/>
          <w:b/>
          <w:noProof/>
          <w:szCs w:val="20"/>
        </w:rPr>
        <w:t xml:space="preserve"> </w:t>
      </w:r>
      <w:r w:rsidR="00610DCE">
        <w:rPr>
          <w:rFonts w:cs="Arial"/>
          <w:b/>
          <w:noProof/>
          <w:szCs w:val="20"/>
        </w:rPr>
        <w:t xml:space="preserve">školní docházku, dle sídla školy </w:t>
      </w:r>
      <w:r w:rsidR="0043159F">
        <w:rPr>
          <w:rFonts w:cs="Arial"/>
          <w:b/>
          <w:noProof/>
          <w:szCs w:val="20"/>
        </w:rPr>
        <w:t>(2020/21</w:t>
      </w:r>
      <w:r w:rsidRPr="001F37DD">
        <w:rPr>
          <w:rFonts w:cs="Arial"/>
          <w:b/>
          <w:noProof/>
          <w:szCs w:val="20"/>
        </w:rPr>
        <w:t xml:space="preserve">) </w:t>
      </w:r>
    </w:p>
    <w:p w14:paraId="1EDDA43A" w14:textId="540D941C" w:rsidR="0043159F" w:rsidRDefault="0043159F" w:rsidP="0043159F">
      <w:pPr>
        <w:keepNext/>
        <w:spacing w:after="0" w:line="276" w:lineRule="auto"/>
        <w:rPr>
          <w:rFonts w:cs="Arial"/>
          <w:b/>
          <w:noProof/>
          <w:szCs w:val="20"/>
        </w:rPr>
      </w:pPr>
      <w:r>
        <w:rPr>
          <w:noProof/>
        </w:rPr>
        <w:drawing>
          <wp:inline distT="0" distB="0" distL="0" distR="0" wp14:anchorId="27F7D99A" wp14:editId="60055BDB">
            <wp:extent cx="6119495" cy="3314700"/>
            <wp:effectExtent l="0" t="0" r="14605" b="0"/>
            <wp:docPr id="21" name="Graf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E645D6E" w14:textId="77777777" w:rsidR="00FF6B7E" w:rsidRPr="00721BAC" w:rsidRDefault="00FF6B7E" w:rsidP="00836E96">
      <w:pPr>
        <w:spacing w:after="120"/>
        <w:jc w:val="right"/>
        <w:rPr>
          <w:rFonts w:cs="Arial"/>
          <w:sz w:val="18"/>
        </w:rPr>
      </w:pPr>
      <w:r w:rsidRPr="00721BAC">
        <w:rPr>
          <w:rFonts w:cs="Arial"/>
          <w:sz w:val="18"/>
        </w:rPr>
        <w:t>Zdroj: MŠMT a vlastní dopočty ČSÚ</w:t>
      </w:r>
    </w:p>
    <w:p w14:paraId="259F5DA1" w14:textId="77777777" w:rsidR="004C0561" w:rsidRDefault="004C0561" w:rsidP="00FF6B7E">
      <w:pPr>
        <w:pStyle w:val="Nadpis2"/>
        <w:spacing w:after="120"/>
      </w:pPr>
    </w:p>
    <w:p w14:paraId="6B6138B9" w14:textId="2BCE54FE" w:rsidR="00FF6B7E" w:rsidRDefault="00FF6B7E" w:rsidP="00FF6B7E">
      <w:pPr>
        <w:pStyle w:val="Nadpis2"/>
        <w:spacing w:after="120"/>
      </w:pPr>
      <w:bookmarkStart w:id="18" w:name="_Toc112069082"/>
      <w:r>
        <w:t>2.11 Žáci s cizím státním občanstvím na základních školách</w:t>
      </w:r>
      <w:bookmarkEnd w:id="18"/>
    </w:p>
    <w:p w14:paraId="0BCA037A" w14:textId="5E926926" w:rsidR="00FF6B7E" w:rsidRDefault="00F35931" w:rsidP="00FF6B7E">
      <w:pPr>
        <w:spacing w:after="120"/>
        <w:jc w:val="both"/>
        <w:rPr>
          <w:rFonts w:cs="Arial"/>
          <w:szCs w:val="20"/>
        </w:rPr>
      </w:pPr>
      <w:r w:rsidRPr="00F35931">
        <w:rPr>
          <w:rFonts w:cs="Arial"/>
          <w:szCs w:val="20"/>
        </w:rPr>
        <w:t>Povinná školní docházka se vztahuje na občany České republiky a na občany jiného členského státu Evropské unie, kteří na území České republiky pobývají déle než 90 dnů. Dále se povinná školní docházka vztahuje na jiné cizince, kteří jsou oprávněni pobývat na území České republiky trvale nebo přechodně po dobu delší než 90 dnů, a na účastníky řízení o udělení mezinárodní ochrany</w:t>
      </w:r>
      <w:r>
        <w:rPr>
          <w:rFonts w:cs="Arial"/>
          <w:szCs w:val="20"/>
        </w:rPr>
        <w:t>.</w:t>
      </w:r>
      <w:r w:rsidRPr="00F35931">
        <w:t xml:space="preserve"> </w:t>
      </w:r>
      <w:r>
        <w:rPr>
          <w:rFonts w:cs="Arial"/>
          <w:szCs w:val="20"/>
        </w:rPr>
        <w:t>Děti cizinců mají přístup k </w:t>
      </w:r>
      <w:r w:rsidRPr="00F35931">
        <w:rPr>
          <w:rFonts w:cs="Arial"/>
          <w:szCs w:val="20"/>
        </w:rPr>
        <w:t>základnímu vzdělání za stejných podmínek jako občané ČR. Mají nárok na bezplatné vzdělávání, přístup ke školnímu stravování a školním zájmovým kroužkům.</w:t>
      </w:r>
    </w:p>
    <w:p w14:paraId="43CCF0D5" w14:textId="0F175CEB" w:rsidR="00F35931" w:rsidRPr="0023246A" w:rsidRDefault="00F35931" w:rsidP="00FF6B7E">
      <w:pPr>
        <w:spacing w:after="120"/>
        <w:jc w:val="both"/>
        <w:rPr>
          <w:rFonts w:cs="Arial"/>
          <w:szCs w:val="20"/>
        </w:rPr>
      </w:pPr>
      <w:r w:rsidRPr="0023246A">
        <w:rPr>
          <w:rFonts w:cs="Arial"/>
          <w:szCs w:val="20"/>
        </w:rPr>
        <w:t xml:space="preserve">Stejně jako v případě mateřských škol i </w:t>
      </w:r>
      <w:r>
        <w:rPr>
          <w:rFonts w:cs="Arial"/>
          <w:szCs w:val="20"/>
        </w:rPr>
        <w:t xml:space="preserve">na </w:t>
      </w:r>
      <w:r w:rsidRPr="0023246A">
        <w:rPr>
          <w:rFonts w:cs="Arial"/>
          <w:szCs w:val="20"/>
        </w:rPr>
        <w:t xml:space="preserve">základních školách </w:t>
      </w:r>
      <w:r w:rsidR="00533B1A">
        <w:rPr>
          <w:rFonts w:cs="Arial"/>
          <w:szCs w:val="20"/>
        </w:rPr>
        <w:t>se v uplynulých deseti školních rocích každoročně zvyšoval</w:t>
      </w:r>
      <w:r w:rsidRPr="0023246A">
        <w:rPr>
          <w:rFonts w:cs="Arial"/>
          <w:szCs w:val="20"/>
        </w:rPr>
        <w:t xml:space="preserve"> počet žáků s cizím </w:t>
      </w:r>
      <w:r>
        <w:rPr>
          <w:rFonts w:cs="Arial"/>
          <w:szCs w:val="20"/>
        </w:rPr>
        <w:t>(</w:t>
      </w:r>
      <w:r w:rsidR="00837655">
        <w:rPr>
          <w:rFonts w:cs="Arial"/>
          <w:szCs w:val="20"/>
        </w:rPr>
        <w:t xml:space="preserve">tj. </w:t>
      </w:r>
      <w:r>
        <w:rPr>
          <w:rFonts w:cs="Arial"/>
          <w:szCs w:val="20"/>
        </w:rPr>
        <w:t xml:space="preserve">jiným než českým) </w:t>
      </w:r>
      <w:r w:rsidRPr="0023246A">
        <w:rPr>
          <w:rFonts w:cs="Arial"/>
          <w:szCs w:val="20"/>
        </w:rPr>
        <w:t>státním občanstvím. Za posledních</w:t>
      </w:r>
      <w:r w:rsidR="00533B1A">
        <w:rPr>
          <w:rFonts w:cs="Arial"/>
          <w:szCs w:val="20"/>
        </w:rPr>
        <w:t xml:space="preserve"> pět let jejich počet vzrostl o </w:t>
      </w:r>
      <w:r w:rsidR="00603B3F">
        <w:rPr>
          <w:rFonts w:cs="Arial"/>
          <w:szCs w:val="20"/>
        </w:rPr>
        <w:t xml:space="preserve">polovinu (50,9 %) a za deset let se více než zdvojnásobil (zvýšil se o 112,9 %). </w:t>
      </w:r>
      <w:r w:rsidR="00987317">
        <w:rPr>
          <w:rFonts w:cs="Arial"/>
          <w:szCs w:val="20"/>
        </w:rPr>
        <w:t>K 30. 9.</w:t>
      </w:r>
      <w:r w:rsidR="00603B3F">
        <w:rPr>
          <w:rFonts w:cs="Arial"/>
          <w:szCs w:val="20"/>
        </w:rPr>
        <w:t xml:space="preserve"> 2021</w:t>
      </w:r>
      <w:r w:rsidRPr="0023246A">
        <w:rPr>
          <w:rFonts w:cs="Arial"/>
          <w:szCs w:val="20"/>
        </w:rPr>
        <w:t xml:space="preserve"> </w:t>
      </w:r>
      <w:r w:rsidR="00603B3F">
        <w:rPr>
          <w:rFonts w:cs="Arial"/>
          <w:szCs w:val="20"/>
        </w:rPr>
        <w:t>se</w:t>
      </w:r>
      <w:r w:rsidRPr="0023246A">
        <w:rPr>
          <w:rFonts w:cs="Arial"/>
          <w:szCs w:val="20"/>
        </w:rPr>
        <w:t xml:space="preserve"> </w:t>
      </w:r>
      <w:r>
        <w:rPr>
          <w:rFonts w:cs="Arial"/>
          <w:szCs w:val="20"/>
        </w:rPr>
        <w:t>na z</w:t>
      </w:r>
      <w:r w:rsidRPr="0023246A">
        <w:rPr>
          <w:rFonts w:cs="Arial"/>
          <w:szCs w:val="20"/>
        </w:rPr>
        <w:t>ákladní</w:t>
      </w:r>
      <w:r>
        <w:rPr>
          <w:rFonts w:cs="Arial"/>
          <w:szCs w:val="20"/>
        </w:rPr>
        <w:t>ch</w:t>
      </w:r>
      <w:r w:rsidRPr="0023246A">
        <w:rPr>
          <w:rFonts w:cs="Arial"/>
          <w:szCs w:val="20"/>
        </w:rPr>
        <w:t xml:space="preserve"> škol</w:t>
      </w:r>
      <w:r>
        <w:rPr>
          <w:rFonts w:cs="Arial"/>
          <w:szCs w:val="20"/>
        </w:rPr>
        <w:t xml:space="preserve">ách </w:t>
      </w:r>
      <w:r w:rsidRPr="0023246A">
        <w:rPr>
          <w:rFonts w:cs="Arial"/>
          <w:szCs w:val="20"/>
        </w:rPr>
        <w:t>v Česk</w:t>
      </w:r>
      <w:r>
        <w:rPr>
          <w:rFonts w:cs="Arial"/>
          <w:szCs w:val="20"/>
        </w:rPr>
        <w:t>u</w:t>
      </w:r>
      <w:r w:rsidRPr="0023246A">
        <w:rPr>
          <w:rFonts w:cs="Arial"/>
          <w:szCs w:val="20"/>
        </w:rPr>
        <w:t xml:space="preserve"> </w:t>
      </w:r>
      <w:r>
        <w:rPr>
          <w:rFonts w:cs="Arial"/>
          <w:szCs w:val="20"/>
        </w:rPr>
        <w:t xml:space="preserve">vzdělávalo </w:t>
      </w:r>
      <w:r w:rsidRPr="0023246A">
        <w:rPr>
          <w:rFonts w:cs="Arial"/>
          <w:szCs w:val="20"/>
        </w:rPr>
        <w:t xml:space="preserve">celkem </w:t>
      </w:r>
      <w:r w:rsidR="00603B3F" w:rsidRPr="00603B3F">
        <w:rPr>
          <w:rFonts w:cs="Arial"/>
          <w:szCs w:val="20"/>
        </w:rPr>
        <w:t>30</w:t>
      </w:r>
      <w:r w:rsidR="00603B3F">
        <w:rPr>
          <w:rFonts w:cs="Arial"/>
          <w:szCs w:val="20"/>
        </w:rPr>
        <w:t> </w:t>
      </w:r>
      <w:r w:rsidR="00603B3F" w:rsidRPr="00603B3F">
        <w:rPr>
          <w:rFonts w:cs="Arial"/>
          <w:szCs w:val="20"/>
        </w:rPr>
        <w:t>543</w:t>
      </w:r>
      <w:r w:rsidR="00837655">
        <w:rPr>
          <w:rFonts w:cs="Arial"/>
          <w:szCs w:val="20"/>
        </w:rPr>
        <w:t xml:space="preserve"> cizinců</w:t>
      </w:r>
      <w:r w:rsidR="0023118E">
        <w:rPr>
          <w:rStyle w:val="Znakapoznpodarou"/>
          <w:rFonts w:cs="Arial"/>
          <w:szCs w:val="20"/>
        </w:rPr>
        <w:footnoteReference w:id="28"/>
      </w:r>
      <w:r w:rsidR="00837655">
        <w:rPr>
          <w:rFonts w:cs="Arial"/>
          <w:szCs w:val="20"/>
        </w:rPr>
        <w:t>.</w:t>
      </w:r>
      <w:r>
        <w:rPr>
          <w:rFonts w:cs="Arial"/>
          <w:szCs w:val="20"/>
        </w:rPr>
        <w:t xml:space="preserve"> </w:t>
      </w:r>
      <w:r w:rsidR="00837655">
        <w:rPr>
          <w:rFonts w:cs="Arial"/>
          <w:szCs w:val="20"/>
        </w:rPr>
        <w:t>O</w:t>
      </w:r>
      <w:r w:rsidR="00533B1A">
        <w:rPr>
          <w:rFonts w:cs="Arial"/>
          <w:szCs w:val="20"/>
        </w:rPr>
        <w:t>proti minulému školnímu roku</w:t>
      </w:r>
      <w:r>
        <w:rPr>
          <w:rFonts w:cs="Arial"/>
          <w:szCs w:val="20"/>
        </w:rPr>
        <w:t xml:space="preserve"> </w:t>
      </w:r>
      <w:r w:rsidR="00837655">
        <w:rPr>
          <w:rFonts w:cs="Arial"/>
          <w:szCs w:val="20"/>
        </w:rPr>
        <w:t xml:space="preserve">je to </w:t>
      </w:r>
      <w:r w:rsidR="0023118E">
        <w:rPr>
          <w:rFonts w:cs="Arial"/>
          <w:szCs w:val="20"/>
        </w:rPr>
        <w:t>o </w:t>
      </w:r>
      <w:r>
        <w:rPr>
          <w:rFonts w:cs="Arial"/>
          <w:szCs w:val="20"/>
        </w:rPr>
        <w:t>7</w:t>
      </w:r>
      <w:r w:rsidR="00603B3F">
        <w:rPr>
          <w:rFonts w:cs="Arial"/>
          <w:szCs w:val="20"/>
        </w:rPr>
        <w:t>,6</w:t>
      </w:r>
      <w:r w:rsidR="00837655">
        <w:rPr>
          <w:rFonts w:cs="Arial"/>
          <w:szCs w:val="20"/>
        </w:rPr>
        <w:t xml:space="preserve"> % více </w:t>
      </w:r>
      <w:r w:rsidRPr="0023246A">
        <w:rPr>
          <w:rFonts w:cs="Arial"/>
          <w:szCs w:val="20"/>
        </w:rPr>
        <w:t>a na celkovém počtu žáků základní</w:t>
      </w:r>
      <w:r w:rsidR="00603B3F">
        <w:rPr>
          <w:rFonts w:cs="Arial"/>
          <w:szCs w:val="20"/>
        </w:rPr>
        <w:t>ch škol se tito žáci podíleli 3,2</w:t>
      </w:r>
      <w:r w:rsidRPr="0023246A">
        <w:rPr>
          <w:rFonts w:cs="Arial"/>
          <w:szCs w:val="20"/>
        </w:rPr>
        <w:t xml:space="preserve"> %</w:t>
      </w:r>
      <w:r>
        <w:rPr>
          <w:rFonts w:cs="Arial"/>
          <w:szCs w:val="20"/>
        </w:rPr>
        <w:t>.</w:t>
      </w:r>
      <w:r w:rsidRPr="0023246A">
        <w:rPr>
          <w:rFonts w:cs="Arial"/>
          <w:szCs w:val="20"/>
        </w:rPr>
        <w:t xml:space="preserve"> </w:t>
      </w:r>
      <w:r>
        <w:rPr>
          <w:rFonts w:cs="Arial"/>
          <w:szCs w:val="20"/>
        </w:rPr>
        <w:t>P</w:t>
      </w:r>
      <w:r w:rsidRPr="0023246A">
        <w:rPr>
          <w:rFonts w:cs="Arial"/>
          <w:szCs w:val="20"/>
        </w:rPr>
        <w:t xml:space="preserve">řed pěti lety jich </w:t>
      </w:r>
      <w:r>
        <w:rPr>
          <w:rFonts w:cs="Arial"/>
          <w:szCs w:val="20"/>
        </w:rPr>
        <w:t xml:space="preserve">do školních lavic </w:t>
      </w:r>
      <w:r w:rsidRPr="0023246A">
        <w:rPr>
          <w:rFonts w:cs="Arial"/>
          <w:szCs w:val="20"/>
        </w:rPr>
        <w:t xml:space="preserve">základních škol </w:t>
      </w:r>
      <w:r>
        <w:rPr>
          <w:rFonts w:cs="Arial"/>
          <w:szCs w:val="20"/>
        </w:rPr>
        <w:t>zasedlo o </w:t>
      </w:r>
      <w:r w:rsidR="00603B3F">
        <w:rPr>
          <w:rFonts w:cs="Arial"/>
          <w:szCs w:val="20"/>
        </w:rPr>
        <w:t>10 306</w:t>
      </w:r>
      <w:r>
        <w:rPr>
          <w:rFonts w:cs="Arial"/>
          <w:szCs w:val="20"/>
        </w:rPr>
        <w:t xml:space="preserve"> méně</w:t>
      </w:r>
      <w:r w:rsidRPr="0023246A">
        <w:rPr>
          <w:rFonts w:cs="Arial"/>
          <w:szCs w:val="20"/>
        </w:rPr>
        <w:t xml:space="preserve"> a jejich podíl na všech žácích se rovnal </w:t>
      </w:r>
      <w:r w:rsidR="00603B3F">
        <w:rPr>
          <w:rFonts w:cs="Arial"/>
          <w:szCs w:val="20"/>
        </w:rPr>
        <w:t>2,2</w:t>
      </w:r>
      <w:r>
        <w:rPr>
          <w:rFonts w:cs="Arial"/>
          <w:szCs w:val="20"/>
        </w:rPr>
        <w:t> </w:t>
      </w:r>
      <w:r w:rsidRPr="0023246A">
        <w:rPr>
          <w:rFonts w:cs="Arial"/>
          <w:szCs w:val="20"/>
        </w:rPr>
        <w:t>%.</w:t>
      </w:r>
      <w:r w:rsidR="00E2501D">
        <w:rPr>
          <w:rFonts w:cs="Arial"/>
          <w:szCs w:val="20"/>
        </w:rPr>
        <w:t xml:space="preserve"> </w:t>
      </w:r>
      <w:r w:rsidR="00867384">
        <w:rPr>
          <w:rFonts w:cs="Arial"/>
          <w:szCs w:val="20"/>
        </w:rPr>
        <w:t>Jak dokládá graf 2.30</w:t>
      </w:r>
      <w:r w:rsidR="00533B1A">
        <w:rPr>
          <w:rFonts w:cs="Arial"/>
          <w:szCs w:val="20"/>
        </w:rPr>
        <w:t>, podíl žáků cizího státního občanství od škol</w:t>
      </w:r>
      <w:r w:rsidR="00EE1B52">
        <w:rPr>
          <w:rFonts w:cs="Arial"/>
          <w:szCs w:val="20"/>
        </w:rPr>
        <w:t>ního roku 2012/13 neustále roste</w:t>
      </w:r>
      <w:r w:rsidR="00533B1A">
        <w:rPr>
          <w:rFonts w:cs="Arial"/>
          <w:szCs w:val="20"/>
        </w:rPr>
        <w:t>.</w:t>
      </w:r>
    </w:p>
    <w:p w14:paraId="5FF412F2" w14:textId="7DABBDF3" w:rsidR="00FF6B7E" w:rsidRDefault="00FF6B7E" w:rsidP="004C0561">
      <w:pPr>
        <w:keepNext/>
        <w:spacing w:after="120"/>
        <w:jc w:val="both"/>
        <w:rPr>
          <w:rFonts w:cs="Arial"/>
          <w:b/>
          <w:szCs w:val="20"/>
        </w:rPr>
      </w:pPr>
      <w:r w:rsidRPr="002E5300">
        <w:rPr>
          <w:rFonts w:cs="Arial"/>
          <w:b/>
          <w:szCs w:val="20"/>
        </w:rPr>
        <w:t xml:space="preserve">Graf </w:t>
      </w:r>
      <w:r w:rsidR="00867384">
        <w:rPr>
          <w:rFonts w:cs="Arial"/>
          <w:b/>
          <w:szCs w:val="20"/>
        </w:rPr>
        <w:t>2.30</w:t>
      </w:r>
      <w:r>
        <w:rPr>
          <w:rFonts w:cs="Arial"/>
          <w:b/>
          <w:szCs w:val="20"/>
        </w:rPr>
        <w:t xml:space="preserve"> Žáci s cizím státním občanstvím (jiným než českým) na základních školách</w:t>
      </w:r>
      <w:r w:rsidR="008B7B1C">
        <w:rPr>
          <w:rFonts w:cs="Arial"/>
          <w:b/>
          <w:szCs w:val="20"/>
        </w:rPr>
        <w:t xml:space="preserve"> (k 30.9.)</w:t>
      </w:r>
    </w:p>
    <w:p w14:paraId="3187AD86" w14:textId="5D88EC2A" w:rsidR="00FF6B7E" w:rsidRPr="006D3D19" w:rsidRDefault="00603B3F" w:rsidP="00AF7A65">
      <w:pPr>
        <w:keepNext/>
        <w:spacing w:after="120"/>
        <w:jc w:val="both"/>
        <w:rPr>
          <w:rFonts w:cs="Arial"/>
          <w:b/>
          <w:szCs w:val="20"/>
        </w:rPr>
      </w:pPr>
      <w:r>
        <w:rPr>
          <w:noProof/>
        </w:rPr>
        <w:drawing>
          <wp:inline distT="0" distB="0" distL="0" distR="0" wp14:anchorId="2A93055D" wp14:editId="41A0B456">
            <wp:extent cx="6011545" cy="3276600"/>
            <wp:effectExtent l="0" t="0" r="8255" b="0"/>
            <wp:docPr id="22" name="Graf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D18BED4" w14:textId="77777777" w:rsidR="00FF6B7E" w:rsidRDefault="00FF6B7E" w:rsidP="006D3D19">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222F7540" w14:textId="48C68A14" w:rsidR="00F35931" w:rsidRPr="00F35931" w:rsidRDefault="00F35931" w:rsidP="00FF6B7E">
      <w:pPr>
        <w:spacing w:after="120"/>
        <w:jc w:val="both"/>
        <w:rPr>
          <w:rFonts w:cs="Arial"/>
          <w:szCs w:val="20"/>
        </w:rPr>
      </w:pPr>
      <w:r w:rsidRPr="00DE4933">
        <w:rPr>
          <w:rFonts w:cs="Arial"/>
          <w:szCs w:val="20"/>
        </w:rPr>
        <w:t xml:space="preserve">Ze všech krajů je dlouhodobě podíl žáků s jiným než českým občanstvím nejvyšší </w:t>
      </w:r>
      <w:r w:rsidRPr="00DE4933">
        <w:rPr>
          <w:rFonts w:cs="Arial"/>
          <w:b/>
          <w:szCs w:val="20"/>
        </w:rPr>
        <w:t>v Praze</w:t>
      </w:r>
      <w:r w:rsidRPr="00DE4933">
        <w:rPr>
          <w:rFonts w:cs="Arial"/>
          <w:szCs w:val="20"/>
        </w:rPr>
        <w:t>.</w:t>
      </w:r>
      <w:r>
        <w:rPr>
          <w:rFonts w:cs="Arial"/>
          <w:szCs w:val="20"/>
        </w:rPr>
        <w:t xml:space="preserve"> Ve školním roc</w:t>
      </w:r>
      <w:r w:rsidR="00CC6003">
        <w:rPr>
          <w:rFonts w:cs="Arial"/>
          <w:szCs w:val="20"/>
        </w:rPr>
        <w:t>e 2021/22</w:t>
      </w:r>
      <w:r>
        <w:rPr>
          <w:rFonts w:cs="Arial"/>
          <w:szCs w:val="20"/>
        </w:rPr>
        <w:t xml:space="preserve"> tvořili žáci s cizím státním občanstvím </w:t>
      </w:r>
      <w:r w:rsidR="009821A9">
        <w:rPr>
          <w:rFonts w:cs="Arial"/>
          <w:szCs w:val="20"/>
        </w:rPr>
        <w:t>téměř desetinu</w:t>
      </w:r>
      <w:r>
        <w:rPr>
          <w:rFonts w:cs="Arial"/>
          <w:szCs w:val="20"/>
        </w:rPr>
        <w:t xml:space="preserve"> všech žáků základních škol v hlavním městě</w:t>
      </w:r>
      <w:r w:rsidR="009821A9">
        <w:rPr>
          <w:rFonts w:cs="Arial"/>
          <w:szCs w:val="20"/>
        </w:rPr>
        <w:t xml:space="preserve"> (9,7 %)</w:t>
      </w:r>
      <w:r>
        <w:rPr>
          <w:rFonts w:cs="Arial"/>
          <w:szCs w:val="20"/>
        </w:rPr>
        <w:t>. S</w:t>
      </w:r>
      <w:r w:rsidRPr="0023246A">
        <w:rPr>
          <w:rFonts w:cs="Arial"/>
          <w:szCs w:val="20"/>
        </w:rPr>
        <w:t xml:space="preserve"> velkým odstupem pak byla Praha v žebříčku násl</w:t>
      </w:r>
      <w:r>
        <w:rPr>
          <w:rFonts w:cs="Arial"/>
          <w:szCs w:val="20"/>
        </w:rPr>
        <w:t xml:space="preserve">edována krajem </w:t>
      </w:r>
      <w:r w:rsidR="00CC6003">
        <w:rPr>
          <w:rFonts w:cs="Arial"/>
          <w:szCs w:val="20"/>
        </w:rPr>
        <w:t>Plzeňským (4,8</w:t>
      </w:r>
      <w:r w:rsidRPr="0023246A">
        <w:rPr>
          <w:rFonts w:cs="Arial"/>
          <w:szCs w:val="20"/>
        </w:rPr>
        <w:t xml:space="preserve"> %)</w:t>
      </w:r>
      <w:r w:rsidR="00CC6003">
        <w:rPr>
          <w:rFonts w:cs="Arial"/>
          <w:szCs w:val="20"/>
        </w:rPr>
        <w:t xml:space="preserve"> a Karlovarským (4,7 %)</w:t>
      </w:r>
      <w:r w:rsidRPr="0023246A">
        <w:rPr>
          <w:rFonts w:cs="Arial"/>
          <w:szCs w:val="20"/>
        </w:rPr>
        <w:t xml:space="preserve">. </w:t>
      </w:r>
      <w:r w:rsidR="00CC6003">
        <w:rPr>
          <w:rFonts w:cs="Arial"/>
          <w:szCs w:val="20"/>
        </w:rPr>
        <w:t xml:space="preserve">Více než tříprocentní byl </w:t>
      </w:r>
      <w:r w:rsidR="00987317">
        <w:rPr>
          <w:rFonts w:cs="Arial"/>
          <w:szCs w:val="20"/>
        </w:rPr>
        <w:t xml:space="preserve">jejich podíl </w:t>
      </w:r>
      <w:r w:rsidR="00CC6003">
        <w:rPr>
          <w:rFonts w:cs="Arial"/>
          <w:szCs w:val="20"/>
        </w:rPr>
        <w:t>též</w:t>
      </w:r>
      <w:r w:rsidR="006D6D8D">
        <w:rPr>
          <w:rFonts w:cs="Arial"/>
          <w:szCs w:val="20"/>
        </w:rPr>
        <w:t xml:space="preserve"> v kraji Středočeském (3,3 %) a Libereckém (3,2 %).</w:t>
      </w:r>
      <w:r w:rsidR="00CC6003">
        <w:rPr>
          <w:rFonts w:cs="Arial"/>
          <w:szCs w:val="20"/>
        </w:rPr>
        <w:t xml:space="preserve"> </w:t>
      </w:r>
      <w:r>
        <w:rPr>
          <w:rFonts w:cs="Arial"/>
          <w:szCs w:val="20"/>
        </w:rPr>
        <w:t xml:space="preserve">V ostatních krajích činil podíl cizinců </w:t>
      </w:r>
      <w:r w:rsidR="006D6D8D">
        <w:rPr>
          <w:rFonts w:cs="Arial"/>
          <w:szCs w:val="20"/>
        </w:rPr>
        <w:t>2,5</w:t>
      </w:r>
      <w:r>
        <w:rPr>
          <w:rFonts w:cs="Arial"/>
          <w:szCs w:val="20"/>
        </w:rPr>
        <w:t> % či méně. V</w:t>
      </w:r>
      <w:r w:rsidRPr="0023246A">
        <w:rPr>
          <w:rFonts w:cs="Arial"/>
          <w:szCs w:val="20"/>
        </w:rPr>
        <w:t xml:space="preserve"> kraji </w:t>
      </w:r>
      <w:r w:rsidR="006D6D8D">
        <w:rPr>
          <w:rFonts w:cs="Arial"/>
          <w:szCs w:val="20"/>
        </w:rPr>
        <w:t>Olomouckém,</w:t>
      </w:r>
      <w:r w:rsidRPr="0023246A">
        <w:rPr>
          <w:rFonts w:cs="Arial"/>
          <w:szCs w:val="20"/>
        </w:rPr>
        <w:t xml:space="preserve"> Moravskoslezském</w:t>
      </w:r>
      <w:r w:rsidR="006D6D8D">
        <w:rPr>
          <w:rFonts w:cs="Arial"/>
          <w:szCs w:val="20"/>
        </w:rPr>
        <w:t xml:space="preserve"> a Zlínském</w:t>
      </w:r>
      <w:r w:rsidRPr="0023246A">
        <w:rPr>
          <w:rFonts w:cs="Arial"/>
          <w:szCs w:val="20"/>
        </w:rPr>
        <w:t xml:space="preserve"> </w:t>
      </w:r>
      <w:r>
        <w:rPr>
          <w:rFonts w:cs="Arial"/>
          <w:szCs w:val="20"/>
        </w:rPr>
        <w:t xml:space="preserve">přitom </w:t>
      </w:r>
      <w:r w:rsidRPr="0023246A">
        <w:rPr>
          <w:rFonts w:cs="Arial"/>
          <w:szCs w:val="20"/>
        </w:rPr>
        <w:t>dosáhl podíl žáků základních škol cizí státní přís</w:t>
      </w:r>
      <w:r w:rsidR="00FB0FFC">
        <w:rPr>
          <w:rFonts w:cs="Arial"/>
          <w:szCs w:val="20"/>
        </w:rPr>
        <w:t>lušnosti jen</w:t>
      </w:r>
      <w:r>
        <w:rPr>
          <w:rFonts w:cs="Arial"/>
          <w:szCs w:val="20"/>
        </w:rPr>
        <w:t xml:space="preserve"> </w:t>
      </w:r>
      <w:r w:rsidR="00B20843">
        <w:rPr>
          <w:rFonts w:cs="Arial"/>
          <w:szCs w:val="20"/>
        </w:rPr>
        <w:t xml:space="preserve">cca </w:t>
      </w:r>
      <w:r>
        <w:rPr>
          <w:rFonts w:cs="Arial"/>
          <w:szCs w:val="20"/>
        </w:rPr>
        <w:t>jednoho p</w:t>
      </w:r>
      <w:r w:rsidR="00867384">
        <w:rPr>
          <w:rFonts w:cs="Arial"/>
          <w:szCs w:val="20"/>
        </w:rPr>
        <w:t>rocenta – viz graf 2.31</w:t>
      </w:r>
      <w:r>
        <w:rPr>
          <w:rFonts w:cs="Arial"/>
          <w:szCs w:val="20"/>
        </w:rPr>
        <w:t>.</w:t>
      </w:r>
    </w:p>
    <w:p w14:paraId="16E969FC" w14:textId="28DB0266" w:rsidR="00FF6B7E" w:rsidRDefault="00867384" w:rsidP="009666A6">
      <w:pPr>
        <w:keepNext/>
        <w:spacing w:after="120"/>
        <w:jc w:val="both"/>
        <w:rPr>
          <w:rFonts w:cs="Arial"/>
          <w:b/>
          <w:spacing w:val="-6"/>
          <w:szCs w:val="20"/>
        </w:rPr>
      </w:pPr>
      <w:r>
        <w:rPr>
          <w:rFonts w:cs="Arial"/>
          <w:b/>
          <w:szCs w:val="20"/>
        </w:rPr>
        <w:lastRenderedPageBreak/>
        <w:t>Graf 2.31</w:t>
      </w:r>
      <w:r w:rsidR="00FF6B7E" w:rsidRPr="0095105D">
        <w:rPr>
          <w:rFonts w:cs="Arial"/>
          <w:b/>
          <w:szCs w:val="20"/>
        </w:rPr>
        <w:t xml:space="preserve"> </w:t>
      </w:r>
      <w:r w:rsidR="00FF6B7E" w:rsidRPr="0095105D">
        <w:rPr>
          <w:rFonts w:cs="Arial"/>
          <w:b/>
          <w:spacing w:val="-6"/>
          <w:szCs w:val="20"/>
        </w:rPr>
        <w:t xml:space="preserve">Podíl žáků s cizím státním občanstvím na základních školách </w:t>
      </w:r>
      <w:r w:rsidR="00610DCE">
        <w:rPr>
          <w:rFonts w:cs="Arial"/>
          <w:b/>
          <w:spacing w:val="-6"/>
          <w:szCs w:val="20"/>
        </w:rPr>
        <w:t>dle sídla školy</w:t>
      </w:r>
      <w:r w:rsidR="008B7B1C">
        <w:rPr>
          <w:rFonts w:cs="Arial"/>
          <w:b/>
          <w:spacing w:val="-6"/>
          <w:szCs w:val="20"/>
        </w:rPr>
        <w:t xml:space="preserve"> (k 30.9.)</w:t>
      </w:r>
    </w:p>
    <w:p w14:paraId="1A31F251" w14:textId="11E44498" w:rsidR="008A662C" w:rsidRPr="00D71E27" w:rsidRDefault="009821A9" w:rsidP="00CC6003">
      <w:pPr>
        <w:keepNext/>
        <w:spacing w:after="120"/>
        <w:jc w:val="both"/>
        <w:rPr>
          <w:rFonts w:cs="Arial"/>
          <w:b/>
          <w:spacing w:val="-6"/>
          <w:szCs w:val="20"/>
        </w:rPr>
      </w:pPr>
      <w:r>
        <w:rPr>
          <w:noProof/>
          <w:color w:val="520A11"/>
        </w:rPr>
        <mc:AlternateContent>
          <mc:Choice Requires="wps">
            <w:drawing>
              <wp:anchor distT="0" distB="0" distL="114300" distR="114300" simplePos="0" relativeHeight="251669504" behindDoc="0" locked="0" layoutInCell="1" allowOverlap="1" wp14:anchorId="7D282E05" wp14:editId="74B760E3">
                <wp:simplePos x="0" y="0"/>
                <wp:positionH relativeFrom="column">
                  <wp:posOffset>1899285</wp:posOffset>
                </wp:positionH>
                <wp:positionV relativeFrom="paragraph">
                  <wp:posOffset>1409700</wp:posOffset>
                </wp:positionV>
                <wp:extent cx="333375" cy="1647825"/>
                <wp:effectExtent l="57150" t="19050" r="85725" b="104775"/>
                <wp:wrapNone/>
                <wp:docPr id="25" name="Obdélník 25"/>
                <wp:cNvGraphicFramePr/>
                <a:graphic xmlns:a="http://schemas.openxmlformats.org/drawingml/2006/main">
                  <a:graphicData uri="http://schemas.microsoft.com/office/word/2010/wordprocessingShape">
                    <wps:wsp>
                      <wps:cNvSpPr/>
                      <wps:spPr>
                        <a:xfrm>
                          <a:off x="0" y="0"/>
                          <a:ext cx="333375" cy="1647825"/>
                        </a:xfrm>
                        <a:prstGeom prst="rect">
                          <a:avLst/>
                        </a:prstGeom>
                        <a:noFill/>
                        <a:ln w="15875">
                          <a:solidFill>
                            <a:srgbClr val="92D05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187D0" id="Obdélník 25" o:spid="_x0000_s1026" style="position:absolute;margin-left:149.55pt;margin-top:111pt;width:26.25pt;height:129.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" filled="f" strokecolor="#92d050" strokeweight="1.25pt">
                <v:shadow on="t" color="black" opacity="22937f" origin=",.5" offset="0,.63889mm"/>
              </v:rect>
            </w:pict>
          </mc:Fallback>
        </mc:AlternateContent>
      </w:r>
      <w:r w:rsidR="00CC6003" w:rsidRPr="005C2B85">
        <w:rPr>
          <w:noProof/>
          <w:color w:val="520A11"/>
          <w:shd w:val="clear" w:color="auto" w:fill="244061" w:themeFill="accent1" w:themeFillShade="80"/>
        </w:rPr>
        <w:drawing>
          <wp:inline distT="0" distB="0" distL="0" distR="0" wp14:anchorId="1B0E4A91" wp14:editId="0709BA5E">
            <wp:extent cx="6083935" cy="3562350"/>
            <wp:effectExtent l="0" t="0" r="12065" b="0"/>
            <wp:docPr id="23" name="Graf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416FE59" w14:textId="2505B856" w:rsidR="00FF6B7E" w:rsidRDefault="00FF6B7E" w:rsidP="00066F37">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1591129C" w14:textId="7E839454" w:rsidR="00FF6B7E" w:rsidRDefault="00FF6B7E" w:rsidP="00FF6B7E">
      <w:pPr>
        <w:spacing w:after="120"/>
        <w:jc w:val="both"/>
        <w:rPr>
          <w:rFonts w:cs="Arial"/>
          <w:szCs w:val="20"/>
        </w:rPr>
      </w:pPr>
      <w:r w:rsidRPr="00A60605">
        <w:rPr>
          <w:rFonts w:cs="Arial"/>
          <w:b/>
          <w:szCs w:val="20"/>
        </w:rPr>
        <w:t>Za posledních pět let</w:t>
      </w:r>
      <w:r>
        <w:rPr>
          <w:rFonts w:cs="Arial"/>
          <w:szCs w:val="20"/>
        </w:rPr>
        <w:t xml:space="preserve"> vzrostl počet žáků s jiným než českým státním</w:t>
      </w:r>
      <w:r w:rsidR="00D10FE5">
        <w:rPr>
          <w:rFonts w:cs="Arial"/>
          <w:szCs w:val="20"/>
        </w:rPr>
        <w:t xml:space="preserve"> </w:t>
      </w:r>
      <w:r>
        <w:rPr>
          <w:rFonts w:cs="Arial"/>
          <w:szCs w:val="20"/>
        </w:rPr>
        <w:t>občanstvím</w:t>
      </w:r>
      <w:r w:rsidR="00D10FE5">
        <w:rPr>
          <w:rFonts w:cs="Arial"/>
          <w:szCs w:val="20"/>
        </w:rPr>
        <w:t xml:space="preserve"> v absolutním vyjádření</w:t>
      </w:r>
      <w:r>
        <w:rPr>
          <w:rFonts w:cs="Arial"/>
          <w:szCs w:val="20"/>
        </w:rPr>
        <w:t xml:space="preserve"> nejvíce v Praze, a to o 3 </w:t>
      </w:r>
      <w:r w:rsidR="006D6D8D">
        <w:rPr>
          <w:rFonts w:cs="Arial"/>
          <w:szCs w:val="20"/>
        </w:rPr>
        <w:t>207</w:t>
      </w:r>
      <w:r w:rsidR="00D10FE5">
        <w:rPr>
          <w:rFonts w:cs="Arial"/>
          <w:szCs w:val="20"/>
        </w:rPr>
        <w:t xml:space="preserve"> žáků</w:t>
      </w:r>
      <w:r w:rsidR="006D6D8D">
        <w:rPr>
          <w:rFonts w:cs="Arial"/>
          <w:szCs w:val="20"/>
        </w:rPr>
        <w:t xml:space="preserve"> a dále v kraji Středočeském</w:t>
      </w:r>
      <w:r>
        <w:rPr>
          <w:rFonts w:cs="Arial"/>
          <w:szCs w:val="20"/>
        </w:rPr>
        <w:t>, kde vzros</w:t>
      </w:r>
      <w:r w:rsidR="00791CDB">
        <w:rPr>
          <w:rFonts w:cs="Arial"/>
          <w:szCs w:val="20"/>
        </w:rPr>
        <w:t>tl počet cizinců mezi školáky o </w:t>
      </w:r>
      <w:r w:rsidR="006D6D8D">
        <w:rPr>
          <w:rFonts w:cs="Arial"/>
          <w:szCs w:val="20"/>
        </w:rPr>
        <w:t>2 096.</w:t>
      </w:r>
      <w:r>
        <w:rPr>
          <w:rFonts w:cs="Arial"/>
          <w:szCs w:val="20"/>
        </w:rPr>
        <w:t xml:space="preserve"> </w:t>
      </w:r>
      <w:r w:rsidR="006D6D8D">
        <w:rPr>
          <w:rFonts w:cs="Arial"/>
          <w:szCs w:val="20"/>
        </w:rPr>
        <w:t>T</w:t>
      </w:r>
      <w:r>
        <w:rPr>
          <w:rFonts w:cs="Arial"/>
          <w:szCs w:val="20"/>
        </w:rPr>
        <w:t xml:space="preserve">yto </w:t>
      </w:r>
      <w:r w:rsidR="00D10FE5">
        <w:rPr>
          <w:rFonts w:cs="Arial"/>
          <w:szCs w:val="20"/>
        </w:rPr>
        <w:t xml:space="preserve">dva kraje </w:t>
      </w:r>
      <w:r w:rsidR="006D6D8D">
        <w:rPr>
          <w:rFonts w:cs="Arial"/>
          <w:szCs w:val="20"/>
        </w:rPr>
        <w:t xml:space="preserve">se </w:t>
      </w:r>
      <w:r w:rsidR="00D10FE5">
        <w:rPr>
          <w:rFonts w:cs="Arial"/>
          <w:szCs w:val="20"/>
        </w:rPr>
        <w:t>podílely z 51,5 %</w:t>
      </w:r>
      <w:r>
        <w:rPr>
          <w:rFonts w:cs="Arial"/>
          <w:szCs w:val="20"/>
        </w:rPr>
        <w:t xml:space="preserve"> na celkovém </w:t>
      </w:r>
      <w:r w:rsidR="006D6D8D">
        <w:rPr>
          <w:rFonts w:cs="Arial"/>
          <w:szCs w:val="20"/>
        </w:rPr>
        <w:t xml:space="preserve">více než </w:t>
      </w:r>
      <w:r>
        <w:rPr>
          <w:rFonts w:cs="Arial"/>
          <w:szCs w:val="20"/>
        </w:rPr>
        <w:t>desetitisícovém nárůstu žáků základních škol s jiným než českým státním občanstvím za posle</w:t>
      </w:r>
      <w:r w:rsidR="00D10FE5">
        <w:rPr>
          <w:rFonts w:cs="Arial"/>
          <w:szCs w:val="20"/>
        </w:rPr>
        <w:t>dních pět let. Procentuálně přibylo</w:t>
      </w:r>
      <w:r>
        <w:rPr>
          <w:rFonts w:cs="Arial"/>
          <w:szCs w:val="20"/>
        </w:rPr>
        <w:t xml:space="preserve"> </w:t>
      </w:r>
      <w:r w:rsidR="00D10FE5" w:rsidRPr="00D10FE5">
        <w:rPr>
          <w:rFonts w:cs="Arial"/>
          <w:szCs w:val="20"/>
        </w:rPr>
        <w:t xml:space="preserve">cizinců mezi žáky základních škol </w:t>
      </w:r>
      <w:r w:rsidR="006D6D8D">
        <w:rPr>
          <w:rFonts w:cs="Arial"/>
          <w:szCs w:val="20"/>
        </w:rPr>
        <w:t>mezi školními roky 2016/17 a 2021/22</w:t>
      </w:r>
      <w:r w:rsidRPr="002A1780">
        <w:rPr>
          <w:rFonts w:cs="Arial"/>
          <w:szCs w:val="20"/>
        </w:rPr>
        <w:t xml:space="preserve"> </w:t>
      </w:r>
      <w:r>
        <w:rPr>
          <w:rFonts w:cs="Arial"/>
          <w:szCs w:val="20"/>
        </w:rPr>
        <w:t xml:space="preserve">v největší míře </w:t>
      </w:r>
      <w:r w:rsidR="00B9104B">
        <w:rPr>
          <w:rFonts w:cs="Arial"/>
          <w:szCs w:val="20"/>
        </w:rPr>
        <w:t>v</w:t>
      </w:r>
      <w:r w:rsidR="00D10FE5">
        <w:rPr>
          <w:rFonts w:cs="Arial"/>
          <w:szCs w:val="20"/>
        </w:rPr>
        <w:t> </w:t>
      </w:r>
      <w:r>
        <w:rPr>
          <w:rFonts w:cs="Arial"/>
          <w:szCs w:val="20"/>
        </w:rPr>
        <w:t>kraji</w:t>
      </w:r>
      <w:r w:rsidR="00D10FE5">
        <w:rPr>
          <w:rFonts w:cs="Arial"/>
          <w:szCs w:val="20"/>
        </w:rPr>
        <w:t xml:space="preserve"> </w:t>
      </w:r>
      <w:r w:rsidR="006D6D8D">
        <w:rPr>
          <w:rFonts w:cs="Arial"/>
          <w:szCs w:val="20"/>
        </w:rPr>
        <w:t xml:space="preserve">Pardubickém (o 89,8 %), na Vysočině (86 %) a v kraji </w:t>
      </w:r>
      <w:r w:rsidR="00D10FE5">
        <w:rPr>
          <w:rFonts w:cs="Arial"/>
          <w:szCs w:val="20"/>
        </w:rPr>
        <w:t>Středočeském (o</w:t>
      </w:r>
      <w:r w:rsidR="006D6D8D">
        <w:rPr>
          <w:rFonts w:cs="Arial"/>
          <w:szCs w:val="20"/>
        </w:rPr>
        <w:t> </w:t>
      </w:r>
      <w:r w:rsidR="00D10FE5">
        <w:rPr>
          <w:rFonts w:cs="Arial"/>
          <w:szCs w:val="20"/>
        </w:rPr>
        <w:t>8</w:t>
      </w:r>
      <w:r w:rsidR="006D6D8D">
        <w:rPr>
          <w:rFonts w:cs="Arial"/>
          <w:szCs w:val="20"/>
        </w:rPr>
        <w:t>5,4 %)</w:t>
      </w:r>
      <w:r w:rsidR="00E86E4A">
        <w:rPr>
          <w:rFonts w:cs="Arial"/>
          <w:szCs w:val="20"/>
        </w:rPr>
        <w:t>, s propadem následuje kraj Zlínský s nárůstem o 76,8 %</w:t>
      </w:r>
      <w:r w:rsidR="00D10FE5">
        <w:rPr>
          <w:rFonts w:cs="Arial"/>
          <w:szCs w:val="20"/>
        </w:rPr>
        <w:t xml:space="preserve">. Ostatní kraje zaznamenaly nárůst o </w:t>
      </w:r>
      <w:r w:rsidR="00E86E4A">
        <w:rPr>
          <w:rFonts w:cs="Arial"/>
          <w:szCs w:val="20"/>
        </w:rPr>
        <w:t>méně než dvě třetiny</w:t>
      </w:r>
      <w:r w:rsidR="00D10FE5">
        <w:rPr>
          <w:rFonts w:cs="Arial"/>
          <w:szCs w:val="20"/>
        </w:rPr>
        <w:t>. Na spodní příčce žebříčku</w:t>
      </w:r>
      <w:r>
        <w:rPr>
          <w:rFonts w:cs="Arial"/>
          <w:szCs w:val="20"/>
        </w:rPr>
        <w:t xml:space="preserve"> </w:t>
      </w:r>
      <w:r w:rsidR="00D10FE5">
        <w:rPr>
          <w:rFonts w:cs="Arial"/>
          <w:szCs w:val="20"/>
        </w:rPr>
        <w:t xml:space="preserve">se umístil kraj </w:t>
      </w:r>
      <w:r w:rsidR="00E86E4A">
        <w:rPr>
          <w:rFonts w:cs="Arial"/>
          <w:szCs w:val="20"/>
        </w:rPr>
        <w:t>Karlovar</w:t>
      </w:r>
      <w:r w:rsidR="00D10FE5">
        <w:rPr>
          <w:rFonts w:cs="Arial"/>
          <w:szCs w:val="20"/>
        </w:rPr>
        <w:t xml:space="preserve">ský s nárůstem o </w:t>
      </w:r>
      <w:r w:rsidR="00E86E4A">
        <w:rPr>
          <w:rFonts w:cs="Arial"/>
          <w:szCs w:val="20"/>
        </w:rPr>
        <w:t>26,3</w:t>
      </w:r>
      <w:r w:rsidR="00D10FE5">
        <w:rPr>
          <w:rFonts w:cs="Arial"/>
          <w:szCs w:val="20"/>
        </w:rPr>
        <w:t> %.</w:t>
      </w:r>
    </w:p>
    <w:p w14:paraId="7983996D" w14:textId="4CC2D27E" w:rsidR="00FF6B7E" w:rsidRDefault="00FF6B7E" w:rsidP="00FF6B7E">
      <w:pPr>
        <w:spacing w:after="120"/>
        <w:jc w:val="both"/>
        <w:rPr>
          <w:rFonts w:cs="Arial"/>
          <w:szCs w:val="20"/>
        </w:rPr>
      </w:pPr>
      <w:r w:rsidRPr="000F4C96">
        <w:rPr>
          <w:rFonts w:cs="Arial"/>
          <w:szCs w:val="20"/>
        </w:rPr>
        <w:t xml:space="preserve">Mezi žáky základních škol s jiným než českým státním občanstvím dlouhodobě převažují na prvních třech místech </w:t>
      </w:r>
      <w:r w:rsidRPr="000F4C96">
        <w:rPr>
          <w:rFonts w:cs="Arial"/>
          <w:b/>
          <w:szCs w:val="20"/>
        </w:rPr>
        <w:t>Ukrajinci</w:t>
      </w:r>
      <w:r w:rsidRPr="007A2DDE">
        <w:rPr>
          <w:rFonts w:cs="Arial"/>
          <w:b/>
          <w:szCs w:val="20"/>
        </w:rPr>
        <w:t>, Vietnamci a občané Slovenska</w:t>
      </w:r>
      <w:r>
        <w:rPr>
          <w:rFonts w:cs="Arial"/>
          <w:szCs w:val="20"/>
        </w:rPr>
        <w:t xml:space="preserve">. </w:t>
      </w:r>
      <w:r w:rsidR="00E77C07">
        <w:rPr>
          <w:rFonts w:cs="Arial"/>
          <w:szCs w:val="20"/>
        </w:rPr>
        <w:t>V uplynulých 10 letech bylo</w:t>
      </w:r>
      <w:r>
        <w:rPr>
          <w:rFonts w:cs="Arial"/>
          <w:szCs w:val="20"/>
        </w:rPr>
        <w:t xml:space="preserve"> mezi žáky s cizí státní příslušností na základních školách nejvíce dívek a chlapců </w:t>
      </w:r>
      <w:r w:rsidRPr="00E77C07">
        <w:rPr>
          <w:rFonts w:cs="Arial"/>
          <w:b/>
          <w:szCs w:val="20"/>
        </w:rPr>
        <w:t>ukrajinského</w:t>
      </w:r>
      <w:r w:rsidR="00E77C07" w:rsidRPr="00E77C07">
        <w:rPr>
          <w:rFonts w:cs="Arial"/>
          <w:b/>
          <w:szCs w:val="20"/>
        </w:rPr>
        <w:t xml:space="preserve"> </w:t>
      </w:r>
      <w:r w:rsidR="00E77C07">
        <w:rPr>
          <w:rFonts w:cs="Arial"/>
          <w:b/>
          <w:szCs w:val="20"/>
        </w:rPr>
        <w:t xml:space="preserve">státního </w:t>
      </w:r>
      <w:r w:rsidR="00E77C07" w:rsidRPr="00E77C07">
        <w:rPr>
          <w:rFonts w:cs="Arial"/>
          <w:b/>
          <w:szCs w:val="20"/>
        </w:rPr>
        <w:t>občanství</w:t>
      </w:r>
      <w:r w:rsidR="00E77C07">
        <w:rPr>
          <w:rFonts w:cs="Arial"/>
          <w:szCs w:val="20"/>
        </w:rPr>
        <w:t>. K 30. září 2021</w:t>
      </w:r>
      <w:r>
        <w:rPr>
          <w:rFonts w:cs="Arial"/>
          <w:szCs w:val="20"/>
        </w:rPr>
        <w:t xml:space="preserve"> se jich </w:t>
      </w:r>
      <w:r w:rsidR="00E77C07">
        <w:rPr>
          <w:rFonts w:cs="Arial"/>
          <w:szCs w:val="20"/>
        </w:rPr>
        <w:t>ve školách v ČR</w:t>
      </w:r>
      <w:r>
        <w:rPr>
          <w:rFonts w:cs="Arial"/>
          <w:szCs w:val="20"/>
        </w:rPr>
        <w:t xml:space="preserve"> vzdělávalo </w:t>
      </w:r>
      <w:r w:rsidR="004E48DF">
        <w:rPr>
          <w:rFonts w:cs="Arial"/>
          <w:szCs w:val="20"/>
        </w:rPr>
        <w:t>9 646</w:t>
      </w:r>
      <w:r w:rsidR="00E77C07">
        <w:rPr>
          <w:rFonts w:cs="Arial"/>
          <w:szCs w:val="20"/>
        </w:rPr>
        <w:t xml:space="preserve"> a tvořili téměř třetinu</w:t>
      </w:r>
      <w:r w:rsidR="00657FC5">
        <w:rPr>
          <w:rFonts w:cs="Arial"/>
          <w:szCs w:val="20"/>
        </w:rPr>
        <w:t xml:space="preserve"> </w:t>
      </w:r>
      <w:r w:rsidR="00791CDB">
        <w:rPr>
          <w:rFonts w:cs="Arial"/>
          <w:szCs w:val="20"/>
        </w:rPr>
        <w:t>všech cizinců</w:t>
      </w:r>
      <w:r w:rsidR="00E77C07">
        <w:rPr>
          <w:rFonts w:cs="Arial"/>
          <w:szCs w:val="20"/>
        </w:rPr>
        <w:t xml:space="preserve"> (31,6 %). Ještě před pěti lety přitom tvořili </w:t>
      </w:r>
      <w:r w:rsidR="004E48DF">
        <w:rPr>
          <w:rFonts w:cs="Arial"/>
          <w:szCs w:val="20"/>
        </w:rPr>
        <w:t>cca čtvrtinu všech cizinců (26,3</w:t>
      </w:r>
      <w:r w:rsidR="00E77C07">
        <w:rPr>
          <w:rFonts w:cs="Arial"/>
          <w:szCs w:val="20"/>
        </w:rPr>
        <w:t xml:space="preserve"> %) a počet těchto žáků </w:t>
      </w:r>
      <w:r w:rsidR="001D3014">
        <w:rPr>
          <w:rFonts w:cs="Arial"/>
          <w:szCs w:val="20"/>
        </w:rPr>
        <w:t>se za posledních pět let zvýšil o </w:t>
      </w:r>
      <w:r w:rsidR="00E77C07">
        <w:rPr>
          <w:rFonts w:cs="Arial"/>
          <w:szCs w:val="20"/>
        </w:rPr>
        <w:t xml:space="preserve">80,9 %. Jejich počet tak rostl ještě před válečným konfliktem na Ukrajině. Nyní lze očekávat, že </w:t>
      </w:r>
      <w:r w:rsidR="00AB5E95">
        <w:rPr>
          <w:rFonts w:cs="Arial"/>
          <w:szCs w:val="20"/>
        </w:rPr>
        <w:t>ve statistikách k 30. 9. 2022 počet žáků ukrajinského státního občanství skokově naroste</w:t>
      </w:r>
      <w:r w:rsidR="00E77C07">
        <w:rPr>
          <w:rFonts w:cs="Arial"/>
          <w:szCs w:val="20"/>
        </w:rPr>
        <w:t xml:space="preserve">.  </w:t>
      </w:r>
      <w:r w:rsidR="001810E3">
        <w:rPr>
          <w:rFonts w:cs="Arial"/>
          <w:szCs w:val="20"/>
        </w:rPr>
        <w:t xml:space="preserve">Více </w:t>
      </w:r>
      <w:r w:rsidR="00E77C07">
        <w:rPr>
          <w:rFonts w:cs="Arial"/>
          <w:szCs w:val="20"/>
        </w:rPr>
        <w:t>než</w:t>
      </w:r>
      <w:r w:rsidR="001810E3">
        <w:rPr>
          <w:rFonts w:cs="Arial"/>
          <w:szCs w:val="20"/>
        </w:rPr>
        <w:t xml:space="preserve"> pět</w:t>
      </w:r>
      <w:r>
        <w:rPr>
          <w:rFonts w:cs="Arial"/>
          <w:szCs w:val="20"/>
        </w:rPr>
        <w:t xml:space="preserve"> tisíc bylo i žáků majících </w:t>
      </w:r>
      <w:r w:rsidR="00E77C07" w:rsidRPr="00E77C07">
        <w:rPr>
          <w:rFonts w:cs="Arial"/>
          <w:b/>
          <w:szCs w:val="20"/>
        </w:rPr>
        <w:t>vietnamské, resp. slovenské</w:t>
      </w:r>
      <w:r w:rsidR="00E77C07">
        <w:rPr>
          <w:rFonts w:cs="Arial"/>
          <w:szCs w:val="20"/>
        </w:rPr>
        <w:t xml:space="preserve"> státní </w:t>
      </w:r>
      <w:r>
        <w:rPr>
          <w:rFonts w:cs="Arial"/>
          <w:szCs w:val="20"/>
        </w:rPr>
        <w:t>občanství</w:t>
      </w:r>
      <w:r w:rsidR="00E77C07">
        <w:rPr>
          <w:rFonts w:cs="Arial"/>
          <w:szCs w:val="20"/>
        </w:rPr>
        <w:t xml:space="preserve"> (5 848, resp. 5 664)</w:t>
      </w:r>
      <w:r>
        <w:rPr>
          <w:rFonts w:cs="Arial"/>
          <w:szCs w:val="20"/>
        </w:rPr>
        <w:t>. S odstupem pak v žebříčku následují žáci s </w:t>
      </w:r>
      <w:r w:rsidRPr="00E77C07">
        <w:rPr>
          <w:rFonts w:cs="Arial"/>
          <w:b/>
          <w:szCs w:val="20"/>
        </w:rPr>
        <w:t>ruským</w:t>
      </w:r>
      <w:r>
        <w:rPr>
          <w:rFonts w:cs="Arial"/>
          <w:szCs w:val="20"/>
        </w:rPr>
        <w:t xml:space="preserve"> občanstvím</w:t>
      </w:r>
      <w:r w:rsidR="00791CDB">
        <w:rPr>
          <w:rFonts w:cs="Arial"/>
          <w:szCs w:val="20"/>
        </w:rPr>
        <w:t xml:space="preserve"> (1 7</w:t>
      </w:r>
      <w:r w:rsidR="00E77C07">
        <w:rPr>
          <w:rFonts w:cs="Arial"/>
          <w:szCs w:val="20"/>
        </w:rPr>
        <w:t>75</w:t>
      </w:r>
      <w:r w:rsidR="00791CDB">
        <w:rPr>
          <w:rFonts w:cs="Arial"/>
          <w:szCs w:val="20"/>
        </w:rPr>
        <w:t xml:space="preserve"> žáků)</w:t>
      </w:r>
      <w:r>
        <w:rPr>
          <w:rFonts w:cs="Arial"/>
          <w:szCs w:val="20"/>
        </w:rPr>
        <w:t>. Dohrom</w:t>
      </w:r>
      <w:r w:rsidR="00E77C07">
        <w:rPr>
          <w:rFonts w:cs="Arial"/>
          <w:szCs w:val="20"/>
        </w:rPr>
        <w:t>ady se tyto čtyři země podílí 75,1</w:t>
      </w:r>
      <w:r>
        <w:rPr>
          <w:rFonts w:cs="Arial"/>
          <w:szCs w:val="20"/>
        </w:rPr>
        <w:t xml:space="preserve"> % na všech žácích s cizím státním občanstvím, kteří se </w:t>
      </w:r>
      <w:r w:rsidR="00E77C07">
        <w:rPr>
          <w:rFonts w:cs="Arial"/>
          <w:szCs w:val="20"/>
        </w:rPr>
        <w:t>ve školním roce 2021/22</w:t>
      </w:r>
      <w:r w:rsidR="00791CDB">
        <w:rPr>
          <w:rFonts w:cs="Arial"/>
          <w:szCs w:val="20"/>
        </w:rPr>
        <w:t xml:space="preserve"> vzdělávali</w:t>
      </w:r>
      <w:r>
        <w:rPr>
          <w:rFonts w:cs="Arial"/>
          <w:szCs w:val="20"/>
        </w:rPr>
        <w:t xml:space="preserve"> v základních školách </w:t>
      </w:r>
      <w:r w:rsidR="00AB5E95">
        <w:rPr>
          <w:rFonts w:cs="Arial"/>
          <w:szCs w:val="20"/>
        </w:rPr>
        <w:t>v </w:t>
      </w:r>
      <w:r>
        <w:rPr>
          <w:rFonts w:cs="Arial"/>
          <w:szCs w:val="20"/>
        </w:rPr>
        <w:t>České</w:t>
      </w:r>
      <w:r w:rsidR="00657FC5">
        <w:rPr>
          <w:rFonts w:cs="Arial"/>
          <w:szCs w:val="20"/>
        </w:rPr>
        <w:t xml:space="preserve"> Republice</w:t>
      </w:r>
      <w:r>
        <w:rPr>
          <w:rFonts w:cs="Arial"/>
          <w:szCs w:val="20"/>
        </w:rPr>
        <w:t xml:space="preserve">. </w:t>
      </w:r>
    </w:p>
    <w:p w14:paraId="48A1D1A0" w14:textId="36AA47E6" w:rsidR="00FF6B7E" w:rsidRDefault="00FF6B7E" w:rsidP="00FF6B7E">
      <w:pPr>
        <w:spacing w:after="120"/>
        <w:jc w:val="both"/>
        <w:rPr>
          <w:rFonts w:cs="Arial"/>
          <w:szCs w:val="20"/>
        </w:rPr>
      </w:pPr>
      <w:r w:rsidRPr="007A2DDE">
        <w:rPr>
          <w:rFonts w:cs="Arial"/>
          <w:szCs w:val="20"/>
        </w:rPr>
        <w:t xml:space="preserve">Absolutní počty takových </w:t>
      </w:r>
      <w:r>
        <w:rPr>
          <w:rFonts w:cs="Arial"/>
          <w:szCs w:val="20"/>
        </w:rPr>
        <w:t xml:space="preserve">žáků </w:t>
      </w:r>
      <w:r w:rsidR="00864CB6">
        <w:rPr>
          <w:rFonts w:cs="Arial"/>
          <w:szCs w:val="20"/>
        </w:rPr>
        <w:t>uvádí tabulka</w:t>
      </w:r>
      <w:r w:rsidRPr="007A2DDE">
        <w:rPr>
          <w:rFonts w:cs="Arial"/>
          <w:szCs w:val="20"/>
        </w:rPr>
        <w:t xml:space="preserve"> </w:t>
      </w:r>
      <w:r>
        <w:rPr>
          <w:rFonts w:cs="Arial"/>
          <w:szCs w:val="20"/>
        </w:rPr>
        <w:t>2</w:t>
      </w:r>
      <w:r w:rsidRPr="007A2DDE">
        <w:rPr>
          <w:rFonts w:cs="Arial"/>
          <w:szCs w:val="20"/>
        </w:rPr>
        <w:t>.</w:t>
      </w:r>
      <w:r w:rsidR="00657FC5">
        <w:rPr>
          <w:rFonts w:cs="Arial"/>
          <w:szCs w:val="20"/>
        </w:rPr>
        <w:t>4</w:t>
      </w:r>
      <w:r w:rsidRPr="007A2DDE">
        <w:rPr>
          <w:rFonts w:cs="Arial"/>
          <w:szCs w:val="20"/>
        </w:rPr>
        <w:t>, ve které je výčet zemí</w:t>
      </w:r>
      <w:r>
        <w:rPr>
          <w:rFonts w:cs="Arial"/>
          <w:szCs w:val="20"/>
        </w:rPr>
        <w:t xml:space="preserve"> se 400 a více žáky </w:t>
      </w:r>
      <w:r w:rsidRPr="007A2DDE">
        <w:rPr>
          <w:rFonts w:cs="Arial"/>
          <w:szCs w:val="20"/>
        </w:rPr>
        <w:t xml:space="preserve">docházejících </w:t>
      </w:r>
      <w:r>
        <w:rPr>
          <w:rFonts w:cs="Arial"/>
          <w:szCs w:val="20"/>
        </w:rPr>
        <w:t>na základní školy v Česk</w:t>
      </w:r>
      <w:r w:rsidR="00E77C07">
        <w:rPr>
          <w:rFonts w:cs="Arial"/>
          <w:szCs w:val="20"/>
        </w:rPr>
        <w:t>é republice ve školním roce 2021/22</w:t>
      </w:r>
      <w:r>
        <w:rPr>
          <w:rFonts w:cs="Arial"/>
          <w:szCs w:val="20"/>
        </w:rPr>
        <w:t xml:space="preserve"> a</w:t>
      </w:r>
      <w:r w:rsidR="00CF72A7">
        <w:rPr>
          <w:rFonts w:cs="Arial"/>
          <w:szCs w:val="20"/>
        </w:rPr>
        <w:t xml:space="preserve"> počty, resp. podíly cizinců z těc</w:t>
      </w:r>
      <w:r w:rsidR="00CB7204">
        <w:rPr>
          <w:rFonts w:cs="Arial"/>
          <w:szCs w:val="20"/>
        </w:rPr>
        <w:t>hto zemí ve školních rocích 2016/17 a 2011/12</w:t>
      </w:r>
      <w:r>
        <w:rPr>
          <w:rFonts w:cs="Arial"/>
          <w:szCs w:val="20"/>
        </w:rPr>
        <w:t xml:space="preserve">.  </w:t>
      </w:r>
    </w:p>
    <w:p w14:paraId="02F3B7AD" w14:textId="0CCF4F2D" w:rsidR="00FF6B7E" w:rsidRDefault="00FF6B7E" w:rsidP="00B57926">
      <w:pPr>
        <w:keepNext/>
        <w:spacing w:after="120"/>
        <w:jc w:val="both"/>
        <w:rPr>
          <w:rFonts w:cs="Arial"/>
          <w:b/>
          <w:szCs w:val="20"/>
        </w:rPr>
      </w:pPr>
      <w:r w:rsidRPr="00FF3C6B">
        <w:rPr>
          <w:rFonts w:cs="Arial"/>
          <w:b/>
          <w:szCs w:val="20"/>
        </w:rPr>
        <w:lastRenderedPageBreak/>
        <w:t xml:space="preserve">Tab. </w:t>
      </w:r>
      <w:r>
        <w:rPr>
          <w:rFonts w:cs="Arial"/>
          <w:b/>
          <w:szCs w:val="20"/>
        </w:rPr>
        <w:t>2</w:t>
      </w:r>
      <w:r w:rsidRPr="00FF3C6B">
        <w:rPr>
          <w:rFonts w:cs="Arial"/>
          <w:b/>
          <w:szCs w:val="20"/>
        </w:rPr>
        <w:t>.</w:t>
      </w:r>
      <w:r w:rsidR="00657FC5">
        <w:rPr>
          <w:rFonts w:cs="Arial"/>
          <w:b/>
          <w:szCs w:val="20"/>
        </w:rPr>
        <w:t>4</w:t>
      </w:r>
      <w:r w:rsidRPr="00FF3C6B">
        <w:rPr>
          <w:rFonts w:cs="Arial"/>
          <w:b/>
          <w:szCs w:val="20"/>
        </w:rPr>
        <w:t xml:space="preserve"> </w:t>
      </w:r>
      <w:r>
        <w:rPr>
          <w:rFonts w:cs="Arial"/>
          <w:b/>
          <w:szCs w:val="20"/>
        </w:rPr>
        <w:t xml:space="preserve">Žáci s jiným než českým státním občanstvím na základních </w:t>
      </w:r>
      <w:r w:rsidRPr="00BA6D11">
        <w:rPr>
          <w:rFonts w:cs="Arial"/>
          <w:b/>
          <w:szCs w:val="20"/>
        </w:rPr>
        <w:t>školách</w:t>
      </w:r>
      <w:r w:rsidR="00610DCE">
        <w:rPr>
          <w:rFonts w:cs="Arial"/>
          <w:b/>
          <w:szCs w:val="20"/>
        </w:rPr>
        <w:t xml:space="preserve"> v</w:t>
      </w:r>
      <w:r w:rsidR="008B7B1C">
        <w:rPr>
          <w:rFonts w:cs="Arial"/>
          <w:b/>
          <w:szCs w:val="20"/>
        </w:rPr>
        <w:t> </w:t>
      </w:r>
      <w:r w:rsidR="00610DCE">
        <w:rPr>
          <w:rFonts w:cs="Arial"/>
          <w:b/>
          <w:szCs w:val="20"/>
        </w:rPr>
        <w:t>ČR</w:t>
      </w:r>
      <w:r w:rsidR="008B7B1C">
        <w:rPr>
          <w:rFonts w:cs="Arial"/>
          <w:b/>
          <w:szCs w:val="20"/>
        </w:rPr>
        <w:t xml:space="preserve"> (k 30.9.)</w:t>
      </w:r>
    </w:p>
    <w:tbl>
      <w:tblPr>
        <w:tblW w:w="8789" w:type="dxa"/>
        <w:tblInd w:w="-10" w:type="dxa"/>
        <w:tblLayout w:type="fixed"/>
        <w:tblCellMar>
          <w:left w:w="70" w:type="dxa"/>
          <w:right w:w="70" w:type="dxa"/>
        </w:tblCellMar>
        <w:tblLook w:val="04A0" w:firstRow="1" w:lastRow="0" w:firstColumn="1" w:lastColumn="0" w:noHBand="0" w:noVBand="1"/>
      </w:tblPr>
      <w:tblGrid>
        <w:gridCol w:w="2268"/>
        <w:gridCol w:w="1086"/>
        <w:gridCol w:w="1087"/>
        <w:gridCol w:w="1087"/>
        <w:gridCol w:w="1087"/>
        <w:gridCol w:w="1087"/>
        <w:gridCol w:w="1087"/>
      </w:tblGrid>
      <w:tr w:rsidR="001437FE" w:rsidRPr="001437FE" w14:paraId="3F170D8A" w14:textId="77777777" w:rsidTr="008B7B1C">
        <w:trPr>
          <w:trHeight w:val="296"/>
        </w:trPr>
        <w:tc>
          <w:tcPr>
            <w:tcW w:w="2268" w:type="dxa"/>
            <w:vMerge w:val="restart"/>
            <w:tcBorders>
              <w:top w:val="single" w:sz="8" w:space="0" w:color="C0504D"/>
              <w:left w:val="single" w:sz="8" w:space="0" w:color="C0504D"/>
              <w:bottom w:val="single" w:sz="8" w:space="0" w:color="D99594"/>
              <w:right w:val="nil"/>
            </w:tcBorders>
            <w:shd w:val="clear" w:color="000000" w:fill="C0504D"/>
            <w:vAlign w:val="center"/>
            <w:hideMark/>
          </w:tcPr>
          <w:p w14:paraId="64D27869" w14:textId="77777777" w:rsidR="001437FE" w:rsidRPr="001437FE" w:rsidRDefault="001437FE" w:rsidP="00B57926">
            <w:pPr>
              <w:keepNext/>
              <w:spacing w:after="0" w:line="240" w:lineRule="auto"/>
              <w:jc w:val="center"/>
              <w:rPr>
                <w:rFonts w:cs="Arial"/>
                <w:b/>
                <w:bCs/>
                <w:color w:val="FFFFFF"/>
                <w:sz w:val="16"/>
                <w:szCs w:val="16"/>
              </w:rPr>
            </w:pPr>
            <w:r w:rsidRPr="001437FE">
              <w:rPr>
                <w:rFonts w:cs="Arial"/>
                <w:b/>
                <w:bCs/>
                <w:color w:val="FFFFFF"/>
                <w:sz w:val="16"/>
                <w:szCs w:val="16"/>
                <w:lang w:val="en-US"/>
              </w:rPr>
              <w:t> </w:t>
            </w:r>
          </w:p>
        </w:tc>
        <w:tc>
          <w:tcPr>
            <w:tcW w:w="2173" w:type="dxa"/>
            <w:gridSpan w:val="2"/>
            <w:tcBorders>
              <w:top w:val="single" w:sz="8" w:space="0" w:color="C0504D"/>
              <w:left w:val="nil"/>
              <w:bottom w:val="single" w:sz="8" w:space="0" w:color="C0504D"/>
              <w:right w:val="nil"/>
            </w:tcBorders>
            <w:shd w:val="clear" w:color="000000" w:fill="C0504D"/>
            <w:vAlign w:val="center"/>
            <w:hideMark/>
          </w:tcPr>
          <w:p w14:paraId="79623ADF" w14:textId="77777777" w:rsidR="001437FE" w:rsidRPr="001437FE" w:rsidRDefault="001437FE" w:rsidP="00B57926">
            <w:pPr>
              <w:keepNext/>
              <w:spacing w:after="0" w:line="240" w:lineRule="auto"/>
              <w:jc w:val="center"/>
              <w:rPr>
                <w:rFonts w:cs="Arial"/>
                <w:b/>
                <w:bCs/>
                <w:color w:val="FFFFFF"/>
                <w:sz w:val="16"/>
                <w:szCs w:val="16"/>
              </w:rPr>
            </w:pPr>
            <w:r w:rsidRPr="001437FE">
              <w:rPr>
                <w:rFonts w:cs="Arial"/>
                <w:b/>
                <w:bCs/>
                <w:color w:val="FFFFFF"/>
                <w:sz w:val="16"/>
                <w:szCs w:val="16"/>
                <w:lang w:val="en-US"/>
              </w:rPr>
              <w:t>2011/12</w:t>
            </w:r>
          </w:p>
        </w:tc>
        <w:tc>
          <w:tcPr>
            <w:tcW w:w="2174" w:type="dxa"/>
            <w:gridSpan w:val="2"/>
            <w:tcBorders>
              <w:top w:val="single" w:sz="8" w:space="0" w:color="C0504D"/>
              <w:left w:val="nil"/>
              <w:bottom w:val="single" w:sz="8" w:space="0" w:color="C0504D"/>
              <w:right w:val="nil"/>
            </w:tcBorders>
            <w:shd w:val="clear" w:color="000000" w:fill="C0504D"/>
            <w:vAlign w:val="center"/>
            <w:hideMark/>
          </w:tcPr>
          <w:p w14:paraId="48796370" w14:textId="77777777" w:rsidR="001437FE" w:rsidRPr="001437FE" w:rsidRDefault="001437FE" w:rsidP="00B57926">
            <w:pPr>
              <w:keepNext/>
              <w:spacing w:after="0" w:line="240" w:lineRule="auto"/>
              <w:jc w:val="center"/>
              <w:rPr>
                <w:rFonts w:cs="Arial"/>
                <w:b/>
                <w:bCs/>
                <w:color w:val="FFFFFF"/>
                <w:sz w:val="16"/>
                <w:szCs w:val="16"/>
              </w:rPr>
            </w:pPr>
            <w:r w:rsidRPr="001437FE">
              <w:rPr>
                <w:rFonts w:cs="Arial"/>
                <w:b/>
                <w:bCs/>
                <w:color w:val="FFFFFF"/>
                <w:sz w:val="16"/>
                <w:szCs w:val="16"/>
                <w:lang w:val="en-US"/>
              </w:rPr>
              <w:t>2016/17</w:t>
            </w:r>
          </w:p>
        </w:tc>
        <w:tc>
          <w:tcPr>
            <w:tcW w:w="2174" w:type="dxa"/>
            <w:gridSpan w:val="2"/>
            <w:tcBorders>
              <w:top w:val="single" w:sz="8" w:space="0" w:color="C0504D"/>
              <w:left w:val="nil"/>
              <w:bottom w:val="single" w:sz="8" w:space="0" w:color="C0504D"/>
              <w:right w:val="single" w:sz="8" w:space="0" w:color="C0504D"/>
            </w:tcBorders>
            <w:shd w:val="clear" w:color="000000" w:fill="C0504D"/>
            <w:vAlign w:val="center"/>
            <w:hideMark/>
          </w:tcPr>
          <w:p w14:paraId="73E8A536" w14:textId="77777777" w:rsidR="001437FE" w:rsidRPr="001437FE" w:rsidRDefault="001437FE" w:rsidP="00B57926">
            <w:pPr>
              <w:keepNext/>
              <w:spacing w:after="0" w:line="240" w:lineRule="auto"/>
              <w:jc w:val="center"/>
              <w:rPr>
                <w:rFonts w:cs="Arial"/>
                <w:b/>
                <w:bCs/>
                <w:color w:val="FFFFFF"/>
                <w:sz w:val="16"/>
                <w:szCs w:val="16"/>
              </w:rPr>
            </w:pPr>
            <w:r w:rsidRPr="001437FE">
              <w:rPr>
                <w:rFonts w:cs="Arial"/>
                <w:b/>
                <w:bCs/>
                <w:color w:val="FFFFFF"/>
                <w:sz w:val="16"/>
                <w:szCs w:val="16"/>
                <w:lang w:val="en-US"/>
              </w:rPr>
              <w:t>2021/22</w:t>
            </w:r>
          </w:p>
        </w:tc>
      </w:tr>
      <w:tr w:rsidR="001437FE" w:rsidRPr="001437FE" w14:paraId="2FC2ED6B" w14:textId="77777777" w:rsidTr="008B7B1C">
        <w:trPr>
          <w:trHeight w:val="259"/>
        </w:trPr>
        <w:tc>
          <w:tcPr>
            <w:tcW w:w="2268" w:type="dxa"/>
            <w:vMerge/>
            <w:tcBorders>
              <w:top w:val="single" w:sz="8" w:space="0" w:color="C0504D"/>
              <w:left w:val="single" w:sz="8" w:space="0" w:color="C0504D"/>
              <w:bottom w:val="single" w:sz="8" w:space="0" w:color="D99594"/>
              <w:right w:val="nil"/>
            </w:tcBorders>
            <w:vAlign w:val="center"/>
            <w:hideMark/>
          </w:tcPr>
          <w:p w14:paraId="726F49F6" w14:textId="77777777" w:rsidR="001437FE" w:rsidRPr="001437FE" w:rsidRDefault="001437FE" w:rsidP="00B57926">
            <w:pPr>
              <w:keepNext/>
              <w:spacing w:after="0" w:line="240" w:lineRule="auto"/>
              <w:rPr>
                <w:rFonts w:cs="Arial"/>
                <w:b/>
                <w:bCs/>
                <w:color w:val="FFFFFF"/>
                <w:sz w:val="16"/>
                <w:szCs w:val="16"/>
              </w:rPr>
            </w:pPr>
          </w:p>
        </w:tc>
        <w:tc>
          <w:tcPr>
            <w:tcW w:w="1086" w:type="dxa"/>
            <w:tcBorders>
              <w:top w:val="nil"/>
              <w:left w:val="single" w:sz="8" w:space="0" w:color="D99594"/>
              <w:bottom w:val="single" w:sz="8" w:space="0" w:color="D99594"/>
              <w:right w:val="single" w:sz="8" w:space="0" w:color="D99594"/>
            </w:tcBorders>
            <w:shd w:val="clear" w:color="000000" w:fill="F2DBDB"/>
            <w:noWrap/>
            <w:vAlign w:val="center"/>
            <w:hideMark/>
          </w:tcPr>
          <w:p w14:paraId="3275529C" w14:textId="77777777" w:rsidR="001437FE" w:rsidRPr="001437FE" w:rsidRDefault="001437FE" w:rsidP="00B57926">
            <w:pPr>
              <w:keepNext/>
              <w:spacing w:after="0" w:line="240" w:lineRule="auto"/>
              <w:jc w:val="center"/>
              <w:rPr>
                <w:rFonts w:cs="Arial"/>
                <w:color w:val="000000"/>
                <w:sz w:val="16"/>
                <w:szCs w:val="16"/>
              </w:rPr>
            </w:pPr>
            <w:r w:rsidRPr="001437FE">
              <w:rPr>
                <w:rFonts w:cs="Arial"/>
                <w:color w:val="000000"/>
                <w:sz w:val="16"/>
                <w:szCs w:val="16"/>
                <w:lang w:val="en-US"/>
              </w:rPr>
              <w:t>Abs.</w:t>
            </w:r>
          </w:p>
        </w:tc>
        <w:tc>
          <w:tcPr>
            <w:tcW w:w="1087" w:type="dxa"/>
            <w:tcBorders>
              <w:top w:val="nil"/>
              <w:left w:val="nil"/>
              <w:bottom w:val="single" w:sz="8" w:space="0" w:color="D99594"/>
              <w:right w:val="single" w:sz="8" w:space="0" w:color="D99594"/>
            </w:tcBorders>
            <w:shd w:val="clear" w:color="000000" w:fill="F2DBDB"/>
            <w:noWrap/>
            <w:vAlign w:val="center"/>
            <w:hideMark/>
          </w:tcPr>
          <w:p w14:paraId="59EF0868" w14:textId="77777777" w:rsidR="001437FE" w:rsidRPr="001437FE" w:rsidRDefault="001437FE" w:rsidP="00B57926">
            <w:pPr>
              <w:keepNext/>
              <w:spacing w:after="0" w:line="240" w:lineRule="auto"/>
              <w:jc w:val="center"/>
              <w:rPr>
                <w:rFonts w:cs="Arial"/>
                <w:color w:val="000000"/>
                <w:sz w:val="16"/>
                <w:szCs w:val="16"/>
              </w:rPr>
            </w:pPr>
            <w:r w:rsidRPr="001437FE">
              <w:rPr>
                <w:rFonts w:cs="Arial"/>
                <w:color w:val="000000"/>
                <w:sz w:val="16"/>
                <w:szCs w:val="16"/>
                <w:lang w:val="en-US"/>
              </w:rPr>
              <w:t>%</w:t>
            </w:r>
          </w:p>
        </w:tc>
        <w:tc>
          <w:tcPr>
            <w:tcW w:w="1087" w:type="dxa"/>
            <w:tcBorders>
              <w:top w:val="nil"/>
              <w:left w:val="nil"/>
              <w:bottom w:val="single" w:sz="8" w:space="0" w:color="D99594"/>
              <w:right w:val="single" w:sz="8" w:space="0" w:color="D99594"/>
            </w:tcBorders>
            <w:shd w:val="clear" w:color="000000" w:fill="F2DBDB"/>
            <w:noWrap/>
            <w:vAlign w:val="center"/>
            <w:hideMark/>
          </w:tcPr>
          <w:p w14:paraId="42226089" w14:textId="77777777" w:rsidR="001437FE" w:rsidRPr="001437FE" w:rsidRDefault="001437FE" w:rsidP="00B57926">
            <w:pPr>
              <w:keepNext/>
              <w:spacing w:after="0" w:line="240" w:lineRule="auto"/>
              <w:jc w:val="center"/>
              <w:rPr>
                <w:rFonts w:cs="Arial"/>
                <w:color w:val="000000"/>
                <w:sz w:val="16"/>
                <w:szCs w:val="16"/>
              </w:rPr>
            </w:pPr>
            <w:r w:rsidRPr="001437FE">
              <w:rPr>
                <w:rFonts w:cs="Arial"/>
                <w:color w:val="000000"/>
                <w:sz w:val="16"/>
                <w:szCs w:val="16"/>
                <w:lang w:val="en-US"/>
              </w:rPr>
              <w:t>Abs.</w:t>
            </w:r>
          </w:p>
        </w:tc>
        <w:tc>
          <w:tcPr>
            <w:tcW w:w="1087" w:type="dxa"/>
            <w:tcBorders>
              <w:top w:val="nil"/>
              <w:left w:val="nil"/>
              <w:bottom w:val="single" w:sz="8" w:space="0" w:color="D99594"/>
              <w:right w:val="single" w:sz="8" w:space="0" w:color="D99594"/>
            </w:tcBorders>
            <w:shd w:val="clear" w:color="000000" w:fill="F2DBDB"/>
            <w:noWrap/>
            <w:vAlign w:val="center"/>
            <w:hideMark/>
          </w:tcPr>
          <w:p w14:paraId="3BDE510B" w14:textId="77777777" w:rsidR="001437FE" w:rsidRPr="001437FE" w:rsidRDefault="001437FE" w:rsidP="00B57926">
            <w:pPr>
              <w:keepNext/>
              <w:spacing w:after="0" w:line="240" w:lineRule="auto"/>
              <w:jc w:val="center"/>
              <w:rPr>
                <w:rFonts w:cs="Arial"/>
                <w:color w:val="000000"/>
                <w:sz w:val="16"/>
                <w:szCs w:val="16"/>
              </w:rPr>
            </w:pPr>
            <w:r w:rsidRPr="001437FE">
              <w:rPr>
                <w:rFonts w:cs="Arial"/>
                <w:color w:val="000000"/>
                <w:sz w:val="16"/>
                <w:szCs w:val="16"/>
                <w:lang w:val="en-US"/>
              </w:rPr>
              <w:t>%</w:t>
            </w:r>
          </w:p>
        </w:tc>
        <w:tc>
          <w:tcPr>
            <w:tcW w:w="1087" w:type="dxa"/>
            <w:tcBorders>
              <w:top w:val="nil"/>
              <w:left w:val="nil"/>
              <w:bottom w:val="single" w:sz="8" w:space="0" w:color="D99594"/>
              <w:right w:val="single" w:sz="8" w:space="0" w:color="D99594"/>
            </w:tcBorders>
            <w:shd w:val="clear" w:color="000000" w:fill="F2DBDB"/>
            <w:noWrap/>
            <w:vAlign w:val="center"/>
            <w:hideMark/>
          </w:tcPr>
          <w:p w14:paraId="5AD7F4B4" w14:textId="77777777" w:rsidR="001437FE" w:rsidRPr="001437FE" w:rsidRDefault="001437FE" w:rsidP="00B57926">
            <w:pPr>
              <w:keepNext/>
              <w:spacing w:after="0" w:line="240" w:lineRule="auto"/>
              <w:jc w:val="center"/>
              <w:rPr>
                <w:rFonts w:cs="Arial"/>
                <w:color w:val="000000"/>
                <w:sz w:val="16"/>
                <w:szCs w:val="16"/>
              </w:rPr>
            </w:pPr>
            <w:r w:rsidRPr="001437FE">
              <w:rPr>
                <w:rFonts w:cs="Arial"/>
                <w:color w:val="000000"/>
                <w:sz w:val="16"/>
                <w:szCs w:val="16"/>
                <w:lang w:val="en-US"/>
              </w:rPr>
              <w:t>Abs.</w:t>
            </w:r>
          </w:p>
        </w:tc>
        <w:tc>
          <w:tcPr>
            <w:tcW w:w="1087" w:type="dxa"/>
            <w:tcBorders>
              <w:top w:val="nil"/>
              <w:left w:val="nil"/>
              <w:bottom w:val="single" w:sz="8" w:space="0" w:color="D99594"/>
              <w:right w:val="single" w:sz="8" w:space="0" w:color="D99594"/>
            </w:tcBorders>
            <w:shd w:val="clear" w:color="000000" w:fill="F2DBDB"/>
            <w:noWrap/>
            <w:vAlign w:val="center"/>
            <w:hideMark/>
          </w:tcPr>
          <w:p w14:paraId="29D371D6" w14:textId="77777777" w:rsidR="001437FE" w:rsidRPr="001437FE" w:rsidRDefault="001437FE" w:rsidP="00B57926">
            <w:pPr>
              <w:keepNext/>
              <w:spacing w:after="0" w:line="240" w:lineRule="auto"/>
              <w:jc w:val="center"/>
              <w:rPr>
                <w:rFonts w:cs="Arial"/>
                <w:color w:val="000000"/>
                <w:sz w:val="16"/>
                <w:szCs w:val="16"/>
              </w:rPr>
            </w:pPr>
            <w:r w:rsidRPr="001437FE">
              <w:rPr>
                <w:rFonts w:cs="Arial"/>
                <w:color w:val="000000"/>
                <w:sz w:val="16"/>
                <w:szCs w:val="16"/>
                <w:lang w:val="en-US"/>
              </w:rPr>
              <w:t>%</w:t>
            </w:r>
          </w:p>
        </w:tc>
      </w:tr>
      <w:tr w:rsidR="001437FE" w:rsidRPr="001437FE" w14:paraId="48C2E9A0" w14:textId="77777777" w:rsidTr="001D3DF1">
        <w:trPr>
          <w:trHeight w:val="284"/>
        </w:trPr>
        <w:tc>
          <w:tcPr>
            <w:tcW w:w="2268" w:type="dxa"/>
            <w:tcBorders>
              <w:top w:val="nil"/>
              <w:left w:val="single" w:sz="8" w:space="0" w:color="D99594"/>
              <w:bottom w:val="single" w:sz="8" w:space="0" w:color="D99594"/>
              <w:right w:val="single" w:sz="8" w:space="0" w:color="D99594"/>
            </w:tcBorders>
            <w:shd w:val="clear" w:color="auto" w:fill="auto"/>
            <w:vAlign w:val="center"/>
            <w:hideMark/>
          </w:tcPr>
          <w:p w14:paraId="641AF112" w14:textId="77777777" w:rsidR="001437FE" w:rsidRPr="001437FE" w:rsidRDefault="001437FE" w:rsidP="00B57926">
            <w:pPr>
              <w:keepNext/>
              <w:spacing w:after="0" w:line="240" w:lineRule="auto"/>
              <w:ind w:firstLineChars="100" w:firstLine="160"/>
              <w:rPr>
                <w:rFonts w:cs="Arial"/>
                <w:b/>
                <w:bCs/>
                <w:color w:val="000000"/>
                <w:sz w:val="16"/>
                <w:szCs w:val="16"/>
              </w:rPr>
            </w:pPr>
            <w:r w:rsidRPr="001437FE">
              <w:rPr>
                <w:rFonts w:cs="Arial"/>
                <w:b/>
                <w:bCs/>
                <w:color w:val="000000"/>
                <w:sz w:val="16"/>
                <w:szCs w:val="16"/>
                <w:lang w:eastAsia="en-US"/>
              </w:rPr>
              <w:t>Celkem</w:t>
            </w:r>
          </w:p>
        </w:tc>
        <w:tc>
          <w:tcPr>
            <w:tcW w:w="1086" w:type="dxa"/>
            <w:tcBorders>
              <w:top w:val="nil"/>
              <w:left w:val="nil"/>
              <w:bottom w:val="single" w:sz="8" w:space="0" w:color="D99594"/>
              <w:right w:val="single" w:sz="8" w:space="0" w:color="D99594"/>
            </w:tcBorders>
            <w:shd w:val="clear" w:color="auto" w:fill="auto"/>
            <w:noWrap/>
            <w:vAlign w:val="center"/>
            <w:hideMark/>
          </w:tcPr>
          <w:p w14:paraId="789F1926" w14:textId="77777777" w:rsidR="001437FE" w:rsidRPr="001437FE" w:rsidRDefault="001437FE" w:rsidP="00B57926">
            <w:pPr>
              <w:keepNext/>
              <w:spacing w:after="0" w:line="240" w:lineRule="auto"/>
              <w:jc w:val="right"/>
              <w:rPr>
                <w:rFonts w:cs="Arial"/>
                <w:b/>
                <w:bCs/>
                <w:color w:val="000000"/>
                <w:sz w:val="16"/>
                <w:szCs w:val="16"/>
              </w:rPr>
            </w:pPr>
            <w:r w:rsidRPr="001437FE">
              <w:rPr>
                <w:rFonts w:cs="Arial"/>
                <w:b/>
                <w:bCs/>
                <w:color w:val="000000"/>
                <w:sz w:val="16"/>
                <w:szCs w:val="16"/>
              </w:rPr>
              <w:t>14 344</w:t>
            </w:r>
          </w:p>
        </w:tc>
        <w:tc>
          <w:tcPr>
            <w:tcW w:w="1087" w:type="dxa"/>
            <w:tcBorders>
              <w:top w:val="nil"/>
              <w:left w:val="nil"/>
              <w:bottom w:val="single" w:sz="8" w:space="0" w:color="D99594"/>
              <w:right w:val="single" w:sz="8" w:space="0" w:color="D99594"/>
            </w:tcBorders>
            <w:shd w:val="clear" w:color="auto" w:fill="auto"/>
            <w:noWrap/>
            <w:vAlign w:val="center"/>
            <w:hideMark/>
          </w:tcPr>
          <w:p w14:paraId="0A94D04D" w14:textId="77777777" w:rsidR="001437FE" w:rsidRPr="001437FE" w:rsidRDefault="001437FE" w:rsidP="00B57926">
            <w:pPr>
              <w:keepNext/>
              <w:spacing w:after="0" w:line="240" w:lineRule="auto"/>
              <w:jc w:val="right"/>
              <w:rPr>
                <w:rFonts w:cs="Arial"/>
                <w:b/>
                <w:bCs/>
                <w:color w:val="000000"/>
                <w:sz w:val="16"/>
                <w:szCs w:val="16"/>
              </w:rPr>
            </w:pPr>
            <w:r w:rsidRPr="001437FE">
              <w:rPr>
                <w:rFonts w:cs="Arial"/>
                <w:b/>
                <w:bCs/>
                <w:color w:val="000000"/>
                <w:sz w:val="16"/>
                <w:szCs w:val="16"/>
              </w:rPr>
              <w:t>100</w:t>
            </w:r>
          </w:p>
        </w:tc>
        <w:tc>
          <w:tcPr>
            <w:tcW w:w="1087" w:type="dxa"/>
            <w:tcBorders>
              <w:top w:val="nil"/>
              <w:left w:val="nil"/>
              <w:bottom w:val="single" w:sz="8" w:space="0" w:color="D99594"/>
              <w:right w:val="single" w:sz="8" w:space="0" w:color="D99594"/>
            </w:tcBorders>
            <w:shd w:val="clear" w:color="auto" w:fill="auto"/>
            <w:noWrap/>
            <w:vAlign w:val="center"/>
            <w:hideMark/>
          </w:tcPr>
          <w:p w14:paraId="0A07D971" w14:textId="77777777" w:rsidR="001437FE" w:rsidRPr="001437FE" w:rsidRDefault="001437FE" w:rsidP="00B57926">
            <w:pPr>
              <w:keepNext/>
              <w:spacing w:after="0" w:line="240" w:lineRule="auto"/>
              <w:jc w:val="right"/>
              <w:rPr>
                <w:rFonts w:cs="Arial"/>
                <w:b/>
                <w:bCs/>
                <w:color w:val="000000"/>
                <w:sz w:val="16"/>
                <w:szCs w:val="16"/>
              </w:rPr>
            </w:pPr>
            <w:r w:rsidRPr="001437FE">
              <w:rPr>
                <w:rFonts w:cs="Arial"/>
                <w:b/>
                <w:bCs/>
                <w:color w:val="000000"/>
                <w:sz w:val="16"/>
                <w:szCs w:val="16"/>
              </w:rPr>
              <w:t>20 237</w:t>
            </w:r>
          </w:p>
        </w:tc>
        <w:tc>
          <w:tcPr>
            <w:tcW w:w="1087" w:type="dxa"/>
            <w:tcBorders>
              <w:top w:val="nil"/>
              <w:left w:val="nil"/>
              <w:bottom w:val="single" w:sz="8" w:space="0" w:color="D99594"/>
              <w:right w:val="single" w:sz="8" w:space="0" w:color="D99594"/>
            </w:tcBorders>
            <w:shd w:val="clear" w:color="auto" w:fill="auto"/>
            <w:noWrap/>
            <w:vAlign w:val="center"/>
            <w:hideMark/>
          </w:tcPr>
          <w:p w14:paraId="6A2D71C1" w14:textId="77777777" w:rsidR="001437FE" w:rsidRPr="001437FE" w:rsidRDefault="001437FE" w:rsidP="00B57926">
            <w:pPr>
              <w:keepNext/>
              <w:spacing w:after="0" w:line="240" w:lineRule="auto"/>
              <w:jc w:val="right"/>
              <w:rPr>
                <w:rFonts w:cs="Arial"/>
                <w:b/>
                <w:bCs/>
                <w:color w:val="000000"/>
                <w:sz w:val="16"/>
                <w:szCs w:val="16"/>
              </w:rPr>
            </w:pPr>
            <w:r w:rsidRPr="001437FE">
              <w:rPr>
                <w:rFonts w:cs="Arial"/>
                <w:b/>
                <w:bCs/>
                <w:color w:val="000000"/>
                <w:sz w:val="16"/>
                <w:szCs w:val="16"/>
              </w:rPr>
              <w:t>100</w:t>
            </w:r>
          </w:p>
        </w:tc>
        <w:tc>
          <w:tcPr>
            <w:tcW w:w="1087" w:type="dxa"/>
            <w:tcBorders>
              <w:top w:val="nil"/>
              <w:left w:val="nil"/>
              <w:bottom w:val="single" w:sz="8" w:space="0" w:color="D99594"/>
              <w:right w:val="single" w:sz="8" w:space="0" w:color="D99594"/>
            </w:tcBorders>
            <w:shd w:val="clear" w:color="auto" w:fill="auto"/>
            <w:noWrap/>
            <w:vAlign w:val="center"/>
            <w:hideMark/>
          </w:tcPr>
          <w:p w14:paraId="6C71F1AC" w14:textId="77777777" w:rsidR="001437FE" w:rsidRPr="001437FE" w:rsidRDefault="001437FE" w:rsidP="00B57926">
            <w:pPr>
              <w:keepNext/>
              <w:spacing w:after="0" w:line="240" w:lineRule="auto"/>
              <w:jc w:val="right"/>
              <w:rPr>
                <w:rFonts w:cs="Arial"/>
                <w:b/>
                <w:bCs/>
                <w:color w:val="000000"/>
                <w:sz w:val="16"/>
                <w:szCs w:val="16"/>
              </w:rPr>
            </w:pPr>
            <w:r w:rsidRPr="001437FE">
              <w:rPr>
                <w:rFonts w:cs="Arial"/>
                <w:b/>
                <w:bCs/>
                <w:color w:val="000000"/>
                <w:sz w:val="16"/>
                <w:szCs w:val="16"/>
              </w:rPr>
              <w:t>30 543</w:t>
            </w:r>
          </w:p>
        </w:tc>
        <w:tc>
          <w:tcPr>
            <w:tcW w:w="1087" w:type="dxa"/>
            <w:tcBorders>
              <w:top w:val="nil"/>
              <w:left w:val="nil"/>
              <w:bottom w:val="single" w:sz="8" w:space="0" w:color="D99594"/>
              <w:right w:val="single" w:sz="8" w:space="0" w:color="D99594"/>
            </w:tcBorders>
            <w:shd w:val="clear" w:color="auto" w:fill="auto"/>
            <w:noWrap/>
            <w:vAlign w:val="center"/>
            <w:hideMark/>
          </w:tcPr>
          <w:p w14:paraId="6A513749" w14:textId="77777777" w:rsidR="001437FE" w:rsidRPr="001437FE" w:rsidRDefault="001437FE" w:rsidP="00B57926">
            <w:pPr>
              <w:keepNext/>
              <w:spacing w:after="0" w:line="240" w:lineRule="auto"/>
              <w:jc w:val="right"/>
              <w:rPr>
                <w:rFonts w:cs="Arial"/>
                <w:b/>
                <w:bCs/>
                <w:color w:val="000000"/>
                <w:sz w:val="16"/>
                <w:szCs w:val="16"/>
              </w:rPr>
            </w:pPr>
            <w:r w:rsidRPr="001437FE">
              <w:rPr>
                <w:rFonts w:cs="Arial"/>
                <w:b/>
                <w:bCs/>
                <w:color w:val="000000"/>
                <w:sz w:val="16"/>
                <w:szCs w:val="16"/>
              </w:rPr>
              <w:t>100</w:t>
            </w:r>
          </w:p>
        </w:tc>
      </w:tr>
      <w:tr w:rsidR="001437FE" w:rsidRPr="001437FE" w14:paraId="20133C57" w14:textId="77777777" w:rsidTr="001D3DF1">
        <w:trPr>
          <w:trHeight w:val="284"/>
        </w:trPr>
        <w:tc>
          <w:tcPr>
            <w:tcW w:w="2268" w:type="dxa"/>
            <w:tcBorders>
              <w:top w:val="nil"/>
              <w:left w:val="single" w:sz="8" w:space="0" w:color="D99594"/>
              <w:bottom w:val="single" w:sz="8" w:space="0" w:color="D99594"/>
              <w:right w:val="single" w:sz="8" w:space="0" w:color="D99594"/>
            </w:tcBorders>
            <w:shd w:val="clear" w:color="000000" w:fill="F2DBDB"/>
            <w:vAlign w:val="center"/>
            <w:hideMark/>
          </w:tcPr>
          <w:p w14:paraId="78896D7F" w14:textId="77777777" w:rsidR="001437FE" w:rsidRPr="001437FE" w:rsidRDefault="001437FE" w:rsidP="00B57926">
            <w:pPr>
              <w:keepNext/>
              <w:spacing w:after="0" w:line="240" w:lineRule="auto"/>
              <w:ind w:firstLineChars="200" w:firstLine="320"/>
              <w:rPr>
                <w:rFonts w:cs="Arial"/>
                <w:color w:val="000000"/>
                <w:sz w:val="16"/>
                <w:szCs w:val="16"/>
              </w:rPr>
            </w:pPr>
            <w:r w:rsidRPr="001437FE">
              <w:rPr>
                <w:rFonts w:cs="Arial"/>
                <w:color w:val="000000"/>
                <w:sz w:val="16"/>
                <w:szCs w:val="16"/>
              </w:rPr>
              <w:t>občané EU (mimo ČR)</w:t>
            </w:r>
          </w:p>
        </w:tc>
        <w:tc>
          <w:tcPr>
            <w:tcW w:w="1086" w:type="dxa"/>
            <w:tcBorders>
              <w:top w:val="nil"/>
              <w:left w:val="nil"/>
              <w:bottom w:val="single" w:sz="8" w:space="0" w:color="D99594"/>
              <w:right w:val="single" w:sz="8" w:space="0" w:color="D99594"/>
            </w:tcBorders>
            <w:shd w:val="clear" w:color="000000" w:fill="F2DBDB"/>
            <w:noWrap/>
            <w:vAlign w:val="center"/>
            <w:hideMark/>
          </w:tcPr>
          <w:p w14:paraId="4B3AA130"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4 237</w:t>
            </w:r>
          </w:p>
        </w:tc>
        <w:tc>
          <w:tcPr>
            <w:tcW w:w="1087" w:type="dxa"/>
            <w:tcBorders>
              <w:top w:val="nil"/>
              <w:left w:val="nil"/>
              <w:bottom w:val="single" w:sz="8" w:space="0" w:color="D99594"/>
              <w:right w:val="single" w:sz="8" w:space="0" w:color="D99594"/>
            </w:tcBorders>
            <w:shd w:val="clear" w:color="000000" w:fill="F2DBDB"/>
            <w:noWrap/>
            <w:vAlign w:val="center"/>
            <w:hideMark/>
          </w:tcPr>
          <w:p w14:paraId="2346989D"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29,5</w:t>
            </w:r>
          </w:p>
        </w:tc>
        <w:tc>
          <w:tcPr>
            <w:tcW w:w="1087" w:type="dxa"/>
            <w:tcBorders>
              <w:top w:val="nil"/>
              <w:left w:val="nil"/>
              <w:bottom w:val="single" w:sz="8" w:space="0" w:color="D99594"/>
              <w:right w:val="single" w:sz="8" w:space="0" w:color="D99594"/>
            </w:tcBorders>
            <w:shd w:val="clear" w:color="000000" w:fill="F2DBDB"/>
            <w:noWrap/>
            <w:vAlign w:val="center"/>
            <w:hideMark/>
          </w:tcPr>
          <w:p w14:paraId="66598145"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6 549</w:t>
            </w:r>
          </w:p>
        </w:tc>
        <w:tc>
          <w:tcPr>
            <w:tcW w:w="1087" w:type="dxa"/>
            <w:tcBorders>
              <w:top w:val="nil"/>
              <w:left w:val="nil"/>
              <w:bottom w:val="single" w:sz="8" w:space="0" w:color="D99594"/>
              <w:right w:val="single" w:sz="8" w:space="0" w:color="D99594"/>
            </w:tcBorders>
            <w:shd w:val="clear" w:color="000000" w:fill="F2DBDB"/>
            <w:noWrap/>
            <w:vAlign w:val="center"/>
            <w:hideMark/>
          </w:tcPr>
          <w:p w14:paraId="12C123CA"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32,4</w:t>
            </w:r>
          </w:p>
        </w:tc>
        <w:tc>
          <w:tcPr>
            <w:tcW w:w="1087" w:type="dxa"/>
            <w:tcBorders>
              <w:top w:val="nil"/>
              <w:left w:val="nil"/>
              <w:bottom w:val="single" w:sz="8" w:space="0" w:color="D99594"/>
              <w:right w:val="single" w:sz="8" w:space="0" w:color="D99594"/>
            </w:tcBorders>
            <w:shd w:val="clear" w:color="000000" w:fill="F2DBDB"/>
            <w:noWrap/>
            <w:vAlign w:val="center"/>
            <w:hideMark/>
          </w:tcPr>
          <w:p w14:paraId="1686A931"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8 689</w:t>
            </w:r>
          </w:p>
        </w:tc>
        <w:tc>
          <w:tcPr>
            <w:tcW w:w="1087" w:type="dxa"/>
            <w:tcBorders>
              <w:top w:val="nil"/>
              <w:left w:val="nil"/>
              <w:bottom w:val="single" w:sz="8" w:space="0" w:color="D99594"/>
              <w:right w:val="single" w:sz="8" w:space="0" w:color="D99594"/>
            </w:tcBorders>
            <w:shd w:val="clear" w:color="000000" w:fill="F2DBDB"/>
            <w:noWrap/>
            <w:vAlign w:val="center"/>
            <w:hideMark/>
          </w:tcPr>
          <w:p w14:paraId="4715881B"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28,4</w:t>
            </w:r>
          </w:p>
        </w:tc>
      </w:tr>
      <w:tr w:rsidR="001437FE" w:rsidRPr="001437FE" w14:paraId="0736260C" w14:textId="77777777" w:rsidTr="001D3DF1">
        <w:trPr>
          <w:trHeight w:val="284"/>
        </w:trPr>
        <w:tc>
          <w:tcPr>
            <w:tcW w:w="2268" w:type="dxa"/>
            <w:tcBorders>
              <w:top w:val="nil"/>
              <w:left w:val="single" w:sz="8" w:space="0" w:color="D99594"/>
              <w:bottom w:val="single" w:sz="8" w:space="0" w:color="D99594"/>
              <w:right w:val="single" w:sz="8" w:space="0" w:color="D99594"/>
            </w:tcBorders>
            <w:shd w:val="clear" w:color="auto" w:fill="auto"/>
            <w:vAlign w:val="center"/>
            <w:hideMark/>
          </w:tcPr>
          <w:p w14:paraId="1CFEA8DA" w14:textId="77777777" w:rsidR="001437FE" w:rsidRPr="001437FE" w:rsidRDefault="001437FE" w:rsidP="00B57926">
            <w:pPr>
              <w:keepNext/>
              <w:spacing w:after="0" w:line="240" w:lineRule="auto"/>
              <w:ind w:firstLineChars="200" w:firstLine="320"/>
              <w:rPr>
                <w:rFonts w:cs="Arial"/>
                <w:color w:val="000000"/>
                <w:sz w:val="16"/>
                <w:szCs w:val="16"/>
              </w:rPr>
            </w:pPr>
            <w:r w:rsidRPr="001437FE">
              <w:rPr>
                <w:rFonts w:cs="Arial"/>
                <w:color w:val="000000"/>
                <w:sz w:val="16"/>
                <w:szCs w:val="16"/>
              </w:rPr>
              <w:t xml:space="preserve">občané ostatních států </w:t>
            </w:r>
          </w:p>
        </w:tc>
        <w:tc>
          <w:tcPr>
            <w:tcW w:w="1086" w:type="dxa"/>
            <w:tcBorders>
              <w:top w:val="nil"/>
              <w:left w:val="nil"/>
              <w:bottom w:val="single" w:sz="8" w:space="0" w:color="D99594"/>
              <w:right w:val="single" w:sz="8" w:space="0" w:color="D99594"/>
            </w:tcBorders>
            <w:shd w:val="clear" w:color="auto" w:fill="auto"/>
            <w:noWrap/>
            <w:vAlign w:val="center"/>
            <w:hideMark/>
          </w:tcPr>
          <w:p w14:paraId="70A08577"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10 107</w:t>
            </w:r>
          </w:p>
        </w:tc>
        <w:tc>
          <w:tcPr>
            <w:tcW w:w="1087" w:type="dxa"/>
            <w:tcBorders>
              <w:top w:val="nil"/>
              <w:left w:val="nil"/>
              <w:bottom w:val="single" w:sz="8" w:space="0" w:color="D99594"/>
              <w:right w:val="single" w:sz="8" w:space="0" w:color="D99594"/>
            </w:tcBorders>
            <w:shd w:val="clear" w:color="auto" w:fill="auto"/>
            <w:noWrap/>
            <w:vAlign w:val="center"/>
            <w:hideMark/>
          </w:tcPr>
          <w:p w14:paraId="592D1101"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70,5</w:t>
            </w:r>
          </w:p>
        </w:tc>
        <w:tc>
          <w:tcPr>
            <w:tcW w:w="1087" w:type="dxa"/>
            <w:tcBorders>
              <w:top w:val="nil"/>
              <w:left w:val="nil"/>
              <w:bottom w:val="single" w:sz="8" w:space="0" w:color="D99594"/>
              <w:right w:val="single" w:sz="8" w:space="0" w:color="D99594"/>
            </w:tcBorders>
            <w:shd w:val="clear" w:color="auto" w:fill="auto"/>
            <w:noWrap/>
            <w:vAlign w:val="center"/>
            <w:hideMark/>
          </w:tcPr>
          <w:p w14:paraId="30F2270F"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13 688</w:t>
            </w:r>
          </w:p>
        </w:tc>
        <w:tc>
          <w:tcPr>
            <w:tcW w:w="1087" w:type="dxa"/>
            <w:tcBorders>
              <w:top w:val="nil"/>
              <w:left w:val="nil"/>
              <w:bottom w:val="single" w:sz="8" w:space="0" w:color="D99594"/>
              <w:right w:val="single" w:sz="8" w:space="0" w:color="D99594"/>
            </w:tcBorders>
            <w:shd w:val="clear" w:color="auto" w:fill="auto"/>
            <w:noWrap/>
            <w:vAlign w:val="center"/>
            <w:hideMark/>
          </w:tcPr>
          <w:p w14:paraId="54D1402B"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67,6</w:t>
            </w:r>
          </w:p>
        </w:tc>
        <w:tc>
          <w:tcPr>
            <w:tcW w:w="1087" w:type="dxa"/>
            <w:tcBorders>
              <w:top w:val="nil"/>
              <w:left w:val="nil"/>
              <w:bottom w:val="single" w:sz="8" w:space="0" w:color="D99594"/>
              <w:right w:val="single" w:sz="8" w:space="0" w:color="D99594"/>
            </w:tcBorders>
            <w:shd w:val="clear" w:color="auto" w:fill="auto"/>
            <w:noWrap/>
            <w:vAlign w:val="center"/>
            <w:hideMark/>
          </w:tcPr>
          <w:p w14:paraId="7A9783AA"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21 854</w:t>
            </w:r>
          </w:p>
        </w:tc>
        <w:tc>
          <w:tcPr>
            <w:tcW w:w="1087" w:type="dxa"/>
            <w:tcBorders>
              <w:top w:val="nil"/>
              <w:left w:val="nil"/>
              <w:bottom w:val="single" w:sz="8" w:space="0" w:color="D99594"/>
              <w:right w:val="single" w:sz="8" w:space="0" w:color="D99594"/>
            </w:tcBorders>
            <w:shd w:val="clear" w:color="auto" w:fill="auto"/>
            <w:noWrap/>
            <w:vAlign w:val="center"/>
            <w:hideMark/>
          </w:tcPr>
          <w:p w14:paraId="21A30CFE"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71,6</w:t>
            </w:r>
          </w:p>
        </w:tc>
      </w:tr>
      <w:tr w:rsidR="001437FE" w:rsidRPr="001437FE" w14:paraId="288B1FA1" w14:textId="77777777" w:rsidTr="001D3DF1">
        <w:trPr>
          <w:trHeight w:val="284"/>
        </w:trPr>
        <w:tc>
          <w:tcPr>
            <w:tcW w:w="2268" w:type="dxa"/>
            <w:tcBorders>
              <w:top w:val="nil"/>
              <w:left w:val="single" w:sz="8" w:space="0" w:color="D99594"/>
              <w:bottom w:val="single" w:sz="8" w:space="0" w:color="D99594"/>
              <w:right w:val="single" w:sz="8" w:space="0" w:color="D99594"/>
            </w:tcBorders>
            <w:shd w:val="clear" w:color="000000" w:fill="F2DBDB"/>
            <w:noWrap/>
            <w:vAlign w:val="center"/>
            <w:hideMark/>
          </w:tcPr>
          <w:p w14:paraId="435E4F8F" w14:textId="77777777" w:rsidR="001437FE" w:rsidRPr="001437FE" w:rsidRDefault="001437FE" w:rsidP="00B57926">
            <w:pPr>
              <w:keepNext/>
              <w:spacing w:after="0" w:line="240" w:lineRule="auto"/>
              <w:ind w:firstLineChars="100" w:firstLine="160"/>
              <w:rPr>
                <w:rFonts w:cs="Arial"/>
                <w:b/>
                <w:bCs/>
                <w:i/>
                <w:iCs/>
                <w:color w:val="000000"/>
                <w:sz w:val="16"/>
                <w:szCs w:val="16"/>
              </w:rPr>
            </w:pPr>
            <w:r w:rsidRPr="001437FE">
              <w:rPr>
                <w:rFonts w:cs="Arial"/>
                <w:b/>
                <w:bCs/>
                <w:i/>
                <w:iCs/>
                <w:color w:val="000000"/>
                <w:sz w:val="16"/>
                <w:szCs w:val="16"/>
                <w:lang w:eastAsia="en-US"/>
              </w:rPr>
              <w:t>Občané zemí:</w:t>
            </w:r>
          </w:p>
        </w:tc>
        <w:tc>
          <w:tcPr>
            <w:tcW w:w="1086" w:type="dxa"/>
            <w:tcBorders>
              <w:top w:val="nil"/>
              <w:left w:val="nil"/>
              <w:bottom w:val="single" w:sz="8" w:space="0" w:color="D99594"/>
              <w:right w:val="single" w:sz="8" w:space="0" w:color="D99594"/>
            </w:tcBorders>
            <w:shd w:val="clear" w:color="000000" w:fill="F2DBDB"/>
            <w:noWrap/>
            <w:vAlign w:val="center"/>
            <w:hideMark/>
          </w:tcPr>
          <w:p w14:paraId="141EF971" w14:textId="77777777" w:rsidR="001437FE" w:rsidRPr="001437FE" w:rsidRDefault="001437FE" w:rsidP="00B57926">
            <w:pPr>
              <w:keepNext/>
              <w:spacing w:after="0" w:line="240" w:lineRule="auto"/>
              <w:rPr>
                <w:rFonts w:cs="Arial"/>
                <w:b/>
                <w:bCs/>
                <w:i/>
                <w:iCs/>
                <w:color w:val="000000"/>
                <w:sz w:val="16"/>
                <w:szCs w:val="16"/>
              </w:rPr>
            </w:pPr>
            <w:r w:rsidRPr="001437FE">
              <w:rPr>
                <w:rFonts w:cs="Arial"/>
                <w:b/>
                <w:bCs/>
                <w:i/>
                <w:iCs/>
                <w:color w:val="000000"/>
                <w:sz w:val="16"/>
                <w:szCs w:val="16"/>
              </w:rPr>
              <w:t> </w:t>
            </w:r>
          </w:p>
        </w:tc>
        <w:tc>
          <w:tcPr>
            <w:tcW w:w="1087" w:type="dxa"/>
            <w:tcBorders>
              <w:top w:val="nil"/>
              <w:left w:val="nil"/>
              <w:bottom w:val="single" w:sz="8" w:space="0" w:color="D99594"/>
              <w:right w:val="single" w:sz="8" w:space="0" w:color="D99594"/>
            </w:tcBorders>
            <w:shd w:val="clear" w:color="000000" w:fill="F2DBDB"/>
            <w:noWrap/>
            <w:vAlign w:val="center"/>
            <w:hideMark/>
          </w:tcPr>
          <w:p w14:paraId="03542B63" w14:textId="77777777" w:rsidR="001437FE" w:rsidRPr="001437FE" w:rsidRDefault="001437FE" w:rsidP="00B57926">
            <w:pPr>
              <w:keepNext/>
              <w:spacing w:after="0" w:line="240" w:lineRule="auto"/>
              <w:jc w:val="right"/>
              <w:rPr>
                <w:rFonts w:cs="Arial"/>
                <w:b/>
                <w:bCs/>
                <w:color w:val="000000"/>
                <w:sz w:val="16"/>
                <w:szCs w:val="16"/>
              </w:rPr>
            </w:pPr>
            <w:r w:rsidRPr="001437FE">
              <w:rPr>
                <w:rFonts w:cs="Arial"/>
                <w:b/>
                <w:bCs/>
                <w:color w:val="000000"/>
                <w:sz w:val="16"/>
                <w:szCs w:val="16"/>
              </w:rPr>
              <w:t> </w:t>
            </w:r>
          </w:p>
        </w:tc>
        <w:tc>
          <w:tcPr>
            <w:tcW w:w="1087" w:type="dxa"/>
            <w:tcBorders>
              <w:top w:val="nil"/>
              <w:left w:val="nil"/>
              <w:bottom w:val="single" w:sz="8" w:space="0" w:color="D99594"/>
              <w:right w:val="single" w:sz="8" w:space="0" w:color="D99594"/>
            </w:tcBorders>
            <w:shd w:val="clear" w:color="000000" w:fill="F2DBDB"/>
            <w:noWrap/>
            <w:vAlign w:val="center"/>
            <w:hideMark/>
          </w:tcPr>
          <w:p w14:paraId="4F112571" w14:textId="77777777" w:rsidR="001437FE" w:rsidRPr="001437FE" w:rsidRDefault="001437FE" w:rsidP="00B57926">
            <w:pPr>
              <w:keepNext/>
              <w:spacing w:after="0" w:line="240" w:lineRule="auto"/>
              <w:rPr>
                <w:rFonts w:cs="Arial"/>
                <w:b/>
                <w:bCs/>
                <w:i/>
                <w:iCs/>
                <w:color w:val="000000"/>
                <w:sz w:val="16"/>
                <w:szCs w:val="16"/>
              </w:rPr>
            </w:pPr>
            <w:r w:rsidRPr="001437FE">
              <w:rPr>
                <w:rFonts w:cs="Arial"/>
                <w:b/>
                <w:bCs/>
                <w:i/>
                <w:iCs/>
                <w:color w:val="000000"/>
                <w:sz w:val="16"/>
                <w:szCs w:val="16"/>
              </w:rPr>
              <w:t> </w:t>
            </w:r>
          </w:p>
        </w:tc>
        <w:tc>
          <w:tcPr>
            <w:tcW w:w="1087" w:type="dxa"/>
            <w:tcBorders>
              <w:top w:val="nil"/>
              <w:left w:val="nil"/>
              <w:bottom w:val="single" w:sz="8" w:space="0" w:color="D99594"/>
              <w:right w:val="single" w:sz="8" w:space="0" w:color="D99594"/>
            </w:tcBorders>
            <w:shd w:val="clear" w:color="000000" w:fill="F2DBDB"/>
            <w:noWrap/>
            <w:vAlign w:val="center"/>
            <w:hideMark/>
          </w:tcPr>
          <w:p w14:paraId="5FD64DE5" w14:textId="77777777" w:rsidR="001437FE" w:rsidRPr="001437FE" w:rsidRDefault="001437FE" w:rsidP="00B57926">
            <w:pPr>
              <w:keepNext/>
              <w:spacing w:after="0" w:line="240" w:lineRule="auto"/>
              <w:jc w:val="right"/>
              <w:rPr>
                <w:rFonts w:cs="Arial"/>
                <w:b/>
                <w:bCs/>
                <w:color w:val="000000"/>
                <w:sz w:val="16"/>
                <w:szCs w:val="16"/>
              </w:rPr>
            </w:pPr>
            <w:r w:rsidRPr="001437FE">
              <w:rPr>
                <w:rFonts w:cs="Arial"/>
                <w:b/>
                <w:bCs/>
                <w:color w:val="000000"/>
                <w:sz w:val="16"/>
                <w:szCs w:val="16"/>
              </w:rPr>
              <w:t> </w:t>
            </w:r>
          </w:p>
        </w:tc>
        <w:tc>
          <w:tcPr>
            <w:tcW w:w="1087" w:type="dxa"/>
            <w:tcBorders>
              <w:top w:val="nil"/>
              <w:left w:val="nil"/>
              <w:bottom w:val="single" w:sz="8" w:space="0" w:color="D99594"/>
              <w:right w:val="single" w:sz="8" w:space="0" w:color="D99594"/>
            </w:tcBorders>
            <w:shd w:val="clear" w:color="000000" w:fill="F2DBDB"/>
            <w:noWrap/>
            <w:vAlign w:val="center"/>
            <w:hideMark/>
          </w:tcPr>
          <w:p w14:paraId="3B7745F9" w14:textId="77777777" w:rsidR="001437FE" w:rsidRPr="001437FE" w:rsidRDefault="001437FE" w:rsidP="00B57926">
            <w:pPr>
              <w:keepNext/>
              <w:spacing w:after="0" w:line="240" w:lineRule="auto"/>
              <w:rPr>
                <w:rFonts w:cs="Arial"/>
                <w:b/>
                <w:bCs/>
                <w:i/>
                <w:iCs/>
                <w:color w:val="000000"/>
                <w:sz w:val="16"/>
                <w:szCs w:val="16"/>
              </w:rPr>
            </w:pPr>
            <w:r w:rsidRPr="001437FE">
              <w:rPr>
                <w:rFonts w:cs="Arial"/>
                <w:b/>
                <w:bCs/>
                <w:i/>
                <w:iCs/>
                <w:color w:val="000000"/>
                <w:sz w:val="16"/>
                <w:szCs w:val="16"/>
              </w:rPr>
              <w:t> </w:t>
            </w:r>
          </w:p>
        </w:tc>
        <w:tc>
          <w:tcPr>
            <w:tcW w:w="1087" w:type="dxa"/>
            <w:tcBorders>
              <w:top w:val="nil"/>
              <w:left w:val="nil"/>
              <w:bottom w:val="single" w:sz="8" w:space="0" w:color="D99594"/>
              <w:right w:val="single" w:sz="8" w:space="0" w:color="D99594"/>
            </w:tcBorders>
            <w:shd w:val="clear" w:color="000000" w:fill="F2DBDB"/>
            <w:noWrap/>
            <w:vAlign w:val="center"/>
            <w:hideMark/>
          </w:tcPr>
          <w:p w14:paraId="69C43DFE" w14:textId="77777777" w:rsidR="001437FE" w:rsidRPr="001437FE" w:rsidRDefault="001437FE" w:rsidP="00B57926">
            <w:pPr>
              <w:keepNext/>
              <w:spacing w:after="0" w:line="240" w:lineRule="auto"/>
              <w:jc w:val="right"/>
              <w:rPr>
                <w:rFonts w:cs="Arial"/>
                <w:b/>
                <w:bCs/>
                <w:color w:val="000000"/>
                <w:sz w:val="16"/>
                <w:szCs w:val="16"/>
              </w:rPr>
            </w:pPr>
            <w:r w:rsidRPr="001437FE">
              <w:rPr>
                <w:rFonts w:cs="Arial"/>
                <w:b/>
                <w:bCs/>
                <w:color w:val="000000"/>
                <w:sz w:val="16"/>
                <w:szCs w:val="16"/>
              </w:rPr>
              <w:t> </w:t>
            </w:r>
          </w:p>
        </w:tc>
      </w:tr>
      <w:tr w:rsidR="001437FE" w:rsidRPr="001437FE" w14:paraId="525129F9" w14:textId="77777777" w:rsidTr="001D3DF1">
        <w:trPr>
          <w:trHeight w:val="284"/>
        </w:trPr>
        <w:tc>
          <w:tcPr>
            <w:tcW w:w="2268" w:type="dxa"/>
            <w:tcBorders>
              <w:top w:val="nil"/>
              <w:left w:val="single" w:sz="8" w:space="0" w:color="D99594"/>
              <w:bottom w:val="single" w:sz="8" w:space="0" w:color="D99594"/>
              <w:right w:val="single" w:sz="8" w:space="0" w:color="D99594"/>
            </w:tcBorders>
            <w:shd w:val="clear" w:color="auto" w:fill="auto"/>
            <w:vAlign w:val="center"/>
            <w:hideMark/>
          </w:tcPr>
          <w:p w14:paraId="7C491B9B" w14:textId="77777777" w:rsidR="001437FE" w:rsidRPr="001437FE" w:rsidRDefault="001437FE" w:rsidP="00B57926">
            <w:pPr>
              <w:keepNext/>
              <w:spacing w:after="0" w:line="240" w:lineRule="auto"/>
              <w:ind w:firstLineChars="200" w:firstLine="320"/>
              <w:rPr>
                <w:rFonts w:cs="Arial"/>
                <w:color w:val="000000"/>
                <w:sz w:val="16"/>
                <w:szCs w:val="16"/>
              </w:rPr>
            </w:pPr>
            <w:r w:rsidRPr="001437FE">
              <w:rPr>
                <w:rFonts w:cs="Arial"/>
                <w:color w:val="000000"/>
                <w:sz w:val="16"/>
                <w:szCs w:val="16"/>
              </w:rPr>
              <w:t>Ukrajina</w:t>
            </w:r>
          </w:p>
        </w:tc>
        <w:tc>
          <w:tcPr>
            <w:tcW w:w="1086" w:type="dxa"/>
            <w:tcBorders>
              <w:top w:val="nil"/>
              <w:left w:val="nil"/>
              <w:bottom w:val="single" w:sz="8" w:space="0" w:color="D99594"/>
              <w:right w:val="single" w:sz="8" w:space="0" w:color="D99594"/>
            </w:tcBorders>
            <w:shd w:val="clear" w:color="auto" w:fill="auto"/>
            <w:noWrap/>
            <w:vAlign w:val="center"/>
            <w:hideMark/>
          </w:tcPr>
          <w:p w14:paraId="1BB50B63"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3 392</w:t>
            </w:r>
          </w:p>
        </w:tc>
        <w:tc>
          <w:tcPr>
            <w:tcW w:w="1087" w:type="dxa"/>
            <w:tcBorders>
              <w:top w:val="nil"/>
              <w:left w:val="nil"/>
              <w:bottom w:val="single" w:sz="8" w:space="0" w:color="D99594"/>
              <w:right w:val="single" w:sz="8" w:space="0" w:color="D99594"/>
            </w:tcBorders>
            <w:shd w:val="clear" w:color="auto" w:fill="auto"/>
            <w:noWrap/>
            <w:vAlign w:val="center"/>
            <w:hideMark/>
          </w:tcPr>
          <w:p w14:paraId="0B829508"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23,6</w:t>
            </w:r>
          </w:p>
        </w:tc>
        <w:tc>
          <w:tcPr>
            <w:tcW w:w="1087" w:type="dxa"/>
            <w:tcBorders>
              <w:top w:val="nil"/>
              <w:left w:val="nil"/>
              <w:bottom w:val="single" w:sz="8" w:space="0" w:color="D99594"/>
              <w:right w:val="single" w:sz="8" w:space="0" w:color="D99594"/>
            </w:tcBorders>
            <w:shd w:val="clear" w:color="auto" w:fill="auto"/>
            <w:noWrap/>
            <w:vAlign w:val="center"/>
            <w:hideMark/>
          </w:tcPr>
          <w:p w14:paraId="2B9C12FF"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5 332</w:t>
            </w:r>
          </w:p>
        </w:tc>
        <w:tc>
          <w:tcPr>
            <w:tcW w:w="1087" w:type="dxa"/>
            <w:tcBorders>
              <w:top w:val="nil"/>
              <w:left w:val="nil"/>
              <w:bottom w:val="single" w:sz="8" w:space="0" w:color="D99594"/>
              <w:right w:val="single" w:sz="8" w:space="0" w:color="D99594"/>
            </w:tcBorders>
            <w:shd w:val="clear" w:color="auto" w:fill="auto"/>
            <w:noWrap/>
            <w:vAlign w:val="center"/>
            <w:hideMark/>
          </w:tcPr>
          <w:p w14:paraId="1D91983B"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26,3</w:t>
            </w:r>
          </w:p>
        </w:tc>
        <w:tc>
          <w:tcPr>
            <w:tcW w:w="1087" w:type="dxa"/>
            <w:tcBorders>
              <w:top w:val="nil"/>
              <w:left w:val="nil"/>
              <w:bottom w:val="single" w:sz="8" w:space="0" w:color="D99594"/>
              <w:right w:val="single" w:sz="8" w:space="0" w:color="D99594"/>
            </w:tcBorders>
            <w:shd w:val="clear" w:color="auto" w:fill="auto"/>
            <w:noWrap/>
            <w:vAlign w:val="center"/>
            <w:hideMark/>
          </w:tcPr>
          <w:p w14:paraId="7589CFDE"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9 646</w:t>
            </w:r>
          </w:p>
        </w:tc>
        <w:tc>
          <w:tcPr>
            <w:tcW w:w="1087" w:type="dxa"/>
            <w:tcBorders>
              <w:top w:val="nil"/>
              <w:left w:val="nil"/>
              <w:bottom w:val="single" w:sz="8" w:space="0" w:color="D99594"/>
              <w:right w:val="single" w:sz="8" w:space="0" w:color="D99594"/>
            </w:tcBorders>
            <w:shd w:val="clear" w:color="auto" w:fill="auto"/>
            <w:noWrap/>
            <w:vAlign w:val="center"/>
            <w:hideMark/>
          </w:tcPr>
          <w:p w14:paraId="42F87FF1"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31,6</w:t>
            </w:r>
          </w:p>
        </w:tc>
      </w:tr>
      <w:tr w:rsidR="001437FE" w:rsidRPr="001437FE" w14:paraId="38DBC378" w14:textId="77777777" w:rsidTr="001D3DF1">
        <w:trPr>
          <w:trHeight w:val="284"/>
        </w:trPr>
        <w:tc>
          <w:tcPr>
            <w:tcW w:w="2268" w:type="dxa"/>
            <w:tcBorders>
              <w:top w:val="nil"/>
              <w:left w:val="single" w:sz="8" w:space="0" w:color="D99594"/>
              <w:bottom w:val="single" w:sz="8" w:space="0" w:color="D99594"/>
              <w:right w:val="single" w:sz="8" w:space="0" w:color="D99594"/>
            </w:tcBorders>
            <w:shd w:val="clear" w:color="000000" w:fill="F2DBDB"/>
            <w:vAlign w:val="center"/>
            <w:hideMark/>
          </w:tcPr>
          <w:p w14:paraId="0EC4251A" w14:textId="77777777" w:rsidR="001437FE" w:rsidRPr="001437FE" w:rsidRDefault="001437FE" w:rsidP="00B57926">
            <w:pPr>
              <w:keepNext/>
              <w:spacing w:after="0" w:line="240" w:lineRule="auto"/>
              <w:ind w:firstLineChars="200" w:firstLine="320"/>
              <w:rPr>
                <w:rFonts w:cs="Arial"/>
                <w:color w:val="000000"/>
                <w:sz w:val="16"/>
                <w:szCs w:val="16"/>
              </w:rPr>
            </w:pPr>
            <w:r w:rsidRPr="001437FE">
              <w:rPr>
                <w:rFonts w:cs="Arial"/>
                <w:color w:val="000000"/>
                <w:sz w:val="16"/>
                <w:szCs w:val="16"/>
              </w:rPr>
              <w:t>Vietnam</w:t>
            </w:r>
          </w:p>
        </w:tc>
        <w:tc>
          <w:tcPr>
            <w:tcW w:w="1086" w:type="dxa"/>
            <w:tcBorders>
              <w:top w:val="nil"/>
              <w:left w:val="nil"/>
              <w:bottom w:val="single" w:sz="8" w:space="0" w:color="D99594"/>
              <w:right w:val="single" w:sz="8" w:space="0" w:color="D99594"/>
            </w:tcBorders>
            <w:shd w:val="clear" w:color="000000" w:fill="F2DBDB"/>
            <w:noWrap/>
            <w:vAlign w:val="center"/>
            <w:hideMark/>
          </w:tcPr>
          <w:p w14:paraId="15D022A6"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2 852</w:t>
            </w:r>
          </w:p>
        </w:tc>
        <w:tc>
          <w:tcPr>
            <w:tcW w:w="1087" w:type="dxa"/>
            <w:tcBorders>
              <w:top w:val="nil"/>
              <w:left w:val="nil"/>
              <w:bottom w:val="single" w:sz="8" w:space="0" w:color="D99594"/>
              <w:right w:val="single" w:sz="8" w:space="0" w:color="D99594"/>
            </w:tcBorders>
            <w:shd w:val="clear" w:color="000000" w:fill="F2DBDB"/>
            <w:noWrap/>
            <w:vAlign w:val="center"/>
            <w:hideMark/>
          </w:tcPr>
          <w:p w14:paraId="6CCE09BA"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19,9</w:t>
            </w:r>
          </w:p>
        </w:tc>
        <w:tc>
          <w:tcPr>
            <w:tcW w:w="1087" w:type="dxa"/>
            <w:tcBorders>
              <w:top w:val="nil"/>
              <w:left w:val="nil"/>
              <w:bottom w:val="single" w:sz="8" w:space="0" w:color="D99594"/>
              <w:right w:val="single" w:sz="8" w:space="0" w:color="D99594"/>
            </w:tcBorders>
            <w:shd w:val="clear" w:color="000000" w:fill="F2DBDB"/>
            <w:noWrap/>
            <w:vAlign w:val="center"/>
            <w:hideMark/>
          </w:tcPr>
          <w:p w14:paraId="37581317"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4003</w:t>
            </w:r>
          </w:p>
        </w:tc>
        <w:tc>
          <w:tcPr>
            <w:tcW w:w="1087" w:type="dxa"/>
            <w:tcBorders>
              <w:top w:val="nil"/>
              <w:left w:val="nil"/>
              <w:bottom w:val="single" w:sz="8" w:space="0" w:color="D99594"/>
              <w:right w:val="single" w:sz="8" w:space="0" w:color="D99594"/>
            </w:tcBorders>
            <w:shd w:val="clear" w:color="000000" w:fill="F2DBDB"/>
            <w:noWrap/>
            <w:vAlign w:val="center"/>
            <w:hideMark/>
          </w:tcPr>
          <w:p w14:paraId="48E13032"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19,8</w:t>
            </w:r>
          </w:p>
        </w:tc>
        <w:tc>
          <w:tcPr>
            <w:tcW w:w="1087" w:type="dxa"/>
            <w:tcBorders>
              <w:top w:val="nil"/>
              <w:left w:val="nil"/>
              <w:bottom w:val="single" w:sz="8" w:space="0" w:color="D99594"/>
              <w:right w:val="single" w:sz="8" w:space="0" w:color="D99594"/>
            </w:tcBorders>
            <w:shd w:val="clear" w:color="000000" w:fill="F2DBDB"/>
            <w:noWrap/>
            <w:vAlign w:val="center"/>
            <w:hideMark/>
          </w:tcPr>
          <w:p w14:paraId="0202DC03"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5 848</w:t>
            </w:r>
          </w:p>
        </w:tc>
        <w:tc>
          <w:tcPr>
            <w:tcW w:w="1087" w:type="dxa"/>
            <w:tcBorders>
              <w:top w:val="nil"/>
              <w:left w:val="nil"/>
              <w:bottom w:val="single" w:sz="8" w:space="0" w:color="D99594"/>
              <w:right w:val="single" w:sz="8" w:space="0" w:color="D99594"/>
            </w:tcBorders>
            <w:shd w:val="clear" w:color="000000" w:fill="F2DBDB"/>
            <w:noWrap/>
            <w:vAlign w:val="center"/>
            <w:hideMark/>
          </w:tcPr>
          <w:p w14:paraId="42BF1D81"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19,1</w:t>
            </w:r>
          </w:p>
        </w:tc>
      </w:tr>
      <w:tr w:rsidR="001437FE" w:rsidRPr="001437FE" w14:paraId="31927A48" w14:textId="77777777" w:rsidTr="001D3DF1">
        <w:trPr>
          <w:trHeight w:val="284"/>
        </w:trPr>
        <w:tc>
          <w:tcPr>
            <w:tcW w:w="2268" w:type="dxa"/>
            <w:tcBorders>
              <w:top w:val="nil"/>
              <w:left w:val="single" w:sz="8" w:space="0" w:color="D99594"/>
              <w:bottom w:val="single" w:sz="8" w:space="0" w:color="D99594"/>
              <w:right w:val="single" w:sz="8" w:space="0" w:color="D99594"/>
            </w:tcBorders>
            <w:shd w:val="clear" w:color="auto" w:fill="auto"/>
            <w:vAlign w:val="center"/>
            <w:hideMark/>
          </w:tcPr>
          <w:p w14:paraId="61E6A8C2" w14:textId="77777777" w:rsidR="001437FE" w:rsidRPr="001437FE" w:rsidRDefault="001437FE" w:rsidP="00B57926">
            <w:pPr>
              <w:keepNext/>
              <w:spacing w:after="0" w:line="240" w:lineRule="auto"/>
              <w:ind w:firstLineChars="200" w:firstLine="320"/>
              <w:rPr>
                <w:rFonts w:cs="Arial"/>
                <w:color w:val="000000"/>
                <w:sz w:val="16"/>
                <w:szCs w:val="16"/>
              </w:rPr>
            </w:pPr>
            <w:r w:rsidRPr="001437FE">
              <w:rPr>
                <w:rFonts w:cs="Arial"/>
                <w:color w:val="000000"/>
                <w:sz w:val="16"/>
                <w:szCs w:val="16"/>
              </w:rPr>
              <w:t>Slovensko</w:t>
            </w:r>
          </w:p>
        </w:tc>
        <w:tc>
          <w:tcPr>
            <w:tcW w:w="1086" w:type="dxa"/>
            <w:tcBorders>
              <w:top w:val="nil"/>
              <w:left w:val="nil"/>
              <w:bottom w:val="single" w:sz="8" w:space="0" w:color="D99594"/>
              <w:right w:val="single" w:sz="8" w:space="0" w:color="D99594"/>
            </w:tcBorders>
            <w:shd w:val="clear" w:color="auto" w:fill="auto"/>
            <w:noWrap/>
            <w:vAlign w:val="center"/>
            <w:hideMark/>
          </w:tcPr>
          <w:p w14:paraId="68E51655"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3 161</w:t>
            </w:r>
          </w:p>
        </w:tc>
        <w:tc>
          <w:tcPr>
            <w:tcW w:w="1087" w:type="dxa"/>
            <w:tcBorders>
              <w:top w:val="nil"/>
              <w:left w:val="nil"/>
              <w:bottom w:val="single" w:sz="8" w:space="0" w:color="D99594"/>
              <w:right w:val="single" w:sz="8" w:space="0" w:color="D99594"/>
            </w:tcBorders>
            <w:shd w:val="clear" w:color="auto" w:fill="auto"/>
            <w:noWrap/>
            <w:vAlign w:val="center"/>
            <w:hideMark/>
          </w:tcPr>
          <w:p w14:paraId="37969E62"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22,0</w:t>
            </w:r>
          </w:p>
        </w:tc>
        <w:tc>
          <w:tcPr>
            <w:tcW w:w="1087" w:type="dxa"/>
            <w:tcBorders>
              <w:top w:val="nil"/>
              <w:left w:val="nil"/>
              <w:bottom w:val="single" w:sz="8" w:space="0" w:color="D99594"/>
              <w:right w:val="single" w:sz="8" w:space="0" w:color="D99594"/>
            </w:tcBorders>
            <w:shd w:val="clear" w:color="auto" w:fill="auto"/>
            <w:noWrap/>
            <w:vAlign w:val="center"/>
            <w:hideMark/>
          </w:tcPr>
          <w:p w14:paraId="2846F7D6"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4 505</w:t>
            </w:r>
          </w:p>
        </w:tc>
        <w:tc>
          <w:tcPr>
            <w:tcW w:w="1087" w:type="dxa"/>
            <w:tcBorders>
              <w:top w:val="nil"/>
              <w:left w:val="nil"/>
              <w:bottom w:val="single" w:sz="8" w:space="0" w:color="D99594"/>
              <w:right w:val="single" w:sz="8" w:space="0" w:color="D99594"/>
            </w:tcBorders>
            <w:shd w:val="clear" w:color="auto" w:fill="auto"/>
            <w:noWrap/>
            <w:vAlign w:val="center"/>
            <w:hideMark/>
          </w:tcPr>
          <w:p w14:paraId="459E853D"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22,3</w:t>
            </w:r>
          </w:p>
        </w:tc>
        <w:tc>
          <w:tcPr>
            <w:tcW w:w="1087" w:type="dxa"/>
            <w:tcBorders>
              <w:top w:val="nil"/>
              <w:left w:val="nil"/>
              <w:bottom w:val="single" w:sz="8" w:space="0" w:color="D99594"/>
              <w:right w:val="single" w:sz="8" w:space="0" w:color="D99594"/>
            </w:tcBorders>
            <w:shd w:val="clear" w:color="auto" w:fill="auto"/>
            <w:noWrap/>
            <w:vAlign w:val="center"/>
            <w:hideMark/>
          </w:tcPr>
          <w:p w14:paraId="6D6A4D59"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5 664</w:t>
            </w:r>
          </w:p>
        </w:tc>
        <w:tc>
          <w:tcPr>
            <w:tcW w:w="1087" w:type="dxa"/>
            <w:tcBorders>
              <w:top w:val="nil"/>
              <w:left w:val="nil"/>
              <w:bottom w:val="single" w:sz="8" w:space="0" w:color="D99594"/>
              <w:right w:val="single" w:sz="8" w:space="0" w:color="D99594"/>
            </w:tcBorders>
            <w:shd w:val="clear" w:color="auto" w:fill="auto"/>
            <w:noWrap/>
            <w:vAlign w:val="center"/>
            <w:hideMark/>
          </w:tcPr>
          <w:p w14:paraId="22264785"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18,5</w:t>
            </w:r>
          </w:p>
        </w:tc>
      </w:tr>
      <w:tr w:rsidR="001437FE" w:rsidRPr="001437FE" w14:paraId="2FD10BB4" w14:textId="77777777" w:rsidTr="001D3DF1">
        <w:trPr>
          <w:trHeight w:val="284"/>
        </w:trPr>
        <w:tc>
          <w:tcPr>
            <w:tcW w:w="2268" w:type="dxa"/>
            <w:tcBorders>
              <w:top w:val="nil"/>
              <w:left w:val="single" w:sz="8" w:space="0" w:color="D99594"/>
              <w:bottom w:val="single" w:sz="8" w:space="0" w:color="D99594"/>
              <w:right w:val="single" w:sz="8" w:space="0" w:color="D99594"/>
            </w:tcBorders>
            <w:shd w:val="clear" w:color="000000" w:fill="F2DBDB"/>
            <w:vAlign w:val="center"/>
            <w:hideMark/>
          </w:tcPr>
          <w:p w14:paraId="5B69E223" w14:textId="77777777" w:rsidR="001437FE" w:rsidRPr="001437FE" w:rsidRDefault="001437FE" w:rsidP="00B57926">
            <w:pPr>
              <w:keepNext/>
              <w:spacing w:after="0" w:line="240" w:lineRule="auto"/>
              <w:ind w:firstLineChars="200" w:firstLine="320"/>
              <w:rPr>
                <w:rFonts w:cs="Arial"/>
                <w:color w:val="000000"/>
                <w:sz w:val="16"/>
                <w:szCs w:val="16"/>
              </w:rPr>
            </w:pPr>
            <w:r w:rsidRPr="001437FE">
              <w:rPr>
                <w:rFonts w:cs="Arial"/>
                <w:color w:val="000000"/>
                <w:sz w:val="16"/>
                <w:szCs w:val="16"/>
              </w:rPr>
              <w:t>Rusko</w:t>
            </w:r>
          </w:p>
        </w:tc>
        <w:tc>
          <w:tcPr>
            <w:tcW w:w="1086" w:type="dxa"/>
            <w:tcBorders>
              <w:top w:val="nil"/>
              <w:left w:val="nil"/>
              <w:bottom w:val="single" w:sz="8" w:space="0" w:color="D99594"/>
              <w:right w:val="single" w:sz="8" w:space="0" w:color="D99594"/>
            </w:tcBorders>
            <w:shd w:val="clear" w:color="000000" w:fill="F2DBDB"/>
            <w:noWrap/>
            <w:vAlign w:val="center"/>
            <w:hideMark/>
          </w:tcPr>
          <w:p w14:paraId="08154B95"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1 244</w:t>
            </w:r>
          </w:p>
        </w:tc>
        <w:tc>
          <w:tcPr>
            <w:tcW w:w="1087" w:type="dxa"/>
            <w:tcBorders>
              <w:top w:val="nil"/>
              <w:left w:val="nil"/>
              <w:bottom w:val="single" w:sz="8" w:space="0" w:color="D99594"/>
              <w:right w:val="single" w:sz="8" w:space="0" w:color="D99594"/>
            </w:tcBorders>
            <w:shd w:val="clear" w:color="000000" w:fill="F2DBDB"/>
            <w:noWrap/>
            <w:vAlign w:val="center"/>
            <w:hideMark/>
          </w:tcPr>
          <w:p w14:paraId="34015810"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8,7</w:t>
            </w:r>
          </w:p>
        </w:tc>
        <w:tc>
          <w:tcPr>
            <w:tcW w:w="1087" w:type="dxa"/>
            <w:tcBorders>
              <w:top w:val="nil"/>
              <w:left w:val="nil"/>
              <w:bottom w:val="single" w:sz="8" w:space="0" w:color="D99594"/>
              <w:right w:val="single" w:sz="8" w:space="0" w:color="D99594"/>
            </w:tcBorders>
            <w:shd w:val="clear" w:color="000000" w:fill="F2DBDB"/>
            <w:noWrap/>
            <w:vAlign w:val="center"/>
            <w:hideMark/>
          </w:tcPr>
          <w:p w14:paraId="329C3BD9"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1 484</w:t>
            </w:r>
          </w:p>
        </w:tc>
        <w:tc>
          <w:tcPr>
            <w:tcW w:w="1087" w:type="dxa"/>
            <w:tcBorders>
              <w:top w:val="nil"/>
              <w:left w:val="nil"/>
              <w:bottom w:val="single" w:sz="8" w:space="0" w:color="D99594"/>
              <w:right w:val="single" w:sz="8" w:space="0" w:color="D99594"/>
            </w:tcBorders>
            <w:shd w:val="clear" w:color="000000" w:fill="F2DBDB"/>
            <w:noWrap/>
            <w:vAlign w:val="center"/>
            <w:hideMark/>
          </w:tcPr>
          <w:p w14:paraId="2EB0CC19"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7,3</w:t>
            </w:r>
          </w:p>
        </w:tc>
        <w:tc>
          <w:tcPr>
            <w:tcW w:w="1087" w:type="dxa"/>
            <w:tcBorders>
              <w:top w:val="nil"/>
              <w:left w:val="nil"/>
              <w:bottom w:val="single" w:sz="8" w:space="0" w:color="D99594"/>
              <w:right w:val="single" w:sz="8" w:space="0" w:color="D99594"/>
            </w:tcBorders>
            <w:shd w:val="clear" w:color="000000" w:fill="F2DBDB"/>
            <w:noWrap/>
            <w:vAlign w:val="center"/>
            <w:hideMark/>
          </w:tcPr>
          <w:p w14:paraId="4F92B3DF"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1 775</w:t>
            </w:r>
          </w:p>
        </w:tc>
        <w:tc>
          <w:tcPr>
            <w:tcW w:w="1087" w:type="dxa"/>
            <w:tcBorders>
              <w:top w:val="nil"/>
              <w:left w:val="nil"/>
              <w:bottom w:val="single" w:sz="8" w:space="0" w:color="D99594"/>
              <w:right w:val="single" w:sz="8" w:space="0" w:color="D99594"/>
            </w:tcBorders>
            <w:shd w:val="clear" w:color="000000" w:fill="F2DBDB"/>
            <w:noWrap/>
            <w:vAlign w:val="center"/>
            <w:hideMark/>
          </w:tcPr>
          <w:p w14:paraId="4A0B5537"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5,8</w:t>
            </w:r>
          </w:p>
        </w:tc>
      </w:tr>
      <w:tr w:rsidR="001437FE" w:rsidRPr="001437FE" w14:paraId="12EC96FC" w14:textId="77777777" w:rsidTr="001D3DF1">
        <w:trPr>
          <w:trHeight w:val="284"/>
        </w:trPr>
        <w:tc>
          <w:tcPr>
            <w:tcW w:w="2268" w:type="dxa"/>
            <w:tcBorders>
              <w:top w:val="nil"/>
              <w:left w:val="single" w:sz="8" w:space="0" w:color="D99594"/>
              <w:bottom w:val="single" w:sz="8" w:space="0" w:color="D99594"/>
              <w:right w:val="single" w:sz="8" w:space="0" w:color="D99594"/>
            </w:tcBorders>
            <w:shd w:val="clear" w:color="auto" w:fill="auto"/>
            <w:vAlign w:val="center"/>
            <w:hideMark/>
          </w:tcPr>
          <w:p w14:paraId="01BAC160" w14:textId="77777777" w:rsidR="001437FE" w:rsidRPr="001437FE" w:rsidRDefault="001437FE" w:rsidP="00B57926">
            <w:pPr>
              <w:keepNext/>
              <w:spacing w:after="0" w:line="240" w:lineRule="auto"/>
              <w:ind w:firstLineChars="200" w:firstLine="320"/>
              <w:rPr>
                <w:rFonts w:cs="Arial"/>
                <w:color w:val="000000"/>
                <w:sz w:val="16"/>
                <w:szCs w:val="16"/>
              </w:rPr>
            </w:pPr>
            <w:r w:rsidRPr="001437FE">
              <w:rPr>
                <w:rFonts w:cs="Arial"/>
                <w:color w:val="000000"/>
                <w:sz w:val="16"/>
                <w:szCs w:val="16"/>
              </w:rPr>
              <w:t>Mongolsko</w:t>
            </w:r>
          </w:p>
        </w:tc>
        <w:tc>
          <w:tcPr>
            <w:tcW w:w="1086" w:type="dxa"/>
            <w:tcBorders>
              <w:top w:val="nil"/>
              <w:left w:val="nil"/>
              <w:bottom w:val="single" w:sz="8" w:space="0" w:color="D99594"/>
              <w:right w:val="single" w:sz="8" w:space="0" w:color="D99594"/>
            </w:tcBorders>
            <w:shd w:val="clear" w:color="auto" w:fill="auto"/>
            <w:noWrap/>
            <w:vAlign w:val="center"/>
            <w:hideMark/>
          </w:tcPr>
          <w:p w14:paraId="74993033"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457</w:t>
            </w:r>
          </w:p>
        </w:tc>
        <w:tc>
          <w:tcPr>
            <w:tcW w:w="1087" w:type="dxa"/>
            <w:tcBorders>
              <w:top w:val="nil"/>
              <w:left w:val="nil"/>
              <w:bottom w:val="single" w:sz="8" w:space="0" w:color="D99594"/>
              <w:right w:val="single" w:sz="8" w:space="0" w:color="D99594"/>
            </w:tcBorders>
            <w:shd w:val="clear" w:color="auto" w:fill="auto"/>
            <w:noWrap/>
            <w:vAlign w:val="center"/>
            <w:hideMark/>
          </w:tcPr>
          <w:p w14:paraId="33DB1ACD"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3,2</w:t>
            </w:r>
          </w:p>
        </w:tc>
        <w:tc>
          <w:tcPr>
            <w:tcW w:w="1087" w:type="dxa"/>
            <w:tcBorders>
              <w:top w:val="nil"/>
              <w:left w:val="nil"/>
              <w:bottom w:val="single" w:sz="8" w:space="0" w:color="D99594"/>
              <w:right w:val="single" w:sz="8" w:space="0" w:color="D99594"/>
            </w:tcBorders>
            <w:shd w:val="clear" w:color="auto" w:fill="auto"/>
            <w:noWrap/>
            <w:vAlign w:val="center"/>
            <w:hideMark/>
          </w:tcPr>
          <w:p w14:paraId="77A00834"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340</w:t>
            </w:r>
          </w:p>
        </w:tc>
        <w:tc>
          <w:tcPr>
            <w:tcW w:w="1087" w:type="dxa"/>
            <w:tcBorders>
              <w:top w:val="nil"/>
              <w:left w:val="nil"/>
              <w:bottom w:val="single" w:sz="8" w:space="0" w:color="D99594"/>
              <w:right w:val="single" w:sz="8" w:space="0" w:color="D99594"/>
            </w:tcBorders>
            <w:shd w:val="clear" w:color="auto" w:fill="auto"/>
            <w:noWrap/>
            <w:vAlign w:val="center"/>
            <w:hideMark/>
          </w:tcPr>
          <w:p w14:paraId="5167BC02"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1,7</w:t>
            </w:r>
          </w:p>
        </w:tc>
        <w:tc>
          <w:tcPr>
            <w:tcW w:w="1087" w:type="dxa"/>
            <w:tcBorders>
              <w:top w:val="nil"/>
              <w:left w:val="nil"/>
              <w:bottom w:val="single" w:sz="8" w:space="0" w:color="D99594"/>
              <w:right w:val="single" w:sz="8" w:space="0" w:color="D99594"/>
            </w:tcBorders>
            <w:shd w:val="clear" w:color="auto" w:fill="auto"/>
            <w:noWrap/>
            <w:vAlign w:val="center"/>
            <w:hideMark/>
          </w:tcPr>
          <w:p w14:paraId="13A48227"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1060</w:t>
            </w:r>
          </w:p>
        </w:tc>
        <w:tc>
          <w:tcPr>
            <w:tcW w:w="1087" w:type="dxa"/>
            <w:tcBorders>
              <w:top w:val="nil"/>
              <w:left w:val="nil"/>
              <w:bottom w:val="single" w:sz="8" w:space="0" w:color="D99594"/>
              <w:right w:val="single" w:sz="8" w:space="0" w:color="D99594"/>
            </w:tcBorders>
            <w:shd w:val="clear" w:color="auto" w:fill="auto"/>
            <w:noWrap/>
            <w:vAlign w:val="center"/>
            <w:hideMark/>
          </w:tcPr>
          <w:p w14:paraId="2921DB73"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3,5</w:t>
            </w:r>
          </w:p>
        </w:tc>
      </w:tr>
      <w:tr w:rsidR="001437FE" w:rsidRPr="001437FE" w14:paraId="0AA63C97" w14:textId="77777777" w:rsidTr="001D3DF1">
        <w:trPr>
          <w:trHeight w:val="284"/>
        </w:trPr>
        <w:tc>
          <w:tcPr>
            <w:tcW w:w="2268" w:type="dxa"/>
            <w:tcBorders>
              <w:top w:val="nil"/>
              <w:left w:val="single" w:sz="8" w:space="0" w:color="D99594"/>
              <w:bottom w:val="single" w:sz="8" w:space="0" w:color="D99594"/>
              <w:right w:val="single" w:sz="8" w:space="0" w:color="D99594"/>
            </w:tcBorders>
            <w:shd w:val="clear" w:color="000000" w:fill="F2DBDB"/>
            <w:vAlign w:val="center"/>
            <w:hideMark/>
          </w:tcPr>
          <w:p w14:paraId="1968EA9C" w14:textId="77777777" w:rsidR="001437FE" w:rsidRPr="001437FE" w:rsidRDefault="001437FE" w:rsidP="00B57926">
            <w:pPr>
              <w:keepNext/>
              <w:spacing w:after="0" w:line="240" w:lineRule="auto"/>
              <w:ind w:firstLineChars="200" w:firstLine="320"/>
              <w:rPr>
                <w:rFonts w:cs="Arial"/>
                <w:color w:val="000000"/>
                <w:sz w:val="16"/>
                <w:szCs w:val="16"/>
              </w:rPr>
            </w:pPr>
            <w:r w:rsidRPr="001437FE">
              <w:rPr>
                <w:rFonts w:cs="Arial"/>
                <w:color w:val="000000"/>
                <w:sz w:val="16"/>
                <w:szCs w:val="16"/>
              </w:rPr>
              <w:t>Rumunsko</w:t>
            </w:r>
          </w:p>
        </w:tc>
        <w:tc>
          <w:tcPr>
            <w:tcW w:w="1086" w:type="dxa"/>
            <w:tcBorders>
              <w:top w:val="nil"/>
              <w:left w:val="nil"/>
              <w:bottom w:val="single" w:sz="8" w:space="0" w:color="D99594"/>
              <w:right w:val="single" w:sz="8" w:space="0" w:color="D99594"/>
            </w:tcBorders>
            <w:shd w:val="clear" w:color="000000" w:fill="F2DBDB"/>
            <w:noWrap/>
            <w:vAlign w:val="center"/>
            <w:hideMark/>
          </w:tcPr>
          <w:p w14:paraId="68FD2AD3"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158</w:t>
            </w:r>
          </w:p>
        </w:tc>
        <w:tc>
          <w:tcPr>
            <w:tcW w:w="1087" w:type="dxa"/>
            <w:tcBorders>
              <w:top w:val="nil"/>
              <w:left w:val="nil"/>
              <w:bottom w:val="single" w:sz="8" w:space="0" w:color="D99594"/>
              <w:right w:val="single" w:sz="8" w:space="0" w:color="D99594"/>
            </w:tcBorders>
            <w:shd w:val="clear" w:color="000000" w:fill="F2DBDB"/>
            <w:noWrap/>
            <w:vAlign w:val="center"/>
            <w:hideMark/>
          </w:tcPr>
          <w:p w14:paraId="5360DDC8"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1,1</w:t>
            </w:r>
          </w:p>
        </w:tc>
        <w:tc>
          <w:tcPr>
            <w:tcW w:w="1087" w:type="dxa"/>
            <w:tcBorders>
              <w:top w:val="nil"/>
              <w:left w:val="nil"/>
              <w:bottom w:val="single" w:sz="8" w:space="0" w:color="D99594"/>
              <w:right w:val="single" w:sz="8" w:space="0" w:color="D99594"/>
            </w:tcBorders>
            <w:shd w:val="clear" w:color="000000" w:fill="F2DBDB"/>
            <w:noWrap/>
            <w:vAlign w:val="center"/>
            <w:hideMark/>
          </w:tcPr>
          <w:p w14:paraId="46292888"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348</w:t>
            </w:r>
          </w:p>
        </w:tc>
        <w:tc>
          <w:tcPr>
            <w:tcW w:w="1087" w:type="dxa"/>
            <w:tcBorders>
              <w:top w:val="nil"/>
              <w:left w:val="nil"/>
              <w:bottom w:val="single" w:sz="8" w:space="0" w:color="D99594"/>
              <w:right w:val="single" w:sz="8" w:space="0" w:color="D99594"/>
            </w:tcBorders>
            <w:shd w:val="clear" w:color="000000" w:fill="F2DBDB"/>
            <w:noWrap/>
            <w:vAlign w:val="center"/>
            <w:hideMark/>
          </w:tcPr>
          <w:p w14:paraId="3404D24F"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1,7</w:t>
            </w:r>
          </w:p>
        </w:tc>
        <w:tc>
          <w:tcPr>
            <w:tcW w:w="1087" w:type="dxa"/>
            <w:tcBorders>
              <w:top w:val="nil"/>
              <w:left w:val="nil"/>
              <w:bottom w:val="single" w:sz="8" w:space="0" w:color="D99594"/>
              <w:right w:val="single" w:sz="8" w:space="0" w:color="D99594"/>
            </w:tcBorders>
            <w:shd w:val="clear" w:color="000000" w:fill="F2DBDB"/>
            <w:noWrap/>
            <w:vAlign w:val="center"/>
            <w:hideMark/>
          </w:tcPr>
          <w:p w14:paraId="3804DF91"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737</w:t>
            </w:r>
          </w:p>
        </w:tc>
        <w:tc>
          <w:tcPr>
            <w:tcW w:w="1087" w:type="dxa"/>
            <w:tcBorders>
              <w:top w:val="nil"/>
              <w:left w:val="nil"/>
              <w:bottom w:val="single" w:sz="8" w:space="0" w:color="D99594"/>
              <w:right w:val="single" w:sz="8" w:space="0" w:color="D99594"/>
            </w:tcBorders>
            <w:shd w:val="clear" w:color="000000" w:fill="F2DBDB"/>
            <w:noWrap/>
            <w:vAlign w:val="center"/>
            <w:hideMark/>
          </w:tcPr>
          <w:p w14:paraId="2E01805D"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2,4</w:t>
            </w:r>
          </w:p>
        </w:tc>
      </w:tr>
      <w:tr w:rsidR="001437FE" w:rsidRPr="001437FE" w14:paraId="5839E13A" w14:textId="77777777" w:rsidTr="001D3DF1">
        <w:trPr>
          <w:trHeight w:val="284"/>
        </w:trPr>
        <w:tc>
          <w:tcPr>
            <w:tcW w:w="2268" w:type="dxa"/>
            <w:tcBorders>
              <w:top w:val="nil"/>
              <w:left w:val="single" w:sz="8" w:space="0" w:color="D99594"/>
              <w:bottom w:val="single" w:sz="8" w:space="0" w:color="D99594"/>
              <w:right w:val="single" w:sz="8" w:space="0" w:color="D99594"/>
            </w:tcBorders>
            <w:shd w:val="clear" w:color="auto" w:fill="auto"/>
            <w:vAlign w:val="center"/>
            <w:hideMark/>
          </w:tcPr>
          <w:p w14:paraId="266F274D" w14:textId="77777777" w:rsidR="001437FE" w:rsidRPr="001437FE" w:rsidRDefault="001437FE" w:rsidP="00B57926">
            <w:pPr>
              <w:keepNext/>
              <w:spacing w:after="0" w:line="240" w:lineRule="auto"/>
              <w:ind w:firstLineChars="200" w:firstLine="320"/>
              <w:rPr>
                <w:rFonts w:cs="Arial"/>
                <w:color w:val="000000"/>
                <w:sz w:val="16"/>
                <w:szCs w:val="16"/>
              </w:rPr>
            </w:pPr>
            <w:r w:rsidRPr="001437FE">
              <w:rPr>
                <w:rFonts w:cs="Arial"/>
                <w:color w:val="000000"/>
                <w:sz w:val="16"/>
                <w:szCs w:val="16"/>
              </w:rPr>
              <w:t>Bulharsko</w:t>
            </w:r>
          </w:p>
        </w:tc>
        <w:tc>
          <w:tcPr>
            <w:tcW w:w="1086" w:type="dxa"/>
            <w:tcBorders>
              <w:top w:val="nil"/>
              <w:left w:val="nil"/>
              <w:bottom w:val="single" w:sz="8" w:space="0" w:color="D99594"/>
              <w:right w:val="single" w:sz="8" w:space="0" w:color="D99594"/>
            </w:tcBorders>
            <w:shd w:val="clear" w:color="auto" w:fill="auto"/>
            <w:noWrap/>
            <w:vAlign w:val="center"/>
            <w:hideMark/>
          </w:tcPr>
          <w:p w14:paraId="11438287"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257</w:t>
            </w:r>
          </w:p>
        </w:tc>
        <w:tc>
          <w:tcPr>
            <w:tcW w:w="1087" w:type="dxa"/>
            <w:tcBorders>
              <w:top w:val="nil"/>
              <w:left w:val="nil"/>
              <w:bottom w:val="single" w:sz="8" w:space="0" w:color="D99594"/>
              <w:right w:val="single" w:sz="8" w:space="0" w:color="D99594"/>
            </w:tcBorders>
            <w:shd w:val="clear" w:color="auto" w:fill="auto"/>
            <w:noWrap/>
            <w:vAlign w:val="center"/>
            <w:hideMark/>
          </w:tcPr>
          <w:p w14:paraId="65F32871"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1,8</w:t>
            </w:r>
          </w:p>
        </w:tc>
        <w:tc>
          <w:tcPr>
            <w:tcW w:w="1087" w:type="dxa"/>
            <w:tcBorders>
              <w:top w:val="nil"/>
              <w:left w:val="nil"/>
              <w:bottom w:val="single" w:sz="8" w:space="0" w:color="D99594"/>
              <w:right w:val="single" w:sz="8" w:space="0" w:color="D99594"/>
            </w:tcBorders>
            <w:shd w:val="clear" w:color="auto" w:fill="auto"/>
            <w:noWrap/>
            <w:vAlign w:val="center"/>
            <w:hideMark/>
          </w:tcPr>
          <w:p w14:paraId="3C63681E"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511</w:t>
            </w:r>
          </w:p>
        </w:tc>
        <w:tc>
          <w:tcPr>
            <w:tcW w:w="1087" w:type="dxa"/>
            <w:tcBorders>
              <w:top w:val="nil"/>
              <w:left w:val="nil"/>
              <w:bottom w:val="single" w:sz="8" w:space="0" w:color="D99594"/>
              <w:right w:val="single" w:sz="8" w:space="0" w:color="D99594"/>
            </w:tcBorders>
            <w:shd w:val="clear" w:color="auto" w:fill="auto"/>
            <w:noWrap/>
            <w:vAlign w:val="center"/>
            <w:hideMark/>
          </w:tcPr>
          <w:p w14:paraId="4C9E2469"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2,5</w:t>
            </w:r>
          </w:p>
        </w:tc>
        <w:tc>
          <w:tcPr>
            <w:tcW w:w="1087" w:type="dxa"/>
            <w:tcBorders>
              <w:top w:val="nil"/>
              <w:left w:val="nil"/>
              <w:bottom w:val="single" w:sz="8" w:space="0" w:color="D99594"/>
              <w:right w:val="single" w:sz="8" w:space="0" w:color="D99594"/>
            </w:tcBorders>
            <w:shd w:val="clear" w:color="auto" w:fill="auto"/>
            <w:noWrap/>
            <w:vAlign w:val="center"/>
            <w:hideMark/>
          </w:tcPr>
          <w:p w14:paraId="69E79DFE"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667</w:t>
            </w:r>
          </w:p>
        </w:tc>
        <w:tc>
          <w:tcPr>
            <w:tcW w:w="1087" w:type="dxa"/>
            <w:tcBorders>
              <w:top w:val="nil"/>
              <w:left w:val="nil"/>
              <w:bottom w:val="single" w:sz="8" w:space="0" w:color="D99594"/>
              <w:right w:val="single" w:sz="8" w:space="0" w:color="D99594"/>
            </w:tcBorders>
            <w:shd w:val="clear" w:color="auto" w:fill="auto"/>
            <w:noWrap/>
            <w:vAlign w:val="center"/>
            <w:hideMark/>
          </w:tcPr>
          <w:p w14:paraId="75A50EE8"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2,2</w:t>
            </w:r>
          </w:p>
        </w:tc>
      </w:tr>
      <w:tr w:rsidR="001437FE" w:rsidRPr="001437FE" w14:paraId="7DE38CE5" w14:textId="77777777" w:rsidTr="001D3DF1">
        <w:trPr>
          <w:trHeight w:val="284"/>
        </w:trPr>
        <w:tc>
          <w:tcPr>
            <w:tcW w:w="2268" w:type="dxa"/>
            <w:tcBorders>
              <w:top w:val="nil"/>
              <w:left w:val="single" w:sz="8" w:space="0" w:color="D99594"/>
              <w:bottom w:val="single" w:sz="8" w:space="0" w:color="D99594"/>
              <w:right w:val="single" w:sz="8" w:space="0" w:color="D99594"/>
            </w:tcBorders>
            <w:shd w:val="clear" w:color="000000" w:fill="F2DBDB"/>
            <w:vAlign w:val="center"/>
            <w:hideMark/>
          </w:tcPr>
          <w:p w14:paraId="3F824D28" w14:textId="77777777" w:rsidR="001437FE" w:rsidRPr="001437FE" w:rsidRDefault="001437FE" w:rsidP="00B57926">
            <w:pPr>
              <w:keepNext/>
              <w:spacing w:after="0" w:line="240" w:lineRule="auto"/>
              <w:ind w:firstLineChars="200" w:firstLine="320"/>
              <w:rPr>
                <w:rFonts w:cs="Arial"/>
                <w:color w:val="000000"/>
                <w:sz w:val="16"/>
                <w:szCs w:val="16"/>
              </w:rPr>
            </w:pPr>
            <w:r w:rsidRPr="001437FE">
              <w:rPr>
                <w:rFonts w:cs="Arial"/>
                <w:color w:val="000000"/>
                <w:sz w:val="16"/>
                <w:szCs w:val="16"/>
              </w:rPr>
              <w:t>Moldavsko</w:t>
            </w:r>
          </w:p>
        </w:tc>
        <w:tc>
          <w:tcPr>
            <w:tcW w:w="1086" w:type="dxa"/>
            <w:tcBorders>
              <w:top w:val="nil"/>
              <w:left w:val="nil"/>
              <w:bottom w:val="single" w:sz="8" w:space="0" w:color="D99594"/>
              <w:right w:val="single" w:sz="8" w:space="0" w:color="D99594"/>
            </w:tcBorders>
            <w:shd w:val="clear" w:color="000000" w:fill="F2DBDB"/>
            <w:noWrap/>
            <w:vAlign w:val="center"/>
            <w:hideMark/>
          </w:tcPr>
          <w:p w14:paraId="04D6BE44"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304</w:t>
            </w:r>
          </w:p>
        </w:tc>
        <w:tc>
          <w:tcPr>
            <w:tcW w:w="1087" w:type="dxa"/>
            <w:tcBorders>
              <w:top w:val="nil"/>
              <w:left w:val="nil"/>
              <w:bottom w:val="single" w:sz="8" w:space="0" w:color="D99594"/>
              <w:right w:val="single" w:sz="8" w:space="0" w:color="D99594"/>
            </w:tcBorders>
            <w:shd w:val="clear" w:color="000000" w:fill="F2DBDB"/>
            <w:noWrap/>
            <w:vAlign w:val="center"/>
            <w:hideMark/>
          </w:tcPr>
          <w:p w14:paraId="3D4DFC2A"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2,1</w:t>
            </w:r>
          </w:p>
        </w:tc>
        <w:tc>
          <w:tcPr>
            <w:tcW w:w="1087" w:type="dxa"/>
            <w:tcBorders>
              <w:top w:val="nil"/>
              <w:left w:val="nil"/>
              <w:bottom w:val="single" w:sz="8" w:space="0" w:color="D99594"/>
              <w:right w:val="single" w:sz="8" w:space="0" w:color="D99594"/>
            </w:tcBorders>
            <w:shd w:val="clear" w:color="000000" w:fill="F2DBDB"/>
            <w:noWrap/>
            <w:vAlign w:val="center"/>
            <w:hideMark/>
          </w:tcPr>
          <w:p w14:paraId="73CF9957"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398</w:t>
            </w:r>
          </w:p>
        </w:tc>
        <w:tc>
          <w:tcPr>
            <w:tcW w:w="1087" w:type="dxa"/>
            <w:tcBorders>
              <w:top w:val="nil"/>
              <w:left w:val="nil"/>
              <w:bottom w:val="single" w:sz="8" w:space="0" w:color="D99594"/>
              <w:right w:val="single" w:sz="8" w:space="0" w:color="D99594"/>
            </w:tcBorders>
            <w:shd w:val="clear" w:color="000000" w:fill="F2DBDB"/>
            <w:noWrap/>
            <w:vAlign w:val="center"/>
            <w:hideMark/>
          </w:tcPr>
          <w:p w14:paraId="7E3AA6BF"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2,0</w:t>
            </w:r>
          </w:p>
        </w:tc>
        <w:tc>
          <w:tcPr>
            <w:tcW w:w="1087" w:type="dxa"/>
            <w:tcBorders>
              <w:top w:val="nil"/>
              <w:left w:val="nil"/>
              <w:bottom w:val="single" w:sz="8" w:space="0" w:color="D99594"/>
              <w:right w:val="single" w:sz="8" w:space="0" w:color="D99594"/>
            </w:tcBorders>
            <w:shd w:val="clear" w:color="000000" w:fill="F2DBDB"/>
            <w:noWrap/>
            <w:vAlign w:val="center"/>
            <w:hideMark/>
          </w:tcPr>
          <w:p w14:paraId="2B1BEF3D"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535</w:t>
            </w:r>
          </w:p>
        </w:tc>
        <w:tc>
          <w:tcPr>
            <w:tcW w:w="1087" w:type="dxa"/>
            <w:tcBorders>
              <w:top w:val="nil"/>
              <w:left w:val="nil"/>
              <w:bottom w:val="single" w:sz="8" w:space="0" w:color="D99594"/>
              <w:right w:val="single" w:sz="8" w:space="0" w:color="D99594"/>
            </w:tcBorders>
            <w:shd w:val="clear" w:color="000000" w:fill="F2DBDB"/>
            <w:noWrap/>
            <w:vAlign w:val="center"/>
            <w:hideMark/>
          </w:tcPr>
          <w:p w14:paraId="69B5C8C1"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1,8</w:t>
            </w:r>
          </w:p>
        </w:tc>
      </w:tr>
      <w:tr w:rsidR="001437FE" w:rsidRPr="001437FE" w14:paraId="0DA32569" w14:textId="77777777" w:rsidTr="001D3DF1">
        <w:trPr>
          <w:trHeight w:val="284"/>
        </w:trPr>
        <w:tc>
          <w:tcPr>
            <w:tcW w:w="2268" w:type="dxa"/>
            <w:tcBorders>
              <w:top w:val="nil"/>
              <w:left w:val="single" w:sz="8" w:space="0" w:color="D99594"/>
              <w:bottom w:val="single" w:sz="8" w:space="0" w:color="D99594"/>
              <w:right w:val="single" w:sz="8" w:space="0" w:color="D99594"/>
            </w:tcBorders>
            <w:shd w:val="clear" w:color="auto" w:fill="auto"/>
            <w:vAlign w:val="center"/>
            <w:hideMark/>
          </w:tcPr>
          <w:p w14:paraId="1DA125E7" w14:textId="77777777" w:rsidR="001437FE" w:rsidRPr="001437FE" w:rsidRDefault="001437FE" w:rsidP="00B57926">
            <w:pPr>
              <w:keepNext/>
              <w:spacing w:after="0" w:line="240" w:lineRule="auto"/>
              <w:ind w:firstLineChars="200" w:firstLine="320"/>
              <w:rPr>
                <w:rFonts w:cs="Arial"/>
                <w:color w:val="000000"/>
                <w:sz w:val="16"/>
                <w:szCs w:val="16"/>
              </w:rPr>
            </w:pPr>
            <w:r w:rsidRPr="001437FE">
              <w:rPr>
                <w:rFonts w:cs="Arial"/>
                <w:color w:val="000000"/>
                <w:sz w:val="16"/>
                <w:szCs w:val="16"/>
              </w:rPr>
              <w:t>Polsko</w:t>
            </w:r>
          </w:p>
        </w:tc>
        <w:tc>
          <w:tcPr>
            <w:tcW w:w="1086" w:type="dxa"/>
            <w:tcBorders>
              <w:top w:val="nil"/>
              <w:left w:val="nil"/>
              <w:bottom w:val="single" w:sz="8" w:space="0" w:color="D99594"/>
              <w:right w:val="single" w:sz="8" w:space="0" w:color="D99594"/>
            </w:tcBorders>
            <w:shd w:val="clear" w:color="auto" w:fill="auto"/>
            <w:noWrap/>
            <w:vAlign w:val="center"/>
            <w:hideMark/>
          </w:tcPr>
          <w:p w14:paraId="4A37DA5F"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250</w:t>
            </w:r>
          </w:p>
        </w:tc>
        <w:tc>
          <w:tcPr>
            <w:tcW w:w="1087" w:type="dxa"/>
            <w:tcBorders>
              <w:top w:val="nil"/>
              <w:left w:val="nil"/>
              <w:bottom w:val="single" w:sz="8" w:space="0" w:color="D99594"/>
              <w:right w:val="single" w:sz="8" w:space="0" w:color="D99594"/>
            </w:tcBorders>
            <w:shd w:val="clear" w:color="auto" w:fill="auto"/>
            <w:noWrap/>
            <w:vAlign w:val="center"/>
            <w:hideMark/>
          </w:tcPr>
          <w:p w14:paraId="5BC144FA"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1,7</w:t>
            </w:r>
          </w:p>
        </w:tc>
        <w:tc>
          <w:tcPr>
            <w:tcW w:w="1087" w:type="dxa"/>
            <w:tcBorders>
              <w:top w:val="nil"/>
              <w:left w:val="nil"/>
              <w:bottom w:val="single" w:sz="8" w:space="0" w:color="D99594"/>
              <w:right w:val="single" w:sz="8" w:space="0" w:color="D99594"/>
            </w:tcBorders>
            <w:shd w:val="clear" w:color="auto" w:fill="auto"/>
            <w:noWrap/>
            <w:vAlign w:val="center"/>
            <w:hideMark/>
          </w:tcPr>
          <w:p w14:paraId="20801C30"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372</w:t>
            </w:r>
          </w:p>
        </w:tc>
        <w:tc>
          <w:tcPr>
            <w:tcW w:w="1087" w:type="dxa"/>
            <w:tcBorders>
              <w:top w:val="nil"/>
              <w:left w:val="nil"/>
              <w:bottom w:val="single" w:sz="8" w:space="0" w:color="D99594"/>
              <w:right w:val="single" w:sz="8" w:space="0" w:color="D99594"/>
            </w:tcBorders>
            <w:shd w:val="clear" w:color="auto" w:fill="auto"/>
            <w:noWrap/>
            <w:vAlign w:val="center"/>
            <w:hideMark/>
          </w:tcPr>
          <w:p w14:paraId="6DC63075"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1,8</w:t>
            </w:r>
          </w:p>
        </w:tc>
        <w:tc>
          <w:tcPr>
            <w:tcW w:w="1087" w:type="dxa"/>
            <w:tcBorders>
              <w:top w:val="nil"/>
              <w:left w:val="nil"/>
              <w:bottom w:val="single" w:sz="8" w:space="0" w:color="D99594"/>
              <w:right w:val="single" w:sz="8" w:space="0" w:color="D99594"/>
            </w:tcBorders>
            <w:shd w:val="clear" w:color="auto" w:fill="auto"/>
            <w:noWrap/>
            <w:vAlign w:val="center"/>
            <w:hideMark/>
          </w:tcPr>
          <w:p w14:paraId="673DDC3B"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507</w:t>
            </w:r>
          </w:p>
        </w:tc>
        <w:tc>
          <w:tcPr>
            <w:tcW w:w="1087" w:type="dxa"/>
            <w:tcBorders>
              <w:top w:val="nil"/>
              <w:left w:val="nil"/>
              <w:bottom w:val="single" w:sz="8" w:space="0" w:color="D99594"/>
              <w:right w:val="single" w:sz="8" w:space="0" w:color="D99594"/>
            </w:tcBorders>
            <w:shd w:val="clear" w:color="auto" w:fill="auto"/>
            <w:noWrap/>
            <w:vAlign w:val="center"/>
            <w:hideMark/>
          </w:tcPr>
          <w:p w14:paraId="4B36BAA5"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1,7</w:t>
            </w:r>
          </w:p>
        </w:tc>
      </w:tr>
      <w:tr w:rsidR="001437FE" w:rsidRPr="001437FE" w14:paraId="4F4F9E05" w14:textId="77777777" w:rsidTr="001D3DF1">
        <w:trPr>
          <w:trHeight w:val="284"/>
        </w:trPr>
        <w:tc>
          <w:tcPr>
            <w:tcW w:w="2268" w:type="dxa"/>
            <w:tcBorders>
              <w:top w:val="nil"/>
              <w:left w:val="single" w:sz="8" w:space="0" w:color="D99594"/>
              <w:bottom w:val="single" w:sz="8" w:space="0" w:color="D99594"/>
              <w:right w:val="single" w:sz="8" w:space="0" w:color="D99594"/>
            </w:tcBorders>
            <w:shd w:val="clear" w:color="000000" w:fill="F2DBDB"/>
            <w:vAlign w:val="center"/>
            <w:hideMark/>
          </w:tcPr>
          <w:p w14:paraId="46DEDBFA" w14:textId="77777777" w:rsidR="001437FE" w:rsidRPr="001437FE" w:rsidRDefault="001437FE" w:rsidP="00B57926">
            <w:pPr>
              <w:keepNext/>
              <w:spacing w:after="0" w:line="240" w:lineRule="auto"/>
              <w:ind w:firstLineChars="200" w:firstLine="320"/>
              <w:rPr>
                <w:rFonts w:cs="Arial"/>
                <w:color w:val="000000"/>
                <w:sz w:val="16"/>
                <w:szCs w:val="16"/>
              </w:rPr>
            </w:pPr>
            <w:r w:rsidRPr="001437FE">
              <w:rPr>
                <w:rFonts w:cs="Arial"/>
                <w:color w:val="000000"/>
                <w:sz w:val="16"/>
                <w:szCs w:val="16"/>
              </w:rPr>
              <w:t>Maďarsko</w:t>
            </w:r>
          </w:p>
        </w:tc>
        <w:tc>
          <w:tcPr>
            <w:tcW w:w="1086" w:type="dxa"/>
            <w:tcBorders>
              <w:top w:val="nil"/>
              <w:left w:val="nil"/>
              <w:bottom w:val="single" w:sz="8" w:space="0" w:color="D99594"/>
              <w:right w:val="single" w:sz="8" w:space="0" w:color="D99594"/>
            </w:tcBorders>
            <w:shd w:val="clear" w:color="000000" w:fill="F2DBDB"/>
            <w:noWrap/>
            <w:vAlign w:val="center"/>
            <w:hideMark/>
          </w:tcPr>
          <w:p w14:paraId="6EA9CD73"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21</w:t>
            </w:r>
          </w:p>
        </w:tc>
        <w:tc>
          <w:tcPr>
            <w:tcW w:w="1087" w:type="dxa"/>
            <w:tcBorders>
              <w:top w:val="nil"/>
              <w:left w:val="nil"/>
              <w:bottom w:val="single" w:sz="8" w:space="0" w:color="D99594"/>
              <w:right w:val="single" w:sz="8" w:space="0" w:color="D99594"/>
            </w:tcBorders>
            <w:shd w:val="clear" w:color="000000" w:fill="F2DBDB"/>
            <w:noWrap/>
            <w:vAlign w:val="center"/>
            <w:hideMark/>
          </w:tcPr>
          <w:p w14:paraId="033BA77F"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0,1</w:t>
            </w:r>
          </w:p>
        </w:tc>
        <w:tc>
          <w:tcPr>
            <w:tcW w:w="1087" w:type="dxa"/>
            <w:tcBorders>
              <w:top w:val="nil"/>
              <w:left w:val="nil"/>
              <w:bottom w:val="single" w:sz="8" w:space="0" w:color="D99594"/>
              <w:right w:val="single" w:sz="8" w:space="0" w:color="D99594"/>
            </w:tcBorders>
            <w:shd w:val="clear" w:color="000000" w:fill="F2DBDB"/>
            <w:noWrap/>
            <w:vAlign w:val="center"/>
            <w:hideMark/>
          </w:tcPr>
          <w:p w14:paraId="22956A36"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146</w:t>
            </w:r>
          </w:p>
        </w:tc>
        <w:tc>
          <w:tcPr>
            <w:tcW w:w="1087" w:type="dxa"/>
            <w:tcBorders>
              <w:top w:val="nil"/>
              <w:left w:val="nil"/>
              <w:bottom w:val="single" w:sz="8" w:space="0" w:color="D99594"/>
              <w:right w:val="single" w:sz="8" w:space="0" w:color="D99594"/>
            </w:tcBorders>
            <w:shd w:val="clear" w:color="000000" w:fill="F2DBDB"/>
            <w:noWrap/>
            <w:vAlign w:val="center"/>
            <w:hideMark/>
          </w:tcPr>
          <w:p w14:paraId="59186080"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0,7</w:t>
            </w:r>
          </w:p>
        </w:tc>
        <w:tc>
          <w:tcPr>
            <w:tcW w:w="1087" w:type="dxa"/>
            <w:tcBorders>
              <w:top w:val="nil"/>
              <w:left w:val="nil"/>
              <w:bottom w:val="single" w:sz="8" w:space="0" w:color="D99594"/>
              <w:right w:val="single" w:sz="8" w:space="0" w:color="D99594"/>
            </w:tcBorders>
            <w:shd w:val="clear" w:color="000000" w:fill="F2DBDB"/>
            <w:noWrap/>
            <w:vAlign w:val="center"/>
            <w:hideMark/>
          </w:tcPr>
          <w:p w14:paraId="173AF8E7"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422</w:t>
            </w:r>
          </w:p>
        </w:tc>
        <w:tc>
          <w:tcPr>
            <w:tcW w:w="1087" w:type="dxa"/>
            <w:tcBorders>
              <w:top w:val="nil"/>
              <w:left w:val="nil"/>
              <w:bottom w:val="single" w:sz="8" w:space="0" w:color="D99594"/>
              <w:right w:val="single" w:sz="8" w:space="0" w:color="D99594"/>
            </w:tcBorders>
            <w:shd w:val="clear" w:color="000000" w:fill="F2DBDB"/>
            <w:noWrap/>
            <w:vAlign w:val="center"/>
            <w:hideMark/>
          </w:tcPr>
          <w:p w14:paraId="4C6B66B2" w14:textId="77777777" w:rsidR="001437FE" w:rsidRPr="001437FE" w:rsidRDefault="001437FE" w:rsidP="00B57926">
            <w:pPr>
              <w:keepNext/>
              <w:spacing w:after="0" w:line="240" w:lineRule="auto"/>
              <w:jc w:val="right"/>
              <w:rPr>
                <w:rFonts w:cs="Arial"/>
                <w:color w:val="000000"/>
                <w:sz w:val="16"/>
                <w:szCs w:val="16"/>
              </w:rPr>
            </w:pPr>
            <w:r w:rsidRPr="001437FE">
              <w:rPr>
                <w:rFonts w:cs="Arial"/>
                <w:color w:val="000000"/>
                <w:sz w:val="16"/>
                <w:szCs w:val="16"/>
              </w:rPr>
              <w:t>1,4</w:t>
            </w:r>
          </w:p>
        </w:tc>
      </w:tr>
      <w:tr w:rsidR="001437FE" w:rsidRPr="001437FE" w14:paraId="4A5301E1" w14:textId="77777777" w:rsidTr="001D3DF1">
        <w:trPr>
          <w:trHeight w:val="284"/>
        </w:trPr>
        <w:tc>
          <w:tcPr>
            <w:tcW w:w="2268" w:type="dxa"/>
            <w:tcBorders>
              <w:top w:val="nil"/>
              <w:left w:val="single" w:sz="8" w:space="0" w:color="D99594"/>
              <w:bottom w:val="single" w:sz="8" w:space="0" w:color="D99594"/>
              <w:right w:val="single" w:sz="8" w:space="0" w:color="D99594"/>
            </w:tcBorders>
            <w:shd w:val="clear" w:color="auto" w:fill="auto"/>
            <w:vAlign w:val="center"/>
            <w:hideMark/>
          </w:tcPr>
          <w:p w14:paraId="3C6DFA1C" w14:textId="77777777" w:rsidR="001437FE" w:rsidRPr="001437FE" w:rsidRDefault="001437FE" w:rsidP="00B57926">
            <w:pPr>
              <w:keepNext/>
              <w:spacing w:after="0" w:line="240" w:lineRule="auto"/>
              <w:ind w:firstLineChars="200" w:firstLine="320"/>
              <w:rPr>
                <w:rFonts w:cs="Arial"/>
                <w:i/>
                <w:iCs/>
                <w:color w:val="000000"/>
                <w:sz w:val="16"/>
                <w:szCs w:val="16"/>
              </w:rPr>
            </w:pPr>
            <w:r w:rsidRPr="001437FE">
              <w:rPr>
                <w:rFonts w:cs="Arial"/>
                <w:i/>
                <w:iCs/>
                <w:color w:val="000000"/>
                <w:sz w:val="16"/>
                <w:szCs w:val="16"/>
              </w:rPr>
              <w:t>Čína</w:t>
            </w:r>
          </w:p>
        </w:tc>
        <w:tc>
          <w:tcPr>
            <w:tcW w:w="1086" w:type="dxa"/>
            <w:tcBorders>
              <w:top w:val="nil"/>
              <w:left w:val="nil"/>
              <w:bottom w:val="single" w:sz="8" w:space="0" w:color="D99594"/>
              <w:right w:val="single" w:sz="8" w:space="0" w:color="D99594"/>
            </w:tcBorders>
            <w:shd w:val="clear" w:color="auto" w:fill="auto"/>
            <w:noWrap/>
            <w:vAlign w:val="center"/>
            <w:hideMark/>
          </w:tcPr>
          <w:p w14:paraId="6220EB45" w14:textId="77777777" w:rsidR="001437FE" w:rsidRPr="001437FE" w:rsidRDefault="001437FE" w:rsidP="00B57926">
            <w:pPr>
              <w:keepNext/>
              <w:spacing w:after="0" w:line="240" w:lineRule="auto"/>
              <w:jc w:val="right"/>
              <w:rPr>
                <w:rFonts w:cs="Arial"/>
                <w:i/>
                <w:iCs/>
                <w:color w:val="000000"/>
                <w:sz w:val="16"/>
                <w:szCs w:val="16"/>
              </w:rPr>
            </w:pPr>
            <w:r w:rsidRPr="001437FE">
              <w:rPr>
                <w:rFonts w:cs="Arial"/>
                <w:i/>
                <w:iCs/>
                <w:color w:val="000000"/>
                <w:sz w:val="16"/>
                <w:szCs w:val="16"/>
              </w:rPr>
              <w:t>281</w:t>
            </w:r>
          </w:p>
        </w:tc>
        <w:tc>
          <w:tcPr>
            <w:tcW w:w="1087" w:type="dxa"/>
            <w:tcBorders>
              <w:top w:val="nil"/>
              <w:left w:val="nil"/>
              <w:bottom w:val="single" w:sz="8" w:space="0" w:color="D99594"/>
              <w:right w:val="single" w:sz="8" w:space="0" w:color="D99594"/>
            </w:tcBorders>
            <w:shd w:val="clear" w:color="auto" w:fill="auto"/>
            <w:noWrap/>
            <w:vAlign w:val="center"/>
            <w:hideMark/>
          </w:tcPr>
          <w:p w14:paraId="23EEB3DF" w14:textId="77777777" w:rsidR="001437FE" w:rsidRPr="001437FE" w:rsidRDefault="001437FE" w:rsidP="00B57926">
            <w:pPr>
              <w:keepNext/>
              <w:spacing w:after="0" w:line="240" w:lineRule="auto"/>
              <w:jc w:val="right"/>
              <w:rPr>
                <w:rFonts w:cs="Arial"/>
                <w:i/>
                <w:iCs/>
                <w:color w:val="000000"/>
                <w:sz w:val="16"/>
                <w:szCs w:val="16"/>
              </w:rPr>
            </w:pPr>
            <w:r w:rsidRPr="001437FE">
              <w:rPr>
                <w:rFonts w:cs="Arial"/>
                <w:i/>
                <w:iCs/>
                <w:color w:val="000000"/>
                <w:sz w:val="16"/>
                <w:szCs w:val="16"/>
              </w:rPr>
              <w:t>2,0</w:t>
            </w:r>
          </w:p>
        </w:tc>
        <w:tc>
          <w:tcPr>
            <w:tcW w:w="1087" w:type="dxa"/>
            <w:tcBorders>
              <w:top w:val="nil"/>
              <w:left w:val="nil"/>
              <w:bottom w:val="single" w:sz="8" w:space="0" w:color="D99594"/>
              <w:right w:val="single" w:sz="8" w:space="0" w:color="D99594"/>
            </w:tcBorders>
            <w:shd w:val="clear" w:color="auto" w:fill="auto"/>
            <w:noWrap/>
            <w:vAlign w:val="center"/>
            <w:hideMark/>
          </w:tcPr>
          <w:p w14:paraId="17774AE1" w14:textId="77777777" w:rsidR="001437FE" w:rsidRPr="001437FE" w:rsidRDefault="001437FE" w:rsidP="00B57926">
            <w:pPr>
              <w:keepNext/>
              <w:spacing w:after="0" w:line="240" w:lineRule="auto"/>
              <w:jc w:val="right"/>
              <w:rPr>
                <w:rFonts w:cs="Arial"/>
                <w:i/>
                <w:iCs/>
                <w:color w:val="000000"/>
                <w:sz w:val="16"/>
                <w:szCs w:val="16"/>
              </w:rPr>
            </w:pPr>
            <w:r w:rsidRPr="001437FE">
              <w:rPr>
                <w:rFonts w:cs="Arial"/>
                <w:i/>
                <w:iCs/>
                <w:color w:val="000000"/>
                <w:sz w:val="16"/>
                <w:szCs w:val="16"/>
              </w:rPr>
              <w:t>351</w:t>
            </w:r>
          </w:p>
        </w:tc>
        <w:tc>
          <w:tcPr>
            <w:tcW w:w="1087" w:type="dxa"/>
            <w:tcBorders>
              <w:top w:val="nil"/>
              <w:left w:val="nil"/>
              <w:bottom w:val="single" w:sz="8" w:space="0" w:color="D99594"/>
              <w:right w:val="single" w:sz="8" w:space="0" w:color="D99594"/>
            </w:tcBorders>
            <w:shd w:val="clear" w:color="auto" w:fill="auto"/>
            <w:noWrap/>
            <w:vAlign w:val="center"/>
            <w:hideMark/>
          </w:tcPr>
          <w:p w14:paraId="56805D8C" w14:textId="77777777" w:rsidR="001437FE" w:rsidRPr="001437FE" w:rsidRDefault="001437FE" w:rsidP="00B57926">
            <w:pPr>
              <w:keepNext/>
              <w:spacing w:after="0" w:line="240" w:lineRule="auto"/>
              <w:jc w:val="right"/>
              <w:rPr>
                <w:rFonts w:cs="Arial"/>
                <w:i/>
                <w:iCs/>
                <w:color w:val="000000"/>
                <w:sz w:val="16"/>
                <w:szCs w:val="16"/>
              </w:rPr>
            </w:pPr>
            <w:r w:rsidRPr="001437FE">
              <w:rPr>
                <w:rFonts w:cs="Arial"/>
                <w:i/>
                <w:iCs/>
                <w:color w:val="000000"/>
                <w:sz w:val="16"/>
                <w:szCs w:val="16"/>
              </w:rPr>
              <w:t>1,7</w:t>
            </w:r>
          </w:p>
        </w:tc>
        <w:tc>
          <w:tcPr>
            <w:tcW w:w="1087" w:type="dxa"/>
            <w:tcBorders>
              <w:top w:val="nil"/>
              <w:left w:val="nil"/>
              <w:bottom w:val="single" w:sz="8" w:space="0" w:color="D99594"/>
              <w:right w:val="single" w:sz="8" w:space="0" w:color="D99594"/>
            </w:tcBorders>
            <w:shd w:val="clear" w:color="auto" w:fill="auto"/>
            <w:noWrap/>
            <w:vAlign w:val="center"/>
            <w:hideMark/>
          </w:tcPr>
          <w:p w14:paraId="1591AC76" w14:textId="77777777" w:rsidR="001437FE" w:rsidRPr="001437FE" w:rsidRDefault="001437FE" w:rsidP="00B57926">
            <w:pPr>
              <w:keepNext/>
              <w:spacing w:after="0" w:line="240" w:lineRule="auto"/>
              <w:jc w:val="right"/>
              <w:rPr>
                <w:rFonts w:cs="Arial"/>
                <w:i/>
                <w:iCs/>
                <w:color w:val="000000"/>
                <w:sz w:val="16"/>
                <w:szCs w:val="16"/>
              </w:rPr>
            </w:pPr>
            <w:r w:rsidRPr="001437FE">
              <w:rPr>
                <w:rFonts w:cs="Arial"/>
                <w:i/>
                <w:iCs/>
                <w:color w:val="000000"/>
                <w:sz w:val="16"/>
                <w:szCs w:val="16"/>
              </w:rPr>
              <w:t>413</w:t>
            </w:r>
          </w:p>
        </w:tc>
        <w:tc>
          <w:tcPr>
            <w:tcW w:w="1087" w:type="dxa"/>
            <w:tcBorders>
              <w:top w:val="nil"/>
              <w:left w:val="nil"/>
              <w:bottom w:val="single" w:sz="8" w:space="0" w:color="D99594"/>
              <w:right w:val="single" w:sz="8" w:space="0" w:color="D99594"/>
            </w:tcBorders>
            <w:shd w:val="clear" w:color="auto" w:fill="auto"/>
            <w:noWrap/>
            <w:vAlign w:val="center"/>
            <w:hideMark/>
          </w:tcPr>
          <w:p w14:paraId="1091F43A" w14:textId="77777777" w:rsidR="001437FE" w:rsidRPr="001437FE" w:rsidRDefault="001437FE" w:rsidP="00B57926">
            <w:pPr>
              <w:keepNext/>
              <w:spacing w:after="0" w:line="240" w:lineRule="auto"/>
              <w:jc w:val="right"/>
              <w:rPr>
                <w:rFonts w:cs="Arial"/>
                <w:i/>
                <w:iCs/>
                <w:color w:val="000000"/>
                <w:sz w:val="16"/>
                <w:szCs w:val="16"/>
              </w:rPr>
            </w:pPr>
            <w:r w:rsidRPr="001437FE">
              <w:rPr>
                <w:rFonts w:cs="Arial"/>
                <w:i/>
                <w:iCs/>
                <w:color w:val="000000"/>
                <w:sz w:val="16"/>
                <w:szCs w:val="16"/>
              </w:rPr>
              <w:t>1,4</w:t>
            </w:r>
          </w:p>
        </w:tc>
      </w:tr>
      <w:tr w:rsidR="001437FE" w:rsidRPr="001437FE" w14:paraId="2FD96077" w14:textId="77777777" w:rsidTr="001D3DF1">
        <w:trPr>
          <w:trHeight w:val="284"/>
        </w:trPr>
        <w:tc>
          <w:tcPr>
            <w:tcW w:w="2268" w:type="dxa"/>
            <w:tcBorders>
              <w:top w:val="nil"/>
              <w:left w:val="single" w:sz="8" w:space="0" w:color="D99594"/>
              <w:bottom w:val="single" w:sz="8" w:space="0" w:color="D99594"/>
              <w:right w:val="single" w:sz="8" w:space="0" w:color="D99594"/>
            </w:tcBorders>
            <w:shd w:val="clear" w:color="000000" w:fill="F2DBDB"/>
            <w:vAlign w:val="center"/>
            <w:hideMark/>
          </w:tcPr>
          <w:p w14:paraId="6D7BE00A" w14:textId="77777777" w:rsidR="001437FE" w:rsidRPr="001437FE" w:rsidRDefault="001437FE" w:rsidP="00B57926">
            <w:pPr>
              <w:keepNext/>
              <w:spacing w:after="0" w:line="240" w:lineRule="auto"/>
              <w:ind w:firstLineChars="200" w:firstLine="320"/>
              <w:rPr>
                <w:rFonts w:cs="Arial"/>
                <w:i/>
                <w:iCs/>
                <w:color w:val="000000"/>
                <w:sz w:val="16"/>
                <w:szCs w:val="16"/>
              </w:rPr>
            </w:pPr>
            <w:r w:rsidRPr="001437FE">
              <w:rPr>
                <w:rFonts w:cs="Arial"/>
                <w:i/>
                <w:iCs/>
                <w:color w:val="000000"/>
                <w:sz w:val="16"/>
                <w:szCs w:val="16"/>
              </w:rPr>
              <w:t>ostatní země</w:t>
            </w:r>
          </w:p>
        </w:tc>
        <w:tc>
          <w:tcPr>
            <w:tcW w:w="1086" w:type="dxa"/>
            <w:tcBorders>
              <w:top w:val="nil"/>
              <w:left w:val="nil"/>
              <w:bottom w:val="single" w:sz="8" w:space="0" w:color="D99594"/>
              <w:right w:val="single" w:sz="8" w:space="0" w:color="D99594"/>
            </w:tcBorders>
            <w:shd w:val="clear" w:color="000000" w:fill="F2DBDB"/>
            <w:noWrap/>
            <w:vAlign w:val="center"/>
            <w:hideMark/>
          </w:tcPr>
          <w:p w14:paraId="444ECE87" w14:textId="03A6F03B" w:rsidR="001437FE" w:rsidRPr="001437FE" w:rsidRDefault="001437FE" w:rsidP="00B57926">
            <w:pPr>
              <w:keepNext/>
              <w:spacing w:after="0" w:line="240" w:lineRule="auto"/>
              <w:jc w:val="right"/>
              <w:rPr>
                <w:rFonts w:cs="Arial"/>
                <w:i/>
                <w:iCs/>
                <w:color w:val="000000"/>
                <w:sz w:val="16"/>
                <w:szCs w:val="16"/>
              </w:rPr>
            </w:pPr>
            <w:r w:rsidRPr="001437FE">
              <w:rPr>
                <w:rFonts w:cs="Arial"/>
                <w:i/>
                <w:iCs/>
                <w:color w:val="000000"/>
                <w:sz w:val="16"/>
                <w:szCs w:val="16"/>
              </w:rPr>
              <w:t>1</w:t>
            </w:r>
            <w:r w:rsidR="004312B1">
              <w:rPr>
                <w:rFonts w:cs="Arial"/>
                <w:i/>
                <w:iCs/>
                <w:color w:val="000000"/>
                <w:sz w:val="16"/>
                <w:szCs w:val="16"/>
              </w:rPr>
              <w:t> </w:t>
            </w:r>
            <w:r w:rsidRPr="001437FE">
              <w:rPr>
                <w:rFonts w:cs="Arial"/>
                <w:i/>
                <w:iCs/>
                <w:color w:val="000000"/>
                <w:sz w:val="16"/>
                <w:szCs w:val="16"/>
              </w:rPr>
              <w:t>967</w:t>
            </w:r>
          </w:p>
        </w:tc>
        <w:tc>
          <w:tcPr>
            <w:tcW w:w="1087" w:type="dxa"/>
            <w:tcBorders>
              <w:top w:val="nil"/>
              <w:left w:val="nil"/>
              <w:bottom w:val="single" w:sz="8" w:space="0" w:color="D99594"/>
              <w:right w:val="single" w:sz="8" w:space="0" w:color="D99594"/>
            </w:tcBorders>
            <w:shd w:val="clear" w:color="000000" w:fill="F2DBDB"/>
            <w:noWrap/>
            <w:vAlign w:val="center"/>
            <w:hideMark/>
          </w:tcPr>
          <w:p w14:paraId="1E55E44A" w14:textId="77777777" w:rsidR="001437FE" w:rsidRPr="001437FE" w:rsidRDefault="001437FE" w:rsidP="00B57926">
            <w:pPr>
              <w:keepNext/>
              <w:spacing w:after="0" w:line="240" w:lineRule="auto"/>
              <w:jc w:val="right"/>
              <w:rPr>
                <w:rFonts w:cs="Arial"/>
                <w:i/>
                <w:iCs/>
                <w:color w:val="000000"/>
                <w:sz w:val="16"/>
                <w:szCs w:val="16"/>
              </w:rPr>
            </w:pPr>
            <w:r w:rsidRPr="001437FE">
              <w:rPr>
                <w:rFonts w:cs="Arial"/>
                <w:i/>
                <w:iCs/>
                <w:color w:val="000000"/>
                <w:sz w:val="16"/>
                <w:szCs w:val="16"/>
              </w:rPr>
              <w:t>13,7</w:t>
            </w:r>
          </w:p>
        </w:tc>
        <w:tc>
          <w:tcPr>
            <w:tcW w:w="1087" w:type="dxa"/>
            <w:tcBorders>
              <w:top w:val="nil"/>
              <w:left w:val="nil"/>
              <w:bottom w:val="single" w:sz="8" w:space="0" w:color="D99594"/>
              <w:right w:val="single" w:sz="8" w:space="0" w:color="D99594"/>
            </w:tcBorders>
            <w:shd w:val="clear" w:color="000000" w:fill="F2DBDB"/>
            <w:noWrap/>
            <w:vAlign w:val="center"/>
            <w:hideMark/>
          </w:tcPr>
          <w:p w14:paraId="6023BD27" w14:textId="7A466ED1" w:rsidR="001437FE" w:rsidRPr="001437FE" w:rsidRDefault="001437FE" w:rsidP="00B57926">
            <w:pPr>
              <w:keepNext/>
              <w:spacing w:after="0" w:line="240" w:lineRule="auto"/>
              <w:jc w:val="right"/>
              <w:rPr>
                <w:rFonts w:cs="Arial"/>
                <w:i/>
                <w:iCs/>
                <w:color w:val="000000"/>
                <w:sz w:val="16"/>
                <w:szCs w:val="16"/>
              </w:rPr>
            </w:pPr>
            <w:r w:rsidRPr="001437FE">
              <w:rPr>
                <w:rFonts w:cs="Arial"/>
                <w:i/>
                <w:iCs/>
                <w:color w:val="000000"/>
                <w:sz w:val="16"/>
                <w:szCs w:val="16"/>
              </w:rPr>
              <w:t>2</w:t>
            </w:r>
            <w:r w:rsidR="004312B1">
              <w:rPr>
                <w:rFonts w:cs="Arial"/>
                <w:i/>
                <w:iCs/>
                <w:color w:val="000000"/>
                <w:sz w:val="16"/>
                <w:szCs w:val="16"/>
              </w:rPr>
              <w:t> </w:t>
            </w:r>
            <w:r w:rsidRPr="001437FE">
              <w:rPr>
                <w:rFonts w:cs="Arial"/>
                <w:i/>
                <w:iCs/>
                <w:color w:val="000000"/>
                <w:sz w:val="16"/>
                <w:szCs w:val="16"/>
              </w:rPr>
              <w:t>447</w:t>
            </w:r>
          </w:p>
        </w:tc>
        <w:tc>
          <w:tcPr>
            <w:tcW w:w="1087" w:type="dxa"/>
            <w:tcBorders>
              <w:top w:val="nil"/>
              <w:left w:val="nil"/>
              <w:bottom w:val="single" w:sz="8" w:space="0" w:color="D99594"/>
              <w:right w:val="single" w:sz="8" w:space="0" w:color="D99594"/>
            </w:tcBorders>
            <w:shd w:val="clear" w:color="000000" w:fill="F2DBDB"/>
            <w:noWrap/>
            <w:vAlign w:val="center"/>
            <w:hideMark/>
          </w:tcPr>
          <w:p w14:paraId="561C6BF1" w14:textId="77777777" w:rsidR="001437FE" w:rsidRPr="001437FE" w:rsidRDefault="001437FE" w:rsidP="00B57926">
            <w:pPr>
              <w:keepNext/>
              <w:spacing w:after="0" w:line="240" w:lineRule="auto"/>
              <w:jc w:val="right"/>
              <w:rPr>
                <w:rFonts w:cs="Arial"/>
                <w:i/>
                <w:iCs/>
                <w:color w:val="000000"/>
                <w:sz w:val="16"/>
                <w:szCs w:val="16"/>
              </w:rPr>
            </w:pPr>
            <w:r w:rsidRPr="001437FE">
              <w:rPr>
                <w:rFonts w:cs="Arial"/>
                <w:i/>
                <w:iCs/>
                <w:color w:val="000000"/>
                <w:sz w:val="16"/>
                <w:szCs w:val="16"/>
              </w:rPr>
              <w:t>12,1</w:t>
            </w:r>
          </w:p>
        </w:tc>
        <w:tc>
          <w:tcPr>
            <w:tcW w:w="1087" w:type="dxa"/>
            <w:tcBorders>
              <w:top w:val="nil"/>
              <w:left w:val="nil"/>
              <w:bottom w:val="single" w:sz="8" w:space="0" w:color="D99594"/>
              <w:right w:val="single" w:sz="8" w:space="0" w:color="D99594"/>
            </w:tcBorders>
            <w:shd w:val="clear" w:color="000000" w:fill="F2DBDB"/>
            <w:noWrap/>
            <w:vAlign w:val="center"/>
            <w:hideMark/>
          </w:tcPr>
          <w:p w14:paraId="1B65D02C" w14:textId="08C4CF3F" w:rsidR="001437FE" w:rsidRPr="001437FE" w:rsidRDefault="001437FE" w:rsidP="00B57926">
            <w:pPr>
              <w:keepNext/>
              <w:spacing w:after="0" w:line="240" w:lineRule="auto"/>
              <w:jc w:val="right"/>
              <w:rPr>
                <w:rFonts w:cs="Arial"/>
                <w:i/>
                <w:iCs/>
                <w:color w:val="000000"/>
                <w:sz w:val="16"/>
                <w:szCs w:val="16"/>
              </w:rPr>
            </w:pPr>
            <w:r w:rsidRPr="001437FE">
              <w:rPr>
                <w:rFonts w:cs="Arial"/>
                <w:i/>
                <w:iCs/>
                <w:color w:val="000000"/>
                <w:sz w:val="16"/>
                <w:szCs w:val="16"/>
              </w:rPr>
              <w:t>3</w:t>
            </w:r>
            <w:r w:rsidR="004312B1">
              <w:rPr>
                <w:rFonts w:cs="Arial"/>
                <w:i/>
                <w:iCs/>
                <w:color w:val="000000"/>
                <w:sz w:val="16"/>
                <w:szCs w:val="16"/>
              </w:rPr>
              <w:t> </w:t>
            </w:r>
            <w:r w:rsidRPr="001437FE">
              <w:rPr>
                <w:rFonts w:cs="Arial"/>
                <w:i/>
                <w:iCs/>
                <w:color w:val="000000"/>
                <w:sz w:val="16"/>
                <w:szCs w:val="16"/>
              </w:rPr>
              <w:t>269</w:t>
            </w:r>
          </w:p>
        </w:tc>
        <w:tc>
          <w:tcPr>
            <w:tcW w:w="1087" w:type="dxa"/>
            <w:tcBorders>
              <w:top w:val="nil"/>
              <w:left w:val="nil"/>
              <w:bottom w:val="single" w:sz="8" w:space="0" w:color="D99594"/>
              <w:right w:val="single" w:sz="8" w:space="0" w:color="D99594"/>
            </w:tcBorders>
            <w:shd w:val="clear" w:color="000000" w:fill="F2DBDB"/>
            <w:noWrap/>
            <w:vAlign w:val="center"/>
            <w:hideMark/>
          </w:tcPr>
          <w:p w14:paraId="2BEFF6BC" w14:textId="77777777" w:rsidR="001437FE" w:rsidRPr="001437FE" w:rsidRDefault="001437FE" w:rsidP="00B57926">
            <w:pPr>
              <w:keepNext/>
              <w:spacing w:after="0" w:line="240" w:lineRule="auto"/>
              <w:jc w:val="right"/>
              <w:rPr>
                <w:rFonts w:cs="Arial"/>
                <w:i/>
                <w:iCs/>
                <w:color w:val="000000"/>
                <w:sz w:val="16"/>
                <w:szCs w:val="16"/>
              </w:rPr>
            </w:pPr>
            <w:r w:rsidRPr="001437FE">
              <w:rPr>
                <w:rFonts w:cs="Arial"/>
                <w:i/>
                <w:iCs/>
                <w:color w:val="000000"/>
                <w:sz w:val="16"/>
                <w:szCs w:val="16"/>
              </w:rPr>
              <w:t>10,7</w:t>
            </w:r>
          </w:p>
        </w:tc>
      </w:tr>
    </w:tbl>
    <w:p w14:paraId="5CD8C2B5" w14:textId="6D22EF76" w:rsidR="00FF6B7E" w:rsidRDefault="00CF27F9" w:rsidP="00CF27F9">
      <w:pPr>
        <w:spacing w:before="120" w:after="120"/>
        <w:jc w:val="both"/>
        <w:rPr>
          <w:rFonts w:cs="Arial"/>
          <w:sz w:val="18"/>
        </w:rPr>
      </w:pPr>
      <w:r>
        <w:rPr>
          <w:rFonts w:cs="Arial"/>
          <w:sz w:val="18"/>
        </w:rPr>
        <w:t xml:space="preserve">                                                                                                                                                </w:t>
      </w:r>
      <w:r w:rsidR="00FF6B7E" w:rsidRPr="00F94849">
        <w:rPr>
          <w:rFonts w:cs="Arial"/>
          <w:sz w:val="18"/>
        </w:rPr>
        <w:t>Zdroj: ČSÚ</w:t>
      </w:r>
      <w:r w:rsidR="00FF6B7E" w:rsidRPr="00F94849">
        <w:rPr>
          <w:rFonts w:cs="Arial"/>
          <w:noProof/>
        </w:rPr>
        <w:t xml:space="preserve"> </w:t>
      </w:r>
      <w:r w:rsidR="00FF6B7E" w:rsidRPr="00307699">
        <w:rPr>
          <w:rFonts w:cs="Arial"/>
          <w:sz w:val="18"/>
        </w:rPr>
        <w:t>podle údajů MŠMT</w:t>
      </w:r>
    </w:p>
    <w:p w14:paraId="12540D1A" w14:textId="39069747" w:rsidR="008B7B1C" w:rsidRPr="00C84496" w:rsidRDefault="008B7B1C" w:rsidP="008B7B1C">
      <w:pPr>
        <w:spacing w:after="120"/>
        <w:jc w:val="both"/>
        <w:rPr>
          <w:rFonts w:cs="Arial"/>
          <w:szCs w:val="20"/>
        </w:rPr>
      </w:pPr>
      <w:r w:rsidRPr="008B7B1C">
        <w:rPr>
          <w:rFonts w:cs="Arial"/>
          <w:szCs w:val="20"/>
        </w:rPr>
        <w:t>Jiný po</w:t>
      </w:r>
      <w:r>
        <w:rPr>
          <w:rFonts w:cs="Arial"/>
          <w:szCs w:val="20"/>
        </w:rPr>
        <w:t>hled přináší graf 2.32</w:t>
      </w:r>
      <w:r w:rsidRPr="008B7B1C">
        <w:rPr>
          <w:rFonts w:cs="Arial"/>
          <w:szCs w:val="20"/>
        </w:rPr>
        <w:t>.</w:t>
      </w:r>
      <w:r>
        <w:rPr>
          <w:rFonts w:cs="Arial"/>
          <w:szCs w:val="20"/>
        </w:rPr>
        <w:t xml:space="preserve"> Ten ukazuje, že n</w:t>
      </w:r>
      <w:r w:rsidRPr="00C84496">
        <w:rPr>
          <w:rFonts w:cs="Arial"/>
          <w:szCs w:val="20"/>
        </w:rPr>
        <w:t xml:space="preserve">a počátku školního roku 2021/22 tvořili </w:t>
      </w:r>
      <w:r w:rsidR="00D549EB">
        <w:rPr>
          <w:rFonts w:cs="Arial"/>
          <w:szCs w:val="20"/>
        </w:rPr>
        <w:t xml:space="preserve">žáci ukrajinské státní příslušnosti </w:t>
      </w:r>
      <w:r w:rsidRPr="00C84496">
        <w:rPr>
          <w:rFonts w:cs="Arial"/>
          <w:szCs w:val="20"/>
        </w:rPr>
        <w:t>1 % ze všech žáků základních škol oproti 0,6 % žáků z Vietnamu či Slovenska a 0,2 % žáků z Ruska. Za posledních pět let se přitom podíl žáků z Ukrajiny ze všech žáků základních škol zvýšil z 0,6 % na 1 </w:t>
      </w:r>
      <w:r>
        <w:rPr>
          <w:rFonts w:cs="Arial"/>
          <w:szCs w:val="20"/>
        </w:rPr>
        <w:t>%, tedy nejvýrazněji ze všech skupin žáků sledovaných v grafu.</w:t>
      </w:r>
      <w:r w:rsidRPr="00C84496">
        <w:rPr>
          <w:rFonts w:cs="Arial"/>
          <w:szCs w:val="20"/>
        </w:rPr>
        <w:t xml:space="preserve"> </w:t>
      </w:r>
    </w:p>
    <w:p w14:paraId="3D8759B7" w14:textId="43895152" w:rsidR="008B7B1C" w:rsidRPr="00C84496" w:rsidRDefault="008B7B1C" w:rsidP="008B7B1C">
      <w:pPr>
        <w:keepNext/>
        <w:spacing w:after="120" w:line="240" w:lineRule="auto"/>
        <w:jc w:val="both"/>
        <w:rPr>
          <w:rFonts w:cs="Arial"/>
          <w:b/>
          <w:szCs w:val="20"/>
        </w:rPr>
      </w:pPr>
      <w:r>
        <w:rPr>
          <w:rFonts w:cs="Arial"/>
          <w:b/>
          <w:szCs w:val="20"/>
        </w:rPr>
        <w:t>Graf 2.32</w:t>
      </w:r>
      <w:r w:rsidRPr="008B7B1C">
        <w:rPr>
          <w:rFonts w:cs="Arial"/>
          <w:b/>
          <w:szCs w:val="20"/>
        </w:rPr>
        <w:t xml:space="preserve"> </w:t>
      </w:r>
      <w:r w:rsidRPr="00C84496">
        <w:rPr>
          <w:rFonts w:cs="Arial"/>
          <w:b/>
          <w:szCs w:val="20"/>
        </w:rPr>
        <w:t>Žáci s cizím státním občanstvím na ZŠ k 30.9. (</w:t>
      </w:r>
      <w:r>
        <w:rPr>
          <w:rFonts w:cs="Arial"/>
          <w:b/>
          <w:szCs w:val="20"/>
        </w:rPr>
        <w:t>podíl z celkového počtu žáků ZŠ</w:t>
      </w:r>
      <w:r w:rsidRPr="00C84496">
        <w:rPr>
          <w:rFonts w:cs="Arial"/>
          <w:b/>
          <w:szCs w:val="20"/>
        </w:rPr>
        <w:t>)</w:t>
      </w:r>
    </w:p>
    <w:p w14:paraId="0C898EF6" w14:textId="77777777" w:rsidR="008B7B1C" w:rsidRPr="006D3D19" w:rsidRDefault="008B7B1C" w:rsidP="008B7B1C">
      <w:pPr>
        <w:spacing w:after="120" w:line="240" w:lineRule="auto"/>
        <w:jc w:val="both"/>
        <w:rPr>
          <w:rFonts w:cs="Arial"/>
          <w:b/>
          <w:szCs w:val="20"/>
        </w:rPr>
      </w:pPr>
      <w:r w:rsidRPr="00AD3D22">
        <w:rPr>
          <w:rFonts w:cs="Arial"/>
          <w:noProof/>
          <w:szCs w:val="20"/>
        </w:rPr>
        <w:drawing>
          <wp:inline distT="0" distB="0" distL="0" distR="0" wp14:anchorId="2E56CA4C" wp14:editId="3576170D">
            <wp:extent cx="6305550" cy="3724275"/>
            <wp:effectExtent l="0" t="0" r="0" b="9525"/>
            <wp:docPr id="88" name="Graf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43E1FCD" w14:textId="77777777" w:rsidR="008B7B1C" w:rsidRDefault="008B7B1C" w:rsidP="008B7B1C">
      <w:pPr>
        <w:spacing w:after="120" w:line="240" w:lineRule="auto"/>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7D60E3EB" w14:textId="3814FBA9" w:rsidR="008B7B1C" w:rsidRDefault="008B7B1C" w:rsidP="008B7B1C">
      <w:pPr>
        <w:spacing w:after="120"/>
        <w:jc w:val="both"/>
        <w:rPr>
          <w:rFonts w:cs="Arial"/>
          <w:szCs w:val="20"/>
        </w:rPr>
      </w:pPr>
      <w:r>
        <w:rPr>
          <w:rFonts w:cs="Arial"/>
          <w:szCs w:val="20"/>
        </w:rPr>
        <w:lastRenderedPageBreak/>
        <w:t>Země</w:t>
      </w:r>
      <w:r w:rsidRPr="003F7CBF">
        <w:rPr>
          <w:rFonts w:cs="Arial"/>
          <w:szCs w:val="20"/>
        </w:rPr>
        <w:t xml:space="preserve"> původu </w:t>
      </w:r>
      <w:r>
        <w:rPr>
          <w:rFonts w:cs="Arial"/>
          <w:szCs w:val="20"/>
        </w:rPr>
        <w:t xml:space="preserve">cizinců vzdělávajících se na základních školách v ČR ve školním roce 2021/22 lze rozdělit na státy EU (28,4 % cizinců), ostatní evropské státy (42,2 % cizinců) a ostatní státy světa, příp. nezjištěná občanství (29,3 %). Každé z této skupiny přitom dominuje jeden stát. </w:t>
      </w:r>
      <w:r w:rsidRPr="006F049A">
        <w:rPr>
          <w:rFonts w:cs="Arial"/>
          <w:b/>
          <w:szCs w:val="20"/>
        </w:rPr>
        <w:t>Ze států EU</w:t>
      </w:r>
      <w:r>
        <w:rPr>
          <w:rFonts w:cs="Arial"/>
          <w:szCs w:val="20"/>
        </w:rPr>
        <w:t xml:space="preserve"> je to Slovensko, téměř dvě třetiny žáků cizinců původem z EU tvořili právě Slováci (65,2 %). </w:t>
      </w:r>
      <w:r w:rsidRPr="006F049A">
        <w:rPr>
          <w:rFonts w:cs="Arial"/>
          <w:b/>
          <w:szCs w:val="20"/>
        </w:rPr>
        <w:t>Ze států Evropy, které nejsou v EU</w:t>
      </w:r>
      <w:r>
        <w:rPr>
          <w:rFonts w:cs="Arial"/>
          <w:szCs w:val="20"/>
        </w:rPr>
        <w:t xml:space="preserve">, je převažující Ukrajina, téměř tři čtvrtiny žáků cizinců původem z Evropy mimo EU tvořili Ukrajinci (74,8 %). </w:t>
      </w:r>
      <w:r>
        <w:rPr>
          <w:rFonts w:cs="Arial"/>
          <w:b/>
          <w:szCs w:val="20"/>
        </w:rPr>
        <w:t>Ze států</w:t>
      </w:r>
      <w:r w:rsidRPr="006F049A">
        <w:rPr>
          <w:rFonts w:cs="Arial"/>
          <w:b/>
          <w:szCs w:val="20"/>
        </w:rPr>
        <w:t xml:space="preserve"> mimo Evropu</w:t>
      </w:r>
      <w:r>
        <w:rPr>
          <w:rFonts w:cs="Arial"/>
          <w:szCs w:val="20"/>
        </w:rPr>
        <w:t xml:space="preserve"> je zase nejčetněji zastoupený Vietnam. Téměř dvě třetiny žáků cizinců původem z mimoevropských zemí tvořili Vietnamci (65,2 %). </w:t>
      </w:r>
    </w:p>
    <w:p w14:paraId="64A902C2" w14:textId="413E4857" w:rsidR="001D3DF1" w:rsidRDefault="00852E72" w:rsidP="001D3DF1">
      <w:pPr>
        <w:spacing w:after="120"/>
        <w:jc w:val="both"/>
        <w:rPr>
          <w:rFonts w:cs="Arial"/>
          <w:szCs w:val="20"/>
        </w:rPr>
      </w:pPr>
      <w:r>
        <w:rPr>
          <w:rFonts w:cs="Arial"/>
          <w:szCs w:val="20"/>
        </w:rPr>
        <w:t>Graf 2.33</w:t>
      </w:r>
      <w:r w:rsidR="006F049A" w:rsidRPr="00867384">
        <w:rPr>
          <w:rFonts w:cs="Arial"/>
          <w:szCs w:val="20"/>
        </w:rPr>
        <w:t xml:space="preserve"> </w:t>
      </w:r>
      <w:r w:rsidR="001D3DF1" w:rsidRPr="00867384">
        <w:rPr>
          <w:rFonts w:cs="Arial"/>
          <w:szCs w:val="20"/>
        </w:rPr>
        <w:t xml:space="preserve">níže </w:t>
      </w:r>
      <w:r w:rsidR="006F049A" w:rsidRPr="00867384">
        <w:rPr>
          <w:rFonts w:cs="Arial"/>
          <w:szCs w:val="20"/>
        </w:rPr>
        <w:t>uka</w:t>
      </w:r>
      <w:r w:rsidR="006F049A">
        <w:rPr>
          <w:rFonts w:cs="Arial"/>
          <w:szCs w:val="20"/>
        </w:rPr>
        <w:t>zuje toto rozložení celkem a také v dělení na jednotlivé kraje. Ty jsou řazené dle podílu</w:t>
      </w:r>
      <w:r w:rsidR="007F2B29">
        <w:rPr>
          <w:rFonts w:cs="Arial"/>
          <w:szCs w:val="20"/>
        </w:rPr>
        <w:t>, jaký tvořili ve školním roce</w:t>
      </w:r>
      <w:r w:rsidR="006F049A">
        <w:rPr>
          <w:rFonts w:cs="Arial"/>
          <w:szCs w:val="20"/>
        </w:rPr>
        <w:t xml:space="preserve"> 2021/22 cizinci </w:t>
      </w:r>
      <w:r w:rsidR="00884DC5">
        <w:rPr>
          <w:rFonts w:cs="Arial"/>
          <w:szCs w:val="20"/>
        </w:rPr>
        <w:t xml:space="preserve">původem ze Slovenska, Ukrajiny či Vietnamu </w:t>
      </w:r>
      <w:r w:rsidR="006F049A">
        <w:rPr>
          <w:rFonts w:cs="Arial"/>
          <w:szCs w:val="20"/>
        </w:rPr>
        <w:t>ze všech cizinců vzdělávajících se na základních školách v České republice</w:t>
      </w:r>
      <w:r w:rsidR="006F049A" w:rsidRPr="001D3DF1">
        <w:rPr>
          <w:rFonts w:cs="Arial"/>
          <w:szCs w:val="20"/>
        </w:rPr>
        <w:t>.</w:t>
      </w:r>
      <w:r w:rsidR="001D3DF1" w:rsidRPr="001D3DF1">
        <w:rPr>
          <w:rFonts w:cs="Arial"/>
          <w:szCs w:val="20"/>
        </w:rPr>
        <w:t xml:space="preserve"> Tato </w:t>
      </w:r>
      <w:r w:rsidR="001D3DF1" w:rsidRPr="001D3DF1">
        <w:rPr>
          <w:rFonts w:cs="Arial"/>
          <w:b/>
          <w:szCs w:val="20"/>
        </w:rPr>
        <w:t>tři občanství</w:t>
      </w:r>
      <w:r w:rsidR="001D3DF1" w:rsidRPr="001D3DF1">
        <w:rPr>
          <w:rFonts w:cs="Arial"/>
          <w:szCs w:val="20"/>
        </w:rPr>
        <w:t xml:space="preserve"> mělo v České republice celkem 69,3 % ze žáků základních škol cizí státní příslušnosti.</w:t>
      </w:r>
      <w:r w:rsidR="001D3DF1">
        <w:rPr>
          <w:rFonts w:cs="Arial"/>
          <w:szCs w:val="20"/>
        </w:rPr>
        <w:t xml:space="preserve"> Přitom v Olomouckém kraji tvořili </w:t>
      </w:r>
      <w:r w:rsidR="001D3DF1" w:rsidRPr="001D3DF1">
        <w:rPr>
          <w:rFonts w:cs="Arial"/>
          <w:szCs w:val="20"/>
        </w:rPr>
        <w:t>žáci těchto tří občanství v základních školách</w:t>
      </w:r>
      <w:r w:rsidR="001D3DF1">
        <w:rPr>
          <w:rFonts w:cs="Arial"/>
          <w:szCs w:val="20"/>
        </w:rPr>
        <w:t xml:space="preserve"> tři čtvrtiny (75,5 %) a ještě o něco vyšší byl jejich podíl v kraji</w:t>
      </w:r>
      <w:r w:rsidR="001D3DF1" w:rsidRPr="001D3DF1">
        <w:rPr>
          <w:rFonts w:cs="Arial"/>
          <w:szCs w:val="20"/>
        </w:rPr>
        <w:t xml:space="preserve"> Plzeňském (77,7 %) a Jihočeském (78,1 %). Naopak menší podíl, než je celorepublikový průměr, zaujímaly tyto skupiny cizinců mezi cizinci obecně v Moravskoslezském kraji (64,6 %), v Praze (63,2 %) a v Libereckém</w:t>
      </w:r>
      <w:r w:rsidR="001D3DF1">
        <w:rPr>
          <w:rFonts w:cs="Arial"/>
          <w:szCs w:val="20"/>
        </w:rPr>
        <w:t xml:space="preserve"> kraji (61,4 %).</w:t>
      </w:r>
    </w:p>
    <w:p w14:paraId="7CB463DD" w14:textId="7E1A1F8A" w:rsidR="00066F37" w:rsidRPr="003F7CBF" w:rsidRDefault="001D3DF1" w:rsidP="00066F37">
      <w:pPr>
        <w:spacing w:after="120"/>
        <w:jc w:val="both"/>
        <w:rPr>
          <w:rFonts w:cs="Arial"/>
          <w:szCs w:val="20"/>
        </w:rPr>
      </w:pPr>
      <w:r>
        <w:rPr>
          <w:rFonts w:cs="Arial"/>
          <w:szCs w:val="20"/>
        </w:rPr>
        <w:t xml:space="preserve">Pokud se jedná o žáky </w:t>
      </w:r>
      <w:r w:rsidRPr="00F81C62">
        <w:rPr>
          <w:rFonts w:cs="Arial"/>
          <w:b/>
          <w:szCs w:val="20"/>
        </w:rPr>
        <w:t>slovenské státní příslušnosti</w:t>
      </w:r>
      <w:r>
        <w:rPr>
          <w:rFonts w:cs="Arial"/>
          <w:szCs w:val="20"/>
        </w:rPr>
        <w:t xml:space="preserve">, tvořili mezi všemi žáky cizí státní příslušnosti nejvyšší podíl v kraji Zlínském (37,3 %) a Moravskoslezském (31,5 %) a nejmenší naopak v kraji Karlovarském (9,9 %), Královéhradeckém (12,7 %) a v Praze (13,4 %). V Praze a Královéhradeckém kraji byl zase mezi cizinci ze všech krajů nejvyšší podíl </w:t>
      </w:r>
      <w:r w:rsidRPr="00F81C62">
        <w:rPr>
          <w:rFonts w:cs="Arial"/>
          <w:b/>
          <w:szCs w:val="20"/>
        </w:rPr>
        <w:t>Ukrajinců</w:t>
      </w:r>
      <w:r>
        <w:rPr>
          <w:rFonts w:cs="Arial"/>
          <w:szCs w:val="20"/>
        </w:rPr>
        <w:t xml:space="preserve"> (36 %, resp. 42,1 %). Těch byl nejmenší podíl mezi cizinci v kraji Moravskoslezském, a sice 12 %, méně než pětinu zaujímali též v kraji Zlínském (18,5 %) a Karlovarském (19,1 %). V kraji Karlovarském a Ústeckém pak mezi cizinci tvořili výrazný podíl </w:t>
      </w:r>
      <w:r w:rsidRPr="00F81C62">
        <w:rPr>
          <w:rFonts w:cs="Arial"/>
          <w:b/>
          <w:szCs w:val="20"/>
        </w:rPr>
        <w:t>Vietnamci</w:t>
      </w:r>
      <w:r w:rsidR="00ED4166">
        <w:rPr>
          <w:rFonts w:cs="Arial"/>
          <w:szCs w:val="20"/>
        </w:rPr>
        <w:t xml:space="preserve"> (43,2 %, resp. </w:t>
      </w:r>
      <w:r>
        <w:rPr>
          <w:rFonts w:cs="Arial"/>
          <w:szCs w:val="20"/>
        </w:rPr>
        <w:t>35,4 %). Nejmenší podíl ze všech cizinců pak Vietnamci představovali v kraji Středočeském (12,9</w:t>
      </w:r>
      <w:r>
        <w:t>%), v Praze (13,8 %) a v kraji Libereckém (14 %)</w:t>
      </w:r>
      <w:r w:rsidR="008B7B1C">
        <w:rPr>
          <w:rFonts w:cs="Arial"/>
          <w:szCs w:val="20"/>
        </w:rPr>
        <w:t xml:space="preserve">. </w:t>
      </w:r>
    </w:p>
    <w:p w14:paraId="0ED09F17" w14:textId="1822E15C" w:rsidR="00066F37" w:rsidRDefault="00852E72" w:rsidP="00066F37">
      <w:pPr>
        <w:keepNext/>
        <w:spacing w:after="120"/>
        <w:jc w:val="both"/>
        <w:rPr>
          <w:rFonts w:cs="Arial"/>
          <w:b/>
          <w:spacing w:val="-6"/>
          <w:szCs w:val="20"/>
        </w:rPr>
      </w:pPr>
      <w:r>
        <w:rPr>
          <w:rFonts w:cs="Arial"/>
          <w:b/>
          <w:szCs w:val="20"/>
        </w:rPr>
        <w:t>Graf 2.33</w:t>
      </w:r>
      <w:r w:rsidR="00066F37" w:rsidRPr="0095105D">
        <w:rPr>
          <w:rFonts w:cs="Arial"/>
          <w:b/>
          <w:szCs w:val="20"/>
        </w:rPr>
        <w:t xml:space="preserve"> </w:t>
      </w:r>
      <w:r w:rsidR="006F049A">
        <w:rPr>
          <w:rFonts w:cs="Arial"/>
          <w:b/>
          <w:spacing w:val="-6"/>
          <w:szCs w:val="20"/>
        </w:rPr>
        <w:t>Rozložení žáků-cizinců</w:t>
      </w:r>
      <w:r w:rsidR="00066F37" w:rsidRPr="0095105D">
        <w:rPr>
          <w:rFonts w:cs="Arial"/>
          <w:b/>
          <w:spacing w:val="-6"/>
          <w:szCs w:val="20"/>
        </w:rPr>
        <w:t xml:space="preserve"> </w:t>
      </w:r>
      <w:r w:rsidR="00066F37">
        <w:rPr>
          <w:rFonts w:cs="Arial"/>
          <w:b/>
          <w:spacing w:val="-6"/>
          <w:szCs w:val="20"/>
        </w:rPr>
        <w:t>na základních školách dle </w:t>
      </w:r>
      <w:r w:rsidR="006F049A">
        <w:rPr>
          <w:rFonts w:cs="Arial"/>
          <w:b/>
          <w:spacing w:val="-6"/>
          <w:szCs w:val="20"/>
        </w:rPr>
        <w:t>země původu celkem a v dělení na kraje (2021/22</w:t>
      </w:r>
      <w:r w:rsidR="00066F37">
        <w:rPr>
          <w:rFonts w:cs="Arial"/>
          <w:b/>
          <w:spacing w:val="-6"/>
          <w:szCs w:val="20"/>
        </w:rPr>
        <w:t>)</w:t>
      </w:r>
    </w:p>
    <w:p w14:paraId="4D42EDD2" w14:textId="71DD9523" w:rsidR="009716B7" w:rsidRDefault="00200886" w:rsidP="00066F37">
      <w:pPr>
        <w:keepNext/>
        <w:spacing w:after="120"/>
        <w:jc w:val="both"/>
        <w:rPr>
          <w:rFonts w:cs="Arial"/>
          <w:b/>
          <w:spacing w:val="-6"/>
          <w:szCs w:val="20"/>
        </w:rPr>
      </w:pPr>
      <w:r>
        <w:rPr>
          <w:noProof/>
          <w:color w:val="33500C"/>
        </w:rPr>
        <mc:AlternateContent>
          <mc:Choice Requires="wps">
            <w:drawing>
              <wp:anchor distT="0" distB="0" distL="114300" distR="114300" simplePos="0" relativeHeight="251665408" behindDoc="0" locked="0" layoutInCell="1" allowOverlap="1" wp14:anchorId="758DE54B" wp14:editId="4E37F71B">
                <wp:simplePos x="0" y="0"/>
                <wp:positionH relativeFrom="column">
                  <wp:posOffset>260985</wp:posOffset>
                </wp:positionH>
                <wp:positionV relativeFrom="paragraph">
                  <wp:posOffset>3370580</wp:posOffset>
                </wp:positionV>
                <wp:extent cx="533400" cy="209550"/>
                <wp:effectExtent l="0" t="0" r="0" b="38100"/>
                <wp:wrapNone/>
                <wp:docPr id="27" name="Obdélník 27"/>
                <wp:cNvGraphicFramePr/>
                <a:graphic xmlns:a="http://schemas.openxmlformats.org/drawingml/2006/main">
                  <a:graphicData uri="http://schemas.microsoft.com/office/word/2010/wordprocessingShape">
                    <wps:wsp>
                      <wps:cNvSpPr/>
                      <wps:spPr>
                        <a:xfrm>
                          <a:off x="0" y="0"/>
                          <a:ext cx="533400" cy="209550"/>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14:paraId="42A77653" w14:textId="16CB8A10" w:rsidR="00A0215E" w:rsidRPr="00884DC5" w:rsidRDefault="00A0215E" w:rsidP="00884DC5">
                            <w:pPr>
                              <w:jc w:val="center"/>
                              <w:rPr>
                                <w:rFonts w:cs="Arial"/>
                                <w:color w:val="000000" w:themeColor="text1"/>
                                <w:sz w:val="18"/>
                                <w:szCs w:val="18"/>
                              </w:rPr>
                            </w:pPr>
                            <w:r w:rsidRPr="00884DC5">
                              <w:rPr>
                                <w:rFonts w:cs="Arial"/>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8DE54B" id="Obdélník 27" o:spid="_x0000_s1028" style="position:absolute;left:0;text-align:left;margin-left:20.55pt;margin-top:265.4pt;width:42pt;height:16.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" filled="f" stroked="f">
                <v:shadow on="t" color="black" opacity="22937f" origin=",.5" offset="0,.63889mm"/>
                <v:textbox>
                  <w:txbxContent>
                    <w:p w14:paraId="42A77653" w14:textId="16CB8A10" w:rsidR="00A0215E" w:rsidRPr="00884DC5" w:rsidRDefault="00A0215E" w:rsidP="00884DC5">
                      <w:pPr>
                        <w:jc w:val="center"/>
                        <w:rPr>
                          <w:rFonts w:cs="Arial"/>
                          <w:color w:val="000000" w:themeColor="text1"/>
                          <w:sz w:val="18"/>
                          <w:szCs w:val="18"/>
                        </w:rPr>
                      </w:pPr>
                      <w:r w:rsidRPr="00884DC5">
                        <w:rPr>
                          <w:rFonts w:cs="Arial"/>
                          <w:color w:val="000000" w:themeColor="text1"/>
                          <w:sz w:val="18"/>
                          <w:szCs w:val="18"/>
                        </w:rPr>
                        <w:t>%</w:t>
                      </w:r>
                    </w:p>
                  </w:txbxContent>
                </v:textbox>
              </v:rect>
            </w:pict>
          </mc:Fallback>
        </mc:AlternateContent>
      </w:r>
      <w:r>
        <w:rPr>
          <w:noProof/>
        </w:rPr>
        <w:drawing>
          <wp:inline distT="0" distB="0" distL="0" distR="0" wp14:anchorId="370CE5CF" wp14:editId="3E309BC5">
            <wp:extent cx="6120130" cy="4095750"/>
            <wp:effectExtent l="0" t="0" r="13970" b="0"/>
            <wp:docPr id="78" name="Graf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08E140A" w14:textId="6A29FA3E" w:rsidR="00066F37" w:rsidRDefault="00066F37" w:rsidP="00066F37">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1E6C2999" w14:textId="6485702E" w:rsidR="00CB4229" w:rsidRDefault="001D3DF1" w:rsidP="003F7CBF">
      <w:pPr>
        <w:spacing w:after="120"/>
        <w:jc w:val="both"/>
        <w:rPr>
          <w:rFonts w:cs="Arial"/>
          <w:szCs w:val="20"/>
        </w:rPr>
      </w:pPr>
      <w:r>
        <w:rPr>
          <w:rFonts w:cs="Arial"/>
          <w:szCs w:val="20"/>
        </w:rPr>
        <w:lastRenderedPageBreak/>
        <w:t>Odhlédneme-li od relativních ukazatelů</w:t>
      </w:r>
      <w:r w:rsidR="00F81C62">
        <w:rPr>
          <w:rFonts w:cs="Arial"/>
          <w:szCs w:val="20"/>
        </w:rPr>
        <w:t xml:space="preserve">, pak </w:t>
      </w:r>
      <w:r w:rsidR="00ED4166">
        <w:rPr>
          <w:rFonts w:cs="Arial"/>
          <w:szCs w:val="20"/>
        </w:rPr>
        <w:t xml:space="preserve">byl </w:t>
      </w:r>
      <w:r w:rsidR="00F81C62">
        <w:rPr>
          <w:rFonts w:cs="Arial"/>
          <w:szCs w:val="20"/>
        </w:rPr>
        <w:t xml:space="preserve">ze všech krajů </w:t>
      </w:r>
      <w:r w:rsidR="00F81C62" w:rsidRPr="006E6D7E">
        <w:rPr>
          <w:rFonts w:cs="Arial"/>
          <w:b/>
          <w:szCs w:val="20"/>
        </w:rPr>
        <w:t>nejvyšší počet</w:t>
      </w:r>
      <w:r w:rsidR="00F81C62">
        <w:rPr>
          <w:rFonts w:cs="Arial"/>
          <w:szCs w:val="20"/>
        </w:rPr>
        <w:t xml:space="preserve"> Slov</w:t>
      </w:r>
      <w:r w:rsidR="00ED4166">
        <w:rPr>
          <w:rFonts w:cs="Arial"/>
          <w:szCs w:val="20"/>
        </w:rPr>
        <w:t xml:space="preserve">áků, Ukrajinců i Vietnamců </w:t>
      </w:r>
      <w:r w:rsidR="00F81C62" w:rsidRPr="006E6D7E">
        <w:rPr>
          <w:rFonts w:cs="Arial"/>
          <w:b/>
          <w:szCs w:val="20"/>
        </w:rPr>
        <w:t>v Praze</w:t>
      </w:r>
      <w:r w:rsidR="00F81C62">
        <w:rPr>
          <w:rFonts w:cs="Arial"/>
          <w:szCs w:val="20"/>
        </w:rPr>
        <w:t xml:space="preserve"> (1 452, resp. 3 908, resp. 1 501).</w:t>
      </w:r>
      <w:r w:rsidR="007F2B29">
        <w:rPr>
          <w:rFonts w:cs="Arial"/>
          <w:szCs w:val="20"/>
        </w:rPr>
        <w:t xml:space="preserve"> Jinými slovy, ze všech žáků ze Slovenska vzdělávající</w:t>
      </w:r>
      <w:r w:rsidR="00ED4166">
        <w:rPr>
          <w:rFonts w:cs="Arial"/>
          <w:szCs w:val="20"/>
        </w:rPr>
        <w:t>ch se na základních školách v České republice</w:t>
      </w:r>
      <w:r w:rsidR="007F2B29">
        <w:rPr>
          <w:rFonts w:cs="Arial"/>
          <w:szCs w:val="20"/>
        </w:rPr>
        <w:t xml:space="preserve"> jich </w:t>
      </w:r>
      <w:r w:rsidR="00822C4D">
        <w:rPr>
          <w:rFonts w:cs="Arial"/>
          <w:szCs w:val="20"/>
        </w:rPr>
        <w:t>pražské školy</w:t>
      </w:r>
      <w:r w:rsidR="007F2B29">
        <w:rPr>
          <w:rFonts w:cs="Arial"/>
          <w:szCs w:val="20"/>
        </w:rPr>
        <w:t xml:space="preserve"> </w:t>
      </w:r>
      <w:r w:rsidR="00822C4D">
        <w:rPr>
          <w:rFonts w:cs="Arial"/>
          <w:szCs w:val="20"/>
        </w:rPr>
        <w:t>navštěvo</w:t>
      </w:r>
      <w:r w:rsidR="007F2B29">
        <w:rPr>
          <w:rFonts w:cs="Arial"/>
          <w:szCs w:val="20"/>
        </w:rPr>
        <w:t>val</w:t>
      </w:r>
      <w:r w:rsidR="00ED4166">
        <w:rPr>
          <w:rFonts w:cs="Arial"/>
          <w:szCs w:val="20"/>
        </w:rPr>
        <w:t>o 25,6 %, z ukrajinských žáků základních škol</w:t>
      </w:r>
      <w:r w:rsidR="007F2B29">
        <w:rPr>
          <w:rFonts w:cs="Arial"/>
          <w:szCs w:val="20"/>
        </w:rPr>
        <w:t xml:space="preserve"> v</w:t>
      </w:r>
      <w:r w:rsidR="00ED4166">
        <w:rPr>
          <w:rFonts w:cs="Arial"/>
          <w:szCs w:val="20"/>
        </w:rPr>
        <w:t> </w:t>
      </w:r>
      <w:r w:rsidR="007F2B29">
        <w:rPr>
          <w:rFonts w:cs="Arial"/>
          <w:szCs w:val="20"/>
        </w:rPr>
        <w:t>Č</w:t>
      </w:r>
      <w:r w:rsidR="00ED4166">
        <w:rPr>
          <w:rFonts w:cs="Arial"/>
          <w:szCs w:val="20"/>
        </w:rPr>
        <w:t>eské republice</w:t>
      </w:r>
      <w:r w:rsidR="007F2B29">
        <w:rPr>
          <w:rFonts w:cs="Arial"/>
          <w:szCs w:val="20"/>
        </w:rPr>
        <w:t xml:space="preserve"> se jich v Praze vzdělávalo 40,5 % a z vietnamských žáků pak 25,7 %. </w:t>
      </w:r>
      <w:r w:rsidR="00F81C62">
        <w:rPr>
          <w:rFonts w:cs="Arial"/>
          <w:szCs w:val="20"/>
        </w:rPr>
        <w:t xml:space="preserve">Naopak </w:t>
      </w:r>
      <w:r w:rsidR="00822C4D" w:rsidRPr="006E6D7E">
        <w:rPr>
          <w:rFonts w:cs="Arial"/>
          <w:b/>
          <w:szCs w:val="20"/>
        </w:rPr>
        <w:t>nejmenší počet</w:t>
      </w:r>
      <w:r w:rsidR="00F81C62">
        <w:rPr>
          <w:rFonts w:cs="Arial"/>
          <w:szCs w:val="20"/>
        </w:rPr>
        <w:t xml:space="preserve"> </w:t>
      </w:r>
      <w:r w:rsidR="00822C4D">
        <w:rPr>
          <w:rFonts w:cs="Arial"/>
          <w:szCs w:val="20"/>
        </w:rPr>
        <w:t>ukrajinských</w:t>
      </w:r>
      <w:r w:rsidR="0040115E">
        <w:rPr>
          <w:rFonts w:cs="Arial"/>
          <w:szCs w:val="20"/>
        </w:rPr>
        <w:t xml:space="preserve"> a v</w:t>
      </w:r>
      <w:r w:rsidR="00F81C62">
        <w:rPr>
          <w:rFonts w:cs="Arial"/>
          <w:szCs w:val="20"/>
        </w:rPr>
        <w:t>ie</w:t>
      </w:r>
      <w:r w:rsidR="00ED4166">
        <w:rPr>
          <w:rFonts w:cs="Arial"/>
          <w:szCs w:val="20"/>
        </w:rPr>
        <w:t>tnamských žáků základních škol</w:t>
      </w:r>
      <w:r w:rsidR="00822C4D">
        <w:rPr>
          <w:rFonts w:cs="Arial"/>
          <w:szCs w:val="20"/>
        </w:rPr>
        <w:t xml:space="preserve"> byl</w:t>
      </w:r>
      <w:r>
        <w:rPr>
          <w:rFonts w:cs="Arial"/>
          <w:szCs w:val="20"/>
        </w:rPr>
        <w:t xml:space="preserve"> v </w:t>
      </w:r>
      <w:r w:rsidR="00F81C62">
        <w:rPr>
          <w:rFonts w:cs="Arial"/>
          <w:szCs w:val="20"/>
        </w:rPr>
        <w:t>kraji Zlínském (97, resp. 95) a nejméně</w:t>
      </w:r>
      <w:r w:rsidR="00822C4D">
        <w:rPr>
          <w:rFonts w:cs="Arial"/>
          <w:szCs w:val="20"/>
        </w:rPr>
        <w:t xml:space="preserve"> žáků</w:t>
      </w:r>
      <w:r w:rsidR="00F81C62">
        <w:rPr>
          <w:rFonts w:cs="Arial"/>
          <w:szCs w:val="20"/>
        </w:rPr>
        <w:t xml:space="preserve"> Slováků bylo v kraji Královéhradeckém (110).</w:t>
      </w:r>
    </w:p>
    <w:p w14:paraId="67721169" w14:textId="490E49EF" w:rsidR="00066F37" w:rsidRPr="00852E72" w:rsidRDefault="00CB4229" w:rsidP="00852E72">
      <w:pPr>
        <w:spacing w:after="120"/>
        <w:jc w:val="both"/>
        <w:rPr>
          <w:rFonts w:cs="Arial"/>
          <w:szCs w:val="20"/>
        </w:rPr>
      </w:pPr>
      <w:r>
        <w:rPr>
          <w:rFonts w:cs="Arial"/>
          <w:szCs w:val="20"/>
        </w:rPr>
        <w:t xml:space="preserve">Co se týče </w:t>
      </w:r>
      <w:r w:rsidRPr="006E6D7E">
        <w:rPr>
          <w:rFonts w:cs="Arial"/>
          <w:b/>
          <w:szCs w:val="20"/>
        </w:rPr>
        <w:t>jiných, méně častých, státních občanství</w:t>
      </w:r>
      <w:r w:rsidR="001D3DF1">
        <w:rPr>
          <w:rFonts w:cs="Arial"/>
          <w:szCs w:val="20"/>
        </w:rPr>
        <w:t>,</w:t>
      </w:r>
      <w:r>
        <w:rPr>
          <w:rFonts w:cs="Arial"/>
          <w:szCs w:val="20"/>
        </w:rPr>
        <w:t xml:space="preserve"> v Moravskoslezském kraji zaujímali mezi cizinci v základních školách více než pětinu příslušníci jiných států Evropské unie, než je Slovensko (22,8 %, pravděpodobně mezi nimi budou dominovat polští žáci). Naopak v kraji Ústeckém bylo mezi cizinci takových žáků jen 5,8 %. Žáci z jiných států Evropy mimo EU, než je Ukrajina, zaujímali mezi cizinci nejvyšší podíl v Praze (15,9 %) a nejmenší naopak v kraji Pardubickém (3,9 %). Nakonec žáci z mimoevropských států kromě </w:t>
      </w:r>
      <w:r w:rsidR="007B7947">
        <w:rPr>
          <w:rFonts w:cs="Arial"/>
          <w:szCs w:val="20"/>
        </w:rPr>
        <w:t>Vietnamu</w:t>
      </w:r>
      <w:r>
        <w:rPr>
          <w:rFonts w:cs="Arial"/>
          <w:szCs w:val="20"/>
        </w:rPr>
        <w:t xml:space="preserve"> tvořili mezi cizinci nejvyšší podíl v kraji Libereckém (21,9 %) a P</w:t>
      </w:r>
      <w:r w:rsidR="00226A91">
        <w:rPr>
          <w:rFonts w:cs="Arial"/>
          <w:szCs w:val="20"/>
        </w:rPr>
        <w:t>ardubi</w:t>
      </w:r>
      <w:r>
        <w:rPr>
          <w:rFonts w:cs="Arial"/>
          <w:szCs w:val="20"/>
        </w:rPr>
        <w:t>ckém (</w:t>
      </w:r>
      <w:r w:rsidR="00226A91">
        <w:rPr>
          <w:rFonts w:cs="Arial"/>
          <w:szCs w:val="20"/>
        </w:rPr>
        <w:t>17,7 %) a naopak nejmenší v kraji Plzeňském (3 %).</w:t>
      </w:r>
    </w:p>
    <w:p w14:paraId="16EBAD17" w14:textId="77777777" w:rsidR="00E878C4" w:rsidRPr="00066F37" w:rsidRDefault="00E878C4" w:rsidP="00F81C62">
      <w:pPr>
        <w:spacing w:after="120"/>
        <w:jc w:val="center"/>
        <w:rPr>
          <w:rFonts w:cs="Arial"/>
          <w:sz w:val="18"/>
        </w:rPr>
      </w:pPr>
    </w:p>
    <w:p w14:paraId="1498EDEB" w14:textId="2B9A7BDA" w:rsidR="00FF6B7E" w:rsidRDefault="00FF6B7E" w:rsidP="00E878C4">
      <w:pPr>
        <w:pStyle w:val="Nadpis2"/>
        <w:keepLines w:val="0"/>
        <w:spacing w:after="120"/>
      </w:pPr>
      <w:bookmarkStart w:id="19" w:name="_Toc112069083"/>
      <w:r w:rsidRPr="005A4745">
        <w:t>2.12 Žáci na základních školách se zdravotním postižením</w:t>
      </w:r>
      <w:bookmarkEnd w:id="19"/>
      <w:r w:rsidRPr="00DB054F">
        <w:t xml:space="preserve"> </w:t>
      </w:r>
    </w:p>
    <w:p w14:paraId="527AC9B0" w14:textId="280EC871" w:rsidR="00C77CF8" w:rsidRDefault="00C77CF8" w:rsidP="00E878C4">
      <w:pPr>
        <w:keepNext/>
        <w:spacing w:after="120"/>
        <w:jc w:val="both"/>
        <w:rPr>
          <w:rFonts w:cs="Arial"/>
          <w:szCs w:val="20"/>
        </w:rPr>
      </w:pPr>
      <w:r>
        <w:t>V oblasti vzdělávání se používá pojem „žáci</w:t>
      </w:r>
      <w:r w:rsidRPr="004A5668">
        <w:t xml:space="preserve"> se speciálními vzdělávacími potřebami</w:t>
      </w:r>
      <w:r>
        <w:t>“.</w:t>
      </w:r>
      <w:r w:rsidRPr="004A5668">
        <w:t xml:space="preserve"> </w:t>
      </w:r>
      <w:r>
        <w:t>Tam se</w:t>
      </w:r>
      <w:r w:rsidRPr="004A5668">
        <w:t xml:space="preserve"> vedle žáků se zdravotním postižením řadí též žáci se zdravotním znevýhodněním (tj. </w:t>
      </w:r>
      <w:r w:rsidR="005D0A47">
        <w:t xml:space="preserve">se </w:t>
      </w:r>
      <w:r w:rsidRPr="004A5668">
        <w:t>zdravotním oslabením, dlouhodobým onemocněním a lehčími zdravotními poruchami vedoucími k poruchám učení a chování) a se sociálním znevýho</w:t>
      </w:r>
      <w:r>
        <w:t>dněním (</w:t>
      </w:r>
      <w:r w:rsidR="005D0A47">
        <w:t xml:space="preserve">tj. žáci </w:t>
      </w:r>
      <w:r>
        <w:t>z rodinného prostředí s </w:t>
      </w:r>
      <w:r w:rsidRPr="004A5668">
        <w:t xml:space="preserve">nízkým sociálně kulturním postavením, </w:t>
      </w:r>
      <w:r w:rsidR="005D0A47">
        <w:t xml:space="preserve">žáci </w:t>
      </w:r>
      <w:r w:rsidRPr="004A5668">
        <w:t xml:space="preserve">ohrožení sociálně patologickými jevy, </w:t>
      </w:r>
      <w:r w:rsidR="005D0A47">
        <w:t xml:space="preserve">žáci </w:t>
      </w:r>
      <w:r w:rsidRPr="004A5668">
        <w:t xml:space="preserve">s nařízenou ústavní výchovou nebo uloženou ochrannou výchovou a žáci v  postavení azylantů a účastníků řízení o udělení azylu) - viz § 16 školského zákona (zákon č. 561/2004 Sb.). Vzhledem k dostupnosti dat v časové řadě se však </w:t>
      </w:r>
      <w:r>
        <w:t xml:space="preserve">v této analýze </w:t>
      </w:r>
      <w:r w:rsidRPr="004A5668">
        <w:t>omezíme na kategorii žáků se zdravotním postižením</w:t>
      </w:r>
      <w:r>
        <w:t>.</w:t>
      </w:r>
    </w:p>
    <w:p w14:paraId="49EC0606" w14:textId="73726265" w:rsidR="00FF6B7E" w:rsidRDefault="00152CDD" w:rsidP="00E878C4">
      <w:pPr>
        <w:keepNext/>
        <w:spacing w:after="120"/>
        <w:jc w:val="both"/>
        <w:rPr>
          <w:rFonts w:cs="Arial"/>
          <w:szCs w:val="20"/>
        </w:rPr>
      </w:pPr>
      <w:r>
        <w:rPr>
          <w:rFonts w:cs="Arial"/>
          <w:szCs w:val="20"/>
        </w:rPr>
        <w:t>V</w:t>
      </w:r>
      <w:r w:rsidR="00C81593">
        <w:rPr>
          <w:rFonts w:cs="Arial"/>
          <w:szCs w:val="20"/>
        </w:rPr>
        <w:t>e školních rocích 2011/12 a</w:t>
      </w:r>
      <w:r w:rsidR="00532E6A">
        <w:rPr>
          <w:rFonts w:cs="Arial"/>
          <w:szCs w:val="20"/>
        </w:rPr>
        <w:t>ž</w:t>
      </w:r>
      <w:r w:rsidR="00C81593">
        <w:rPr>
          <w:rFonts w:cs="Arial"/>
          <w:szCs w:val="20"/>
        </w:rPr>
        <w:t xml:space="preserve"> 2016/17</w:t>
      </w:r>
      <w:r>
        <w:rPr>
          <w:rFonts w:cs="Arial"/>
          <w:szCs w:val="20"/>
        </w:rPr>
        <w:t xml:space="preserve"> bylo mezi všemi žáky stabilně </w:t>
      </w:r>
      <w:r w:rsidR="00C81593">
        <w:rPr>
          <w:rFonts w:cs="Arial"/>
          <w:szCs w:val="20"/>
        </w:rPr>
        <w:t xml:space="preserve">8,9 % až </w:t>
      </w:r>
      <w:r>
        <w:rPr>
          <w:rFonts w:cs="Arial"/>
          <w:szCs w:val="20"/>
        </w:rPr>
        <w:t>9 % žáků s postižením.</w:t>
      </w:r>
      <w:r w:rsidRPr="00DF4680">
        <w:rPr>
          <w:rFonts w:cs="Arial"/>
          <w:szCs w:val="20"/>
        </w:rPr>
        <w:t xml:space="preserve"> </w:t>
      </w:r>
      <w:r w:rsidR="00C81593">
        <w:rPr>
          <w:rFonts w:cs="Arial"/>
          <w:szCs w:val="20"/>
        </w:rPr>
        <w:t>Od školního roku 2016/17</w:t>
      </w:r>
      <w:r w:rsidR="00DF4680">
        <w:rPr>
          <w:rFonts w:cs="Arial"/>
          <w:szCs w:val="20"/>
        </w:rPr>
        <w:t xml:space="preserve"> do roku 2020/21 </w:t>
      </w:r>
      <w:r>
        <w:rPr>
          <w:rFonts w:cs="Arial"/>
          <w:szCs w:val="20"/>
        </w:rPr>
        <w:t xml:space="preserve">pak </w:t>
      </w:r>
      <w:r w:rsidR="00DF4680">
        <w:rPr>
          <w:rFonts w:cs="Arial"/>
          <w:szCs w:val="20"/>
        </w:rPr>
        <w:t>rostl</w:t>
      </w:r>
      <w:r w:rsidR="00FF6B7E">
        <w:rPr>
          <w:rFonts w:cs="Arial"/>
          <w:szCs w:val="20"/>
        </w:rPr>
        <w:t xml:space="preserve"> počet </w:t>
      </w:r>
      <w:r w:rsidR="00931216">
        <w:rPr>
          <w:rFonts w:cs="Arial"/>
          <w:szCs w:val="20"/>
        </w:rPr>
        <w:t xml:space="preserve">i podíl </w:t>
      </w:r>
      <w:r w:rsidR="00FF6B7E">
        <w:rPr>
          <w:rFonts w:cs="Arial"/>
          <w:szCs w:val="20"/>
        </w:rPr>
        <w:t>žáků se zdravotním postižením na základních školách</w:t>
      </w:r>
      <w:r w:rsidR="00C81593">
        <w:rPr>
          <w:rFonts w:cs="Arial"/>
          <w:szCs w:val="20"/>
        </w:rPr>
        <w:t>.</w:t>
      </w:r>
      <w:r>
        <w:rPr>
          <w:rStyle w:val="Znakapoznpodarou"/>
          <w:rFonts w:cs="Arial"/>
          <w:szCs w:val="20"/>
        </w:rPr>
        <w:footnoteReference w:id="29"/>
      </w:r>
      <w:r w:rsidR="00FF6B7E">
        <w:rPr>
          <w:rFonts w:cs="Arial"/>
          <w:szCs w:val="20"/>
        </w:rPr>
        <w:t xml:space="preserve"> </w:t>
      </w:r>
      <w:r w:rsidR="00E37EC9">
        <w:rPr>
          <w:rFonts w:cs="Arial"/>
          <w:szCs w:val="20"/>
        </w:rPr>
        <w:t>V</w:t>
      </w:r>
      <w:r w:rsidR="00C81593">
        <w:rPr>
          <w:rFonts w:cs="Arial"/>
          <w:szCs w:val="20"/>
        </w:rPr>
        <w:t>e školním</w:t>
      </w:r>
      <w:r w:rsidR="00E37EC9">
        <w:rPr>
          <w:rFonts w:cs="Arial"/>
          <w:szCs w:val="20"/>
        </w:rPr>
        <w:t xml:space="preserve"> roce 2021/22 však byl oproti předchozímu roku zaznamenán </w:t>
      </w:r>
      <w:r w:rsidR="00931216">
        <w:rPr>
          <w:rFonts w:cs="Arial"/>
          <w:szCs w:val="20"/>
        </w:rPr>
        <w:t xml:space="preserve">mírný </w:t>
      </w:r>
      <w:r w:rsidR="00E37EC9">
        <w:rPr>
          <w:rFonts w:cs="Arial"/>
          <w:szCs w:val="20"/>
        </w:rPr>
        <w:t>úbytek počtu i podílu žá</w:t>
      </w:r>
      <w:r w:rsidR="00852E72">
        <w:rPr>
          <w:rFonts w:cs="Arial"/>
          <w:szCs w:val="20"/>
        </w:rPr>
        <w:t>ků s postižením, viz graf 2.34</w:t>
      </w:r>
      <w:r w:rsidR="00931216">
        <w:rPr>
          <w:rFonts w:cs="Arial"/>
          <w:szCs w:val="20"/>
        </w:rPr>
        <w:t>.</w:t>
      </w:r>
    </w:p>
    <w:p w14:paraId="7EAFE0C1" w14:textId="2C1CB03D" w:rsidR="00FF6B7E" w:rsidRDefault="00931216" w:rsidP="00FF6B7E">
      <w:pPr>
        <w:spacing w:after="120"/>
        <w:jc w:val="both"/>
        <w:rPr>
          <w:rFonts w:cs="Arial"/>
          <w:szCs w:val="20"/>
        </w:rPr>
      </w:pPr>
      <w:r>
        <w:rPr>
          <w:rFonts w:cs="Arial"/>
          <w:szCs w:val="20"/>
        </w:rPr>
        <w:t>Celkem se k</w:t>
      </w:r>
      <w:r w:rsidR="00E37EC9">
        <w:rPr>
          <w:rFonts w:cs="Arial"/>
          <w:szCs w:val="20"/>
        </w:rPr>
        <w:t xml:space="preserve"> 30. 9. 2021</w:t>
      </w:r>
      <w:r w:rsidR="00FF6B7E" w:rsidRPr="00E874F0">
        <w:rPr>
          <w:rFonts w:cs="Arial"/>
          <w:szCs w:val="20"/>
        </w:rPr>
        <w:t xml:space="preserve"> </w:t>
      </w:r>
      <w:r w:rsidR="00FF6B7E">
        <w:rPr>
          <w:rFonts w:cs="Arial"/>
          <w:szCs w:val="20"/>
        </w:rPr>
        <w:t xml:space="preserve">se na základních školách vzdělávalo </w:t>
      </w:r>
      <w:r w:rsidR="00FF6B7E" w:rsidRPr="00E874F0">
        <w:rPr>
          <w:rFonts w:cs="Arial"/>
          <w:szCs w:val="20"/>
        </w:rPr>
        <w:t>11</w:t>
      </w:r>
      <w:r w:rsidR="00E37EC9">
        <w:rPr>
          <w:rFonts w:cs="Arial"/>
          <w:szCs w:val="20"/>
        </w:rPr>
        <w:t>1 855</w:t>
      </w:r>
      <w:r w:rsidR="00FF6B7E">
        <w:rPr>
          <w:rFonts w:cs="Arial"/>
          <w:szCs w:val="20"/>
        </w:rPr>
        <w:t xml:space="preserve"> žáků</w:t>
      </w:r>
      <w:r w:rsidR="00FF6B7E" w:rsidRPr="00E874F0">
        <w:rPr>
          <w:rFonts w:cs="Arial"/>
          <w:szCs w:val="20"/>
        </w:rPr>
        <w:t xml:space="preserve"> se zdravotním postižením</w:t>
      </w:r>
      <w:r w:rsidR="00FF6B7E">
        <w:rPr>
          <w:rFonts w:cs="Arial"/>
          <w:szCs w:val="20"/>
        </w:rPr>
        <w:t>, z nich</w:t>
      </w:r>
      <w:r w:rsidR="002E4875">
        <w:rPr>
          <w:rFonts w:cs="Arial"/>
          <w:szCs w:val="20"/>
        </w:rPr>
        <w:t>ž</w:t>
      </w:r>
      <w:r w:rsidR="00FF6B7E">
        <w:rPr>
          <w:rFonts w:cs="Arial"/>
          <w:szCs w:val="20"/>
        </w:rPr>
        <w:t xml:space="preserve"> dvě třetiny </w:t>
      </w:r>
      <w:r w:rsidR="002E4875">
        <w:rPr>
          <w:rFonts w:cs="Arial"/>
          <w:szCs w:val="20"/>
        </w:rPr>
        <w:t xml:space="preserve">tvořili </w:t>
      </w:r>
      <w:r w:rsidR="00FF6B7E">
        <w:rPr>
          <w:rFonts w:cs="Arial"/>
          <w:szCs w:val="20"/>
        </w:rPr>
        <w:t>chlapci (</w:t>
      </w:r>
      <w:r w:rsidR="00E37EC9">
        <w:rPr>
          <w:rFonts w:cs="Arial"/>
          <w:szCs w:val="20"/>
        </w:rPr>
        <w:t>74 743</w:t>
      </w:r>
      <w:r w:rsidR="00FF6B7E">
        <w:rPr>
          <w:rFonts w:cs="Arial"/>
          <w:szCs w:val="20"/>
        </w:rPr>
        <w:t xml:space="preserve">). </w:t>
      </w:r>
      <w:r w:rsidR="002E4875">
        <w:rPr>
          <w:rFonts w:cs="Arial"/>
          <w:szCs w:val="20"/>
        </w:rPr>
        <w:t xml:space="preserve">Zde je třeba poznamenat, že ve statistikách jsou sledované </w:t>
      </w:r>
      <w:r w:rsidR="00C81593">
        <w:rPr>
          <w:rFonts w:cs="Arial"/>
          <w:szCs w:val="20"/>
        </w:rPr>
        <w:t xml:space="preserve">pouze </w:t>
      </w:r>
      <w:r w:rsidR="002E4875">
        <w:rPr>
          <w:rFonts w:cs="Arial"/>
          <w:szCs w:val="20"/>
        </w:rPr>
        <w:t>případy, kdy bylo postižení potvrzeno, a to zpravidla za účelem uplatnění podpůrnéh</w:t>
      </w:r>
      <w:r>
        <w:rPr>
          <w:rFonts w:cs="Arial"/>
          <w:szCs w:val="20"/>
        </w:rPr>
        <w:t>o opatření. U chlapců a dívek</w:t>
      </w:r>
      <w:r w:rsidR="002E4875">
        <w:rPr>
          <w:rFonts w:cs="Arial"/>
          <w:szCs w:val="20"/>
        </w:rPr>
        <w:t xml:space="preserve"> přitom nemusí k tomuto kroku učitelé a rodiče přistupovat ve stejné míře. </w:t>
      </w:r>
      <w:r w:rsidR="002A138B">
        <w:rPr>
          <w:rFonts w:cs="Arial"/>
          <w:szCs w:val="20"/>
        </w:rPr>
        <w:t>Na celkovém počtu žáků ve školním roce 2021/22 se</w:t>
      </w:r>
      <w:r w:rsidR="00FF6B7E">
        <w:rPr>
          <w:rFonts w:cs="Arial"/>
          <w:szCs w:val="20"/>
        </w:rPr>
        <w:t xml:space="preserve"> děti </w:t>
      </w:r>
      <w:r w:rsidR="00E37EC9">
        <w:rPr>
          <w:rFonts w:cs="Arial"/>
          <w:szCs w:val="20"/>
        </w:rPr>
        <w:t xml:space="preserve">s postižením (chlapci i dívky) </w:t>
      </w:r>
      <w:r w:rsidR="00FF6B7E">
        <w:rPr>
          <w:rFonts w:cs="Arial"/>
          <w:szCs w:val="20"/>
        </w:rPr>
        <w:t>podíle</w:t>
      </w:r>
      <w:r w:rsidR="00E37EC9">
        <w:rPr>
          <w:rFonts w:cs="Arial"/>
          <w:szCs w:val="20"/>
        </w:rPr>
        <w:t>ly 11,6</w:t>
      </w:r>
      <w:r w:rsidR="00FF6B7E">
        <w:rPr>
          <w:rFonts w:cs="Arial"/>
          <w:szCs w:val="20"/>
        </w:rPr>
        <w:t> %. Vyšší byl tento podíl u c</w:t>
      </w:r>
      <w:r w:rsidR="00E37EC9">
        <w:rPr>
          <w:rFonts w:cs="Arial"/>
          <w:szCs w:val="20"/>
        </w:rPr>
        <w:t>hlapců (15,1 %) než u dívek (7,9</w:t>
      </w:r>
      <w:r w:rsidR="00FF6B7E">
        <w:rPr>
          <w:rFonts w:cs="Arial"/>
          <w:szCs w:val="20"/>
        </w:rPr>
        <w:t xml:space="preserve"> %). </w:t>
      </w:r>
    </w:p>
    <w:p w14:paraId="3C4E3E61" w14:textId="00254B3A" w:rsidR="00FF6B7E" w:rsidRDefault="00FF6B7E" w:rsidP="00C77CF8">
      <w:pPr>
        <w:keepNext/>
        <w:spacing w:after="120"/>
        <w:jc w:val="both"/>
        <w:rPr>
          <w:rFonts w:cs="Arial"/>
          <w:b/>
          <w:szCs w:val="20"/>
        </w:rPr>
      </w:pPr>
      <w:r w:rsidRPr="002E5300">
        <w:rPr>
          <w:rFonts w:cs="Arial"/>
          <w:b/>
          <w:szCs w:val="20"/>
        </w:rPr>
        <w:lastRenderedPageBreak/>
        <w:t xml:space="preserve">Graf </w:t>
      </w:r>
      <w:r w:rsidR="00852E72">
        <w:rPr>
          <w:rFonts w:cs="Arial"/>
          <w:b/>
          <w:szCs w:val="20"/>
        </w:rPr>
        <w:t>2.34</w:t>
      </w:r>
      <w:r w:rsidRPr="002E5300">
        <w:rPr>
          <w:rFonts w:cs="Arial"/>
          <w:b/>
          <w:szCs w:val="20"/>
        </w:rPr>
        <w:t xml:space="preserve"> </w:t>
      </w:r>
      <w:r w:rsidRPr="001F37DD">
        <w:rPr>
          <w:rFonts w:cs="Arial"/>
          <w:b/>
          <w:szCs w:val="20"/>
        </w:rPr>
        <w:t>Žáci se zdravotním postižením na základních školách</w:t>
      </w:r>
    </w:p>
    <w:p w14:paraId="11103CC1" w14:textId="0DCA4FFC" w:rsidR="003A4975" w:rsidRPr="002E5300" w:rsidRDefault="004B6906" w:rsidP="00DF4680">
      <w:pPr>
        <w:keepNext/>
        <w:spacing w:after="120"/>
        <w:jc w:val="both"/>
        <w:rPr>
          <w:rFonts w:cs="Arial"/>
          <w:b/>
          <w:szCs w:val="20"/>
        </w:rPr>
      </w:pPr>
      <w:r>
        <w:rPr>
          <w:noProof/>
        </w:rPr>
        <w:drawing>
          <wp:inline distT="0" distB="0" distL="0" distR="0" wp14:anchorId="744173B9" wp14:editId="2B2D0875">
            <wp:extent cx="2952750" cy="2733675"/>
            <wp:effectExtent l="0" t="0" r="0" b="9525"/>
            <wp:docPr id="29" name="Graf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r w:rsidR="00DF4680">
        <w:rPr>
          <w:noProof/>
        </w:rPr>
        <w:drawing>
          <wp:inline distT="0" distB="0" distL="0" distR="0" wp14:anchorId="551EAA25" wp14:editId="579D5E37">
            <wp:extent cx="3143250" cy="2733675"/>
            <wp:effectExtent l="0" t="0" r="0" b="9525"/>
            <wp:docPr id="33" name="Graf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3EF35AD" w14:textId="2EF093B3" w:rsidR="00FF6B7E" w:rsidRPr="00D27C4D" w:rsidRDefault="00FF6B7E" w:rsidP="00CF27F9">
      <w:pPr>
        <w:spacing w:after="120"/>
        <w:jc w:val="right"/>
        <w:rPr>
          <w:rFonts w:cs="Arial"/>
          <w:szCs w:val="20"/>
        </w:rPr>
      </w:pPr>
      <w:r w:rsidRPr="001F37DD">
        <w:rPr>
          <w:noProof/>
          <w:lang w:val="en-US" w:eastAsia="en-US"/>
        </w:rPr>
        <w:t xml:space="preserve"> </w:t>
      </w:r>
      <w:r w:rsidRPr="00F94849">
        <w:rPr>
          <w:rFonts w:cs="Arial"/>
          <w:sz w:val="18"/>
        </w:rPr>
        <w:t>Zdroj: ČSÚ</w:t>
      </w:r>
      <w:r w:rsidRPr="00F94849">
        <w:rPr>
          <w:rFonts w:cs="Arial"/>
          <w:noProof/>
        </w:rPr>
        <w:t xml:space="preserve"> </w:t>
      </w:r>
      <w:r w:rsidRPr="00307699">
        <w:rPr>
          <w:rFonts w:cs="Arial"/>
          <w:sz w:val="18"/>
        </w:rPr>
        <w:t>podle údajů MŠMT</w:t>
      </w:r>
    </w:p>
    <w:p w14:paraId="6C06ACBB" w14:textId="19592EB1" w:rsidR="00203E1E" w:rsidRDefault="008F41A4" w:rsidP="00FF6B7E">
      <w:pPr>
        <w:spacing w:after="120"/>
        <w:jc w:val="both"/>
        <w:rPr>
          <w:rFonts w:cs="Arial"/>
          <w:szCs w:val="20"/>
        </w:rPr>
      </w:pPr>
      <w:r>
        <w:rPr>
          <w:rFonts w:cs="Arial"/>
          <w:szCs w:val="20"/>
        </w:rPr>
        <w:t>Podíl žáků se zdravotním postižením ve školách veřejného zřiz</w:t>
      </w:r>
      <w:r w:rsidR="00B17124">
        <w:rPr>
          <w:rFonts w:cs="Arial"/>
          <w:szCs w:val="20"/>
        </w:rPr>
        <w:t>ovatele byl ve školním roce 2021/22</w:t>
      </w:r>
      <w:r w:rsidR="00203E1E">
        <w:rPr>
          <w:rFonts w:cs="Arial"/>
          <w:szCs w:val="20"/>
        </w:rPr>
        <w:t xml:space="preserve"> přitom nižší (11,5</w:t>
      </w:r>
      <w:r>
        <w:rPr>
          <w:rFonts w:cs="Arial"/>
          <w:szCs w:val="20"/>
        </w:rPr>
        <w:t> %) než ve šk</w:t>
      </w:r>
      <w:r w:rsidR="00203E1E">
        <w:rPr>
          <w:rFonts w:cs="Arial"/>
          <w:szCs w:val="20"/>
        </w:rPr>
        <w:t>olách zřizovatele soukromého (13,9 %) a církevního (19,5</w:t>
      </w:r>
      <w:r>
        <w:rPr>
          <w:rFonts w:cs="Arial"/>
          <w:szCs w:val="20"/>
        </w:rPr>
        <w:t> %).</w:t>
      </w:r>
    </w:p>
    <w:p w14:paraId="6AEB255B" w14:textId="43E929D4" w:rsidR="00FF6B7E" w:rsidRDefault="00FA104E" w:rsidP="00FF6B7E">
      <w:pPr>
        <w:spacing w:after="120"/>
        <w:jc w:val="both"/>
        <w:rPr>
          <w:rFonts w:cs="Arial"/>
          <w:szCs w:val="20"/>
        </w:rPr>
      </w:pPr>
      <w:r w:rsidRPr="003F00C0">
        <w:rPr>
          <w:rFonts w:cs="Arial"/>
          <w:szCs w:val="20"/>
        </w:rPr>
        <w:t xml:space="preserve">Podíl žáků se zdravotním postižením </w:t>
      </w:r>
      <w:r w:rsidRPr="003F00C0">
        <w:rPr>
          <w:rFonts w:cs="Arial"/>
          <w:b/>
          <w:szCs w:val="20"/>
        </w:rPr>
        <w:t>integrovaný</w:t>
      </w:r>
      <w:r w:rsidRPr="00FA104E">
        <w:rPr>
          <w:rFonts w:cs="Arial"/>
          <w:b/>
          <w:szCs w:val="20"/>
        </w:rPr>
        <w:t xml:space="preserve"> do běžných tříd základní školy</w:t>
      </w:r>
      <w:r>
        <w:rPr>
          <w:rFonts w:cs="Arial"/>
          <w:szCs w:val="20"/>
        </w:rPr>
        <w:t xml:space="preserve"> </w:t>
      </w:r>
      <w:r w:rsidR="003F00C0">
        <w:rPr>
          <w:rFonts w:cs="Arial"/>
          <w:szCs w:val="20"/>
        </w:rPr>
        <w:t xml:space="preserve">od  školního roku 2011/12 do školního roku 2020/21 rostl, a sice z 54,5 % na 76,5 %. Poté se </w:t>
      </w:r>
      <w:r w:rsidR="00FD1E73">
        <w:rPr>
          <w:rFonts w:cs="Arial"/>
          <w:szCs w:val="20"/>
        </w:rPr>
        <w:t>ve školním roce 2021/22</w:t>
      </w:r>
      <w:r w:rsidR="003F00C0">
        <w:rPr>
          <w:rFonts w:cs="Arial"/>
          <w:szCs w:val="20"/>
        </w:rPr>
        <w:t xml:space="preserve"> mírně snížil na 75,4 %</w:t>
      </w:r>
      <w:r>
        <w:rPr>
          <w:rFonts w:cs="Arial"/>
          <w:szCs w:val="20"/>
        </w:rPr>
        <w:t>.</w:t>
      </w:r>
      <w:r w:rsidR="00AB6565">
        <w:rPr>
          <w:rStyle w:val="Znakapoznpodarou"/>
          <w:rFonts w:cs="Arial"/>
          <w:szCs w:val="20"/>
        </w:rPr>
        <w:footnoteReference w:id="30"/>
      </w:r>
      <w:r w:rsidR="00FF6B7E">
        <w:rPr>
          <w:rFonts w:cs="Arial"/>
          <w:szCs w:val="20"/>
        </w:rPr>
        <w:t xml:space="preserve">  </w:t>
      </w:r>
    </w:p>
    <w:p w14:paraId="5A050965" w14:textId="01F5F73C" w:rsidR="00FF6B7E" w:rsidRDefault="00FF6B7E" w:rsidP="00FD1E73">
      <w:pPr>
        <w:keepNext/>
        <w:spacing w:after="120"/>
        <w:jc w:val="both"/>
        <w:rPr>
          <w:rFonts w:cs="Arial"/>
          <w:b/>
          <w:szCs w:val="20"/>
        </w:rPr>
      </w:pPr>
      <w:r w:rsidRPr="002E5300">
        <w:rPr>
          <w:rFonts w:cs="Arial"/>
          <w:b/>
          <w:szCs w:val="20"/>
        </w:rPr>
        <w:t xml:space="preserve">Graf </w:t>
      </w:r>
      <w:r w:rsidR="00DE3364">
        <w:rPr>
          <w:rFonts w:cs="Arial"/>
          <w:b/>
          <w:szCs w:val="20"/>
        </w:rPr>
        <w:t>2.3</w:t>
      </w:r>
      <w:r w:rsidR="00852E72">
        <w:rPr>
          <w:rFonts w:cs="Arial"/>
          <w:b/>
          <w:szCs w:val="20"/>
        </w:rPr>
        <w:t>5</w:t>
      </w:r>
      <w:r w:rsidRPr="002E5300">
        <w:rPr>
          <w:rFonts w:cs="Arial"/>
          <w:b/>
          <w:szCs w:val="20"/>
        </w:rPr>
        <w:t xml:space="preserve"> </w:t>
      </w:r>
      <w:r>
        <w:rPr>
          <w:rFonts w:cs="Arial"/>
          <w:b/>
          <w:szCs w:val="20"/>
        </w:rPr>
        <w:t xml:space="preserve">Žáci </w:t>
      </w:r>
      <w:r w:rsidRPr="00580AB4">
        <w:rPr>
          <w:rFonts w:cs="Arial"/>
          <w:b/>
          <w:szCs w:val="20"/>
        </w:rPr>
        <w:t xml:space="preserve">se zdravotním postižením </w:t>
      </w:r>
      <w:r>
        <w:rPr>
          <w:rFonts w:cs="Arial"/>
          <w:b/>
          <w:szCs w:val="20"/>
        </w:rPr>
        <w:t>integrovaní v běžných třídách základních škol</w:t>
      </w:r>
    </w:p>
    <w:p w14:paraId="5199FFD8" w14:textId="07678933" w:rsidR="001C26E8" w:rsidRDefault="001C26E8" w:rsidP="00FF6B7E">
      <w:pPr>
        <w:spacing w:after="120"/>
        <w:jc w:val="both"/>
        <w:rPr>
          <w:rFonts w:cs="Arial"/>
          <w:b/>
          <w:szCs w:val="20"/>
        </w:rPr>
      </w:pPr>
      <w:r>
        <w:rPr>
          <w:noProof/>
        </w:rPr>
        <w:drawing>
          <wp:inline distT="0" distB="0" distL="0" distR="0" wp14:anchorId="2A071F2D" wp14:editId="539F2E3F">
            <wp:extent cx="6011545" cy="2838450"/>
            <wp:effectExtent l="0" t="0" r="8255" b="0"/>
            <wp:docPr id="34" name="Graf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AE7B213" w14:textId="35174C59" w:rsidR="00FF6B7E" w:rsidRPr="00FA104E" w:rsidRDefault="00FF6B7E" w:rsidP="006401AF">
      <w:pPr>
        <w:spacing w:after="120"/>
        <w:jc w:val="right"/>
        <w:rPr>
          <w:rFonts w:cs="Arial"/>
          <w:b/>
          <w:szCs w:val="20"/>
        </w:rPr>
      </w:pPr>
      <w:r w:rsidRPr="00F94849">
        <w:rPr>
          <w:rFonts w:cs="Arial"/>
          <w:sz w:val="18"/>
        </w:rPr>
        <w:t>Zdroj: ČSÚ</w:t>
      </w:r>
      <w:r w:rsidRPr="00F94849">
        <w:rPr>
          <w:rFonts w:cs="Arial"/>
          <w:noProof/>
        </w:rPr>
        <w:t xml:space="preserve"> </w:t>
      </w:r>
      <w:r w:rsidRPr="00307699">
        <w:rPr>
          <w:rFonts w:cs="Arial"/>
          <w:sz w:val="18"/>
        </w:rPr>
        <w:t>podle údajů MŠMT</w:t>
      </w:r>
    </w:p>
    <w:p w14:paraId="65A75F49" w14:textId="68BAC7B4" w:rsidR="00FF6B7E" w:rsidRPr="00EF1FDF" w:rsidRDefault="00FF6B7E" w:rsidP="00FF6B7E">
      <w:pPr>
        <w:spacing w:after="120"/>
        <w:jc w:val="both"/>
        <w:rPr>
          <w:rFonts w:cs="Arial"/>
          <w:szCs w:val="20"/>
        </w:rPr>
      </w:pPr>
      <w:r>
        <w:rPr>
          <w:rFonts w:cs="Arial"/>
          <w:b/>
          <w:szCs w:val="20"/>
        </w:rPr>
        <w:t>V p</w:t>
      </w:r>
      <w:r w:rsidRPr="004D22C0">
        <w:rPr>
          <w:rFonts w:cs="Arial"/>
          <w:b/>
          <w:szCs w:val="20"/>
        </w:rPr>
        <w:t>odíl</w:t>
      </w:r>
      <w:r>
        <w:rPr>
          <w:rFonts w:cs="Arial"/>
          <w:b/>
          <w:szCs w:val="20"/>
        </w:rPr>
        <w:t>u</w:t>
      </w:r>
      <w:r w:rsidRPr="004D22C0">
        <w:rPr>
          <w:rFonts w:cs="Arial"/>
          <w:b/>
          <w:szCs w:val="20"/>
        </w:rPr>
        <w:t xml:space="preserve"> </w:t>
      </w:r>
      <w:r>
        <w:rPr>
          <w:rFonts w:cs="Arial"/>
          <w:b/>
          <w:szCs w:val="20"/>
        </w:rPr>
        <w:t xml:space="preserve">žáků </w:t>
      </w:r>
      <w:r w:rsidRPr="004D22C0">
        <w:rPr>
          <w:rFonts w:cs="Arial"/>
          <w:b/>
          <w:szCs w:val="20"/>
        </w:rPr>
        <w:t xml:space="preserve">se zdravotním postižením </w:t>
      </w:r>
      <w:r>
        <w:rPr>
          <w:rFonts w:cs="Arial"/>
          <w:b/>
          <w:szCs w:val="20"/>
        </w:rPr>
        <w:t>ze všech žáků základních škol se od sebe jednotlivé kraje ČR liší.</w:t>
      </w:r>
      <w:r w:rsidRPr="00EF1FDF">
        <w:rPr>
          <w:rFonts w:cs="Arial"/>
          <w:szCs w:val="20"/>
        </w:rPr>
        <w:t xml:space="preserve"> </w:t>
      </w:r>
      <w:r w:rsidR="00DF4FB7">
        <w:rPr>
          <w:rFonts w:cs="Arial"/>
          <w:szCs w:val="20"/>
        </w:rPr>
        <w:t>To m</w:t>
      </w:r>
      <w:r w:rsidR="00DF4FB7" w:rsidRPr="00DF4FB7">
        <w:rPr>
          <w:rFonts w:cs="Arial"/>
          <w:szCs w:val="20"/>
        </w:rPr>
        <w:t>ůže souviset i s odlišným výkladem metodiky klasifikace postižení a odlišným přístupem poradenských zařízení spadající pod jednotlivé kraje</w:t>
      </w:r>
      <w:r w:rsidR="00DF4FB7">
        <w:rPr>
          <w:rFonts w:cs="Arial"/>
          <w:szCs w:val="20"/>
        </w:rPr>
        <w:t>.</w:t>
      </w:r>
      <w:r w:rsidR="00DF4FB7" w:rsidRPr="00DF4FB7">
        <w:rPr>
          <w:rFonts w:cs="Arial"/>
          <w:szCs w:val="20"/>
        </w:rPr>
        <w:t xml:space="preserve"> </w:t>
      </w:r>
      <w:r w:rsidRPr="00EF1FDF">
        <w:rPr>
          <w:rFonts w:cs="Arial"/>
          <w:szCs w:val="20"/>
        </w:rPr>
        <w:t>Zatímco v </w:t>
      </w:r>
      <w:r>
        <w:rPr>
          <w:rFonts w:cs="Arial"/>
          <w:szCs w:val="20"/>
        </w:rPr>
        <w:t>Jihočeském</w:t>
      </w:r>
      <w:r w:rsidRPr="00EF1FDF">
        <w:rPr>
          <w:rFonts w:cs="Arial"/>
          <w:szCs w:val="20"/>
        </w:rPr>
        <w:t xml:space="preserve"> kraji </w:t>
      </w:r>
      <w:r>
        <w:rPr>
          <w:rFonts w:cs="Arial"/>
          <w:szCs w:val="20"/>
        </w:rPr>
        <w:t xml:space="preserve">tvořili žáci s postižením jen </w:t>
      </w:r>
      <w:r w:rsidR="003F00C0">
        <w:rPr>
          <w:rFonts w:cs="Arial"/>
          <w:szCs w:val="20"/>
        </w:rPr>
        <w:lastRenderedPageBreak/>
        <w:t>9,3</w:t>
      </w:r>
      <w:r>
        <w:rPr>
          <w:rFonts w:cs="Arial"/>
          <w:szCs w:val="20"/>
        </w:rPr>
        <w:t xml:space="preserve"> % všech žáků základních škol, v kraji Karlovarském byl jejich podíl </w:t>
      </w:r>
      <w:r w:rsidR="002E2D1F">
        <w:rPr>
          <w:rFonts w:cs="Arial"/>
          <w:szCs w:val="20"/>
        </w:rPr>
        <w:t>16</w:t>
      </w:r>
      <w:r w:rsidR="006401AF">
        <w:rPr>
          <w:rFonts w:cs="Arial"/>
          <w:szCs w:val="20"/>
        </w:rPr>
        <w:t>,0</w:t>
      </w:r>
      <w:r w:rsidR="003F00C0">
        <w:rPr>
          <w:rFonts w:cs="Arial"/>
          <w:szCs w:val="20"/>
        </w:rPr>
        <w:t xml:space="preserve"> % a vyšší než osminový podíl těchto žáků byl též v kraji Ústeckém, Královéhradeckém, Olomouckém a Libereckém. </w:t>
      </w:r>
      <w:r w:rsidR="00D0203C">
        <w:rPr>
          <w:rFonts w:cs="Arial"/>
          <w:szCs w:val="20"/>
        </w:rPr>
        <w:t xml:space="preserve">V ostatních krajích se pohyboval mezi 10 a 12 %. </w:t>
      </w:r>
      <w:r>
        <w:rPr>
          <w:rFonts w:cs="Arial"/>
          <w:szCs w:val="20"/>
        </w:rPr>
        <w:t>Ve všech krajíc</w:t>
      </w:r>
      <w:r w:rsidR="003F00C0">
        <w:rPr>
          <w:rFonts w:cs="Arial"/>
          <w:szCs w:val="20"/>
        </w:rPr>
        <w:t xml:space="preserve">h pak platí, že podíl chlapců </w:t>
      </w:r>
      <w:r w:rsidR="003F00C0" w:rsidRPr="003F00C0">
        <w:t>s</w:t>
      </w:r>
      <w:r w:rsidR="003F00C0">
        <w:t> </w:t>
      </w:r>
      <w:r w:rsidR="00716502" w:rsidRPr="003F00C0">
        <w:t>diagnostikovaným</w:t>
      </w:r>
      <w:r>
        <w:rPr>
          <w:rFonts w:cs="Arial"/>
          <w:szCs w:val="20"/>
        </w:rPr>
        <w:t xml:space="preserve"> zdravotním postižením ze všech chlapců zapsaných v základních školách byl výrazně vyšší, než jak tomu bylo u dívek</w:t>
      </w:r>
      <w:r w:rsidRPr="00EF1FDF">
        <w:rPr>
          <w:rFonts w:cs="Arial"/>
          <w:szCs w:val="20"/>
        </w:rPr>
        <w:t>.</w:t>
      </w:r>
      <w:r>
        <w:rPr>
          <w:rFonts w:cs="Arial"/>
          <w:szCs w:val="20"/>
        </w:rPr>
        <w:t xml:space="preserve"> </w:t>
      </w:r>
    </w:p>
    <w:p w14:paraId="60FF724C" w14:textId="080248AA" w:rsidR="00FF6B7E" w:rsidRPr="00805D5B" w:rsidRDefault="00867384" w:rsidP="008874BD">
      <w:pPr>
        <w:keepNext/>
        <w:spacing w:after="0" w:line="276" w:lineRule="auto"/>
        <w:rPr>
          <w:rFonts w:cs="Arial"/>
          <w:b/>
          <w:noProof/>
          <w:szCs w:val="20"/>
        </w:rPr>
      </w:pPr>
      <w:r>
        <w:rPr>
          <w:rFonts w:cs="Arial"/>
          <w:b/>
          <w:noProof/>
          <w:szCs w:val="20"/>
        </w:rPr>
        <w:t>Graf 2.35</w:t>
      </w:r>
      <w:r w:rsidR="00FF6B7E" w:rsidRPr="00C2052D">
        <w:rPr>
          <w:rFonts w:cs="Arial"/>
          <w:b/>
          <w:noProof/>
          <w:szCs w:val="20"/>
        </w:rPr>
        <w:t xml:space="preserve"> Žáci se zdravotním postižením na základních školách </w:t>
      </w:r>
      <w:r w:rsidR="00610DCE">
        <w:rPr>
          <w:rFonts w:cs="Arial"/>
          <w:b/>
          <w:noProof/>
          <w:szCs w:val="20"/>
        </w:rPr>
        <w:t>- dle sídla školy</w:t>
      </w:r>
      <w:r w:rsidR="002E2D1F">
        <w:rPr>
          <w:rFonts w:cs="Arial"/>
          <w:b/>
          <w:noProof/>
          <w:szCs w:val="20"/>
        </w:rPr>
        <w:t xml:space="preserve"> </w:t>
      </w:r>
      <w:r w:rsidR="00610DCE">
        <w:rPr>
          <w:rFonts w:cs="Arial"/>
          <w:b/>
          <w:noProof/>
          <w:szCs w:val="20"/>
        </w:rPr>
        <w:t>(</w:t>
      </w:r>
      <w:r w:rsidR="003F00C0">
        <w:rPr>
          <w:rFonts w:cs="Arial"/>
          <w:b/>
          <w:noProof/>
          <w:szCs w:val="20"/>
        </w:rPr>
        <w:t>2021/22</w:t>
      </w:r>
      <w:r w:rsidR="00610DCE">
        <w:rPr>
          <w:rFonts w:cs="Arial"/>
          <w:b/>
          <w:noProof/>
          <w:szCs w:val="20"/>
        </w:rPr>
        <w:t>)</w:t>
      </w:r>
      <w:r w:rsidR="00FF6B7E" w:rsidRPr="00C2052D">
        <w:rPr>
          <w:rFonts w:cs="Arial"/>
          <w:b/>
          <w:noProof/>
          <w:szCs w:val="20"/>
        </w:rPr>
        <w:t xml:space="preserve"> </w:t>
      </w:r>
    </w:p>
    <w:p w14:paraId="42D0B456" w14:textId="778A0630" w:rsidR="00FF6B7E" w:rsidRDefault="00FF6B7E" w:rsidP="008874BD">
      <w:pPr>
        <w:keepNext/>
        <w:spacing w:after="0" w:line="276" w:lineRule="auto"/>
        <w:rPr>
          <w:rFonts w:cs="Arial"/>
          <w:i/>
          <w:noProof/>
          <w:szCs w:val="20"/>
        </w:rPr>
      </w:pPr>
      <w:r w:rsidRPr="00C2052D">
        <w:rPr>
          <w:rFonts w:cs="Arial"/>
          <w:i/>
          <w:noProof/>
          <w:szCs w:val="20"/>
        </w:rPr>
        <w:t>(podíly na celkovém počtu žáků na základních školách v daném kraji)</w:t>
      </w:r>
    </w:p>
    <w:p w14:paraId="5B8AE200" w14:textId="5596D2A7" w:rsidR="002E2D1F" w:rsidRDefault="003F00C0" w:rsidP="003F00C0">
      <w:pPr>
        <w:keepNext/>
        <w:spacing w:after="0" w:line="276" w:lineRule="auto"/>
        <w:rPr>
          <w:rFonts w:cs="Arial"/>
          <w:i/>
          <w:noProof/>
          <w:szCs w:val="20"/>
        </w:rPr>
      </w:pPr>
      <w:r>
        <w:rPr>
          <w:noProof/>
        </w:rPr>
        <mc:AlternateContent>
          <mc:Choice Requires="wps">
            <w:drawing>
              <wp:anchor distT="0" distB="0" distL="114300" distR="114300" simplePos="0" relativeHeight="251666432" behindDoc="0" locked="0" layoutInCell="1" allowOverlap="1" wp14:anchorId="161C2EA2" wp14:editId="2ADF765B">
                <wp:simplePos x="0" y="0"/>
                <wp:positionH relativeFrom="column">
                  <wp:posOffset>2623184</wp:posOffset>
                </wp:positionH>
                <wp:positionV relativeFrom="paragraph">
                  <wp:posOffset>73660</wp:posOffset>
                </wp:positionV>
                <wp:extent cx="390525" cy="1476375"/>
                <wp:effectExtent l="57150" t="19050" r="85725" b="104775"/>
                <wp:wrapNone/>
                <wp:docPr id="45" name="Obdélník 45"/>
                <wp:cNvGraphicFramePr/>
                <a:graphic xmlns:a="http://schemas.openxmlformats.org/drawingml/2006/main">
                  <a:graphicData uri="http://schemas.microsoft.com/office/word/2010/wordprocessingShape">
                    <wps:wsp>
                      <wps:cNvSpPr/>
                      <wps:spPr>
                        <a:xfrm>
                          <a:off x="0" y="0"/>
                          <a:ext cx="390525" cy="1476375"/>
                        </a:xfrm>
                        <a:prstGeom prst="rect">
                          <a:avLst/>
                        </a:prstGeom>
                        <a:noFill/>
                        <a:ln w="15875">
                          <a:solidFill>
                            <a:srgbClr val="FFC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C05A6" id="Obdélník 45" o:spid="_x0000_s1026" style="position:absolute;margin-left:206.55pt;margin-top:5.8pt;width:30.75pt;height:116.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" filled="f" strokecolor="#ffc000" strokeweight="1.25pt">
                <v:shadow on="t" color="black" opacity="22937f" origin=",.5" offset="0,.63889mm"/>
              </v:rect>
            </w:pict>
          </mc:Fallback>
        </mc:AlternateContent>
      </w:r>
      <w:r>
        <w:rPr>
          <w:noProof/>
        </w:rPr>
        <w:drawing>
          <wp:inline distT="0" distB="0" distL="0" distR="0" wp14:anchorId="24D8610F" wp14:editId="2ED1AA5E">
            <wp:extent cx="6105525" cy="2352675"/>
            <wp:effectExtent l="0" t="0" r="9525" b="9525"/>
            <wp:docPr id="37" name="Graf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5BA32234" w14:textId="62A98AFC" w:rsidR="00FF6B7E" w:rsidRPr="006401AF" w:rsidRDefault="00FF6B7E" w:rsidP="00FF6B7E">
      <w:pPr>
        <w:spacing w:after="0" w:line="276" w:lineRule="auto"/>
        <w:rPr>
          <w:rFonts w:cs="Arial"/>
          <w:i/>
          <w:noProof/>
          <w:sz w:val="12"/>
          <w:szCs w:val="12"/>
        </w:rPr>
      </w:pPr>
    </w:p>
    <w:p w14:paraId="1C64125D" w14:textId="77777777" w:rsidR="00FF6B7E" w:rsidRPr="00721BAC" w:rsidRDefault="00FF6B7E" w:rsidP="006401AF">
      <w:pPr>
        <w:spacing w:after="120"/>
        <w:jc w:val="right"/>
        <w:rPr>
          <w:rFonts w:cs="Arial"/>
          <w:sz w:val="18"/>
        </w:rPr>
      </w:pPr>
      <w:r w:rsidRPr="00721BAC">
        <w:rPr>
          <w:rFonts w:cs="Arial"/>
          <w:sz w:val="18"/>
        </w:rPr>
        <w:t>Zdroj: MŠMT a vlastní dopočty ČSÚ</w:t>
      </w:r>
    </w:p>
    <w:p w14:paraId="03D2BDAB" w14:textId="13D735D4" w:rsidR="00967556" w:rsidRDefault="00FF6B7E" w:rsidP="007A7C30">
      <w:pPr>
        <w:spacing w:after="120"/>
        <w:jc w:val="both"/>
      </w:pPr>
      <w:r w:rsidRPr="00E0296B">
        <w:rPr>
          <w:rFonts w:cs="Arial"/>
          <w:szCs w:val="20"/>
        </w:rPr>
        <w:t xml:space="preserve">Tabulka </w:t>
      </w:r>
      <w:r>
        <w:rPr>
          <w:rFonts w:cs="Arial"/>
          <w:szCs w:val="20"/>
        </w:rPr>
        <w:t>2.5</w:t>
      </w:r>
      <w:r w:rsidRPr="00E0296B">
        <w:rPr>
          <w:rFonts w:cs="Arial"/>
          <w:szCs w:val="20"/>
        </w:rPr>
        <w:t xml:space="preserve"> uvádí kromě celkového počtu žáků s</w:t>
      </w:r>
      <w:r w:rsidR="00D222BB">
        <w:rPr>
          <w:rFonts w:cs="Arial"/>
          <w:szCs w:val="20"/>
        </w:rPr>
        <w:t xml:space="preserve"> diagnostikovaným </w:t>
      </w:r>
      <w:r w:rsidRPr="00E0296B">
        <w:rPr>
          <w:rFonts w:cs="Arial"/>
          <w:szCs w:val="20"/>
        </w:rPr>
        <w:t>po</w:t>
      </w:r>
      <w:r w:rsidR="00F96DEA">
        <w:rPr>
          <w:rFonts w:cs="Arial"/>
          <w:szCs w:val="20"/>
        </w:rPr>
        <w:t>s</w:t>
      </w:r>
      <w:r w:rsidR="00556B98">
        <w:rPr>
          <w:rFonts w:cs="Arial"/>
          <w:szCs w:val="20"/>
        </w:rPr>
        <w:t>tižením ve školních rocích 2011/12</w:t>
      </w:r>
      <w:r w:rsidRPr="00E0296B">
        <w:rPr>
          <w:rFonts w:cs="Arial"/>
          <w:szCs w:val="20"/>
        </w:rPr>
        <w:t>, 201</w:t>
      </w:r>
      <w:r w:rsidR="00556B98">
        <w:rPr>
          <w:rFonts w:cs="Arial"/>
          <w:szCs w:val="20"/>
        </w:rPr>
        <w:t>6/17 a 2021/22</w:t>
      </w:r>
      <w:r w:rsidRPr="00E0296B">
        <w:rPr>
          <w:rFonts w:cs="Arial"/>
          <w:szCs w:val="20"/>
        </w:rPr>
        <w:t xml:space="preserve"> i podíl žáků s různými druhy postižení z tohoto celku. Jak je patrné, ve všech sledovaných školních rocích zaujímali žáci se závažnými poruchami učení </w:t>
      </w:r>
      <w:r w:rsidR="00556B98">
        <w:rPr>
          <w:rFonts w:cs="Arial"/>
          <w:szCs w:val="20"/>
        </w:rPr>
        <w:t>dvě pětiny až</w:t>
      </w:r>
      <w:r w:rsidRPr="00E0296B">
        <w:rPr>
          <w:rFonts w:cs="Arial"/>
          <w:szCs w:val="20"/>
        </w:rPr>
        <w:t xml:space="preserve"> polo</w:t>
      </w:r>
      <w:r w:rsidR="00F96DEA">
        <w:rPr>
          <w:rFonts w:cs="Arial"/>
          <w:szCs w:val="20"/>
        </w:rPr>
        <w:t>vinu všech žáků s</w:t>
      </w:r>
      <w:r w:rsidR="00556B98">
        <w:rPr>
          <w:rFonts w:cs="Arial"/>
          <w:szCs w:val="20"/>
        </w:rPr>
        <w:t> </w:t>
      </w:r>
      <w:r w:rsidR="00F96DEA">
        <w:rPr>
          <w:rFonts w:cs="Arial"/>
          <w:szCs w:val="20"/>
        </w:rPr>
        <w:t>postižením</w:t>
      </w:r>
      <w:r w:rsidR="00556B98">
        <w:rPr>
          <w:rFonts w:cs="Arial"/>
          <w:szCs w:val="20"/>
        </w:rPr>
        <w:t xml:space="preserve">. V čase má však jejich podíl tendenci klesat, a sice </w:t>
      </w:r>
      <w:r w:rsidR="00D0203C">
        <w:rPr>
          <w:rFonts w:cs="Arial"/>
          <w:szCs w:val="20"/>
        </w:rPr>
        <w:t xml:space="preserve">celkově </w:t>
      </w:r>
      <w:r w:rsidR="00556B98">
        <w:rPr>
          <w:rFonts w:cs="Arial"/>
          <w:szCs w:val="20"/>
        </w:rPr>
        <w:t>ze 47,7</w:t>
      </w:r>
      <w:r w:rsidR="00F96DEA">
        <w:rPr>
          <w:rFonts w:cs="Arial"/>
          <w:szCs w:val="20"/>
        </w:rPr>
        <w:t> %</w:t>
      </w:r>
      <w:r w:rsidR="00D0203C">
        <w:rPr>
          <w:rFonts w:cs="Arial"/>
          <w:szCs w:val="20"/>
        </w:rPr>
        <w:t xml:space="preserve"> ve školním roce 2011/12 </w:t>
      </w:r>
      <w:r w:rsidR="00556B98">
        <w:rPr>
          <w:rFonts w:cs="Arial"/>
          <w:szCs w:val="20"/>
        </w:rPr>
        <w:t>na 42,7 % ve školním roce 2021/22</w:t>
      </w:r>
      <w:r w:rsidRPr="00E0296B">
        <w:rPr>
          <w:rFonts w:cs="Arial"/>
          <w:szCs w:val="20"/>
        </w:rPr>
        <w:t>. Ve školním ro</w:t>
      </w:r>
      <w:r w:rsidR="000C353B">
        <w:rPr>
          <w:rFonts w:cs="Arial"/>
          <w:szCs w:val="20"/>
        </w:rPr>
        <w:t>ce 2011/12</w:t>
      </w:r>
      <w:r w:rsidR="00F96DEA">
        <w:rPr>
          <w:rFonts w:cs="Arial"/>
          <w:szCs w:val="20"/>
        </w:rPr>
        <w:t xml:space="preserve"> dále tvořili</w:t>
      </w:r>
      <w:r w:rsidRPr="00E0296B">
        <w:rPr>
          <w:rFonts w:cs="Arial"/>
          <w:szCs w:val="20"/>
        </w:rPr>
        <w:t xml:space="preserve"> </w:t>
      </w:r>
      <w:r w:rsidR="000C353B">
        <w:rPr>
          <w:rFonts w:cs="Arial"/>
          <w:szCs w:val="20"/>
        </w:rPr>
        <w:t>28,2 %</w:t>
      </w:r>
      <w:r w:rsidR="00F96DEA">
        <w:rPr>
          <w:rFonts w:cs="Arial"/>
          <w:szCs w:val="20"/>
        </w:rPr>
        <w:t xml:space="preserve"> žáci s mentálním postižením</w:t>
      </w:r>
      <w:r w:rsidR="000C353B">
        <w:rPr>
          <w:rFonts w:cs="Arial"/>
          <w:szCs w:val="20"/>
        </w:rPr>
        <w:t>. T</w:t>
      </w:r>
      <w:r w:rsidRPr="00E0296B">
        <w:rPr>
          <w:rFonts w:cs="Arial"/>
          <w:szCs w:val="20"/>
        </w:rPr>
        <w:t>ento p</w:t>
      </w:r>
      <w:r w:rsidR="00F96DEA">
        <w:rPr>
          <w:rFonts w:cs="Arial"/>
          <w:szCs w:val="20"/>
        </w:rPr>
        <w:t xml:space="preserve">odíl </w:t>
      </w:r>
      <w:r w:rsidR="000C353B">
        <w:rPr>
          <w:rFonts w:cs="Arial"/>
          <w:szCs w:val="20"/>
        </w:rPr>
        <w:t>pak v čase klesal až na 13,6</w:t>
      </w:r>
      <w:r w:rsidR="00F96DEA">
        <w:rPr>
          <w:rFonts w:cs="Arial"/>
          <w:szCs w:val="20"/>
        </w:rPr>
        <w:t> % ve školním roc</w:t>
      </w:r>
      <w:r w:rsidR="000C353B">
        <w:rPr>
          <w:rFonts w:cs="Arial"/>
          <w:szCs w:val="20"/>
        </w:rPr>
        <w:t>e 2020/21. Ve školním roce 2021/22 proto zaujímali větší podíl žáků s postižením</w:t>
      </w:r>
      <w:r w:rsidRPr="00E0296B">
        <w:rPr>
          <w:rFonts w:cs="Arial"/>
          <w:szCs w:val="20"/>
        </w:rPr>
        <w:t xml:space="preserve"> žáci se závažnými vývojovými poruchami chování</w:t>
      </w:r>
      <w:r w:rsidR="00F96DEA">
        <w:rPr>
          <w:rFonts w:cs="Arial"/>
          <w:szCs w:val="20"/>
        </w:rPr>
        <w:t xml:space="preserve"> (17,0</w:t>
      </w:r>
      <w:r w:rsidRPr="00E0296B">
        <w:rPr>
          <w:rFonts w:cs="Arial"/>
          <w:szCs w:val="20"/>
        </w:rPr>
        <w:t> %), kteří ve školním roc</w:t>
      </w:r>
      <w:r w:rsidR="00331500">
        <w:rPr>
          <w:rFonts w:cs="Arial"/>
          <w:szCs w:val="20"/>
        </w:rPr>
        <w:t>e 2011/12</w:t>
      </w:r>
      <w:r w:rsidR="009B545D">
        <w:rPr>
          <w:rFonts w:cs="Arial"/>
          <w:szCs w:val="20"/>
        </w:rPr>
        <w:t xml:space="preserve"> tvořili pouze </w:t>
      </w:r>
      <w:r w:rsidR="000C353B">
        <w:rPr>
          <w:rFonts w:cs="Arial"/>
          <w:szCs w:val="20"/>
        </w:rPr>
        <w:t>5,1</w:t>
      </w:r>
      <w:r w:rsidR="009B545D">
        <w:rPr>
          <w:rFonts w:cs="Arial"/>
          <w:szCs w:val="20"/>
        </w:rPr>
        <w:t xml:space="preserve"> %. </w:t>
      </w:r>
      <w:r w:rsidR="000C353B">
        <w:rPr>
          <w:rFonts w:cs="Arial"/>
          <w:szCs w:val="20"/>
        </w:rPr>
        <w:t>Více než desetinový podíl žáků s postižením zaujímali ve školním roce 2021/22 také žáci se závažnými vadami řeči (10,9 %), jejichž počet se za posledních deset let zčtyřnásobil (z 2 935 žáků ve školním roce 2011/12 na 12 202 žáků ve školním roce 2021/22). Žáci s jinými druhy postižení (s výjimkou kategorie postižených více vadami) již zaujímali méně než pětiprocentní podíl.</w:t>
      </w:r>
    </w:p>
    <w:p w14:paraId="03FCFC0E" w14:textId="43B9664B" w:rsidR="00FF6B7E" w:rsidRDefault="00FF6B7E" w:rsidP="00FF6B7E">
      <w:pPr>
        <w:spacing w:after="120"/>
        <w:jc w:val="both"/>
        <w:rPr>
          <w:rFonts w:cs="Arial"/>
          <w:b/>
          <w:szCs w:val="20"/>
        </w:rPr>
      </w:pPr>
      <w:r w:rsidRPr="00FF3C6B">
        <w:rPr>
          <w:rFonts w:cs="Arial"/>
          <w:b/>
          <w:szCs w:val="20"/>
        </w:rPr>
        <w:t xml:space="preserve">Tab. </w:t>
      </w:r>
      <w:r>
        <w:rPr>
          <w:rFonts w:cs="Arial"/>
          <w:b/>
          <w:szCs w:val="20"/>
        </w:rPr>
        <w:t>2.5</w:t>
      </w:r>
      <w:r w:rsidRPr="00FF3C6B">
        <w:rPr>
          <w:rFonts w:cs="Arial"/>
          <w:b/>
          <w:szCs w:val="20"/>
        </w:rPr>
        <w:t xml:space="preserve"> </w:t>
      </w:r>
      <w:r w:rsidR="005524F6">
        <w:rPr>
          <w:rFonts w:cs="Arial"/>
          <w:b/>
          <w:szCs w:val="20"/>
        </w:rPr>
        <w:t>Žáci</w:t>
      </w:r>
      <w:r w:rsidRPr="00BA6D11">
        <w:rPr>
          <w:rFonts w:cs="Arial"/>
          <w:b/>
          <w:szCs w:val="20"/>
        </w:rPr>
        <w:t xml:space="preserve"> </w:t>
      </w:r>
      <w:r>
        <w:rPr>
          <w:rFonts w:cs="Arial"/>
          <w:b/>
          <w:szCs w:val="20"/>
        </w:rPr>
        <w:t xml:space="preserve">se zdravotním postižením </w:t>
      </w:r>
      <w:r w:rsidRPr="00BA6D11">
        <w:rPr>
          <w:rFonts w:cs="Arial"/>
          <w:b/>
          <w:szCs w:val="20"/>
        </w:rPr>
        <w:t xml:space="preserve">v </w:t>
      </w:r>
      <w:r w:rsidR="0004467E">
        <w:rPr>
          <w:rFonts w:cs="Arial"/>
          <w:b/>
          <w:szCs w:val="20"/>
        </w:rPr>
        <w:t xml:space="preserve">základních </w:t>
      </w:r>
      <w:r w:rsidRPr="00BA6D11">
        <w:rPr>
          <w:rFonts w:cs="Arial"/>
          <w:b/>
          <w:szCs w:val="20"/>
        </w:rPr>
        <w:t xml:space="preserve">školách podle </w:t>
      </w:r>
      <w:r>
        <w:rPr>
          <w:rFonts w:cs="Arial"/>
          <w:b/>
          <w:szCs w:val="20"/>
        </w:rPr>
        <w:t>druhu postižení</w:t>
      </w:r>
    </w:p>
    <w:tbl>
      <w:tblPr>
        <w:tblW w:w="9639" w:type="dxa"/>
        <w:tblInd w:w="-10" w:type="dxa"/>
        <w:tblLayout w:type="fixed"/>
        <w:tblCellMar>
          <w:left w:w="70" w:type="dxa"/>
          <w:right w:w="70" w:type="dxa"/>
        </w:tblCellMar>
        <w:tblLook w:val="04A0" w:firstRow="1" w:lastRow="0" w:firstColumn="1" w:lastColumn="0" w:noHBand="0" w:noVBand="1"/>
      </w:tblPr>
      <w:tblGrid>
        <w:gridCol w:w="2552"/>
        <w:gridCol w:w="1181"/>
        <w:gridCol w:w="1181"/>
        <w:gridCol w:w="1181"/>
        <w:gridCol w:w="1181"/>
        <w:gridCol w:w="1181"/>
        <w:gridCol w:w="1182"/>
      </w:tblGrid>
      <w:tr w:rsidR="00556B98" w:rsidRPr="00556B98" w14:paraId="48DF671C" w14:textId="77777777" w:rsidTr="00556B98">
        <w:trPr>
          <w:trHeight w:val="315"/>
        </w:trPr>
        <w:tc>
          <w:tcPr>
            <w:tcW w:w="2552" w:type="dxa"/>
            <w:vMerge w:val="restart"/>
            <w:tcBorders>
              <w:top w:val="single" w:sz="8" w:space="0" w:color="auto"/>
              <w:left w:val="single" w:sz="8" w:space="0" w:color="auto"/>
              <w:bottom w:val="single" w:sz="8" w:space="0" w:color="000000"/>
              <w:right w:val="single" w:sz="8" w:space="0" w:color="auto"/>
            </w:tcBorders>
            <w:shd w:val="clear" w:color="000000" w:fill="C00000"/>
            <w:vAlign w:val="center"/>
            <w:hideMark/>
          </w:tcPr>
          <w:p w14:paraId="6D0FBC17" w14:textId="77777777" w:rsidR="00556B98" w:rsidRPr="00556B98" w:rsidRDefault="00556B98" w:rsidP="00556B98">
            <w:pPr>
              <w:spacing w:after="0" w:line="240" w:lineRule="auto"/>
              <w:jc w:val="center"/>
              <w:rPr>
                <w:rFonts w:cs="Arial"/>
                <w:b/>
                <w:bCs/>
                <w:color w:val="FFFFFF"/>
                <w:sz w:val="16"/>
                <w:szCs w:val="16"/>
              </w:rPr>
            </w:pPr>
            <w:r w:rsidRPr="00556B98">
              <w:rPr>
                <w:rFonts w:cs="Arial"/>
                <w:b/>
                <w:bCs/>
                <w:color w:val="FFFFFF"/>
                <w:sz w:val="16"/>
                <w:szCs w:val="16"/>
              </w:rPr>
              <w:t> </w:t>
            </w:r>
          </w:p>
        </w:tc>
        <w:tc>
          <w:tcPr>
            <w:tcW w:w="2362" w:type="dxa"/>
            <w:gridSpan w:val="2"/>
            <w:tcBorders>
              <w:top w:val="single" w:sz="8" w:space="0" w:color="auto"/>
              <w:left w:val="nil"/>
              <w:bottom w:val="single" w:sz="8" w:space="0" w:color="auto"/>
              <w:right w:val="single" w:sz="8" w:space="0" w:color="000000"/>
            </w:tcBorders>
            <w:shd w:val="clear" w:color="000000" w:fill="C00000"/>
            <w:vAlign w:val="center"/>
            <w:hideMark/>
          </w:tcPr>
          <w:p w14:paraId="0FAFA858" w14:textId="77777777" w:rsidR="00556B98" w:rsidRPr="00556B98" w:rsidRDefault="00556B98" w:rsidP="00556B98">
            <w:pPr>
              <w:spacing w:after="0" w:line="240" w:lineRule="auto"/>
              <w:jc w:val="center"/>
              <w:rPr>
                <w:rFonts w:cs="Arial"/>
                <w:b/>
                <w:bCs/>
                <w:color w:val="FFFFFF"/>
                <w:sz w:val="16"/>
                <w:szCs w:val="16"/>
              </w:rPr>
            </w:pPr>
            <w:r w:rsidRPr="00556B98">
              <w:rPr>
                <w:rFonts w:cs="Arial"/>
                <w:b/>
                <w:bCs/>
                <w:color w:val="FFFFFF"/>
                <w:sz w:val="16"/>
                <w:szCs w:val="16"/>
              </w:rPr>
              <w:t>2011/12</w:t>
            </w:r>
          </w:p>
        </w:tc>
        <w:tc>
          <w:tcPr>
            <w:tcW w:w="2362" w:type="dxa"/>
            <w:gridSpan w:val="2"/>
            <w:tcBorders>
              <w:top w:val="single" w:sz="8" w:space="0" w:color="auto"/>
              <w:left w:val="nil"/>
              <w:bottom w:val="single" w:sz="8" w:space="0" w:color="auto"/>
              <w:right w:val="single" w:sz="8" w:space="0" w:color="000000"/>
            </w:tcBorders>
            <w:shd w:val="clear" w:color="000000" w:fill="C00000"/>
            <w:vAlign w:val="center"/>
            <w:hideMark/>
          </w:tcPr>
          <w:p w14:paraId="60D9FC14" w14:textId="77777777" w:rsidR="00556B98" w:rsidRPr="00556B98" w:rsidRDefault="00556B98" w:rsidP="00556B98">
            <w:pPr>
              <w:spacing w:after="0" w:line="240" w:lineRule="auto"/>
              <w:jc w:val="center"/>
              <w:rPr>
                <w:rFonts w:cs="Arial"/>
                <w:b/>
                <w:bCs/>
                <w:color w:val="FFFFFF"/>
                <w:sz w:val="16"/>
                <w:szCs w:val="16"/>
              </w:rPr>
            </w:pPr>
            <w:r w:rsidRPr="00556B98">
              <w:rPr>
                <w:rFonts w:cs="Arial"/>
                <w:b/>
                <w:bCs/>
                <w:color w:val="FFFFFF"/>
                <w:sz w:val="16"/>
                <w:szCs w:val="16"/>
              </w:rPr>
              <w:t>2016/17</w:t>
            </w:r>
          </w:p>
        </w:tc>
        <w:tc>
          <w:tcPr>
            <w:tcW w:w="2363" w:type="dxa"/>
            <w:gridSpan w:val="2"/>
            <w:tcBorders>
              <w:top w:val="single" w:sz="8" w:space="0" w:color="auto"/>
              <w:left w:val="nil"/>
              <w:bottom w:val="single" w:sz="8" w:space="0" w:color="auto"/>
              <w:right w:val="single" w:sz="8" w:space="0" w:color="000000"/>
            </w:tcBorders>
            <w:shd w:val="clear" w:color="000000" w:fill="C00000"/>
            <w:vAlign w:val="center"/>
            <w:hideMark/>
          </w:tcPr>
          <w:p w14:paraId="25A86961" w14:textId="77777777" w:rsidR="00556B98" w:rsidRPr="00556B98" w:rsidRDefault="00556B98" w:rsidP="00556B98">
            <w:pPr>
              <w:spacing w:after="0" w:line="240" w:lineRule="auto"/>
              <w:jc w:val="center"/>
              <w:rPr>
                <w:rFonts w:cs="Arial"/>
                <w:b/>
                <w:bCs/>
                <w:color w:val="FFFFFF"/>
                <w:sz w:val="16"/>
                <w:szCs w:val="16"/>
              </w:rPr>
            </w:pPr>
            <w:r w:rsidRPr="00556B98">
              <w:rPr>
                <w:rFonts w:cs="Arial"/>
                <w:b/>
                <w:bCs/>
                <w:color w:val="FFFFFF"/>
                <w:sz w:val="16"/>
                <w:szCs w:val="16"/>
              </w:rPr>
              <w:t>2021/22</w:t>
            </w:r>
          </w:p>
        </w:tc>
      </w:tr>
      <w:tr w:rsidR="00556B98" w:rsidRPr="00556B98" w14:paraId="38B941F5" w14:textId="77777777" w:rsidTr="00556B98">
        <w:trPr>
          <w:trHeight w:val="315"/>
        </w:trPr>
        <w:tc>
          <w:tcPr>
            <w:tcW w:w="2552" w:type="dxa"/>
            <w:vMerge/>
            <w:tcBorders>
              <w:top w:val="single" w:sz="8" w:space="0" w:color="auto"/>
              <w:left w:val="single" w:sz="8" w:space="0" w:color="auto"/>
              <w:bottom w:val="single" w:sz="8" w:space="0" w:color="000000"/>
              <w:right w:val="single" w:sz="8" w:space="0" w:color="auto"/>
            </w:tcBorders>
            <w:vAlign w:val="center"/>
            <w:hideMark/>
          </w:tcPr>
          <w:p w14:paraId="3D8371D7" w14:textId="77777777" w:rsidR="00556B98" w:rsidRPr="00556B98" w:rsidRDefault="00556B98" w:rsidP="00556B98">
            <w:pPr>
              <w:spacing w:after="0" w:line="240" w:lineRule="auto"/>
              <w:rPr>
                <w:rFonts w:cs="Arial"/>
                <w:b/>
                <w:bCs/>
                <w:color w:val="FFFFFF"/>
                <w:sz w:val="16"/>
                <w:szCs w:val="16"/>
              </w:rPr>
            </w:pPr>
          </w:p>
        </w:tc>
        <w:tc>
          <w:tcPr>
            <w:tcW w:w="1181" w:type="dxa"/>
            <w:tcBorders>
              <w:top w:val="nil"/>
              <w:left w:val="nil"/>
              <w:bottom w:val="single" w:sz="8" w:space="0" w:color="auto"/>
              <w:right w:val="single" w:sz="8" w:space="0" w:color="auto"/>
            </w:tcBorders>
            <w:shd w:val="clear" w:color="000000" w:fill="FABF8F"/>
            <w:noWrap/>
            <w:vAlign w:val="center"/>
            <w:hideMark/>
          </w:tcPr>
          <w:p w14:paraId="76B328AF" w14:textId="77777777" w:rsidR="00556B98" w:rsidRPr="00556B98" w:rsidRDefault="00556B98" w:rsidP="00556B98">
            <w:pPr>
              <w:spacing w:after="0" w:line="240" w:lineRule="auto"/>
              <w:jc w:val="center"/>
              <w:rPr>
                <w:rFonts w:cs="Arial"/>
                <w:b/>
                <w:bCs/>
                <w:color w:val="000000"/>
                <w:sz w:val="16"/>
                <w:szCs w:val="16"/>
              </w:rPr>
            </w:pPr>
            <w:r w:rsidRPr="00556B98">
              <w:rPr>
                <w:rFonts w:cs="Arial"/>
                <w:b/>
                <w:bCs/>
                <w:color w:val="000000"/>
                <w:sz w:val="16"/>
                <w:szCs w:val="16"/>
                <w:lang w:val="en-US"/>
              </w:rPr>
              <w:t>Abs.</w:t>
            </w:r>
          </w:p>
        </w:tc>
        <w:tc>
          <w:tcPr>
            <w:tcW w:w="1181" w:type="dxa"/>
            <w:tcBorders>
              <w:top w:val="nil"/>
              <w:left w:val="nil"/>
              <w:bottom w:val="single" w:sz="8" w:space="0" w:color="auto"/>
              <w:right w:val="single" w:sz="8" w:space="0" w:color="auto"/>
            </w:tcBorders>
            <w:shd w:val="clear" w:color="000000" w:fill="FABF8F"/>
            <w:noWrap/>
            <w:vAlign w:val="center"/>
            <w:hideMark/>
          </w:tcPr>
          <w:p w14:paraId="522CAAC6" w14:textId="77777777" w:rsidR="00556B98" w:rsidRPr="00556B98" w:rsidRDefault="00556B98" w:rsidP="00556B98">
            <w:pPr>
              <w:spacing w:after="0" w:line="240" w:lineRule="auto"/>
              <w:jc w:val="center"/>
              <w:rPr>
                <w:rFonts w:cs="Arial"/>
                <w:b/>
                <w:bCs/>
                <w:color w:val="000000"/>
                <w:sz w:val="16"/>
                <w:szCs w:val="16"/>
              </w:rPr>
            </w:pPr>
            <w:r w:rsidRPr="00556B98">
              <w:rPr>
                <w:rFonts w:cs="Arial"/>
                <w:b/>
                <w:bCs/>
                <w:color w:val="000000"/>
                <w:sz w:val="16"/>
                <w:szCs w:val="16"/>
                <w:lang w:val="en-US"/>
              </w:rPr>
              <w:t>%</w:t>
            </w:r>
          </w:p>
        </w:tc>
        <w:tc>
          <w:tcPr>
            <w:tcW w:w="1181" w:type="dxa"/>
            <w:tcBorders>
              <w:top w:val="nil"/>
              <w:left w:val="nil"/>
              <w:bottom w:val="single" w:sz="8" w:space="0" w:color="auto"/>
              <w:right w:val="single" w:sz="8" w:space="0" w:color="auto"/>
            </w:tcBorders>
            <w:shd w:val="clear" w:color="000000" w:fill="FABF8F"/>
            <w:noWrap/>
            <w:vAlign w:val="center"/>
            <w:hideMark/>
          </w:tcPr>
          <w:p w14:paraId="16A048AC" w14:textId="77777777" w:rsidR="00556B98" w:rsidRPr="00556B98" w:rsidRDefault="00556B98" w:rsidP="00556B98">
            <w:pPr>
              <w:spacing w:after="0" w:line="240" w:lineRule="auto"/>
              <w:jc w:val="center"/>
              <w:rPr>
                <w:rFonts w:cs="Arial"/>
                <w:b/>
                <w:bCs/>
                <w:color w:val="000000"/>
                <w:sz w:val="16"/>
                <w:szCs w:val="16"/>
              </w:rPr>
            </w:pPr>
            <w:r w:rsidRPr="00556B98">
              <w:rPr>
                <w:rFonts w:cs="Arial"/>
                <w:b/>
                <w:bCs/>
                <w:color w:val="000000"/>
                <w:sz w:val="16"/>
                <w:szCs w:val="16"/>
                <w:lang w:val="en-US"/>
              </w:rPr>
              <w:t>Abs.</w:t>
            </w:r>
          </w:p>
        </w:tc>
        <w:tc>
          <w:tcPr>
            <w:tcW w:w="1181" w:type="dxa"/>
            <w:tcBorders>
              <w:top w:val="nil"/>
              <w:left w:val="nil"/>
              <w:bottom w:val="single" w:sz="8" w:space="0" w:color="auto"/>
              <w:right w:val="single" w:sz="8" w:space="0" w:color="auto"/>
            </w:tcBorders>
            <w:shd w:val="clear" w:color="000000" w:fill="FABF8F"/>
            <w:noWrap/>
            <w:vAlign w:val="center"/>
            <w:hideMark/>
          </w:tcPr>
          <w:p w14:paraId="1E10A0B0" w14:textId="77777777" w:rsidR="00556B98" w:rsidRPr="00556B98" w:rsidRDefault="00556B98" w:rsidP="00556B98">
            <w:pPr>
              <w:spacing w:after="0" w:line="240" w:lineRule="auto"/>
              <w:jc w:val="center"/>
              <w:rPr>
                <w:rFonts w:cs="Arial"/>
                <w:b/>
                <w:bCs/>
                <w:color w:val="000000"/>
                <w:sz w:val="16"/>
                <w:szCs w:val="16"/>
              </w:rPr>
            </w:pPr>
            <w:r w:rsidRPr="00556B98">
              <w:rPr>
                <w:rFonts w:cs="Arial"/>
                <w:b/>
                <w:bCs/>
                <w:color w:val="000000"/>
                <w:sz w:val="16"/>
                <w:szCs w:val="16"/>
                <w:lang w:val="en-US"/>
              </w:rPr>
              <w:t>%</w:t>
            </w:r>
          </w:p>
        </w:tc>
        <w:tc>
          <w:tcPr>
            <w:tcW w:w="1181" w:type="dxa"/>
            <w:tcBorders>
              <w:top w:val="nil"/>
              <w:left w:val="nil"/>
              <w:bottom w:val="single" w:sz="8" w:space="0" w:color="auto"/>
              <w:right w:val="single" w:sz="8" w:space="0" w:color="auto"/>
            </w:tcBorders>
            <w:shd w:val="clear" w:color="000000" w:fill="FABF8F"/>
            <w:noWrap/>
            <w:vAlign w:val="center"/>
            <w:hideMark/>
          </w:tcPr>
          <w:p w14:paraId="7EF14E3C" w14:textId="77777777" w:rsidR="00556B98" w:rsidRPr="00556B98" w:rsidRDefault="00556B98" w:rsidP="00556B98">
            <w:pPr>
              <w:spacing w:after="0" w:line="240" w:lineRule="auto"/>
              <w:jc w:val="center"/>
              <w:rPr>
                <w:rFonts w:cs="Arial"/>
                <w:b/>
                <w:bCs/>
                <w:color w:val="000000"/>
                <w:sz w:val="16"/>
                <w:szCs w:val="16"/>
              </w:rPr>
            </w:pPr>
            <w:r w:rsidRPr="00556B98">
              <w:rPr>
                <w:rFonts w:cs="Arial"/>
                <w:b/>
                <w:bCs/>
                <w:color w:val="000000"/>
                <w:sz w:val="16"/>
                <w:szCs w:val="16"/>
                <w:lang w:val="en-US"/>
              </w:rPr>
              <w:t>Abs.</w:t>
            </w:r>
          </w:p>
        </w:tc>
        <w:tc>
          <w:tcPr>
            <w:tcW w:w="1182" w:type="dxa"/>
            <w:tcBorders>
              <w:top w:val="nil"/>
              <w:left w:val="nil"/>
              <w:bottom w:val="single" w:sz="8" w:space="0" w:color="auto"/>
              <w:right w:val="single" w:sz="8" w:space="0" w:color="auto"/>
            </w:tcBorders>
            <w:shd w:val="clear" w:color="000000" w:fill="FABF8F"/>
            <w:noWrap/>
            <w:vAlign w:val="center"/>
            <w:hideMark/>
          </w:tcPr>
          <w:p w14:paraId="0A534CE2" w14:textId="77777777" w:rsidR="00556B98" w:rsidRPr="00556B98" w:rsidRDefault="00556B98" w:rsidP="00556B98">
            <w:pPr>
              <w:spacing w:after="0" w:line="240" w:lineRule="auto"/>
              <w:jc w:val="center"/>
              <w:rPr>
                <w:rFonts w:cs="Arial"/>
                <w:b/>
                <w:bCs/>
                <w:color w:val="000000"/>
                <w:sz w:val="16"/>
                <w:szCs w:val="16"/>
              </w:rPr>
            </w:pPr>
            <w:r w:rsidRPr="00556B98">
              <w:rPr>
                <w:rFonts w:cs="Arial"/>
                <w:b/>
                <w:bCs/>
                <w:color w:val="000000"/>
                <w:sz w:val="16"/>
                <w:szCs w:val="16"/>
                <w:lang w:val="en-US"/>
              </w:rPr>
              <w:t>%</w:t>
            </w:r>
          </w:p>
        </w:tc>
      </w:tr>
      <w:tr w:rsidR="00556B98" w:rsidRPr="00556B98" w14:paraId="001D7784" w14:textId="77777777" w:rsidTr="00556B98">
        <w:trPr>
          <w:trHeight w:val="300"/>
        </w:trPr>
        <w:tc>
          <w:tcPr>
            <w:tcW w:w="2552" w:type="dxa"/>
            <w:tcBorders>
              <w:top w:val="nil"/>
              <w:left w:val="single" w:sz="8" w:space="0" w:color="auto"/>
              <w:bottom w:val="nil"/>
              <w:right w:val="nil"/>
            </w:tcBorders>
            <w:shd w:val="clear" w:color="auto" w:fill="auto"/>
            <w:vAlign w:val="center"/>
            <w:hideMark/>
          </w:tcPr>
          <w:p w14:paraId="36243543" w14:textId="77777777" w:rsidR="00556B98" w:rsidRPr="00556B98" w:rsidRDefault="00556B98" w:rsidP="00556B98">
            <w:pPr>
              <w:spacing w:after="0" w:line="240" w:lineRule="auto"/>
              <w:rPr>
                <w:rFonts w:cs="Arial"/>
                <w:b/>
                <w:bCs/>
                <w:color w:val="000000"/>
                <w:sz w:val="16"/>
                <w:szCs w:val="16"/>
              </w:rPr>
            </w:pPr>
            <w:r w:rsidRPr="00556B98">
              <w:rPr>
                <w:rFonts w:cs="Arial"/>
                <w:b/>
                <w:bCs/>
                <w:color w:val="000000"/>
                <w:sz w:val="16"/>
                <w:szCs w:val="16"/>
              </w:rPr>
              <w:t>Celkem</w:t>
            </w:r>
          </w:p>
        </w:tc>
        <w:tc>
          <w:tcPr>
            <w:tcW w:w="1181" w:type="dxa"/>
            <w:tcBorders>
              <w:top w:val="nil"/>
              <w:left w:val="single" w:sz="8" w:space="0" w:color="auto"/>
              <w:bottom w:val="nil"/>
              <w:right w:val="nil"/>
            </w:tcBorders>
            <w:shd w:val="clear" w:color="auto" w:fill="auto"/>
            <w:noWrap/>
            <w:vAlign w:val="center"/>
            <w:hideMark/>
          </w:tcPr>
          <w:p w14:paraId="261C1C57"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71 791</w:t>
            </w:r>
          </w:p>
        </w:tc>
        <w:tc>
          <w:tcPr>
            <w:tcW w:w="1181" w:type="dxa"/>
            <w:tcBorders>
              <w:top w:val="nil"/>
              <w:left w:val="nil"/>
              <w:bottom w:val="nil"/>
              <w:right w:val="single" w:sz="8" w:space="0" w:color="auto"/>
            </w:tcBorders>
            <w:shd w:val="clear" w:color="auto" w:fill="auto"/>
            <w:noWrap/>
            <w:vAlign w:val="center"/>
            <w:hideMark/>
          </w:tcPr>
          <w:p w14:paraId="1F77F6A5" w14:textId="24E59912" w:rsidR="00556B98" w:rsidRPr="00556B98" w:rsidRDefault="00556B98" w:rsidP="00556B98">
            <w:pPr>
              <w:spacing w:after="0" w:line="240" w:lineRule="auto"/>
              <w:jc w:val="right"/>
              <w:rPr>
                <w:rFonts w:cs="Arial"/>
                <w:i/>
                <w:iCs/>
                <w:color w:val="000000"/>
                <w:sz w:val="16"/>
                <w:szCs w:val="16"/>
              </w:rPr>
            </w:pPr>
            <w:r w:rsidRPr="00556B98">
              <w:rPr>
                <w:rFonts w:cs="Arial"/>
                <w:i/>
                <w:iCs/>
                <w:color w:val="000000"/>
                <w:sz w:val="16"/>
                <w:szCs w:val="16"/>
              </w:rPr>
              <w:t>100</w:t>
            </w:r>
            <w:r w:rsidR="008F15A4">
              <w:rPr>
                <w:rFonts w:cs="Arial"/>
                <w:i/>
                <w:iCs/>
                <w:color w:val="000000"/>
                <w:sz w:val="16"/>
                <w:szCs w:val="16"/>
              </w:rPr>
              <w:t xml:space="preserve"> </w:t>
            </w:r>
            <w:r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583DE4E4"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81 644</w:t>
            </w:r>
          </w:p>
        </w:tc>
        <w:tc>
          <w:tcPr>
            <w:tcW w:w="1181" w:type="dxa"/>
            <w:tcBorders>
              <w:top w:val="nil"/>
              <w:left w:val="nil"/>
              <w:bottom w:val="nil"/>
              <w:right w:val="single" w:sz="8" w:space="0" w:color="auto"/>
            </w:tcBorders>
            <w:shd w:val="clear" w:color="auto" w:fill="auto"/>
            <w:noWrap/>
            <w:vAlign w:val="center"/>
            <w:hideMark/>
          </w:tcPr>
          <w:p w14:paraId="5982ED92" w14:textId="589FE078" w:rsidR="00556B98" w:rsidRPr="00556B98" w:rsidRDefault="00556B98" w:rsidP="00556B98">
            <w:pPr>
              <w:spacing w:after="0" w:line="240" w:lineRule="auto"/>
              <w:jc w:val="right"/>
              <w:rPr>
                <w:rFonts w:cs="Arial"/>
                <w:i/>
                <w:iCs/>
                <w:color w:val="000000"/>
                <w:sz w:val="16"/>
                <w:szCs w:val="16"/>
              </w:rPr>
            </w:pPr>
            <w:r w:rsidRPr="00556B98">
              <w:rPr>
                <w:rFonts w:cs="Arial"/>
                <w:i/>
                <w:iCs/>
                <w:color w:val="000000"/>
                <w:sz w:val="16"/>
                <w:szCs w:val="16"/>
              </w:rPr>
              <w:t>100</w:t>
            </w:r>
            <w:r w:rsidR="008F15A4">
              <w:rPr>
                <w:rFonts w:cs="Arial"/>
                <w:i/>
                <w:iCs/>
                <w:color w:val="000000"/>
                <w:sz w:val="16"/>
                <w:szCs w:val="16"/>
              </w:rPr>
              <w:t xml:space="preserve"> </w:t>
            </w:r>
            <w:r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0EE0E5B7"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111 855</w:t>
            </w:r>
          </w:p>
        </w:tc>
        <w:tc>
          <w:tcPr>
            <w:tcW w:w="1182" w:type="dxa"/>
            <w:tcBorders>
              <w:top w:val="nil"/>
              <w:left w:val="nil"/>
              <w:bottom w:val="nil"/>
              <w:right w:val="single" w:sz="8" w:space="0" w:color="auto"/>
            </w:tcBorders>
            <w:shd w:val="clear" w:color="auto" w:fill="auto"/>
            <w:noWrap/>
            <w:vAlign w:val="center"/>
            <w:hideMark/>
          </w:tcPr>
          <w:p w14:paraId="64D951A1" w14:textId="35564B88" w:rsidR="00556B98" w:rsidRPr="00556B98" w:rsidRDefault="00556B98" w:rsidP="00556B98">
            <w:pPr>
              <w:spacing w:after="0" w:line="240" w:lineRule="auto"/>
              <w:jc w:val="right"/>
              <w:rPr>
                <w:rFonts w:cs="Arial"/>
                <w:i/>
                <w:iCs/>
                <w:color w:val="000000"/>
                <w:sz w:val="16"/>
                <w:szCs w:val="16"/>
              </w:rPr>
            </w:pPr>
            <w:r w:rsidRPr="00556B98">
              <w:rPr>
                <w:rFonts w:cs="Arial"/>
                <w:i/>
                <w:iCs/>
                <w:color w:val="000000"/>
                <w:sz w:val="16"/>
                <w:szCs w:val="16"/>
              </w:rPr>
              <w:t>100</w:t>
            </w:r>
            <w:r w:rsidR="008F15A4">
              <w:rPr>
                <w:rFonts w:cs="Arial"/>
                <w:i/>
                <w:iCs/>
                <w:color w:val="000000"/>
                <w:sz w:val="16"/>
                <w:szCs w:val="16"/>
              </w:rPr>
              <w:t xml:space="preserve"> </w:t>
            </w:r>
            <w:r w:rsidRPr="00556B98">
              <w:rPr>
                <w:rFonts w:cs="Arial"/>
                <w:i/>
                <w:iCs/>
                <w:color w:val="000000"/>
                <w:sz w:val="16"/>
                <w:szCs w:val="16"/>
              </w:rPr>
              <w:t>%</w:t>
            </w:r>
          </w:p>
        </w:tc>
      </w:tr>
      <w:tr w:rsidR="00556B98" w:rsidRPr="00556B98" w14:paraId="1852E460" w14:textId="77777777" w:rsidTr="00556B98">
        <w:trPr>
          <w:trHeight w:val="300"/>
        </w:trPr>
        <w:tc>
          <w:tcPr>
            <w:tcW w:w="2552" w:type="dxa"/>
            <w:tcBorders>
              <w:top w:val="nil"/>
              <w:left w:val="single" w:sz="8" w:space="0" w:color="auto"/>
              <w:bottom w:val="nil"/>
              <w:right w:val="nil"/>
            </w:tcBorders>
            <w:shd w:val="clear" w:color="auto" w:fill="auto"/>
            <w:vAlign w:val="center"/>
            <w:hideMark/>
          </w:tcPr>
          <w:p w14:paraId="057EB742" w14:textId="77777777" w:rsidR="00556B98" w:rsidRPr="00556B98" w:rsidRDefault="00556B98" w:rsidP="00556B98">
            <w:pPr>
              <w:spacing w:after="0" w:line="240" w:lineRule="auto"/>
              <w:ind w:firstLineChars="100" w:firstLine="160"/>
              <w:rPr>
                <w:rFonts w:cs="Arial"/>
                <w:color w:val="000000"/>
                <w:sz w:val="16"/>
                <w:szCs w:val="16"/>
              </w:rPr>
            </w:pPr>
            <w:r w:rsidRPr="00556B98">
              <w:rPr>
                <w:rFonts w:cs="Arial"/>
                <w:color w:val="000000"/>
                <w:sz w:val="16"/>
                <w:szCs w:val="16"/>
              </w:rPr>
              <w:t>vývojovými poruchami učení</w:t>
            </w:r>
          </w:p>
        </w:tc>
        <w:tc>
          <w:tcPr>
            <w:tcW w:w="1181" w:type="dxa"/>
            <w:tcBorders>
              <w:top w:val="nil"/>
              <w:left w:val="single" w:sz="8" w:space="0" w:color="auto"/>
              <w:bottom w:val="nil"/>
              <w:right w:val="nil"/>
            </w:tcBorders>
            <w:shd w:val="clear" w:color="auto" w:fill="auto"/>
            <w:noWrap/>
            <w:vAlign w:val="center"/>
            <w:hideMark/>
          </w:tcPr>
          <w:p w14:paraId="69490A36"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34 251</w:t>
            </w:r>
          </w:p>
        </w:tc>
        <w:tc>
          <w:tcPr>
            <w:tcW w:w="1181" w:type="dxa"/>
            <w:tcBorders>
              <w:top w:val="nil"/>
              <w:left w:val="nil"/>
              <w:bottom w:val="nil"/>
              <w:right w:val="single" w:sz="8" w:space="0" w:color="auto"/>
            </w:tcBorders>
            <w:shd w:val="clear" w:color="auto" w:fill="auto"/>
            <w:noWrap/>
            <w:vAlign w:val="center"/>
            <w:hideMark/>
          </w:tcPr>
          <w:p w14:paraId="32199A69" w14:textId="5972A4CD"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47,7 </w:t>
            </w:r>
            <w:r w:rsidR="00556B98"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1B458B35"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36 638</w:t>
            </w:r>
          </w:p>
        </w:tc>
        <w:tc>
          <w:tcPr>
            <w:tcW w:w="1181" w:type="dxa"/>
            <w:tcBorders>
              <w:top w:val="nil"/>
              <w:left w:val="nil"/>
              <w:bottom w:val="nil"/>
              <w:right w:val="single" w:sz="8" w:space="0" w:color="auto"/>
            </w:tcBorders>
            <w:shd w:val="clear" w:color="auto" w:fill="auto"/>
            <w:noWrap/>
            <w:vAlign w:val="center"/>
            <w:hideMark/>
          </w:tcPr>
          <w:p w14:paraId="55FA3AA8" w14:textId="1D48BC5E"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44,9 </w:t>
            </w:r>
            <w:r w:rsidR="00556B98"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7BA92707"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47 801</w:t>
            </w:r>
          </w:p>
        </w:tc>
        <w:tc>
          <w:tcPr>
            <w:tcW w:w="1182" w:type="dxa"/>
            <w:tcBorders>
              <w:top w:val="nil"/>
              <w:left w:val="nil"/>
              <w:bottom w:val="nil"/>
              <w:right w:val="single" w:sz="8" w:space="0" w:color="auto"/>
            </w:tcBorders>
            <w:shd w:val="clear" w:color="auto" w:fill="auto"/>
            <w:noWrap/>
            <w:vAlign w:val="center"/>
            <w:hideMark/>
          </w:tcPr>
          <w:p w14:paraId="234B3C3E" w14:textId="18C4FE28"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42,7 </w:t>
            </w:r>
            <w:r w:rsidR="00556B98" w:rsidRPr="00556B98">
              <w:rPr>
                <w:rFonts w:cs="Arial"/>
                <w:i/>
                <w:iCs/>
                <w:color w:val="000000"/>
                <w:sz w:val="16"/>
                <w:szCs w:val="16"/>
              </w:rPr>
              <w:t>%</w:t>
            </w:r>
          </w:p>
        </w:tc>
      </w:tr>
      <w:tr w:rsidR="00556B98" w:rsidRPr="00556B98" w14:paraId="4E47C742" w14:textId="77777777" w:rsidTr="00556B98">
        <w:trPr>
          <w:trHeight w:val="300"/>
        </w:trPr>
        <w:tc>
          <w:tcPr>
            <w:tcW w:w="2552" w:type="dxa"/>
            <w:tcBorders>
              <w:top w:val="nil"/>
              <w:left w:val="single" w:sz="8" w:space="0" w:color="auto"/>
              <w:bottom w:val="nil"/>
              <w:right w:val="nil"/>
            </w:tcBorders>
            <w:shd w:val="clear" w:color="auto" w:fill="auto"/>
            <w:vAlign w:val="center"/>
            <w:hideMark/>
          </w:tcPr>
          <w:p w14:paraId="3F100626" w14:textId="77777777" w:rsidR="00556B98" w:rsidRPr="00556B98" w:rsidRDefault="00556B98" w:rsidP="00556B98">
            <w:pPr>
              <w:spacing w:after="0" w:line="240" w:lineRule="auto"/>
              <w:ind w:firstLineChars="100" w:firstLine="160"/>
              <w:rPr>
                <w:rFonts w:cs="Arial"/>
                <w:color w:val="000000"/>
                <w:sz w:val="16"/>
                <w:szCs w:val="16"/>
              </w:rPr>
            </w:pPr>
            <w:r w:rsidRPr="00556B98">
              <w:rPr>
                <w:rFonts w:cs="Arial"/>
                <w:color w:val="000000"/>
                <w:sz w:val="16"/>
                <w:szCs w:val="16"/>
              </w:rPr>
              <w:t>vývojovými poruchami chování</w:t>
            </w:r>
          </w:p>
        </w:tc>
        <w:tc>
          <w:tcPr>
            <w:tcW w:w="1181" w:type="dxa"/>
            <w:tcBorders>
              <w:top w:val="nil"/>
              <w:left w:val="single" w:sz="8" w:space="0" w:color="auto"/>
              <w:bottom w:val="nil"/>
              <w:right w:val="nil"/>
            </w:tcBorders>
            <w:shd w:val="clear" w:color="auto" w:fill="auto"/>
            <w:noWrap/>
            <w:vAlign w:val="center"/>
            <w:hideMark/>
          </w:tcPr>
          <w:p w14:paraId="64C8C063"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3 667</w:t>
            </w:r>
          </w:p>
        </w:tc>
        <w:tc>
          <w:tcPr>
            <w:tcW w:w="1181" w:type="dxa"/>
            <w:tcBorders>
              <w:top w:val="nil"/>
              <w:left w:val="nil"/>
              <w:bottom w:val="nil"/>
              <w:right w:val="single" w:sz="8" w:space="0" w:color="auto"/>
            </w:tcBorders>
            <w:shd w:val="clear" w:color="auto" w:fill="auto"/>
            <w:noWrap/>
            <w:vAlign w:val="center"/>
            <w:hideMark/>
          </w:tcPr>
          <w:p w14:paraId="048974FA" w14:textId="47D59899"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5,1 </w:t>
            </w:r>
            <w:r w:rsidR="00556B98"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28595A96"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9 225</w:t>
            </w:r>
          </w:p>
        </w:tc>
        <w:tc>
          <w:tcPr>
            <w:tcW w:w="1181" w:type="dxa"/>
            <w:tcBorders>
              <w:top w:val="nil"/>
              <w:left w:val="nil"/>
              <w:bottom w:val="nil"/>
              <w:right w:val="single" w:sz="8" w:space="0" w:color="auto"/>
            </w:tcBorders>
            <w:shd w:val="clear" w:color="auto" w:fill="auto"/>
            <w:noWrap/>
            <w:vAlign w:val="center"/>
            <w:hideMark/>
          </w:tcPr>
          <w:p w14:paraId="06F4F613" w14:textId="204A522D"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11,3 </w:t>
            </w:r>
            <w:r w:rsidR="00556B98"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7E90F89C"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19 033</w:t>
            </w:r>
          </w:p>
        </w:tc>
        <w:tc>
          <w:tcPr>
            <w:tcW w:w="1182" w:type="dxa"/>
            <w:tcBorders>
              <w:top w:val="nil"/>
              <w:left w:val="nil"/>
              <w:bottom w:val="nil"/>
              <w:right w:val="single" w:sz="8" w:space="0" w:color="auto"/>
            </w:tcBorders>
            <w:shd w:val="clear" w:color="auto" w:fill="auto"/>
            <w:noWrap/>
            <w:vAlign w:val="center"/>
            <w:hideMark/>
          </w:tcPr>
          <w:p w14:paraId="1A9E8457" w14:textId="625B8064"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17,0 </w:t>
            </w:r>
            <w:r w:rsidR="00556B98" w:rsidRPr="00556B98">
              <w:rPr>
                <w:rFonts w:cs="Arial"/>
                <w:i/>
                <w:iCs/>
                <w:color w:val="000000"/>
                <w:sz w:val="16"/>
                <w:szCs w:val="16"/>
              </w:rPr>
              <w:t>%</w:t>
            </w:r>
          </w:p>
        </w:tc>
      </w:tr>
      <w:tr w:rsidR="00556B98" w:rsidRPr="00556B98" w14:paraId="6D418EC9" w14:textId="77777777" w:rsidTr="00556B98">
        <w:trPr>
          <w:trHeight w:val="300"/>
        </w:trPr>
        <w:tc>
          <w:tcPr>
            <w:tcW w:w="2552" w:type="dxa"/>
            <w:tcBorders>
              <w:top w:val="nil"/>
              <w:left w:val="single" w:sz="8" w:space="0" w:color="auto"/>
              <w:bottom w:val="nil"/>
              <w:right w:val="nil"/>
            </w:tcBorders>
            <w:shd w:val="clear" w:color="auto" w:fill="auto"/>
            <w:vAlign w:val="center"/>
            <w:hideMark/>
          </w:tcPr>
          <w:p w14:paraId="32B41E05" w14:textId="77777777" w:rsidR="00556B98" w:rsidRPr="00DF3477" w:rsidRDefault="00556B98" w:rsidP="00556B98">
            <w:pPr>
              <w:spacing w:after="0" w:line="240" w:lineRule="auto"/>
              <w:ind w:firstLineChars="100" w:firstLine="160"/>
              <w:rPr>
                <w:rFonts w:cs="Arial"/>
                <w:iCs/>
                <w:color w:val="000000"/>
                <w:sz w:val="16"/>
                <w:szCs w:val="16"/>
              </w:rPr>
            </w:pPr>
            <w:r w:rsidRPr="00DF3477">
              <w:rPr>
                <w:rFonts w:cs="Arial"/>
                <w:iCs/>
                <w:color w:val="000000"/>
                <w:sz w:val="16"/>
                <w:szCs w:val="16"/>
              </w:rPr>
              <w:t>mentálně</w:t>
            </w:r>
          </w:p>
        </w:tc>
        <w:tc>
          <w:tcPr>
            <w:tcW w:w="1181" w:type="dxa"/>
            <w:tcBorders>
              <w:top w:val="nil"/>
              <w:left w:val="single" w:sz="8" w:space="0" w:color="auto"/>
              <w:bottom w:val="nil"/>
              <w:right w:val="nil"/>
            </w:tcBorders>
            <w:shd w:val="clear" w:color="auto" w:fill="auto"/>
            <w:noWrap/>
            <w:vAlign w:val="center"/>
            <w:hideMark/>
          </w:tcPr>
          <w:p w14:paraId="42F08700"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20 262</w:t>
            </w:r>
          </w:p>
        </w:tc>
        <w:tc>
          <w:tcPr>
            <w:tcW w:w="1181" w:type="dxa"/>
            <w:tcBorders>
              <w:top w:val="nil"/>
              <w:left w:val="nil"/>
              <w:bottom w:val="nil"/>
              <w:right w:val="single" w:sz="8" w:space="0" w:color="auto"/>
            </w:tcBorders>
            <w:shd w:val="clear" w:color="auto" w:fill="auto"/>
            <w:noWrap/>
            <w:vAlign w:val="center"/>
            <w:hideMark/>
          </w:tcPr>
          <w:p w14:paraId="2077D508" w14:textId="5EF8CB0F"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28,2 </w:t>
            </w:r>
            <w:r w:rsidR="00556B98"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30345911"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14 831</w:t>
            </w:r>
          </w:p>
        </w:tc>
        <w:tc>
          <w:tcPr>
            <w:tcW w:w="1181" w:type="dxa"/>
            <w:tcBorders>
              <w:top w:val="nil"/>
              <w:left w:val="nil"/>
              <w:bottom w:val="nil"/>
              <w:right w:val="single" w:sz="8" w:space="0" w:color="auto"/>
            </w:tcBorders>
            <w:shd w:val="clear" w:color="auto" w:fill="auto"/>
            <w:noWrap/>
            <w:vAlign w:val="center"/>
            <w:hideMark/>
          </w:tcPr>
          <w:p w14:paraId="6349ADC0" w14:textId="45EC9EA5"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18,2 </w:t>
            </w:r>
            <w:r w:rsidR="00556B98"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1C9B9105"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15 180</w:t>
            </w:r>
          </w:p>
        </w:tc>
        <w:tc>
          <w:tcPr>
            <w:tcW w:w="1182" w:type="dxa"/>
            <w:tcBorders>
              <w:top w:val="nil"/>
              <w:left w:val="nil"/>
              <w:bottom w:val="nil"/>
              <w:right w:val="single" w:sz="8" w:space="0" w:color="auto"/>
            </w:tcBorders>
            <w:shd w:val="clear" w:color="auto" w:fill="auto"/>
            <w:noWrap/>
            <w:vAlign w:val="center"/>
            <w:hideMark/>
          </w:tcPr>
          <w:p w14:paraId="1717205F" w14:textId="0622F145"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13,6 </w:t>
            </w:r>
            <w:r w:rsidR="00556B98" w:rsidRPr="00556B98">
              <w:rPr>
                <w:rFonts w:cs="Arial"/>
                <w:i/>
                <w:iCs/>
                <w:color w:val="000000"/>
                <w:sz w:val="16"/>
                <w:szCs w:val="16"/>
              </w:rPr>
              <w:t>%</w:t>
            </w:r>
          </w:p>
        </w:tc>
      </w:tr>
      <w:tr w:rsidR="00556B98" w:rsidRPr="00556B98" w14:paraId="25559CD2" w14:textId="77777777" w:rsidTr="00556B98">
        <w:trPr>
          <w:trHeight w:val="300"/>
        </w:trPr>
        <w:tc>
          <w:tcPr>
            <w:tcW w:w="2552" w:type="dxa"/>
            <w:tcBorders>
              <w:top w:val="nil"/>
              <w:left w:val="single" w:sz="8" w:space="0" w:color="auto"/>
              <w:bottom w:val="nil"/>
              <w:right w:val="nil"/>
            </w:tcBorders>
            <w:shd w:val="clear" w:color="auto" w:fill="auto"/>
            <w:vAlign w:val="center"/>
            <w:hideMark/>
          </w:tcPr>
          <w:p w14:paraId="070FB0A8" w14:textId="77777777" w:rsidR="00556B98" w:rsidRPr="00556B98" w:rsidRDefault="00556B98" w:rsidP="00556B98">
            <w:pPr>
              <w:spacing w:after="0" w:line="240" w:lineRule="auto"/>
              <w:ind w:firstLineChars="100" w:firstLine="160"/>
              <w:rPr>
                <w:rFonts w:cs="Arial"/>
                <w:color w:val="000000"/>
                <w:sz w:val="16"/>
                <w:szCs w:val="16"/>
              </w:rPr>
            </w:pPr>
            <w:r w:rsidRPr="00556B98">
              <w:rPr>
                <w:rFonts w:cs="Arial"/>
                <w:color w:val="000000"/>
                <w:sz w:val="16"/>
                <w:szCs w:val="16"/>
              </w:rPr>
              <w:t>vadami řeči</w:t>
            </w:r>
          </w:p>
        </w:tc>
        <w:tc>
          <w:tcPr>
            <w:tcW w:w="1181" w:type="dxa"/>
            <w:tcBorders>
              <w:top w:val="nil"/>
              <w:left w:val="single" w:sz="8" w:space="0" w:color="auto"/>
              <w:bottom w:val="nil"/>
              <w:right w:val="nil"/>
            </w:tcBorders>
            <w:shd w:val="clear" w:color="auto" w:fill="auto"/>
            <w:noWrap/>
            <w:vAlign w:val="center"/>
            <w:hideMark/>
          </w:tcPr>
          <w:p w14:paraId="7FF8C56A"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2 935</w:t>
            </w:r>
          </w:p>
        </w:tc>
        <w:tc>
          <w:tcPr>
            <w:tcW w:w="1181" w:type="dxa"/>
            <w:tcBorders>
              <w:top w:val="nil"/>
              <w:left w:val="nil"/>
              <w:bottom w:val="nil"/>
              <w:right w:val="single" w:sz="8" w:space="0" w:color="auto"/>
            </w:tcBorders>
            <w:shd w:val="clear" w:color="auto" w:fill="auto"/>
            <w:noWrap/>
            <w:vAlign w:val="center"/>
            <w:hideMark/>
          </w:tcPr>
          <w:p w14:paraId="05BA700B" w14:textId="1D9DB239"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4,1 </w:t>
            </w:r>
            <w:r w:rsidR="00556B98"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5C690546"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6 414</w:t>
            </w:r>
          </w:p>
        </w:tc>
        <w:tc>
          <w:tcPr>
            <w:tcW w:w="1181" w:type="dxa"/>
            <w:tcBorders>
              <w:top w:val="nil"/>
              <w:left w:val="nil"/>
              <w:bottom w:val="nil"/>
              <w:right w:val="single" w:sz="8" w:space="0" w:color="auto"/>
            </w:tcBorders>
            <w:shd w:val="clear" w:color="auto" w:fill="auto"/>
            <w:noWrap/>
            <w:vAlign w:val="center"/>
            <w:hideMark/>
          </w:tcPr>
          <w:p w14:paraId="43FC3FDF" w14:textId="3FFAA537"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7,9 </w:t>
            </w:r>
            <w:r w:rsidR="00556B98"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3F2B2800"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12 202</w:t>
            </w:r>
          </w:p>
        </w:tc>
        <w:tc>
          <w:tcPr>
            <w:tcW w:w="1182" w:type="dxa"/>
            <w:tcBorders>
              <w:top w:val="nil"/>
              <w:left w:val="nil"/>
              <w:bottom w:val="nil"/>
              <w:right w:val="single" w:sz="8" w:space="0" w:color="auto"/>
            </w:tcBorders>
            <w:shd w:val="clear" w:color="auto" w:fill="auto"/>
            <w:noWrap/>
            <w:vAlign w:val="center"/>
            <w:hideMark/>
          </w:tcPr>
          <w:p w14:paraId="75AA679B" w14:textId="4AA01282"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10,9 </w:t>
            </w:r>
            <w:r w:rsidR="00556B98" w:rsidRPr="00556B98">
              <w:rPr>
                <w:rFonts w:cs="Arial"/>
                <w:i/>
                <w:iCs/>
                <w:color w:val="000000"/>
                <w:sz w:val="16"/>
                <w:szCs w:val="16"/>
              </w:rPr>
              <w:t>%</w:t>
            </w:r>
          </w:p>
        </w:tc>
      </w:tr>
      <w:tr w:rsidR="00556B98" w:rsidRPr="00556B98" w14:paraId="5EFE17C2" w14:textId="77777777" w:rsidTr="00556B98">
        <w:trPr>
          <w:trHeight w:val="300"/>
        </w:trPr>
        <w:tc>
          <w:tcPr>
            <w:tcW w:w="2552" w:type="dxa"/>
            <w:tcBorders>
              <w:top w:val="nil"/>
              <w:left w:val="single" w:sz="8" w:space="0" w:color="auto"/>
              <w:bottom w:val="nil"/>
              <w:right w:val="nil"/>
            </w:tcBorders>
            <w:shd w:val="clear" w:color="auto" w:fill="auto"/>
            <w:vAlign w:val="center"/>
            <w:hideMark/>
          </w:tcPr>
          <w:p w14:paraId="606DF356" w14:textId="01E56392" w:rsidR="00556B98" w:rsidRPr="00556B98" w:rsidRDefault="00DF4FB7" w:rsidP="00556B98">
            <w:pPr>
              <w:spacing w:after="0" w:line="240" w:lineRule="auto"/>
              <w:ind w:firstLineChars="100" w:firstLine="160"/>
              <w:rPr>
                <w:rFonts w:cs="Arial"/>
                <w:color w:val="000000"/>
                <w:sz w:val="16"/>
                <w:szCs w:val="16"/>
              </w:rPr>
            </w:pPr>
            <w:r>
              <w:rPr>
                <w:rFonts w:cs="Arial"/>
                <w:color w:val="000000"/>
                <w:sz w:val="16"/>
                <w:szCs w:val="16"/>
              </w:rPr>
              <w:t>poruchami autistického spektra</w:t>
            </w:r>
          </w:p>
        </w:tc>
        <w:tc>
          <w:tcPr>
            <w:tcW w:w="1181" w:type="dxa"/>
            <w:tcBorders>
              <w:top w:val="nil"/>
              <w:left w:val="single" w:sz="8" w:space="0" w:color="auto"/>
              <w:bottom w:val="nil"/>
              <w:right w:val="nil"/>
            </w:tcBorders>
            <w:shd w:val="clear" w:color="auto" w:fill="auto"/>
            <w:noWrap/>
            <w:vAlign w:val="center"/>
            <w:hideMark/>
          </w:tcPr>
          <w:p w14:paraId="751D1C48"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2 185</w:t>
            </w:r>
          </w:p>
        </w:tc>
        <w:tc>
          <w:tcPr>
            <w:tcW w:w="1181" w:type="dxa"/>
            <w:tcBorders>
              <w:top w:val="nil"/>
              <w:left w:val="nil"/>
              <w:bottom w:val="nil"/>
              <w:right w:val="single" w:sz="8" w:space="0" w:color="auto"/>
            </w:tcBorders>
            <w:shd w:val="clear" w:color="auto" w:fill="auto"/>
            <w:noWrap/>
            <w:vAlign w:val="center"/>
            <w:hideMark/>
          </w:tcPr>
          <w:p w14:paraId="78D2E186" w14:textId="5C3936A2"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3,0 </w:t>
            </w:r>
            <w:r w:rsidR="00556B98"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4D22DD1F"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5 465</w:t>
            </w:r>
          </w:p>
        </w:tc>
        <w:tc>
          <w:tcPr>
            <w:tcW w:w="1181" w:type="dxa"/>
            <w:tcBorders>
              <w:top w:val="nil"/>
              <w:left w:val="nil"/>
              <w:bottom w:val="nil"/>
              <w:right w:val="single" w:sz="8" w:space="0" w:color="auto"/>
            </w:tcBorders>
            <w:shd w:val="clear" w:color="auto" w:fill="auto"/>
            <w:noWrap/>
            <w:vAlign w:val="center"/>
            <w:hideMark/>
          </w:tcPr>
          <w:p w14:paraId="4D89C973" w14:textId="6CB59934"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6,7 </w:t>
            </w:r>
            <w:r w:rsidR="00556B98"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3A021CCA" w14:textId="33532841"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4</w:t>
            </w:r>
            <w:r w:rsidR="00DF3477">
              <w:rPr>
                <w:rFonts w:cs="Arial"/>
                <w:color w:val="000000"/>
                <w:sz w:val="16"/>
                <w:szCs w:val="16"/>
              </w:rPr>
              <w:t> </w:t>
            </w:r>
            <w:r w:rsidRPr="00556B98">
              <w:rPr>
                <w:rFonts w:cs="Arial"/>
                <w:color w:val="000000"/>
                <w:sz w:val="16"/>
                <w:szCs w:val="16"/>
              </w:rPr>
              <w:t>214</w:t>
            </w:r>
          </w:p>
        </w:tc>
        <w:tc>
          <w:tcPr>
            <w:tcW w:w="1182" w:type="dxa"/>
            <w:tcBorders>
              <w:top w:val="nil"/>
              <w:left w:val="nil"/>
              <w:bottom w:val="nil"/>
              <w:right w:val="single" w:sz="8" w:space="0" w:color="auto"/>
            </w:tcBorders>
            <w:shd w:val="clear" w:color="auto" w:fill="auto"/>
            <w:noWrap/>
            <w:vAlign w:val="center"/>
            <w:hideMark/>
          </w:tcPr>
          <w:p w14:paraId="7E174D51" w14:textId="10280B8E"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3,8 </w:t>
            </w:r>
            <w:r w:rsidR="00556B98" w:rsidRPr="00556B98">
              <w:rPr>
                <w:rFonts w:cs="Arial"/>
                <w:i/>
                <w:iCs/>
                <w:color w:val="000000"/>
                <w:sz w:val="16"/>
                <w:szCs w:val="16"/>
              </w:rPr>
              <w:t>%</w:t>
            </w:r>
          </w:p>
        </w:tc>
      </w:tr>
      <w:tr w:rsidR="00556B98" w:rsidRPr="00556B98" w14:paraId="6D8A5E68" w14:textId="77777777" w:rsidTr="00556B98">
        <w:trPr>
          <w:trHeight w:val="300"/>
        </w:trPr>
        <w:tc>
          <w:tcPr>
            <w:tcW w:w="2552" w:type="dxa"/>
            <w:tcBorders>
              <w:top w:val="nil"/>
              <w:left w:val="single" w:sz="8" w:space="0" w:color="auto"/>
              <w:bottom w:val="nil"/>
              <w:right w:val="nil"/>
            </w:tcBorders>
            <w:shd w:val="clear" w:color="auto" w:fill="auto"/>
            <w:vAlign w:val="center"/>
            <w:hideMark/>
          </w:tcPr>
          <w:p w14:paraId="54E246B7" w14:textId="77777777" w:rsidR="00556B98" w:rsidRPr="00556B98" w:rsidRDefault="00556B98" w:rsidP="00556B98">
            <w:pPr>
              <w:spacing w:after="0" w:line="240" w:lineRule="auto"/>
              <w:ind w:firstLineChars="100" w:firstLine="160"/>
              <w:rPr>
                <w:rFonts w:cs="Arial"/>
                <w:color w:val="000000"/>
                <w:sz w:val="16"/>
                <w:szCs w:val="16"/>
              </w:rPr>
            </w:pPr>
            <w:r w:rsidRPr="00556B98">
              <w:rPr>
                <w:rFonts w:cs="Arial"/>
                <w:color w:val="000000"/>
                <w:sz w:val="16"/>
                <w:szCs w:val="16"/>
              </w:rPr>
              <w:t>sluchově</w:t>
            </w:r>
          </w:p>
        </w:tc>
        <w:tc>
          <w:tcPr>
            <w:tcW w:w="1181" w:type="dxa"/>
            <w:tcBorders>
              <w:top w:val="nil"/>
              <w:left w:val="single" w:sz="8" w:space="0" w:color="auto"/>
              <w:bottom w:val="nil"/>
              <w:right w:val="nil"/>
            </w:tcBorders>
            <w:shd w:val="clear" w:color="auto" w:fill="auto"/>
            <w:noWrap/>
            <w:vAlign w:val="center"/>
            <w:hideMark/>
          </w:tcPr>
          <w:p w14:paraId="07BFC123"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1 141</w:t>
            </w:r>
          </w:p>
        </w:tc>
        <w:tc>
          <w:tcPr>
            <w:tcW w:w="1181" w:type="dxa"/>
            <w:tcBorders>
              <w:top w:val="nil"/>
              <w:left w:val="nil"/>
              <w:bottom w:val="nil"/>
              <w:right w:val="single" w:sz="8" w:space="0" w:color="auto"/>
            </w:tcBorders>
            <w:shd w:val="clear" w:color="auto" w:fill="auto"/>
            <w:noWrap/>
            <w:vAlign w:val="center"/>
            <w:hideMark/>
          </w:tcPr>
          <w:p w14:paraId="62610958" w14:textId="17E2DE66"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1,6 </w:t>
            </w:r>
            <w:r w:rsidR="00556B98"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3FB0668F"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1 226</w:t>
            </w:r>
          </w:p>
        </w:tc>
        <w:tc>
          <w:tcPr>
            <w:tcW w:w="1181" w:type="dxa"/>
            <w:tcBorders>
              <w:top w:val="nil"/>
              <w:left w:val="nil"/>
              <w:bottom w:val="nil"/>
              <w:right w:val="single" w:sz="8" w:space="0" w:color="auto"/>
            </w:tcBorders>
            <w:shd w:val="clear" w:color="auto" w:fill="auto"/>
            <w:noWrap/>
            <w:vAlign w:val="center"/>
            <w:hideMark/>
          </w:tcPr>
          <w:p w14:paraId="6D5B63DF" w14:textId="1BC58A6B"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1,5 </w:t>
            </w:r>
            <w:r w:rsidR="00556B98"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66135FBD"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1 217</w:t>
            </w:r>
          </w:p>
        </w:tc>
        <w:tc>
          <w:tcPr>
            <w:tcW w:w="1182" w:type="dxa"/>
            <w:tcBorders>
              <w:top w:val="nil"/>
              <w:left w:val="nil"/>
              <w:bottom w:val="nil"/>
              <w:right w:val="single" w:sz="8" w:space="0" w:color="auto"/>
            </w:tcBorders>
            <w:shd w:val="clear" w:color="auto" w:fill="auto"/>
            <w:noWrap/>
            <w:vAlign w:val="center"/>
            <w:hideMark/>
          </w:tcPr>
          <w:p w14:paraId="104CCE13" w14:textId="78E348E4"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1,1 </w:t>
            </w:r>
            <w:r w:rsidR="00556B98" w:rsidRPr="00556B98">
              <w:rPr>
                <w:rFonts w:cs="Arial"/>
                <w:i/>
                <w:iCs/>
                <w:color w:val="000000"/>
                <w:sz w:val="16"/>
                <w:szCs w:val="16"/>
              </w:rPr>
              <w:t>%</w:t>
            </w:r>
          </w:p>
        </w:tc>
      </w:tr>
      <w:tr w:rsidR="00556B98" w:rsidRPr="00556B98" w14:paraId="46ADC293" w14:textId="77777777" w:rsidTr="00556B98">
        <w:trPr>
          <w:trHeight w:val="300"/>
        </w:trPr>
        <w:tc>
          <w:tcPr>
            <w:tcW w:w="2552" w:type="dxa"/>
            <w:tcBorders>
              <w:top w:val="nil"/>
              <w:left w:val="single" w:sz="8" w:space="0" w:color="auto"/>
              <w:bottom w:val="nil"/>
              <w:right w:val="nil"/>
            </w:tcBorders>
            <w:shd w:val="clear" w:color="auto" w:fill="auto"/>
            <w:vAlign w:val="center"/>
            <w:hideMark/>
          </w:tcPr>
          <w:p w14:paraId="70549BC3" w14:textId="77777777" w:rsidR="00556B98" w:rsidRPr="00556B98" w:rsidRDefault="00556B98" w:rsidP="00556B98">
            <w:pPr>
              <w:spacing w:after="0" w:line="240" w:lineRule="auto"/>
              <w:ind w:firstLineChars="100" w:firstLine="160"/>
              <w:rPr>
                <w:rFonts w:cs="Arial"/>
                <w:color w:val="000000"/>
                <w:sz w:val="16"/>
                <w:szCs w:val="16"/>
              </w:rPr>
            </w:pPr>
            <w:r w:rsidRPr="00556B98">
              <w:rPr>
                <w:rFonts w:cs="Arial"/>
                <w:color w:val="000000"/>
                <w:sz w:val="16"/>
                <w:szCs w:val="16"/>
              </w:rPr>
              <w:t>tělesně</w:t>
            </w:r>
          </w:p>
        </w:tc>
        <w:tc>
          <w:tcPr>
            <w:tcW w:w="1181" w:type="dxa"/>
            <w:tcBorders>
              <w:top w:val="nil"/>
              <w:left w:val="single" w:sz="8" w:space="0" w:color="auto"/>
              <w:bottom w:val="nil"/>
              <w:right w:val="nil"/>
            </w:tcBorders>
            <w:shd w:val="clear" w:color="auto" w:fill="auto"/>
            <w:noWrap/>
            <w:vAlign w:val="center"/>
            <w:hideMark/>
          </w:tcPr>
          <w:p w14:paraId="78E87BE7"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1 247</w:t>
            </w:r>
          </w:p>
        </w:tc>
        <w:tc>
          <w:tcPr>
            <w:tcW w:w="1181" w:type="dxa"/>
            <w:tcBorders>
              <w:top w:val="nil"/>
              <w:left w:val="nil"/>
              <w:bottom w:val="nil"/>
              <w:right w:val="single" w:sz="8" w:space="0" w:color="auto"/>
            </w:tcBorders>
            <w:shd w:val="clear" w:color="auto" w:fill="auto"/>
            <w:noWrap/>
            <w:vAlign w:val="center"/>
            <w:hideMark/>
          </w:tcPr>
          <w:p w14:paraId="09E634B3" w14:textId="1496C0D1"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1,7 </w:t>
            </w:r>
            <w:r w:rsidR="00556B98"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5F805A2B"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1 199</w:t>
            </w:r>
          </w:p>
        </w:tc>
        <w:tc>
          <w:tcPr>
            <w:tcW w:w="1181" w:type="dxa"/>
            <w:tcBorders>
              <w:top w:val="nil"/>
              <w:left w:val="nil"/>
              <w:bottom w:val="nil"/>
              <w:right w:val="single" w:sz="8" w:space="0" w:color="auto"/>
            </w:tcBorders>
            <w:shd w:val="clear" w:color="auto" w:fill="auto"/>
            <w:noWrap/>
            <w:vAlign w:val="center"/>
            <w:hideMark/>
          </w:tcPr>
          <w:p w14:paraId="5A1004BA" w14:textId="610F641B"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1,5 </w:t>
            </w:r>
            <w:r w:rsidR="00556B98"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33923CFF"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1 154</w:t>
            </w:r>
          </w:p>
        </w:tc>
        <w:tc>
          <w:tcPr>
            <w:tcW w:w="1182" w:type="dxa"/>
            <w:tcBorders>
              <w:top w:val="nil"/>
              <w:left w:val="nil"/>
              <w:bottom w:val="nil"/>
              <w:right w:val="single" w:sz="8" w:space="0" w:color="auto"/>
            </w:tcBorders>
            <w:shd w:val="clear" w:color="auto" w:fill="auto"/>
            <w:noWrap/>
            <w:vAlign w:val="center"/>
            <w:hideMark/>
          </w:tcPr>
          <w:p w14:paraId="0C3ACBEC" w14:textId="34D83A19"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1,0 </w:t>
            </w:r>
            <w:r w:rsidR="00556B98" w:rsidRPr="00556B98">
              <w:rPr>
                <w:rFonts w:cs="Arial"/>
                <w:i/>
                <w:iCs/>
                <w:color w:val="000000"/>
                <w:sz w:val="16"/>
                <w:szCs w:val="16"/>
              </w:rPr>
              <w:t>%</w:t>
            </w:r>
          </w:p>
        </w:tc>
      </w:tr>
      <w:tr w:rsidR="00556B98" w:rsidRPr="00556B98" w14:paraId="23C2E755" w14:textId="77777777" w:rsidTr="00556B98">
        <w:trPr>
          <w:trHeight w:val="300"/>
        </w:trPr>
        <w:tc>
          <w:tcPr>
            <w:tcW w:w="2552" w:type="dxa"/>
            <w:tcBorders>
              <w:top w:val="nil"/>
              <w:left w:val="single" w:sz="8" w:space="0" w:color="auto"/>
              <w:bottom w:val="nil"/>
              <w:right w:val="nil"/>
            </w:tcBorders>
            <w:shd w:val="clear" w:color="auto" w:fill="auto"/>
            <w:vAlign w:val="center"/>
            <w:hideMark/>
          </w:tcPr>
          <w:p w14:paraId="130E50D4" w14:textId="77777777" w:rsidR="00556B98" w:rsidRPr="00556B98" w:rsidRDefault="00556B98" w:rsidP="00556B98">
            <w:pPr>
              <w:spacing w:after="0" w:line="240" w:lineRule="auto"/>
              <w:ind w:firstLineChars="100" w:firstLine="160"/>
              <w:rPr>
                <w:rFonts w:cs="Arial"/>
                <w:color w:val="000000"/>
                <w:sz w:val="16"/>
                <w:szCs w:val="16"/>
              </w:rPr>
            </w:pPr>
            <w:r w:rsidRPr="00556B98">
              <w:rPr>
                <w:rFonts w:cs="Arial"/>
                <w:color w:val="000000"/>
                <w:sz w:val="16"/>
                <w:szCs w:val="16"/>
              </w:rPr>
              <w:t>zrakově</w:t>
            </w:r>
          </w:p>
        </w:tc>
        <w:tc>
          <w:tcPr>
            <w:tcW w:w="1181" w:type="dxa"/>
            <w:tcBorders>
              <w:top w:val="nil"/>
              <w:left w:val="single" w:sz="8" w:space="0" w:color="auto"/>
              <w:bottom w:val="nil"/>
              <w:right w:val="nil"/>
            </w:tcBorders>
            <w:shd w:val="clear" w:color="auto" w:fill="auto"/>
            <w:noWrap/>
            <w:vAlign w:val="center"/>
            <w:hideMark/>
          </w:tcPr>
          <w:p w14:paraId="273F9D2C"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671</w:t>
            </w:r>
          </w:p>
        </w:tc>
        <w:tc>
          <w:tcPr>
            <w:tcW w:w="1181" w:type="dxa"/>
            <w:tcBorders>
              <w:top w:val="nil"/>
              <w:left w:val="nil"/>
              <w:bottom w:val="nil"/>
              <w:right w:val="single" w:sz="8" w:space="0" w:color="auto"/>
            </w:tcBorders>
            <w:shd w:val="clear" w:color="auto" w:fill="auto"/>
            <w:noWrap/>
            <w:vAlign w:val="center"/>
            <w:hideMark/>
          </w:tcPr>
          <w:p w14:paraId="4E7D77C0" w14:textId="343ED67F"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0,9 </w:t>
            </w:r>
            <w:r w:rsidR="00556B98"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3E67E7A1"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736</w:t>
            </w:r>
          </w:p>
        </w:tc>
        <w:tc>
          <w:tcPr>
            <w:tcW w:w="1181" w:type="dxa"/>
            <w:tcBorders>
              <w:top w:val="nil"/>
              <w:left w:val="nil"/>
              <w:bottom w:val="nil"/>
              <w:right w:val="single" w:sz="8" w:space="0" w:color="auto"/>
            </w:tcBorders>
            <w:shd w:val="clear" w:color="auto" w:fill="auto"/>
            <w:noWrap/>
            <w:vAlign w:val="center"/>
            <w:hideMark/>
          </w:tcPr>
          <w:p w14:paraId="332DCE07" w14:textId="1E35707C"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0,9 </w:t>
            </w:r>
            <w:r w:rsidR="00556B98" w:rsidRPr="00556B98">
              <w:rPr>
                <w:rFonts w:cs="Arial"/>
                <w:i/>
                <w:iCs/>
                <w:color w:val="000000"/>
                <w:sz w:val="16"/>
                <w:szCs w:val="16"/>
              </w:rPr>
              <w:t>%</w:t>
            </w:r>
          </w:p>
        </w:tc>
        <w:tc>
          <w:tcPr>
            <w:tcW w:w="1181" w:type="dxa"/>
            <w:tcBorders>
              <w:top w:val="nil"/>
              <w:left w:val="nil"/>
              <w:bottom w:val="nil"/>
              <w:right w:val="nil"/>
            </w:tcBorders>
            <w:shd w:val="clear" w:color="auto" w:fill="auto"/>
            <w:noWrap/>
            <w:vAlign w:val="center"/>
            <w:hideMark/>
          </w:tcPr>
          <w:p w14:paraId="7F45A167"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867</w:t>
            </w:r>
          </w:p>
        </w:tc>
        <w:tc>
          <w:tcPr>
            <w:tcW w:w="1182" w:type="dxa"/>
            <w:tcBorders>
              <w:top w:val="nil"/>
              <w:left w:val="nil"/>
              <w:bottom w:val="nil"/>
              <w:right w:val="single" w:sz="8" w:space="0" w:color="auto"/>
            </w:tcBorders>
            <w:shd w:val="clear" w:color="auto" w:fill="auto"/>
            <w:noWrap/>
            <w:vAlign w:val="center"/>
            <w:hideMark/>
          </w:tcPr>
          <w:p w14:paraId="2D4DFBD5" w14:textId="31D97E4E"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0,8 </w:t>
            </w:r>
            <w:r w:rsidR="00556B98" w:rsidRPr="00556B98">
              <w:rPr>
                <w:rFonts w:cs="Arial"/>
                <w:i/>
                <w:iCs/>
                <w:color w:val="000000"/>
                <w:sz w:val="16"/>
                <w:szCs w:val="16"/>
              </w:rPr>
              <w:t>%</w:t>
            </w:r>
          </w:p>
        </w:tc>
      </w:tr>
      <w:tr w:rsidR="00556B98" w:rsidRPr="00556B98" w14:paraId="3AC3366B" w14:textId="77777777" w:rsidTr="00556B98">
        <w:trPr>
          <w:trHeight w:val="315"/>
        </w:trPr>
        <w:tc>
          <w:tcPr>
            <w:tcW w:w="2552" w:type="dxa"/>
            <w:tcBorders>
              <w:top w:val="nil"/>
              <w:left w:val="single" w:sz="8" w:space="0" w:color="auto"/>
              <w:bottom w:val="single" w:sz="8" w:space="0" w:color="auto"/>
              <w:right w:val="nil"/>
            </w:tcBorders>
            <w:shd w:val="clear" w:color="auto" w:fill="auto"/>
            <w:vAlign w:val="center"/>
            <w:hideMark/>
          </w:tcPr>
          <w:p w14:paraId="07317043" w14:textId="66B35AD7" w:rsidR="00556B98" w:rsidRPr="00556B98" w:rsidRDefault="000851C8" w:rsidP="00556B98">
            <w:pPr>
              <w:spacing w:after="0" w:line="240" w:lineRule="auto"/>
              <w:ind w:firstLineChars="100" w:firstLine="160"/>
              <w:rPr>
                <w:rFonts w:cs="Arial"/>
                <w:color w:val="000000"/>
                <w:sz w:val="16"/>
                <w:szCs w:val="16"/>
              </w:rPr>
            </w:pPr>
            <w:r>
              <w:rPr>
                <w:rFonts w:cs="Arial"/>
                <w:color w:val="000000"/>
                <w:sz w:val="16"/>
                <w:szCs w:val="16"/>
              </w:rPr>
              <w:t>postižení</w:t>
            </w:r>
            <w:r w:rsidR="00556B98" w:rsidRPr="00556B98">
              <w:rPr>
                <w:rFonts w:cs="Arial"/>
                <w:color w:val="000000"/>
                <w:sz w:val="16"/>
                <w:szCs w:val="16"/>
              </w:rPr>
              <w:t xml:space="preserve"> více vadami</w:t>
            </w:r>
            <w:r w:rsidR="00556B98" w:rsidRPr="00556B98">
              <w:rPr>
                <w:rFonts w:cs="Arial"/>
                <w:color w:val="000000"/>
                <w:sz w:val="16"/>
                <w:szCs w:val="16"/>
                <w:vertAlign w:val="superscript"/>
              </w:rPr>
              <w:t>1)</w:t>
            </w:r>
          </w:p>
        </w:tc>
        <w:tc>
          <w:tcPr>
            <w:tcW w:w="1181" w:type="dxa"/>
            <w:tcBorders>
              <w:top w:val="nil"/>
              <w:left w:val="single" w:sz="8" w:space="0" w:color="auto"/>
              <w:bottom w:val="single" w:sz="8" w:space="0" w:color="auto"/>
              <w:right w:val="nil"/>
            </w:tcBorders>
            <w:shd w:val="clear" w:color="auto" w:fill="auto"/>
            <w:noWrap/>
            <w:vAlign w:val="center"/>
            <w:hideMark/>
          </w:tcPr>
          <w:p w14:paraId="0EAC7FA7"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5 432</w:t>
            </w:r>
          </w:p>
        </w:tc>
        <w:tc>
          <w:tcPr>
            <w:tcW w:w="1181" w:type="dxa"/>
            <w:tcBorders>
              <w:top w:val="nil"/>
              <w:left w:val="nil"/>
              <w:bottom w:val="single" w:sz="8" w:space="0" w:color="auto"/>
              <w:right w:val="single" w:sz="8" w:space="0" w:color="auto"/>
            </w:tcBorders>
            <w:shd w:val="clear" w:color="auto" w:fill="auto"/>
            <w:noWrap/>
            <w:vAlign w:val="center"/>
            <w:hideMark/>
          </w:tcPr>
          <w:p w14:paraId="0AA9DDD2" w14:textId="1A9508C4"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7,6 </w:t>
            </w:r>
            <w:r w:rsidR="00556B98" w:rsidRPr="00556B98">
              <w:rPr>
                <w:rFonts w:cs="Arial"/>
                <w:i/>
                <w:iCs/>
                <w:color w:val="000000"/>
                <w:sz w:val="16"/>
                <w:szCs w:val="16"/>
              </w:rPr>
              <w:t>%</w:t>
            </w:r>
          </w:p>
        </w:tc>
        <w:tc>
          <w:tcPr>
            <w:tcW w:w="1181" w:type="dxa"/>
            <w:tcBorders>
              <w:top w:val="nil"/>
              <w:left w:val="nil"/>
              <w:bottom w:val="single" w:sz="8" w:space="0" w:color="auto"/>
              <w:right w:val="nil"/>
            </w:tcBorders>
            <w:shd w:val="clear" w:color="auto" w:fill="auto"/>
            <w:noWrap/>
            <w:vAlign w:val="center"/>
            <w:hideMark/>
          </w:tcPr>
          <w:p w14:paraId="31AF84F3"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5 910</w:t>
            </w:r>
          </w:p>
        </w:tc>
        <w:tc>
          <w:tcPr>
            <w:tcW w:w="1181" w:type="dxa"/>
            <w:tcBorders>
              <w:top w:val="nil"/>
              <w:left w:val="nil"/>
              <w:bottom w:val="single" w:sz="8" w:space="0" w:color="auto"/>
              <w:right w:val="single" w:sz="8" w:space="0" w:color="auto"/>
            </w:tcBorders>
            <w:shd w:val="clear" w:color="auto" w:fill="auto"/>
            <w:noWrap/>
            <w:vAlign w:val="center"/>
            <w:hideMark/>
          </w:tcPr>
          <w:p w14:paraId="358C38F1" w14:textId="15B2F6FA"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7,2 </w:t>
            </w:r>
            <w:r w:rsidR="00556B98" w:rsidRPr="00556B98">
              <w:rPr>
                <w:rFonts w:cs="Arial"/>
                <w:i/>
                <w:iCs/>
                <w:color w:val="000000"/>
                <w:sz w:val="16"/>
                <w:szCs w:val="16"/>
              </w:rPr>
              <w:t>%</w:t>
            </w:r>
          </w:p>
        </w:tc>
        <w:tc>
          <w:tcPr>
            <w:tcW w:w="1181" w:type="dxa"/>
            <w:tcBorders>
              <w:top w:val="nil"/>
              <w:left w:val="nil"/>
              <w:bottom w:val="single" w:sz="8" w:space="0" w:color="auto"/>
              <w:right w:val="nil"/>
            </w:tcBorders>
            <w:shd w:val="clear" w:color="auto" w:fill="auto"/>
            <w:noWrap/>
            <w:vAlign w:val="center"/>
            <w:hideMark/>
          </w:tcPr>
          <w:p w14:paraId="5F714725" w14:textId="77777777" w:rsidR="00556B98" w:rsidRPr="00556B98" w:rsidRDefault="00556B98" w:rsidP="00556B98">
            <w:pPr>
              <w:spacing w:after="0" w:line="240" w:lineRule="auto"/>
              <w:jc w:val="right"/>
              <w:rPr>
                <w:rFonts w:cs="Arial"/>
                <w:color w:val="000000"/>
                <w:sz w:val="16"/>
                <w:szCs w:val="16"/>
              </w:rPr>
            </w:pPr>
            <w:r w:rsidRPr="00556B98">
              <w:rPr>
                <w:rFonts w:cs="Arial"/>
                <w:color w:val="000000"/>
                <w:sz w:val="16"/>
                <w:szCs w:val="16"/>
              </w:rPr>
              <w:t>10 187</w:t>
            </w:r>
          </w:p>
        </w:tc>
        <w:tc>
          <w:tcPr>
            <w:tcW w:w="1182" w:type="dxa"/>
            <w:tcBorders>
              <w:top w:val="nil"/>
              <w:left w:val="nil"/>
              <w:bottom w:val="single" w:sz="8" w:space="0" w:color="auto"/>
              <w:right w:val="single" w:sz="8" w:space="0" w:color="auto"/>
            </w:tcBorders>
            <w:shd w:val="clear" w:color="auto" w:fill="auto"/>
            <w:noWrap/>
            <w:vAlign w:val="center"/>
            <w:hideMark/>
          </w:tcPr>
          <w:p w14:paraId="17C34F3B" w14:textId="264C09C1" w:rsidR="00556B98" w:rsidRPr="00556B98" w:rsidRDefault="008F15A4" w:rsidP="00556B98">
            <w:pPr>
              <w:spacing w:after="0" w:line="240" w:lineRule="auto"/>
              <w:jc w:val="right"/>
              <w:rPr>
                <w:rFonts w:cs="Arial"/>
                <w:i/>
                <w:iCs/>
                <w:color w:val="000000"/>
                <w:sz w:val="16"/>
                <w:szCs w:val="16"/>
              </w:rPr>
            </w:pPr>
            <w:r>
              <w:rPr>
                <w:rFonts w:cs="Arial"/>
                <w:i/>
                <w:iCs/>
                <w:color w:val="000000"/>
                <w:sz w:val="16"/>
                <w:szCs w:val="16"/>
              </w:rPr>
              <w:t xml:space="preserve">9,1 </w:t>
            </w:r>
            <w:r w:rsidR="00556B98" w:rsidRPr="00556B98">
              <w:rPr>
                <w:rFonts w:cs="Arial"/>
                <w:i/>
                <w:iCs/>
                <w:color w:val="000000"/>
                <w:sz w:val="16"/>
                <w:szCs w:val="16"/>
              </w:rPr>
              <w:t>%</w:t>
            </w:r>
          </w:p>
        </w:tc>
      </w:tr>
    </w:tbl>
    <w:p w14:paraId="3CA5E39B" w14:textId="0EF750DB" w:rsidR="00955ED8" w:rsidRPr="00955ED8" w:rsidRDefault="00955ED8" w:rsidP="00955ED8">
      <w:pPr>
        <w:spacing w:after="0" w:line="240" w:lineRule="auto"/>
        <w:jc w:val="both"/>
        <w:rPr>
          <w:rFonts w:cs="Arial"/>
          <w:b/>
          <w:sz w:val="12"/>
          <w:szCs w:val="12"/>
        </w:rPr>
      </w:pPr>
    </w:p>
    <w:p w14:paraId="3702B48E" w14:textId="5CEE3653" w:rsidR="00FF6B7E" w:rsidRDefault="00FF6B7E" w:rsidP="00FF6B7E">
      <w:pPr>
        <w:spacing w:after="120"/>
        <w:jc w:val="both"/>
        <w:rPr>
          <w:rFonts w:cs="Arial"/>
          <w:sz w:val="18"/>
        </w:rPr>
      </w:pPr>
      <w:r w:rsidRPr="002F1BFB">
        <w:rPr>
          <w:rFonts w:cs="Arial"/>
          <w:sz w:val="18"/>
          <w:vertAlign w:val="superscript"/>
        </w:rPr>
        <w:t>1)</w:t>
      </w:r>
      <w:r>
        <w:rPr>
          <w:rFonts w:cs="Arial"/>
          <w:sz w:val="18"/>
        </w:rPr>
        <w:t xml:space="preserve"> </w:t>
      </w:r>
      <w:r w:rsidRPr="003F1559">
        <w:rPr>
          <w:rFonts w:cs="Arial"/>
          <w:sz w:val="18"/>
        </w:rPr>
        <w:t>za postižené</w:t>
      </w:r>
      <w:r w:rsidR="000851C8">
        <w:rPr>
          <w:rFonts w:cs="Arial"/>
          <w:sz w:val="18"/>
        </w:rPr>
        <w:t>ho</w:t>
      </w:r>
      <w:r w:rsidRPr="003F1559">
        <w:rPr>
          <w:rFonts w:cs="Arial"/>
          <w:sz w:val="18"/>
        </w:rPr>
        <w:t xml:space="preserve"> více vadami se považuje </w:t>
      </w:r>
      <w:r w:rsidR="000851C8">
        <w:rPr>
          <w:rFonts w:cs="Arial"/>
          <w:sz w:val="18"/>
        </w:rPr>
        <w:t>žák</w:t>
      </w:r>
      <w:r w:rsidRPr="003F1559">
        <w:rPr>
          <w:rFonts w:cs="Arial"/>
          <w:sz w:val="18"/>
        </w:rPr>
        <w:t xml:space="preserve"> se dvěma nebo více druhy postižení, ze kterých by každé opravňovalo k</w:t>
      </w:r>
      <w:r>
        <w:rPr>
          <w:rFonts w:cs="Arial"/>
          <w:sz w:val="18"/>
        </w:rPr>
        <w:t> </w:t>
      </w:r>
      <w:r w:rsidRPr="003F1559">
        <w:rPr>
          <w:rFonts w:cs="Arial"/>
          <w:sz w:val="18"/>
        </w:rPr>
        <w:t>poskytování podpůrných opatření ve vyšších stupních podpory</w:t>
      </w:r>
    </w:p>
    <w:p w14:paraId="0DFA7BD8" w14:textId="429DB432" w:rsidR="00902A0A" w:rsidRPr="00902A0A" w:rsidRDefault="00FF6B7E" w:rsidP="006401AF">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2E5EB632" w14:textId="186FA8D2" w:rsidR="000C353B" w:rsidRPr="00E0296B" w:rsidRDefault="000C353B" w:rsidP="000C353B">
      <w:pPr>
        <w:spacing w:after="120"/>
        <w:jc w:val="both"/>
        <w:rPr>
          <w:rFonts w:cs="Arial"/>
          <w:szCs w:val="20"/>
        </w:rPr>
      </w:pPr>
      <w:r w:rsidRPr="00967556">
        <w:rPr>
          <w:rFonts w:cs="Arial"/>
          <w:szCs w:val="20"/>
        </w:rPr>
        <w:lastRenderedPageBreak/>
        <w:t>Nutno poznamenat, že vlivem metodických změn souvisejících s přijetím „inkluzivní novely“ školského zákona</w:t>
      </w:r>
      <w:r w:rsidRPr="00D105FB">
        <w:t xml:space="preserve"> </w:t>
      </w:r>
      <w:r w:rsidRPr="00967556">
        <w:rPr>
          <w:rFonts w:cs="Arial"/>
          <w:szCs w:val="20"/>
        </w:rPr>
        <w:t xml:space="preserve">roku 2016 je statistika vykazovaných zdravotních postižení či znevýhodnění od roku 2016/17 hůře srovnatelná se staršími údaji. </w:t>
      </w:r>
      <w:r>
        <w:rPr>
          <w:rFonts w:cs="Arial"/>
          <w:szCs w:val="20"/>
        </w:rPr>
        <w:t xml:space="preserve">Výše popsané tendence jsou však výrazné a obdobný vývoj je patrný jak mezi školními roky 2011/12 a 2016/17, tak i mezi školními roky 2016/17 a 2021/22. </w:t>
      </w:r>
    </w:p>
    <w:p w14:paraId="319D7340" w14:textId="52C980A9" w:rsidR="00B735DA" w:rsidRDefault="00FF6B7E" w:rsidP="00FF6B7E">
      <w:pPr>
        <w:spacing w:after="120"/>
        <w:jc w:val="both"/>
        <w:rPr>
          <w:rFonts w:cs="Arial"/>
          <w:szCs w:val="20"/>
        </w:rPr>
      </w:pPr>
      <w:r w:rsidRPr="002B7DA7">
        <w:rPr>
          <w:rFonts w:cs="Arial"/>
          <w:szCs w:val="20"/>
        </w:rPr>
        <w:t xml:space="preserve">Podíváme-li se opět na </w:t>
      </w:r>
      <w:r w:rsidRPr="002B7DA7">
        <w:rPr>
          <w:rFonts w:cs="Arial"/>
          <w:b/>
          <w:szCs w:val="20"/>
        </w:rPr>
        <w:t>rozdíly mezi chlapci a dívkami</w:t>
      </w:r>
      <w:r w:rsidRPr="002B7DA7">
        <w:rPr>
          <w:rFonts w:cs="Arial"/>
          <w:szCs w:val="20"/>
        </w:rPr>
        <w:t>,</w:t>
      </w:r>
      <w:r>
        <w:rPr>
          <w:rFonts w:cs="Arial"/>
          <w:szCs w:val="20"/>
        </w:rPr>
        <w:t xml:space="preserve"> lze poznamenat, že u všech druhů pos</w:t>
      </w:r>
      <w:r w:rsidR="00B735DA">
        <w:rPr>
          <w:rFonts w:cs="Arial"/>
          <w:szCs w:val="20"/>
        </w:rPr>
        <w:t>tižení byly ve školním roce 2021/22</w:t>
      </w:r>
      <w:r>
        <w:rPr>
          <w:rFonts w:cs="Arial"/>
          <w:szCs w:val="20"/>
        </w:rPr>
        <w:t xml:space="preserve"> vyšší počty chlapců s uvedenou diagnostikou než dívek. </w:t>
      </w:r>
      <w:r w:rsidR="00B735DA">
        <w:rPr>
          <w:rFonts w:cs="Arial"/>
          <w:szCs w:val="20"/>
        </w:rPr>
        <w:t xml:space="preserve">V největší míře to platí pro postižení </w:t>
      </w:r>
      <w:r w:rsidR="00DF4FB7">
        <w:rPr>
          <w:rFonts w:cs="Arial"/>
          <w:b/>
          <w:szCs w:val="20"/>
        </w:rPr>
        <w:t>poruchami autistického spektra</w:t>
      </w:r>
      <w:r w:rsidR="00B735DA">
        <w:rPr>
          <w:rFonts w:cs="Arial"/>
          <w:szCs w:val="20"/>
        </w:rPr>
        <w:t xml:space="preserve"> a </w:t>
      </w:r>
      <w:r w:rsidR="00B735DA" w:rsidRPr="002B7DA7">
        <w:rPr>
          <w:rFonts w:cs="Arial"/>
          <w:b/>
          <w:szCs w:val="20"/>
        </w:rPr>
        <w:t>vývojovými poruchami chování</w:t>
      </w:r>
      <w:r w:rsidR="00B735DA">
        <w:rPr>
          <w:rFonts w:cs="Arial"/>
          <w:szCs w:val="20"/>
        </w:rPr>
        <w:t>. P</w:t>
      </w:r>
      <w:r w:rsidR="00DF4FB7">
        <w:rPr>
          <w:rFonts w:cs="Arial"/>
          <w:szCs w:val="20"/>
        </w:rPr>
        <w:t xml:space="preserve">očet chlapců s diagnostikovanými poruchami autistického spektra </w:t>
      </w:r>
      <w:r w:rsidR="00B735DA">
        <w:rPr>
          <w:rFonts w:cs="Arial"/>
          <w:szCs w:val="20"/>
        </w:rPr>
        <w:t xml:space="preserve">na základních školách byl 4,6krát vyšší než počet </w:t>
      </w:r>
      <w:r w:rsidR="00C07DEE">
        <w:rPr>
          <w:rFonts w:cs="Arial"/>
          <w:szCs w:val="20"/>
        </w:rPr>
        <w:t xml:space="preserve">dívek </w:t>
      </w:r>
      <w:r w:rsidR="00B735DA">
        <w:rPr>
          <w:rFonts w:cs="Arial"/>
          <w:szCs w:val="20"/>
        </w:rPr>
        <w:t xml:space="preserve">a počet chlapců s vývojovými poruchami chování byl na základních školách 3,6krát vyšší než počet dívek. Více než dvojnásobný počet chlapců oproti dívkám byl shledán též s diagnostikou </w:t>
      </w:r>
      <w:r w:rsidR="00B735DA" w:rsidRPr="002B7DA7">
        <w:rPr>
          <w:rFonts w:cs="Arial"/>
          <w:b/>
          <w:szCs w:val="20"/>
        </w:rPr>
        <w:t>závažných vad řeči</w:t>
      </w:r>
      <w:r w:rsidR="00B735DA">
        <w:rPr>
          <w:rFonts w:cs="Arial"/>
          <w:szCs w:val="20"/>
        </w:rPr>
        <w:t xml:space="preserve"> (2,5krát vyšší) a s postižením </w:t>
      </w:r>
      <w:r w:rsidR="00B735DA" w:rsidRPr="002B7DA7">
        <w:rPr>
          <w:rFonts w:cs="Arial"/>
          <w:b/>
          <w:szCs w:val="20"/>
        </w:rPr>
        <w:t>více vadami</w:t>
      </w:r>
      <w:r w:rsidR="00B735DA">
        <w:rPr>
          <w:rFonts w:cs="Arial"/>
          <w:szCs w:val="20"/>
        </w:rPr>
        <w:t xml:space="preserve"> (2,2krát vyšší). Bezmála dvojnásobný (o 75 % vyšší) byl též počet chlapců </w:t>
      </w:r>
      <w:r w:rsidR="002B7DA7">
        <w:rPr>
          <w:rFonts w:cs="Arial"/>
          <w:szCs w:val="20"/>
        </w:rPr>
        <w:t>s </w:t>
      </w:r>
      <w:r w:rsidR="002B7DA7" w:rsidRPr="002B7DA7">
        <w:rPr>
          <w:rFonts w:cs="Arial"/>
          <w:b/>
          <w:szCs w:val="20"/>
        </w:rPr>
        <w:t>vývojovými poruchami učení</w:t>
      </w:r>
      <w:r w:rsidR="002B7DA7">
        <w:rPr>
          <w:rFonts w:cs="Arial"/>
          <w:szCs w:val="20"/>
        </w:rPr>
        <w:t>.</w:t>
      </w:r>
      <w:r w:rsidR="00B735DA">
        <w:rPr>
          <w:rFonts w:cs="Arial"/>
          <w:szCs w:val="20"/>
        </w:rPr>
        <w:t xml:space="preserve"> </w:t>
      </w:r>
    </w:p>
    <w:p w14:paraId="7F72E60C" w14:textId="40AABF12" w:rsidR="00FF6B7E" w:rsidRDefault="00A651B7" w:rsidP="00FF6B7E">
      <w:pPr>
        <w:spacing w:after="120"/>
        <w:jc w:val="both"/>
        <w:rPr>
          <w:rFonts w:cs="Arial"/>
          <w:szCs w:val="20"/>
        </w:rPr>
      </w:pPr>
      <w:r w:rsidRPr="002B7DA7">
        <w:rPr>
          <w:rFonts w:cs="Arial"/>
          <w:b/>
          <w:szCs w:val="20"/>
        </w:rPr>
        <w:t>Z celkového počtu postižených chlapců i dívek</w:t>
      </w:r>
      <w:r>
        <w:rPr>
          <w:rFonts w:cs="Arial"/>
          <w:szCs w:val="20"/>
        </w:rPr>
        <w:t xml:space="preserve"> pak cca tři </w:t>
      </w:r>
      <w:r w:rsidR="00366D15">
        <w:rPr>
          <w:rFonts w:cs="Arial"/>
          <w:szCs w:val="20"/>
        </w:rPr>
        <w:t>pětiny (</w:t>
      </w:r>
      <w:r w:rsidR="002B7DA7">
        <w:rPr>
          <w:rFonts w:cs="Arial"/>
          <w:szCs w:val="20"/>
        </w:rPr>
        <w:t>60,6</w:t>
      </w:r>
      <w:r w:rsidR="00366D15">
        <w:rPr>
          <w:rFonts w:cs="Arial"/>
          <w:szCs w:val="20"/>
        </w:rPr>
        <w:t> %</w:t>
      </w:r>
      <w:r w:rsidR="002B7DA7">
        <w:rPr>
          <w:rFonts w:cs="Arial"/>
          <w:szCs w:val="20"/>
        </w:rPr>
        <w:t xml:space="preserve"> u chlapců a 58</w:t>
      </w:r>
      <w:r w:rsidR="005E7F0B">
        <w:rPr>
          <w:rFonts w:cs="Arial"/>
          <w:szCs w:val="20"/>
        </w:rPr>
        <w:t> % u dívek</w:t>
      </w:r>
      <w:r w:rsidR="00366D15">
        <w:rPr>
          <w:rFonts w:cs="Arial"/>
          <w:szCs w:val="20"/>
        </w:rPr>
        <w:t>) měly</w:t>
      </w:r>
      <w:r>
        <w:rPr>
          <w:rFonts w:cs="Arial"/>
          <w:szCs w:val="20"/>
        </w:rPr>
        <w:t xml:space="preserve"> diagnostikované vývojové poruchy učení</w:t>
      </w:r>
      <w:r w:rsidR="00167ED3">
        <w:rPr>
          <w:rFonts w:cs="Arial"/>
          <w:szCs w:val="20"/>
        </w:rPr>
        <w:t xml:space="preserve"> (téměř polovina </w:t>
      </w:r>
      <w:r w:rsidR="00A526A8">
        <w:rPr>
          <w:rFonts w:cs="Arial"/>
          <w:szCs w:val="20"/>
        </w:rPr>
        <w:t xml:space="preserve">všech </w:t>
      </w:r>
      <w:r w:rsidR="00167ED3">
        <w:rPr>
          <w:rFonts w:cs="Arial"/>
          <w:szCs w:val="20"/>
        </w:rPr>
        <w:t xml:space="preserve">dívek a více než dvě pětiny </w:t>
      </w:r>
      <w:r w:rsidR="00A526A8">
        <w:rPr>
          <w:rFonts w:cs="Arial"/>
          <w:szCs w:val="20"/>
        </w:rPr>
        <w:t xml:space="preserve">všech </w:t>
      </w:r>
      <w:r w:rsidR="00167ED3">
        <w:rPr>
          <w:rFonts w:cs="Arial"/>
          <w:szCs w:val="20"/>
        </w:rPr>
        <w:t>chlapců)</w:t>
      </w:r>
      <w:r>
        <w:rPr>
          <w:rFonts w:cs="Arial"/>
          <w:szCs w:val="20"/>
        </w:rPr>
        <w:t xml:space="preserve"> či chování</w:t>
      </w:r>
      <w:r w:rsidR="002B7DA7">
        <w:rPr>
          <w:rFonts w:cs="Arial"/>
          <w:szCs w:val="20"/>
        </w:rPr>
        <w:t xml:space="preserve"> (cca desetina </w:t>
      </w:r>
      <w:r w:rsidR="00A526A8">
        <w:rPr>
          <w:rFonts w:cs="Arial"/>
          <w:szCs w:val="20"/>
        </w:rPr>
        <w:t xml:space="preserve">všech </w:t>
      </w:r>
      <w:r w:rsidR="002B7DA7">
        <w:rPr>
          <w:rFonts w:cs="Arial"/>
          <w:szCs w:val="20"/>
        </w:rPr>
        <w:t>dívek a pětina</w:t>
      </w:r>
      <w:r w:rsidR="00167ED3">
        <w:rPr>
          <w:rFonts w:cs="Arial"/>
          <w:szCs w:val="20"/>
        </w:rPr>
        <w:t xml:space="preserve"> </w:t>
      </w:r>
      <w:r w:rsidR="00A526A8">
        <w:rPr>
          <w:rFonts w:cs="Arial"/>
          <w:szCs w:val="20"/>
        </w:rPr>
        <w:t xml:space="preserve">všech </w:t>
      </w:r>
      <w:r w:rsidR="00167ED3">
        <w:rPr>
          <w:rFonts w:cs="Arial"/>
          <w:szCs w:val="20"/>
        </w:rPr>
        <w:t>chlapců). U dívek tak bylo častější než vývojové poruchy chování</w:t>
      </w:r>
      <w:r>
        <w:rPr>
          <w:rFonts w:cs="Arial"/>
          <w:szCs w:val="20"/>
        </w:rPr>
        <w:t xml:space="preserve"> </w:t>
      </w:r>
      <w:r w:rsidR="002B7DA7">
        <w:rPr>
          <w:rFonts w:cs="Arial"/>
          <w:szCs w:val="20"/>
        </w:rPr>
        <w:t>mentální postižení (18</w:t>
      </w:r>
      <w:r w:rsidR="00167ED3">
        <w:rPr>
          <w:rFonts w:cs="Arial"/>
          <w:szCs w:val="20"/>
        </w:rPr>
        <w:t xml:space="preserve"> %), které mezi chlapci </w:t>
      </w:r>
      <w:r w:rsidR="00366D15">
        <w:rPr>
          <w:rFonts w:cs="Arial"/>
          <w:szCs w:val="20"/>
        </w:rPr>
        <w:t xml:space="preserve">s postižením </w:t>
      </w:r>
      <w:r w:rsidR="00167ED3">
        <w:rPr>
          <w:rFonts w:cs="Arial"/>
          <w:szCs w:val="20"/>
        </w:rPr>
        <w:t>zaujímalo jen cca desetinový po</w:t>
      </w:r>
      <w:r w:rsidR="002B7DA7">
        <w:rPr>
          <w:rFonts w:cs="Arial"/>
          <w:szCs w:val="20"/>
        </w:rPr>
        <w:t>díl (11,4</w:t>
      </w:r>
      <w:r w:rsidR="00167ED3">
        <w:rPr>
          <w:rFonts w:cs="Arial"/>
          <w:szCs w:val="20"/>
        </w:rPr>
        <w:t xml:space="preserve"> %). </w:t>
      </w:r>
      <w:r w:rsidR="00FF6B7E">
        <w:rPr>
          <w:rFonts w:cs="Arial"/>
          <w:szCs w:val="20"/>
        </w:rPr>
        <w:t xml:space="preserve">Kromě toho tvoří mezi chlapci s postižením též vyšší podíl </w:t>
      </w:r>
      <w:r w:rsidR="00385CF8">
        <w:rPr>
          <w:rFonts w:cs="Arial"/>
          <w:szCs w:val="20"/>
        </w:rPr>
        <w:t>jedinci</w:t>
      </w:r>
      <w:r w:rsidR="00FF6B7E">
        <w:rPr>
          <w:rFonts w:cs="Arial"/>
          <w:szCs w:val="20"/>
        </w:rPr>
        <w:t xml:space="preserve"> s po</w:t>
      </w:r>
      <w:r w:rsidR="00167ED3">
        <w:rPr>
          <w:rFonts w:cs="Arial"/>
          <w:szCs w:val="20"/>
        </w:rPr>
        <w:t>ruchou autist</w:t>
      </w:r>
      <w:r w:rsidR="002B7DA7">
        <w:rPr>
          <w:rFonts w:cs="Arial"/>
          <w:szCs w:val="20"/>
        </w:rPr>
        <w:t>ického spektra (4,6 % oproti 2 % dívek s postižením) a o něco vyšší podíl jich také měl diagnostikovanou závažnou poruchu řeči (11,6 % oproti 9,5 % dívek). Více viz tabulku 2.6.</w:t>
      </w:r>
    </w:p>
    <w:p w14:paraId="141BD20A" w14:textId="1017506A" w:rsidR="00385CF8" w:rsidRDefault="00385CF8" w:rsidP="00717F46">
      <w:pPr>
        <w:keepNext/>
        <w:spacing w:after="60" w:line="240" w:lineRule="auto"/>
        <w:jc w:val="both"/>
        <w:rPr>
          <w:rFonts w:cs="Arial"/>
          <w:b/>
          <w:szCs w:val="20"/>
        </w:rPr>
      </w:pPr>
      <w:r w:rsidRPr="00FF3C6B">
        <w:rPr>
          <w:rFonts w:cs="Arial"/>
          <w:b/>
          <w:szCs w:val="20"/>
        </w:rPr>
        <w:t xml:space="preserve">Tab. </w:t>
      </w:r>
      <w:r>
        <w:rPr>
          <w:rFonts w:cs="Arial"/>
          <w:b/>
          <w:szCs w:val="20"/>
        </w:rPr>
        <w:t>2.6</w:t>
      </w:r>
      <w:r w:rsidRPr="00FF3C6B">
        <w:rPr>
          <w:rFonts w:cs="Arial"/>
          <w:b/>
          <w:szCs w:val="20"/>
        </w:rPr>
        <w:t xml:space="preserve"> </w:t>
      </w:r>
      <w:r w:rsidR="00233137">
        <w:rPr>
          <w:rFonts w:cs="Arial"/>
          <w:b/>
          <w:szCs w:val="20"/>
        </w:rPr>
        <w:t xml:space="preserve">Podíl </w:t>
      </w:r>
      <w:r w:rsidR="00FE5881">
        <w:rPr>
          <w:rFonts w:cs="Arial"/>
          <w:b/>
          <w:szCs w:val="20"/>
        </w:rPr>
        <w:t>žáků</w:t>
      </w:r>
      <w:r w:rsidRPr="00BA6D11">
        <w:rPr>
          <w:rFonts w:cs="Arial"/>
          <w:b/>
          <w:szCs w:val="20"/>
        </w:rPr>
        <w:t xml:space="preserve"> </w:t>
      </w:r>
      <w:r>
        <w:rPr>
          <w:rFonts w:cs="Arial"/>
          <w:b/>
          <w:szCs w:val="20"/>
        </w:rPr>
        <w:t xml:space="preserve">se zdravotním postižením </w:t>
      </w:r>
      <w:r w:rsidRPr="00BA6D11">
        <w:rPr>
          <w:rFonts w:cs="Arial"/>
          <w:b/>
          <w:szCs w:val="20"/>
        </w:rPr>
        <w:t xml:space="preserve">v </w:t>
      </w:r>
      <w:r>
        <w:rPr>
          <w:rFonts w:cs="Arial"/>
          <w:b/>
          <w:szCs w:val="20"/>
        </w:rPr>
        <w:t xml:space="preserve">základních </w:t>
      </w:r>
      <w:r w:rsidRPr="00BA6D11">
        <w:rPr>
          <w:rFonts w:cs="Arial"/>
          <w:b/>
          <w:szCs w:val="20"/>
        </w:rPr>
        <w:t xml:space="preserve">školách podle </w:t>
      </w:r>
      <w:r w:rsidR="00A651B7">
        <w:rPr>
          <w:rFonts w:cs="Arial"/>
          <w:b/>
          <w:szCs w:val="20"/>
        </w:rPr>
        <w:t>druhu postižení a pohlaví (202</w:t>
      </w:r>
      <w:r w:rsidR="00AD6F93">
        <w:rPr>
          <w:rFonts w:cs="Arial"/>
          <w:b/>
          <w:szCs w:val="20"/>
        </w:rPr>
        <w:t>1/22</w:t>
      </w:r>
      <w:r>
        <w:rPr>
          <w:rFonts w:cs="Arial"/>
          <w:b/>
          <w:szCs w:val="20"/>
        </w:rPr>
        <w:t>)</w:t>
      </w:r>
    </w:p>
    <w:tbl>
      <w:tblPr>
        <w:tblW w:w="6096" w:type="dxa"/>
        <w:tblInd w:w="-10" w:type="dxa"/>
        <w:tblLayout w:type="fixed"/>
        <w:tblCellMar>
          <w:left w:w="70" w:type="dxa"/>
          <w:right w:w="70" w:type="dxa"/>
        </w:tblCellMar>
        <w:tblLook w:val="04A0" w:firstRow="1" w:lastRow="0" w:firstColumn="1" w:lastColumn="0" w:noHBand="0" w:noVBand="1"/>
      </w:tblPr>
      <w:tblGrid>
        <w:gridCol w:w="2835"/>
        <w:gridCol w:w="1087"/>
        <w:gridCol w:w="1087"/>
        <w:gridCol w:w="1087"/>
      </w:tblGrid>
      <w:tr w:rsidR="00B735DA" w:rsidRPr="00B735DA" w14:paraId="1CD787F7" w14:textId="77777777" w:rsidTr="00B735DA">
        <w:trPr>
          <w:trHeight w:val="315"/>
        </w:trPr>
        <w:tc>
          <w:tcPr>
            <w:tcW w:w="2835" w:type="dxa"/>
            <w:tcBorders>
              <w:top w:val="single" w:sz="8" w:space="0" w:color="auto"/>
              <w:left w:val="single" w:sz="8" w:space="0" w:color="auto"/>
              <w:bottom w:val="single" w:sz="8" w:space="0" w:color="auto"/>
              <w:right w:val="nil"/>
            </w:tcBorders>
            <w:shd w:val="clear" w:color="000000" w:fill="C00000"/>
            <w:vAlign w:val="center"/>
            <w:hideMark/>
          </w:tcPr>
          <w:p w14:paraId="14158185" w14:textId="77777777" w:rsidR="00B735DA" w:rsidRPr="00B735DA" w:rsidRDefault="00B735DA" w:rsidP="00C91DD5">
            <w:pPr>
              <w:keepNext/>
              <w:spacing w:after="0" w:line="240" w:lineRule="auto"/>
              <w:rPr>
                <w:rFonts w:cs="Arial"/>
                <w:b/>
                <w:bCs/>
                <w:color w:val="FFFFFF"/>
                <w:sz w:val="16"/>
                <w:szCs w:val="16"/>
              </w:rPr>
            </w:pPr>
            <w:r w:rsidRPr="00B735DA">
              <w:rPr>
                <w:rFonts w:cs="Arial"/>
                <w:b/>
                <w:bCs/>
                <w:color w:val="FFFFFF"/>
                <w:sz w:val="16"/>
                <w:szCs w:val="16"/>
              </w:rPr>
              <w:t> </w:t>
            </w:r>
          </w:p>
        </w:tc>
        <w:tc>
          <w:tcPr>
            <w:tcW w:w="1087" w:type="dxa"/>
            <w:tcBorders>
              <w:top w:val="single" w:sz="8" w:space="0" w:color="auto"/>
              <w:left w:val="single" w:sz="8" w:space="0" w:color="auto"/>
              <w:bottom w:val="single" w:sz="8" w:space="0" w:color="auto"/>
              <w:right w:val="single" w:sz="8" w:space="0" w:color="auto"/>
            </w:tcBorders>
            <w:shd w:val="clear" w:color="000000" w:fill="C00000"/>
            <w:vAlign w:val="center"/>
            <w:hideMark/>
          </w:tcPr>
          <w:p w14:paraId="18169460" w14:textId="77777777" w:rsidR="00B735DA" w:rsidRPr="00B735DA" w:rsidRDefault="00B735DA" w:rsidP="00C91DD5">
            <w:pPr>
              <w:keepNext/>
              <w:spacing w:after="0" w:line="240" w:lineRule="auto"/>
              <w:rPr>
                <w:rFonts w:cs="Arial"/>
                <w:b/>
                <w:bCs/>
                <w:color w:val="FFFFFF"/>
                <w:sz w:val="16"/>
                <w:szCs w:val="16"/>
              </w:rPr>
            </w:pPr>
            <w:r w:rsidRPr="00B735DA">
              <w:rPr>
                <w:rFonts w:cs="Arial"/>
                <w:b/>
                <w:bCs/>
                <w:color w:val="FFFFFF"/>
                <w:sz w:val="16"/>
                <w:szCs w:val="16"/>
              </w:rPr>
              <w:t>celkem</w:t>
            </w:r>
          </w:p>
        </w:tc>
        <w:tc>
          <w:tcPr>
            <w:tcW w:w="1087" w:type="dxa"/>
            <w:tcBorders>
              <w:top w:val="single" w:sz="8" w:space="0" w:color="auto"/>
              <w:left w:val="nil"/>
              <w:bottom w:val="single" w:sz="8" w:space="0" w:color="auto"/>
              <w:right w:val="single" w:sz="8" w:space="0" w:color="auto"/>
            </w:tcBorders>
            <w:shd w:val="clear" w:color="000000" w:fill="C00000"/>
            <w:vAlign w:val="center"/>
            <w:hideMark/>
          </w:tcPr>
          <w:p w14:paraId="3546DE2C" w14:textId="77777777" w:rsidR="00B735DA" w:rsidRPr="00B735DA" w:rsidRDefault="00B735DA" w:rsidP="00C91DD5">
            <w:pPr>
              <w:keepNext/>
              <w:spacing w:after="0" w:line="240" w:lineRule="auto"/>
              <w:rPr>
                <w:rFonts w:cs="Arial"/>
                <w:b/>
                <w:bCs/>
                <w:color w:val="FFFFFF"/>
                <w:sz w:val="16"/>
                <w:szCs w:val="16"/>
              </w:rPr>
            </w:pPr>
            <w:r w:rsidRPr="00B735DA">
              <w:rPr>
                <w:rFonts w:cs="Arial"/>
                <w:b/>
                <w:bCs/>
                <w:color w:val="FFFFFF"/>
                <w:sz w:val="16"/>
                <w:szCs w:val="16"/>
              </w:rPr>
              <w:t>chlapci</w:t>
            </w:r>
          </w:p>
        </w:tc>
        <w:tc>
          <w:tcPr>
            <w:tcW w:w="1087" w:type="dxa"/>
            <w:tcBorders>
              <w:top w:val="single" w:sz="8" w:space="0" w:color="auto"/>
              <w:left w:val="nil"/>
              <w:bottom w:val="single" w:sz="8" w:space="0" w:color="auto"/>
              <w:right w:val="single" w:sz="8" w:space="0" w:color="auto"/>
            </w:tcBorders>
            <w:shd w:val="clear" w:color="000000" w:fill="C00000"/>
            <w:vAlign w:val="center"/>
            <w:hideMark/>
          </w:tcPr>
          <w:p w14:paraId="7AC619C5" w14:textId="77777777" w:rsidR="00B735DA" w:rsidRPr="00B735DA" w:rsidRDefault="00B735DA" w:rsidP="00C91DD5">
            <w:pPr>
              <w:keepNext/>
              <w:spacing w:after="0" w:line="240" w:lineRule="auto"/>
              <w:rPr>
                <w:rFonts w:cs="Arial"/>
                <w:b/>
                <w:bCs/>
                <w:color w:val="FFFFFF"/>
                <w:sz w:val="16"/>
                <w:szCs w:val="16"/>
              </w:rPr>
            </w:pPr>
            <w:r w:rsidRPr="00B735DA">
              <w:rPr>
                <w:rFonts w:cs="Arial"/>
                <w:b/>
                <w:bCs/>
                <w:color w:val="FFFFFF"/>
                <w:sz w:val="16"/>
                <w:szCs w:val="16"/>
              </w:rPr>
              <w:t>dívky</w:t>
            </w:r>
          </w:p>
        </w:tc>
      </w:tr>
      <w:tr w:rsidR="00B735DA" w:rsidRPr="00B735DA" w14:paraId="21414FDE" w14:textId="77777777" w:rsidTr="00B735DA">
        <w:trPr>
          <w:trHeight w:val="300"/>
        </w:trPr>
        <w:tc>
          <w:tcPr>
            <w:tcW w:w="2835" w:type="dxa"/>
            <w:tcBorders>
              <w:top w:val="nil"/>
              <w:left w:val="single" w:sz="8" w:space="0" w:color="auto"/>
              <w:bottom w:val="nil"/>
              <w:right w:val="nil"/>
            </w:tcBorders>
            <w:shd w:val="clear" w:color="auto" w:fill="auto"/>
            <w:vAlign w:val="center"/>
            <w:hideMark/>
          </w:tcPr>
          <w:p w14:paraId="1387C9B4" w14:textId="77777777" w:rsidR="00B735DA" w:rsidRPr="00B735DA" w:rsidRDefault="00B735DA" w:rsidP="00C91DD5">
            <w:pPr>
              <w:keepNext/>
              <w:spacing w:after="0" w:line="240" w:lineRule="auto"/>
              <w:rPr>
                <w:rFonts w:cs="Arial"/>
                <w:b/>
                <w:bCs/>
                <w:color w:val="000000"/>
                <w:sz w:val="16"/>
                <w:szCs w:val="16"/>
              </w:rPr>
            </w:pPr>
            <w:r w:rsidRPr="00B735DA">
              <w:rPr>
                <w:rFonts w:cs="Arial"/>
                <w:b/>
                <w:bCs/>
                <w:color w:val="000000"/>
                <w:sz w:val="16"/>
                <w:szCs w:val="16"/>
              </w:rPr>
              <w:t>celkem</w:t>
            </w:r>
          </w:p>
        </w:tc>
        <w:tc>
          <w:tcPr>
            <w:tcW w:w="1087" w:type="dxa"/>
            <w:tcBorders>
              <w:top w:val="nil"/>
              <w:left w:val="single" w:sz="8" w:space="0" w:color="auto"/>
              <w:bottom w:val="nil"/>
              <w:right w:val="single" w:sz="8" w:space="0" w:color="auto"/>
            </w:tcBorders>
            <w:shd w:val="clear" w:color="auto" w:fill="auto"/>
            <w:noWrap/>
            <w:vAlign w:val="center"/>
            <w:hideMark/>
          </w:tcPr>
          <w:p w14:paraId="5B51AFFE" w14:textId="5982AAD8" w:rsidR="00B735DA" w:rsidRPr="00B735DA" w:rsidRDefault="00B735DA" w:rsidP="00C91DD5">
            <w:pPr>
              <w:keepNext/>
              <w:spacing w:after="0" w:line="240" w:lineRule="auto"/>
              <w:jc w:val="right"/>
              <w:rPr>
                <w:rFonts w:cs="Arial"/>
                <w:b/>
                <w:bCs/>
                <w:i/>
                <w:iCs/>
                <w:color w:val="000000"/>
                <w:sz w:val="16"/>
                <w:szCs w:val="16"/>
              </w:rPr>
            </w:pPr>
            <w:r w:rsidRPr="00B735DA">
              <w:rPr>
                <w:rFonts w:cs="Arial"/>
                <w:b/>
                <w:bCs/>
                <w:i/>
                <w:iCs/>
                <w:color w:val="000000"/>
                <w:sz w:val="16"/>
                <w:szCs w:val="16"/>
              </w:rPr>
              <w:t>100</w:t>
            </w:r>
            <w:r w:rsidR="00BD723D">
              <w:rPr>
                <w:rFonts w:cs="Arial"/>
                <w:b/>
                <w:bCs/>
                <w:i/>
                <w:iCs/>
                <w:color w:val="000000"/>
                <w:sz w:val="16"/>
                <w:szCs w:val="16"/>
              </w:rPr>
              <w:t xml:space="preserve"> </w:t>
            </w:r>
            <w:r w:rsidRPr="00B735DA">
              <w:rPr>
                <w:rFonts w:cs="Arial"/>
                <w:b/>
                <w:bCs/>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67D9868D" w14:textId="5EC3B0C4" w:rsidR="00B735DA" w:rsidRPr="00B735DA" w:rsidRDefault="00B735DA" w:rsidP="00C91DD5">
            <w:pPr>
              <w:keepNext/>
              <w:spacing w:after="0" w:line="240" w:lineRule="auto"/>
              <w:jc w:val="right"/>
              <w:rPr>
                <w:rFonts w:cs="Arial"/>
                <w:b/>
                <w:bCs/>
                <w:i/>
                <w:iCs/>
                <w:color w:val="000000"/>
                <w:sz w:val="16"/>
                <w:szCs w:val="16"/>
              </w:rPr>
            </w:pPr>
            <w:r w:rsidRPr="00B735DA">
              <w:rPr>
                <w:rFonts w:cs="Arial"/>
                <w:b/>
                <w:bCs/>
                <w:i/>
                <w:iCs/>
                <w:color w:val="000000"/>
                <w:sz w:val="16"/>
                <w:szCs w:val="16"/>
              </w:rPr>
              <w:t>100</w:t>
            </w:r>
            <w:r w:rsidR="00BD723D">
              <w:rPr>
                <w:rFonts w:cs="Arial"/>
                <w:b/>
                <w:bCs/>
                <w:i/>
                <w:iCs/>
                <w:color w:val="000000"/>
                <w:sz w:val="16"/>
                <w:szCs w:val="16"/>
              </w:rPr>
              <w:t xml:space="preserve"> </w:t>
            </w:r>
            <w:r w:rsidRPr="00B735DA">
              <w:rPr>
                <w:rFonts w:cs="Arial"/>
                <w:b/>
                <w:bCs/>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1F0BC2EA" w14:textId="46AC35BD" w:rsidR="00B735DA" w:rsidRPr="00B735DA" w:rsidRDefault="00B735DA" w:rsidP="00C91DD5">
            <w:pPr>
              <w:keepNext/>
              <w:spacing w:after="0" w:line="240" w:lineRule="auto"/>
              <w:jc w:val="right"/>
              <w:rPr>
                <w:rFonts w:cs="Arial"/>
                <w:b/>
                <w:bCs/>
                <w:i/>
                <w:iCs/>
                <w:color w:val="000000"/>
                <w:sz w:val="16"/>
                <w:szCs w:val="16"/>
              </w:rPr>
            </w:pPr>
            <w:r w:rsidRPr="00B735DA">
              <w:rPr>
                <w:rFonts w:cs="Arial"/>
                <w:b/>
                <w:bCs/>
                <w:i/>
                <w:iCs/>
                <w:color w:val="000000"/>
                <w:sz w:val="16"/>
                <w:szCs w:val="16"/>
              </w:rPr>
              <w:t>100</w:t>
            </w:r>
            <w:r w:rsidR="00BD723D">
              <w:rPr>
                <w:rFonts w:cs="Arial"/>
                <w:b/>
                <w:bCs/>
                <w:i/>
                <w:iCs/>
                <w:color w:val="000000"/>
                <w:sz w:val="16"/>
                <w:szCs w:val="16"/>
              </w:rPr>
              <w:t xml:space="preserve"> </w:t>
            </w:r>
            <w:r w:rsidRPr="00B735DA">
              <w:rPr>
                <w:rFonts w:cs="Arial"/>
                <w:b/>
                <w:bCs/>
                <w:i/>
                <w:iCs/>
                <w:color w:val="000000"/>
                <w:sz w:val="16"/>
                <w:szCs w:val="16"/>
              </w:rPr>
              <w:t>%</w:t>
            </w:r>
          </w:p>
        </w:tc>
      </w:tr>
      <w:tr w:rsidR="00B735DA" w:rsidRPr="00B735DA" w14:paraId="219A8019" w14:textId="77777777" w:rsidTr="00B735DA">
        <w:trPr>
          <w:trHeight w:val="300"/>
        </w:trPr>
        <w:tc>
          <w:tcPr>
            <w:tcW w:w="2835" w:type="dxa"/>
            <w:tcBorders>
              <w:top w:val="nil"/>
              <w:left w:val="single" w:sz="8" w:space="0" w:color="auto"/>
              <w:bottom w:val="nil"/>
              <w:right w:val="nil"/>
            </w:tcBorders>
            <w:shd w:val="clear" w:color="auto" w:fill="auto"/>
            <w:noWrap/>
            <w:vAlign w:val="center"/>
            <w:hideMark/>
          </w:tcPr>
          <w:p w14:paraId="61A1CEB7" w14:textId="77777777" w:rsidR="00B735DA" w:rsidRPr="00B735DA" w:rsidRDefault="00B735DA" w:rsidP="00C91DD5">
            <w:pPr>
              <w:keepNext/>
              <w:spacing w:after="0" w:line="240" w:lineRule="auto"/>
              <w:rPr>
                <w:rFonts w:cs="Arial"/>
                <w:color w:val="000000"/>
                <w:sz w:val="16"/>
                <w:szCs w:val="16"/>
              </w:rPr>
            </w:pPr>
            <w:r w:rsidRPr="00B735DA">
              <w:rPr>
                <w:rFonts w:cs="Arial"/>
                <w:color w:val="000000"/>
                <w:sz w:val="16"/>
                <w:szCs w:val="16"/>
              </w:rPr>
              <w:t>vývojovými poruchami učení</w:t>
            </w:r>
          </w:p>
        </w:tc>
        <w:tc>
          <w:tcPr>
            <w:tcW w:w="1087" w:type="dxa"/>
            <w:tcBorders>
              <w:top w:val="nil"/>
              <w:left w:val="single" w:sz="8" w:space="0" w:color="auto"/>
              <w:bottom w:val="nil"/>
              <w:right w:val="single" w:sz="8" w:space="0" w:color="auto"/>
            </w:tcBorders>
            <w:shd w:val="clear" w:color="auto" w:fill="auto"/>
            <w:noWrap/>
            <w:vAlign w:val="center"/>
            <w:hideMark/>
          </w:tcPr>
          <w:p w14:paraId="17841EDF" w14:textId="441AC170"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42,7 </w:t>
            </w:r>
            <w:r w:rsidR="00B735DA" w:rsidRPr="00B735DA">
              <w:rPr>
                <w:rFonts w:cs="Arial"/>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42A10310" w14:textId="22F4445E"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40,7 </w:t>
            </w:r>
            <w:r w:rsidR="00B735DA" w:rsidRPr="00B735DA">
              <w:rPr>
                <w:rFonts w:cs="Arial"/>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35FF638A" w14:textId="63462DAF"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46,8 </w:t>
            </w:r>
            <w:r w:rsidR="00B735DA" w:rsidRPr="00B735DA">
              <w:rPr>
                <w:rFonts w:cs="Arial"/>
                <w:i/>
                <w:iCs/>
                <w:color w:val="000000"/>
                <w:sz w:val="16"/>
                <w:szCs w:val="16"/>
              </w:rPr>
              <w:t>%</w:t>
            </w:r>
          </w:p>
        </w:tc>
      </w:tr>
      <w:tr w:rsidR="00B735DA" w:rsidRPr="00B735DA" w14:paraId="32DE491F" w14:textId="77777777" w:rsidTr="00B735DA">
        <w:trPr>
          <w:trHeight w:val="300"/>
        </w:trPr>
        <w:tc>
          <w:tcPr>
            <w:tcW w:w="2835" w:type="dxa"/>
            <w:tcBorders>
              <w:top w:val="nil"/>
              <w:left w:val="single" w:sz="8" w:space="0" w:color="auto"/>
              <w:bottom w:val="nil"/>
              <w:right w:val="nil"/>
            </w:tcBorders>
            <w:shd w:val="clear" w:color="auto" w:fill="auto"/>
            <w:noWrap/>
            <w:vAlign w:val="center"/>
            <w:hideMark/>
          </w:tcPr>
          <w:p w14:paraId="3F310630" w14:textId="77777777" w:rsidR="00B735DA" w:rsidRPr="00B735DA" w:rsidRDefault="00B735DA" w:rsidP="00C91DD5">
            <w:pPr>
              <w:keepNext/>
              <w:spacing w:after="0" w:line="240" w:lineRule="auto"/>
              <w:rPr>
                <w:rFonts w:cs="Arial"/>
                <w:color w:val="000000"/>
                <w:sz w:val="16"/>
                <w:szCs w:val="16"/>
              </w:rPr>
            </w:pPr>
            <w:r w:rsidRPr="00B735DA">
              <w:rPr>
                <w:rFonts w:cs="Arial"/>
                <w:color w:val="000000"/>
                <w:sz w:val="16"/>
                <w:szCs w:val="16"/>
              </w:rPr>
              <w:t>vývojovými poruchami chování</w:t>
            </w:r>
          </w:p>
        </w:tc>
        <w:tc>
          <w:tcPr>
            <w:tcW w:w="1087" w:type="dxa"/>
            <w:tcBorders>
              <w:top w:val="nil"/>
              <w:left w:val="single" w:sz="8" w:space="0" w:color="auto"/>
              <w:bottom w:val="nil"/>
              <w:right w:val="single" w:sz="8" w:space="0" w:color="auto"/>
            </w:tcBorders>
            <w:shd w:val="clear" w:color="auto" w:fill="auto"/>
            <w:noWrap/>
            <w:vAlign w:val="center"/>
            <w:hideMark/>
          </w:tcPr>
          <w:p w14:paraId="56C747BD" w14:textId="7E2646E3"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17,0 </w:t>
            </w:r>
            <w:r w:rsidR="00B735DA" w:rsidRPr="00B735DA">
              <w:rPr>
                <w:rFonts w:cs="Arial"/>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3617F181" w14:textId="74DEE49E"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19,9 </w:t>
            </w:r>
            <w:r w:rsidR="00B735DA" w:rsidRPr="00B735DA">
              <w:rPr>
                <w:rFonts w:cs="Arial"/>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4F98C584" w14:textId="5ADBD027"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11,2 </w:t>
            </w:r>
            <w:r w:rsidR="00B735DA" w:rsidRPr="00B735DA">
              <w:rPr>
                <w:rFonts w:cs="Arial"/>
                <w:i/>
                <w:iCs/>
                <w:color w:val="000000"/>
                <w:sz w:val="16"/>
                <w:szCs w:val="16"/>
              </w:rPr>
              <w:t>%</w:t>
            </w:r>
          </w:p>
        </w:tc>
      </w:tr>
      <w:tr w:rsidR="00B735DA" w:rsidRPr="00B735DA" w14:paraId="7A61F10E" w14:textId="77777777" w:rsidTr="00B735DA">
        <w:trPr>
          <w:trHeight w:val="300"/>
        </w:trPr>
        <w:tc>
          <w:tcPr>
            <w:tcW w:w="2835" w:type="dxa"/>
            <w:tcBorders>
              <w:top w:val="nil"/>
              <w:left w:val="single" w:sz="8" w:space="0" w:color="auto"/>
              <w:bottom w:val="nil"/>
              <w:right w:val="nil"/>
            </w:tcBorders>
            <w:shd w:val="clear" w:color="auto" w:fill="auto"/>
            <w:noWrap/>
            <w:vAlign w:val="center"/>
            <w:hideMark/>
          </w:tcPr>
          <w:p w14:paraId="14A800E2" w14:textId="77777777" w:rsidR="00B735DA" w:rsidRPr="00B735DA" w:rsidRDefault="00B735DA" w:rsidP="00C91DD5">
            <w:pPr>
              <w:keepNext/>
              <w:spacing w:after="0" w:line="240" w:lineRule="auto"/>
              <w:rPr>
                <w:rFonts w:cs="Arial"/>
                <w:color w:val="000000"/>
                <w:sz w:val="16"/>
                <w:szCs w:val="16"/>
              </w:rPr>
            </w:pPr>
            <w:r w:rsidRPr="00B735DA">
              <w:rPr>
                <w:rFonts w:cs="Arial"/>
                <w:color w:val="000000"/>
                <w:sz w:val="16"/>
                <w:szCs w:val="16"/>
              </w:rPr>
              <w:t>mentálně</w:t>
            </w:r>
          </w:p>
        </w:tc>
        <w:tc>
          <w:tcPr>
            <w:tcW w:w="1087" w:type="dxa"/>
            <w:tcBorders>
              <w:top w:val="nil"/>
              <w:left w:val="single" w:sz="8" w:space="0" w:color="auto"/>
              <w:bottom w:val="nil"/>
              <w:right w:val="single" w:sz="8" w:space="0" w:color="auto"/>
            </w:tcBorders>
            <w:shd w:val="clear" w:color="auto" w:fill="auto"/>
            <w:noWrap/>
            <w:vAlign w:val="center"/>
            <w:hideMark/>
          </w:tcPr>
          <w:p w14:paraId="0C3690AF" w14:textId="53E14FBF"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13,6 </w:t>
            </w:r>
            <w:r w:rsidR="00B735DA" w:rsidRPr="00B735DA">
              <w:rPr>
                <w:rFonts w:cs="Arial"/>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24592DFE" w14:textId="234B3B64"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11,4 </w:t>
            </w:r>
            <w:r w:rsidR="00B735DA" w:rsidRPr="00B735DA">
              <w:rPr>
                <w:rFonts w:cs="Arial"/>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0C462764" w14:textId="163005BE"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18,0 </w:t>
            </w:r>
            <w:r w:rsidR="00B735DA" w:rsidRPr="00B735DA">
              <w:rPr>
                <w:rFonts w:cs="Arial"/>
                <w:i/>
                <w:iCs/>
                <w:color w:val="000000"/>
                <w:sz w:val="16"/>
                <w:szCs w:val="16"/>
              </w:rPr>
              <w:t>%</w:t>
            </w:r>
          </w:p>
        </w:tc>
      </w:tr>
      <w:tr w:rsidR="00B735DA" w:rsidRPr="00B735DA" w14:paraId="0E96BD23" w14:textId="77777777" w:rsidTr="00B735DA">
        <w:trPr>
          <w:trHeight w:val="300"/>
        </w:trPr>
        <w:tc>
          <w:tcPr>
            <w:tcW w:w="2835" w:type="dxa"/>
            <w:tcBorders>
              <w:top w:val="nil"/>
              <w:left w:val="single" w:sz="8" w:space="0" w:color="auto"/>
              <w:bottom w:val="nil"/>
              <w:right w:val="nil"/>
            </w:tcBorders>
            <w:shd w:val="clear" w:color="auto" w:fill="auto"/>
            <w:noWrap/>
            <w:vAlign w:val="center"/>
            <w:hideMark/>
          </w:tcPr>
          <w:p w14:paraId="1A699C1A" w14:textId="77777777" w:rsidR="00B735DA" w:rsidRPr="00E9070E" w:rsidRDefault="00B735DA" w:rsidP="00C91DD5">
            <w:pPr>
              <w:keepNext/>
              <w:spacing w:after="0" w:line="240" w:lineRule="auto"/>
              <w:rPr>
                <w:rFonts w:cs="Arial"/>
                <w:iCs/>
                <w:color w:val="000000"/>
                <w:sz w:val="16"/>
                <w:szCs w:val="16"/>
              </w:rPr>
            </w:pPr>
            <w:r w:rsidRPr="00E9070E">
              <w:rPr>
                <w:rFonts w:cs="Arial"/>
                <w:iCs/>
                <w:color w:val="000000"/>
                <w:sz w:val="16"/>
                <w:szCs w:val="16"/>
              </w:rPr>
              <w:t>vadami řeči</w:t>
            </w:r>
          </w:p>
        </w:tc>
        <w:tc>
          <w:tcPr>
            <w:tcW w:w="1087" w:type="dxa"/>
            <w:tcBorders>
              <w:top w:val="nil"/>
              <w:left w:val="single" w:sz="8" w:space="0" w:color="auto"/>
              <w:bottom w:val="nil"/>
              <w:right w:val="single" w:sz="8" w:space="0" w:color="auto"/>
            </w:tcBorders>
            <w:shd w:val="clear" w:color="auto" w:fill="auto"/>
            <w:noWrap/>
            <w:vAlign w:val="center"/>
            <w:hideMark/>
          </w:tcPr>
          <w:p w14:paraId="60964837" w14:textId="548328C9"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10,9 </w:t>
            </w:r>
            <w:r w:rsidR="00B735DA" w:rsidRPr="00B735DA">
              <w:rPr>
                <w:rFonts w:cs="Arial"/>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005D5DB8" w14:textId="40304616"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11,6 </w:t>
            </w:r>
            <w:r w:rsidR="00B735DA" w:rsidRPr="00B735DA">
              <w:rPr>
                <w:rFonts w:cs="Arial"/>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18E1195D" w14:textId="2D718A9C"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9,5 </w:t>
            </w:r>
            <w:r w:rsidR="00B735DA" w:rsidRPr="00B735DA">
              <w:rPr>
                <w:rFonts w:cs="Arial"/>
                <w:i/>
                <w:iCs/>
                <w:color w:val="000000"/>
                <w:sz w:val="16"/>
                <w:szCs w:val="16"/>
              </w:rPr>
              <w:t>%</w:t>
            </w:r>
          </w:p>
        </w:tc>
      </w:tr>
      <w:tr w:rsidR="00B735DA" w:rsidRPr="00B735DA" w14:paraId="0341A76F" w14:textId="77777777" w:rsidTr="00B735DA">
        <w:trPr>
          <w:trHeight w:val="300"/>
        </w:trPr>
        <w:tc>
          <w:tcPr>
            <w:tcW w:w="2835" w:type="dxa"/>
            <w:tcBorders>
              <w:top w:val="nil"/>
              <w:left w:val="single" w:sz="8" w:space="0" w:color="auto"/>
              <w:bottom w:val="nil"/>
              <w:right w:val="nil"/>
            </w:tcBorders>
            <w:shd w:val="clear" w:color="auto" w:fill="auto"/>
            <w:noWrap/>
            <w:vAlign w:val="center"/>
            <w:hideMark/>
          </w:tcPr>
          <w:p w14:paraId="47E299F9" w14:textId="6C5A79B4" w:rsidR="00B735DA" w:rsidRPr="00B735DA" w:rsidRDefault="00DF4FB7" w:rsidP="00C91DD5">
            <w:pPr>
              <w:keepNext/>
              <w:spacing w:after="0" w:line="240" w:lineRule="auto"/>
              <w:rPr>
                <w:rFonts w:cs="Arial"/>
                <w:color w:val="000000"/>
                <w:sz w:val="16"/>
                <w:szCs w:val="16"/>
              </w:rPr>
            </w:pPr>
            <w:r w:rsidRPr="00DF4FB7">
              <w:rPr>
                <w:rFonts w:cs="Arial"/>
                <w:color w:val="000000"/>
                <w:sz w:val="16"/>
                <w:szCs w:val="16"/>
              </w:rPr>
              <w:t>poruchami autistického spektra</w:t>
            </w:r>
          </w:p>
        </w:tc>
        <w:tc>
          <w:tcPr>
            <w:tcW w:w="1087" w:type="dxa"/>
            <w:tcBorders>
              <w:top w:val="nil"/>
              <w:left w:val="single" w:sz="8" w:space="0" w:color="auto"/>
              <w:bottom w:val="nil"/>
              <w:right w:val="single" w:sz="8" w:space="0" w:color="auto"/>
            </w:tcBorders>
            <w:shd w:val="clear" w:color="auto" w:fill="auto"/>
            <w:noWrap/>
            <w:vAlign w:val="center"/>
            <w:hideMark/>
          </w:tcPr>
          <w:p w14:paraId="5B39C293" w14:textId="458E7622"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3,8 </w:t>
            </w:r>
            <w:r w:rsidR="00B735DA" w:rsidRPr="00B735DA">
              <w:rPr>
                <w:rFonts w:cs="Arial"/>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51EA5AA4" w14:textId="67FDF695"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4,6 </w:t>
            </w:r>
            <w:r w:rsidR="00B735DA" w:rsidRPr="00B735DA">
              <w:rPr>
                <w:rFonts w:cs="Arial"/>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26A42C3B" w14:textId="569BC118"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2,0 </w:t>
            </w:r>
            <w:r w:rsidR="00B735DA" w:rsidRPr="00B735DA">
              <w:rPr>
                <w:rFonts w:cs="Arial"/>
                <w:i/>
                <w:iCs/>
                <w:color w:val="000000"/>
                <w:sz w:val="16"/>
                <w:szCs w:val="16"/>
              </w:rPr>
              <w:t>%</w:t>
            </w:r>
          </w:p>
        </w:tc>
      </w:tr>
      <w:tr w:rsidR="00B735DA" w:rsidRPr="00B735DA" w14:paraId="497E5F39" w14:textId="77777777" w:rsidTr="00B735DA">
        <w:trPr>
          <w:trHeight w:val="300"/>
        </w:trPr>
        <w:tc>
          <w:tcPr>
            <w:tcW w:w="2835" w:type="dxa"/>
            <w:tcBorders>
              <w:top w:val="nil"/>
              <w:left w:val="single" w:sz="8" w:space="0" w:color="auto"/>
              <w:bottom w:val="nil"/>
              <w:right w:val="nil"/>
            </w:tcBorders>
            <w:shd w:val="clear" w:color="auto" w:fill="auto"/>
            <w:noWrap/>
            <w:vAlign w:val="center"/>
            <w:hideMark/>
          </w:tcPr>
          <w:p w14:paraId="08C0F231" w14:textId="77777777" w:rsidR="00B735DA" w:rsidRPr="00B735DA" w:rsidRDefault="00B735DA" w:rsidP="00C91DD5">
            <w:pPr>
              <w:keepNext/>
              <w:spacing w:after="0" w:line="240" w:lineRule="auto"/>
              <w:rPr>
                <w:rFonts w:cs="Arial"/>
                <w:color w:val="000000"/>
                <w:sz w:val="16"/>
                <w:szCs w:val="16"/>
              </w:rPr>
            </w:pPr>
            <w:r w:rsidRPr="00B735DA">
              <w:rPr>
                <w:rFonts w:cs="Arial"/>
                <w:color w:val="000000"/>
                <w:sz w:val="16"/>
                <w:szCs w:val="16"/>
              </w:rPr>
              <w:t>sluchově</w:t>
            </w:r>
          </w:p>
        </w:tc>
        <w:tc>
          <w:tcPr>
            <w:tcW w:w="1087" w:type="dxa"/>
            <w:tcBorders>
              <w:top w:val="nil"/>
              <w:left w:val="single" w:sz="8" w:space="0" w:color="auto"/>
              <w:bottom w:val="nil"/>
              <w:right w:val="single" w:sz="8" w:space="0" w:color="auto"/>
            </w:tcBorders>
            <w:shd w:val="clear" w:color="auto" w:fill="auto"/>
            <w:noWrap/>
            <w:vAlign w:val="center"/>
            <w:hideMark/>
          </w:tcPr>
          <w:p w14:paraId="6D18035D" w14:textId="23907033"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1,1 </w:t>
            </w:r>
            <w:r w:rsidR="00B735DA" w:rsidRPr="00B735DA">
              <w:rPr>
                <w:rFonts w:cs="Arial"/>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4D45F525" w14:textId="0391B615"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0,9 </w:t>
            </w:r>
            <w:r w:rsidR="00B735DA" w:rsidRPr="00B735DA">
              <w:rPr>
                <w:rFonts w:cs="Arial"/>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0FDA6C6E" w14:textId="3F2A63FE"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1,5 </w:t>
            </w:r>
            <w:r w:rsidR="00B735DA" w:rsidRPr="00B735DA">
              <w:rPr>
                <w:rFonts w:cs="Arial"/>
                <w:i/>
                <w:iCs/>
                <w:color w:val="000000"/>
                <w:sz w:val="16"/>
                <w:szCs w:val="16"/>
              </w:rPr>
              <w:t>%</w:t>
            </w:r>
          </w:p>
        </w:tc>
      </w:tr>
      <w:tr w:rsidR="00B735DA" w:rsidRPr="00B735DA" w14:paraId="1B4F1D69" w14:textId="77777777" w:rsidTr="00B735DA">
        <w:trPr>
          <w:trHeight w:val="300"/>
        </w:trPr>
        <w:tc>
          <w:tcPr>
            <w:tcW w:w="2835" w:type="dxa"/>
            <w:tcBorders>
              <w:top w:val="nil"/>
              <w:left w:val="single" w:sz="8" w:space="0" w:color="auto"/>
              <w:bottom w:val="nil"/>
              <w:right w:val="nil"/>
            </w:tcBorders>
            <w:shd w:val="clear" w:color="auto" w:fill="auto"/>
            <w:noWrap/>
            <w:vAlign w:val="center"/>
            <w:hideMark/>
          </w:tcPr>
          <w:p w14:paraId="1017EE71" w14:textId="77777777" w:rsidR="00B735DA" w:rsidRPr="00B735DA" w:rsidRDefault="00B735DA" w:rsidP="00C91DD5">
            <w:pPr>
              <w:keepNext/>
              <w:spacing w:after="0" w:line="240" w:lineRule="auto"/>
              <w:rPr>
                <w:rFonts w:cs="Arial"/>
                <w:color w:val="000000"/>
                <w:sz w:val="16"/>
                <w:szCs w:val="16"/>
              </w:rPr>
            </w:pPr>
            <w:r w:rsidRPr="00B735DA">
              <w:rPr>
                <w:rFonts w:cs="Arial"/>
                <w:color w:val="000000"/>
                <w:sz w:val="16"/>
                <w:szCs w:val="16"/>
              </w:rPr>
              <w:t>tělesně</w:t>
            </w:r>
          </w:p>
        </w:tc>
        <w:tc>
          <w:tcPr>
            <w:tcW w:w="1087" w:type="dxa"/>
            <w:tcBorders>
              <w:top w:val="nil"/>
              <w:left w:val="single" w:sz="8" w:space="0" w:color="auto"/>
              <w:bottom w:val="nil"/>
              <w:right w:val="single" w:sz="8" w:space="0" w:color="auto"/>
            </w:tcBorders>
            <w:shd w:val="clear" w:color="auto" w:fill="auto"/>
            <w:noWrap/>
            <w:vAlign w:val="center"/>
            <w:hideMark/>
          </w:tcPr>
          <w:p w14:paraId="01232BA3" w14:textId="361091B8"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1,0 </w:t>
            </w:r>
            <w:r w:rsidR="00B735DA" w:rsidRPr="00B735DA">
              <w:rPr>
                <w:rFonts w:cs="Arial"/>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3D4DC3BD" w14:textId="62E8929A"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0,8 </w:t>
            </w:r>
            <w:r w:rsidR="00B735DA" w:rsidRPr="00B735DA">
              <w:rPr>
                <w:rFonts w:cs="Arial"/>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6B5AF3FD" w14:textId="67271921"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1,5 </w:t>
            </w:r>
            <w:r w:rsidR="00B735DA" w:rsidRPr="00B735DA">
              <w:rPr>
                <w:rFonts w:cs="Arial"/>
                <w:i/>
                <w:iCs/>
                <w:color w:val="000000"/>
                <w:sz w:val="16"/>
                <w:szCs w:val="16"/>
              </w:rPr>
              <w:t>%</w:t>
            </w:r>
          </w:p>
        </w:tc>
      </w:tr>
      <w:tr w:rsidR="00B735DA" w:rsidRPr="00B735DA" w14:paraId="2B64FC76" w14:textId="77777777" w:rsidTr="00B735DA">
        <w:trPr>
          <w:trHeight w:val="300"/>
        </w:trPr>
        <w:tc>
          <w:tcPr>
            <w:tcW w:w="2835" w:type="dxa"/>
            <w:tcBorders>
              <w:top w:val="nil"/>
              <w:left w:val="single" w:sz="8" w:space="0" w:color="auto"/>
              <w:bottom w:val="nil"/>
              <w:right w:val="nil"/>
            </w:tcBorders>
            <w:shd w:val="clear" w:color="auto" w:fill="auto"/>
            <w:noWrap/>
            <w:vAlign w:val="center"/>
            <w:hideMark/>
          </w:tcPr>
          <w:p w14:paraId="4527F938" w14:textId="77777777" w:rsidR="00B735DA" w:rsidRPr="00B735DA" w:rsidRDefault="00B735DA" w:rsidP="00C91DD5">
            <w:pPr>
              <w:keepNext/>
              <w:spacing w:after="0" w:line="240" w:lineRule="auto"/>
              <w:rPr>
                <w:rFonts w:cs="Arial"/>
                <w:color w:val="000000"/>
                <w:sz w:val="16"/>
                <w:szCs w:val="16"/>
              </w:rPr>
            </w:pPr>
            <w:r w:rsidRPr="00B735DA">
              <w:rPr>
                <w:rFonts w:cs="Arial"/>
                <w:color w:val="000000"/>
                <w:sz w:val="16"/>
                <w:szCs w:val="16"/>
              </w:rPr>
              <w:t>zrakově</w:t>
            </w:r>
          </w:p>
        </w:tc>
        <w:tc>
          <w:tcPr>
            <w:tcW w:w="1087" w:type="dxa"/>
            <w:tcBorders>
              <w:top w:val="nil"/>
              <w:left w:val="single" w:sz="8" w:space="0" w:color="auto"/>
              <w:bottom w:val="nil"/>
              <w:right w:val="single" w:sz="8" w:space="0" w:color="auto"/>
            </w:tcBorders>
            <w:shd w:val="clear" w:color="auto" w:fill="auto"/>
            <w:noWrap/>
            <w:vAlign w:val="center"/>
            <w:hideMark/>
          </w:tcPr>
          <w:p w14:paraId="2990BC67" w14:textId="2381B55C"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0,8 </w:t>
            </w:r>
            <w:r w:rsidR="00B735DA" w:rsidRPr="00B735DA">
              <w:rPr>
                <w:rFonts w:cs="Arial"/>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309873D7" w14:textId="301E9417"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0,6 </w:t>
            </w:r>
            <w:r w:rsidR="00B735DA" w:rsidRPr="00B735DA">
              <w:rPr>
                <w:rFonts w:cs="Arial"/>
                <w:i/>
                <w:iCs/>
                <w:color w:val="000000"/>
                <w:sz w:val="16"/>
                <w:szCs w:val="16"/>
              </w:rPr>
              <w:t>%</w:t>
            </w:r>
          </w:p>
        </w:tc>
        <w:tc>
          <w:tcPr>
            <w:tcW w:w="1087" w:type="dxa"/>
            <w:tcBorders>
              <w:top w:val="nil"/>
              <w:left w:val="nil"/>
              <w:bottom w:val="nil"/>
              <w:right w:val="single" w:sz="8" w:space="0" w:color="auto"/>
            </w:tcBorders>
            <w:shd w:val="clear" w:color="auto" w:fill="auto"/>
            <w:noWrap/>
            <w:vAlign w:val="center"/>
            <w:hideMark/>
          </w:tcPr>
          <w:p w14:paraId="63A0D053" w14:textId="7E395B6D" w:rsidR="00B735DA" w:rsidRPr="00B735DA" w:rsidRDefault="00BD723D" w:rsidP="00C91DD5">
            <w:pPr>
              <w:keepNext/>
              <w:spacing w:after="0" w:line="240" w:lineRule="auto"/>
              <w:jc w:val="right"/>
              <w:rPr>
                <w:rFonts w:cs="Arial"/>
                <w:i/>
                <w:iCs/>
                <w:color w:val="000000"/>
                <w:sz w:val="16"/>
                <w:szCs w:val="16"/>
              </w:rPr>
            </w:pPr>
            <w:r>
              <w:rPr>
                <w:rFonts w:cs="Arial"/>
                <w:i/>
                <w:iCs/>
                <w:color w:val="000000"/>
                <w:sz w:val="16"/>
                <w:szCs w:val="16"/>
              </w:rPr>
              <w:t xml:space="preserve">1,1 </w:t>
            </w:r>
            <w:r w:rsidR="00B735DA" w:rsidRPr="00B735DA">
              <w:rPr>
                <w:rFonts w:cs="Arial"/>
                <w:i/>
                <w:iCs/>
                <w:color w:val="000000"/>
                <w:sz w:val="16"/>
                <w:szCs w:val="16"/>
              </w:rPr>
              <w:t>%</w:t>
            </w:r>
          </w:p>
        </w:tc>
      </w:tr>
      <w:tr w:rsidR="00B735DA" w:rsidRPr="00B735DA" w14:paraId="5A348631" w14:textId="77777777" w:rsidTr="00B735DA">
        <w:trPr>
          <w:trHeight w:val="315"/>
        </w:trPr>
        <w:tc>
          <w:tcPr>
            <w:tcW w:w="2835" w:type="dxa"/>
            <w:tcBorders>
              <w:top w:val="nil"/>
              <w:left w:val="single" w:sz="8" w:space="0" w:color="auto"/>
              <w:bottom w:val="single" w:sz="8" w:space="0" w:color="auto"/>
              <w:right w:val="nil"/>
            </w:tcBorders>
            <w:shd w:val="clear" w:color="auto" w:fill="auto"/>
            <w:noWrap/>
            <w:vAlign w:val="center"/>
            <w:hideMark/>
          </w:tcPr>
          <w:p w14:paraId="5C35FB74" w14:textId="1AFD8C87" w:rsidR="00B735DA" w:rsidRPr="00B735DA" w:rsidRDefault="000851C8" w:rsidP="00733ACD">
            <w:pPr>
              <w:spacing w:after="0" w:line="240" w:lineRule="auto"/>
              <w:rPr>
                <w:rFonts w:cs="Arial"/>
                <w:color w:val="000000"/>
                <w:sz w:val="16"/>
                <w:szCs w:val="16"/>
              </w:rPr>
            </w:pPr>
            <w:r>
              <w:rPr>
                <w:rFonts w:cs="Arial"/>
                <w:color w:val="000000"/>
                <w:sz w:val="16"/>
                <w:szCs w:val="16"/>
              </w:rPr>
              <w:t>postižení</w:t>
            </w:r>
            <w:r w:rsidR="00B735DA" w:rsidRPr="00B735DA">
              <w:rPr>
                <w:rFonts w:cs="Arial"/>
                <w:color w:val="000000"/>
                <w:sz w:val="16"/>
                <w:szCs w:val="16"/>
              </w:rPr>
              <w:t xml:space="preserve"> více vadam</w:t>
            </w:r>
            <w:r w:rsidR="00733ACD">
              <w:rPr>
                <w:rFonts w:cs="Arial"/>
                <w:color w:val="000000"/>
                <w:sz w:val="16"/>
                <w:szCs w:val="16"/>
              </w:rPr>
              <w:t>i</w:t>
            </w:r>
            <w:r w:rsidR="00B735DA" w:rsidRPr="00B735DA">
              <w:rPr>
                <w:rFonts w:cs="Arial"/>
                <w:color w:val="000000"/>
                <w:sz w:val="16"/>
                <w:szCs w:val="16"/>
                <w:vertAlign w:val="superscript"/>
              </w:rPr>
              <w:t>1)</w:t>
            </w:r>
          </w:p>
        </w:tc>
        <w:tc>
          <w:tcPr>
            <w:tcW w:w="1087" w:type="dxa"/>
            <w:tcBorders>
              <w:top w:val="nil"/>
              <w:left w:val="single" w:sz="8" w:space="0" w:color="auto"/>
              <w:bottom w:val="single" w:sz="8" w:space="0" w:color="auto"/>
              <w:right w:val="single" w:sz="8" w:space="0" w:color="auto"/>
            </w:tcBorders>
            <w:shd w:val="clear" w:color="auto" w:fill="auto"/>
            <w:noWrap/>
            <w:vAlign w:val="center"/>
            <w:hideMark/>
          </w:tcPr>
          <w:p w14:paraId="1DFC8103" w14:textId="714BBAD7" w:rsidR="00B735DA" w:rsidRPr="00B735DA" w:rsidRDefault="00BD723D" w:rsidP="00B735DA">
            <w:pPr>
              <w:spacing w:after="0" w:line="240" w:lineRule="auto"/>
              <w:jc w:val="right"/>
              <w:rPr>
                <w:rFonts w:cs="Arial"/>
                <w:i/>
                <w:iCs/>
                <w:color w:val="000000"/>
                <w:sz w:val="16"/>
                <w:szCs w:val="16"/>
              </w:rPr>
            </w:pPr>
            <w:r>
              <w:rPr>
                <w:rFonts w:cs="Arial"/>
                <w:i/>
                <w:iCs/>
                <w:color w:val="000000"/>
                <w:sz w:val="16"/>
                <w:szCs w:val="16"/>
              </w:rPr>
              <w:t xml:space="preserve">9,1 </w:t>
            </w:r>
            <w:r w:rsidR="00B735DA" w:rsidRPr="00B735DA">
              <w:rPr>
                <w:rFonts w:cs="Arial"/>
                <w:i/>
                <w:iCs/>
                <w:color w:val="000000"/>
                <w:sz w:val="16"/>
                <w:szCs w:val="16"/>
              </w:rPr>
              <w:t>%</w:t>
            </w:r>
          </w:p>
        </w:tc>
        <w:tc>
          <w:tcPr>
            <w:tcW w:w="1087" w:type="dxa"/>
            <w:tcBorders>
              <w:top w:val="nil"/>
              <w:left w:val="nil"/>
              <w:bottom w:val="single" w:sz="8" w:space="0" w:color="auto"/>
              <w:right w:val="single" w:sz="8" w:space="0" w:color="auto"/>
            </w:tcBorders>
            <w:shd w:val="clear" w:color="auto" w:fill="auto"/>
            <w:noWrap/>
            <w:vAlign w:val="center"/>
            <w:hideMark/>
          </w:tcPr>
          <w:p w14:paraId="7AEE0AD5" w14:textId="106DC999" w:rsidR="00B735DA" w:rsidRPr="00B735DA" w:rsidRDefault="00BD723D" w:rsidP="00B735DA">
            <w:pPr>
              <w:spacing w:after="0" w:line="240" w:lineRule="auto"/>
              <w:jc w:val="right"/>
              <w:rPr>
                <w:rFonts w:cs="Arial"/>
                <w:i/>
                <w:iCs/>
                <w:color w:val="000000"/>
                <w:sz w:val="16"/>
                <w:szCs w:val="16"/>
              </w:rPr>
            </w:pPr>
            <w:r>
              <w:rPr>
                <w:rFonts w:cs="Arial"/>
                <w:i/>
                <w:iCs/>
                <w:color w:val="000000"/>
                <w:sz w:val="16"/>
                <w:szCs w:val="16"/>
              </w:rPr>
              <w:t xml:space="preserve">9,4 </w:t>
            </w:r>
            <w:r w:rsidR="00B735DA" w:rsidRPr="00B735DA">
              <w:rPr>
                <w:rFonts w:cs="Arial"/>
                <w:i/>
                <w:iCs/>
                <w:color w:val="000000"/>
                <w:sz w:val="16"/>
                <w:szCs w:val="16"/>
              </w:rPr>
              <w:t>%</w:t>
            </w:r>
          </w:p>
        </w:tc>
        <w:tc>
          <w:tcPr>
            <w:tcW w:w="1087" w:type="dxa"/>
            <w:tcBorders>
              <w:top w:val="nil"/>
              <w:left w:val="nil"/>
              <w:bottom w:val="single" w:sz="8" w:space="0" w:color="auto"/>
              <w:right w:val="single" w:sz="8" w:space="0" w:color="auto"/>
            </w:tcBorders>
            <w:shd w:val="clear" w:color="auto" w:fill="auto"/>
            <w:noWrap/>
            <w:vAlign w:val="center"/>
            <w:hideMark/>
          </w:tcPr>
          <w:p w14:paraId="192276CE" w14:textId="4DC32088" w:rsidR="00B735DA" w:rsidRPr="00B735DA" w:rsidRDefault="00BD723D" w:rsidP="00B735DA">
            <w:pPr>
              <w:spacing w:after="0" w:line="240" w:lineRule="auto"/>
              <w:jc w:val="right"/>
              <w:rPr>
                <w:rFonts w:cs="Arial"/>
                <w:i/>
                <w:iCs/>
                <w:color w:val="000000"/>
                <w:sz w:val="16"/>
                <w:szCs w:val="16"/>
              </w:rPr>
            </w:pPr>
            <w:r>
              <w:rPr>
                <w:rFonts w:cs="Arial"/>
                <w:i/>
                <w:iCs/>
                <w:color w:val="000000"/>
                <w:sz w:val="16"/>
                <w:szCs w:val="16"/>
              </w:rPr>
              <w:t xml:space="preserve">8,5 </w:t>
            </w:r>
            <w:r w:rsidR="00B735DA" w:rsidRPr="00B735DA">
              <w:rPr>
                <w:rFonts w:cs="Arial"/>
                <w:i/>
                <w:iCs/>
                <w:color w:val="000000"/>
                <w:sz w:val="16"/>
                <w:szCs w:val="16"/>
              </w:rPr>
              <w:t>%</w:t>
            </w:r>
          </w:p>
        </w:tc>
      </w:tr>
    </w:tbl>
    <w:p w14:paraId="512C81FA" w14:textId="4F5C1D45" w:rsidR="00385CF8" w:rsidRPr="00A7163A" w:rsidRDefault="00385CF8" w:rsidP="00385CF8">
      <w:pPr>
        <w:spacing w:after="0" w:line="240" w:lineRule="auto"/>
        <w:jc w:val="both"/>
        <w:rPr>
          <w:rFonts w:cs="Arial"/>
          <w:b/>
          <w:sz w:val="16"/>
          <w:szCs w:val="16"/>
        </w:rPr>
      </w:pPr>
    </w:p>
    <w:p w14:paraId="797B8118" w14:textId="6B97A701" w:rsidR="00385CF8" w:rsidRPr="00A7163A" w:rsidRDefault="00385CF8" w:rsidP="00385CF8">
      <w:pPr>
        <w:spacing w:after="120"/>
        <w:jc w:val="both"/>
        <w:rPr>
          <w:rFonts w:cs="Arial"/>
          <w:sz w:val="16"/>
          <w:szCs w:val="16"/>
        </w:rPr>
      </w:pPr>
      <w:r w:rsidRPr="00A7163A">
        <w:rPr>
          <w:rFonts w:cs="Arial"/>
          <w:sz w:val="16"/>
          <w:szCs w:val="16"/>
          <w:vertAlign w:val="superscript"/>
        </w:rPr>
        <w:t>1)</w:t>
      </w:r>
      <w:r w:rsidRPr="00A7163A">
        <w:rPr>
          <w:rFonts w:cs="Arial"/>
          <w:sz w:val="16"/>
          <w:szCs w:val="16"/>
        </w:rPr>
        <w:t xml:space="preserve"> za postižené více vadami se považuje </w:t>
      </w:r>
      <w:r w:rsidR="000851C8" w:rsidRPr="00A7163A">
        <w:rPr>
          <w:rFonts w:cs="Arial"/>
          <w:sz w:val="16"/>
          <w:szCs w:val="16"/>
        </w:rPr>
        <w:t>žák</w:t>
      </w:r>
      <w:r w:rsidRPr="00A7163A">
        <w:rPr>
          <w:rFonts w:cs="Arial"/>
          <w:sz w:val="16"/>
          <w:szCs w:val="16"/>
        </w:rPr>
        <w:t xml:space="preserve"> se dvěma nebo více druhy postižení, ze kterých by každé opravňovalo k poskytování podpůrných opatření ve vyšších stupních podpory</w:t>
      </w:r>
    </w:p>
    <w:p w14:paraId="4B9C0A73" w14:textId="68DF65A1" w:rsidR="00FF6B7E" w:rsidRDefault="00385CF8" w:rsidP="00D4181F">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5D4AB90A" w14:textId="77777777" w:rsidR="00D4181F" w:rsidRPr="00D4181F" w:rsidRDefault="00D4181F" w:rsidP="00D4181F">
      <w:pPr>
        <w:spacing w:after="120"/>
        <w:jc w:val="right"/>
        <w:rPr>
          <w:rFonts w:cs="Arial"/>
          <w:sz w:val="18"/>
        </w:rPr>
      </w:pPr>
    </w:p>
    <w:p w14:paraId="02EBF495" w14:textId="77777777" w:rsidR="00FA7769" w:rsidRPr="00386026" w:rsidRDefault="00FA7769" w:rsidP="00386026">
      <w:pPr>
        <w:pStyle w:val="Nadpis1"/>
      </w:pPr>
      <w:bookmarkStart w:id="20" w:name="_Toc112069084"/>
      <w:r w:rsidRPr="00386026">
        <w:t>3. Střední školy</w:t>
      </w:r>
      <w:bookmarkEnd w:id="20"/>
    </w:p>
    <w:p w14:paraId="31129FC4" w14:textId="60D8CB42" w:rsidR="00FA7769" w:rsidRPr="00403EDA" w:rsidRDefault="00FA7769" w:rsidP="00FA7769">
      <w:pPr>
        <w:spacing w:after="120"/>
        <w:jc w:val="both"/>
        <w:rPr>
          <w:rFonts w:cs="Arial"/>
          <w:szCs w:val="20"/>
        </w:rPr>
      </w:pPr>
      <w:r w:rsidRPr="00403EDA">
        <w:rPr>
          <w:rFonts w:cs="Arial"/>
          <w:szCs w:val="20"/>
        </w:rPr>
        <w:t>Střední vzdělávání rozvíjí v návaznosti na základní vzdělávání vědomosti, dovednosti a kompetence žáka a připravuje ho na další studium na vysokých a vyšších odborných školách, nebo na kvalifikovaný výkon povolání a pracovních činností. Střední vzdělávání má všeobecný nebo odborný charakter a je ukončeno maturitní zkouškou, výučním listem, nebo závěrečnou zkouškou. Uskutečňuje se v gymnáziu, ve středních odborných školách, středních odborných učilištích a v konzervatořích (více viz</w:t>
      </w:r>
      <w:r w:rsidR="00325C6E">
        <w:rPr>
          <w:rFonts w:cs="Arial"/>
          <w:szCs w:val="20"/>
        </w:rPr>
        <w:t xml:space="preserve"> </w:t>
      </w:r>
      <w:hyperlink r:id="rId84" w:history="1">
        <w:r w:rsidR="00325C6E" w:rsidRPr="00325C6E">
          <w:rPr>
            <w:rStyle w:val="Hypertextovodkaz"/>
            <w:rFonts w:cs="Arial"/>
            <w:szCs w:val="20"/>
          </w:rPr>
          <w:t>zde</w:t>
        </w:r>
      </w:hyperlink>
      <w:r w:rsidRPr="00403EDA">
        <w:rPr>
          <w:rFonts w:cs="Arial"/>
          <w:szCs w:val="20"/>
        </w:rPr>
        <w:t xml:space="preserve">).  </w:t>
      </w:r>
    </w:p>
    <w:p w14:paraId="265E74DA" w14:textId="0A46ABF1" w:rsidR="00FA7769" w:rsidRDefault="00FA7769" w:rsidP="00D4181F">
      <w:pPr>
        <w:spacing w:after="0"/>
        <w:jc w:val="both"/>
        <w:rPr>
          <w:rFonts w:cs="Arial"/>
          <w:szCs w:val="20"/>
        </w:rPr>
      </w:pPr>
      <w:r w:rsidRPr="00403EDA">
        <w:rPr>
          <w:rFonts w:cs="Arial"/>
          <w:szCs w:val="20"/>
        </w:rPr>
        <w:t>V této kapitole se budeme věnovat středním školám, do kterých nezahrnujeme konzervatoře. V těch lze získat středoškolské vzdělání s maturitou, ovšem završením celkové doby vzdělávání a složením absolutoria získává žák vyšší odborné vzdělání s titulem diplomovaný specialista (DiS.). Konzervatořím proto budem</w:t>
      </w:r>
      <w:r w:rsidR="00733ACD">
        <w:rPr>
          <w:rFonts w:cs="Arial"/>
          <w:szCs w:val="20"/>
        </w:rPr>
        <w:t>e věnovat samostatnou kapitolu 4</w:t>
      </w:r>
      <w:r w:rsidRPr="00403EDA">
        <w:rPr>
          <w:rFonts w:cs="Arial"/>
          <w:szCs w:val="20"/>
        </w:rPr>
        <w:t>. Na rozdíl od toho jsou do středních škol za</w:t>
      </w:r>
      <w:r w:rsidR="000600CC">
        <w:rPr>
          <w:rFonts w:cs="Arial"/>
          <w:szCs w:val="20"/>
        </w:rPr>
        <w:t xml:space="preserve">hrnuta všechna gymnázia, tedy </w:t>
      </w:r>
      <w:r w:rsidR="000600CC">
        <w:rPr>
          <w:rFonts w:cs="Arial"/>
          <w:szCs w:val="20"/>
        </w:rPr>
        <w:lastRenderedPageBreak/>
        <w:t>i </w:t>
      </w:r>
      <w:r w:rsidRPr="00403EDA">
        <w:rPr>
          <w:rFonts w:cs="Arial"/>
          <w:szCs w:val="20"/>
        </w:rPr>
        <w:t xml:space="preserve">s šestiletým a osmiletým </w:t>
      </w:r>
      <w:r w:rsidR="00C67100">
        <w:rPr>
          <w:rFonts w:cs="Arial"/>
          <w:szCs w:val="20"/>
        </w:rPr>
        <w:t>oborem</w:t>
      </w:r>
      <w:r w:rsidRPr="00403EDA">
        <w:rPr>
          <w:rFonts w:cs="Arial"/>
          <w:szCs w:val="20"/>
        </w:rPr>
        <w:t xml:space="preserve"> vzdělávání. Zde je třeba vzít na vědomí, že nižší ročníky víceletých</w:t>
      </w:r>
      <w:r w:rsidR="001430AD">
        <w:rPr>
          <w:rFonts w:cs="Arial"/>
          <w:szCs w:val="20"/>
        </w:rPr>
        <w:t xml:space="preserve"> gymnázií (konkrétně </w:t>
      </w:r>
      <w:r w:rsidRPr="00403EDA">
        <w:rPr>
          <w:rFonts w:cs="Arial"/>
          <w:szCs w:val="20"/>
        </w:rPr>
        <w:t>1.-4. ročník osmiletého gymnázia a 1.-2. ročník šestiletého gymnázia) spadají ještě do povinné školní docházky</w:t>
      </w:r>
      <w:r w:rsidRPr="00403EDA">
        <w:rPr>
          <w:rStyle w:val="Znakapoznpodarou"/>
          <w:rFonts w:cs="Arial"/>
          <w:szCs w:val="20"/>
        </w:rPr>
        <w:footnoteReference w:id="31"/>
      </w:r>
      <w:r w:rsidR="00D4181F">
        <w:rPr>
          <w:rFonts w:cs="Arial"/>
          <w:szCs w:val="20"/>
        </w:rPr>
        <w:t>.</w:t>
      </w:r>
    </w:p>
    <w:p w14:paraId="510689CB" w14:textId="00BAA0A0" w:rsidR="007431D5" w:rsidRPr="00D4181F" w:rsidRDefault="007431D5" w:rsidP="00D4181F">
      <w:pPr>
        <w:spacing w:after="0"/>
        <w:jc w:val="both"/>
        <w:rPr>
          <w:rFonts w:cs="Arial"/>
          <w:szCs w:val="20"/>
        </w:rPr>
      </w:pPr>
    </w:p>
    <w:p w14:paraId="10B5A5E4" w14:textId="77777777" w:rsidR="00FA7769" w:rsidRPr="005E552D" w:rsidRDefault="00FA7769" w:rsidP="00386026">
      <w:pPr>
        <w:pStyle w:val="Nadpis2"/>
      </w:pPr>
      <w:bookmarkStart w:id="21" w:name="_Toc112069085"/>
      <w:r>
        <w:t>3</w:t>
      </w:r>
      <w:r w:rsidRPr="005E552D">
        <w:t>.1 Školy, žáci a učitelé celkem</w:t>
      </w:r>
      <w:bookmarkEnd w:id="21"/>
    </w:p>
    <w:p w14:paraId="23A9D560" w14:textId="65798247" w:rsidR="00FA7769" w:rsidRPr="00403EDA" w:rsidRDefault="003C0201" w:rsidP="00161404">
      <w:pPr>
        <w:spacing w:before="120" w:after="120"/>
        <w:jc w:val="both"/>
        <w:rPr>
          <w:rFonts w:cs="Arial"/>
          <w:szCs w:val="20"/>
        </w:rPr>
      </w:pPr>
      <w:r>
        <w:rPr>
          <w:rFonts w:cs="Arial"/>
          <w:szCs w:val="20"/>
        </w:rPr>
        <w:t>Ve školním roce 2021/22</w:t>
      </w:r>
      <w:r w:rsidR="00FA7769" w:rsidRPr="00403EDA">
        <w:rPr>
          <w:rFonts w:cs="Arial"/>
          <w:szCs w:val="20"/>
        </w:rPr>
        <w:t xml:space="preserve"> zajišťovalo středoškolské vzdělávání celkem </w:t>
      </w:r>
      <w:r>
        <w:rPr>
          <w:rFonts w:cs="Arial"/>
          <w:b/>
          <w:szCs w:val="20"/>
        </w:rPr>
        <w:t>1 285</w:t>
      </w:r>
      <w:r w:rsidR="00FA7769" w:rsidRPr="00403EDA">
        <w:rPr>
          <w:rFonts w:cs="Arial"/>
          <w:b/>
          <w:szCs w:val="20"/>
        </w:rPr>
        <w:t xml:space="preserve"> škol</w:t>
      </w:r>
      <w:r w:rsidR="00A50F93">
        <w:rPr>
          <w:rFonts w:cs="Arial"/>
          <w:szCs w:val="20"/>
        </w:rPr>
        <w:t>.</w:t>
      </w:r>
      <w:r w:rsidR="00FB509F">
        <w:rPr>
          <w:rStyle w:val="Znakapoznpodarou"/>
          <w:rFonts w:cs="Arial"/>
          <w:szCs w:val="20"/>
        </w:rPr>
        <w:footnoteReference w:id="32"/>
      </w:r>
      <w:r w:rsidR="00A50F93">
        <w:rPr>
          <w:rFonts w:cs="Arial"/>
          <w:szCs w:val="20"/>
        </w:rPr>
        <w:t xml:space="preserve"> Z těchto škol jich bylo 954</w:t>
      </w:r>
      <w:r w:rsidR="00FA7769" w:rsidRPr="00403EDA">
        <w:rPr>
          <w:rFonts w:cs="Arial"/>
          <w:szCs w:val="20"/>
        </w:rPr>
        <w:t xml:space="preserve"> zřízeno veřejným zřizovatelem, dalších </w:t>
      </w:r>
      <w:r>
        <w:rPr>
          <w:rFonts w:cs="Arial"/>
          <w:szCs w:val="20"/>
        </w:rPr>
        <w:t>287 soukromým a zbylých 44</w:t>
      </w:r>
      <w:r w:rsidR="00FA7769" w:rsidRPr="00403EDA">
        <w:rPr>
          <w:rFonts w:cs="Arial"/>
          <w:szCs w:val="20"/>
        </w:rPr>
        <w:t xml:space="preserve"> škol církevním zřizovatelem. Téměř všechny nabízely denní formu vzdělávání (99,1 %) a </w:t>
      </w:r>
      <w:r w:rsidR="00C83C52">
        <w:rPr>
          <w:rFonts w:cs="Arial"/>
          <w:szCs w:val="20"/>
        </w:rPr>
        <w:t xml:space="preserve">téměř </w:t>
      </w:r>
      <w:r w:rsidR="00FA7769" w:rsidRPr="00403EDA">
        <w:rPr>
          <w:rFonts w:cs="Arial"/>
          <w:szCs w:val="20"/>
        </w:rPr>
        <w:t>pětina (také) jinou formu vzdělávání (</w:t>
      </w:r>
      <w:r>
        <w:rPr>
          <w:rFonts w:cs="Arial"/>
          <w:szCs w:val="20"/>
        </w:rPr>
        <w:t>17,9</w:t>
      </w:r>
      <w:r w:rsidR="00FA7769" w:rsidRPr="00403EDA">
        <w:rPr>
          <w:rFonts w:cs="Arial"/>
          <w:szCs w:val="20"/>
        </w:rPr>
        <w:t> %)</w:t>
      </w:r>
      <w:r>
        <w:rPr>
          <w:rFonts w:cs="Arial"/>
          <w:szCs w:val="20"/>
        </w:rPr>
        <w:t>. Ze soukromých škol nabízelo 31,1</w:t>
      </w:r>
      <w:r w:rsidR="00C83C52">
        <w:rPr>
          <w:rFonts w:cs="Arial"/>
          <w:szCs w:val="20"/>
        </w:rPr>
        <w:t> </w:t>
      </w:r>
      <w:r w:rsidR="00FA7769" w:rsidRPr="00403EDA">
        <w:rPr>
          <w:rFonts w:cs="Arial"/>
          <w:szCs w:val="20"/>
        </w:rPr>
        <w:t>% vzdělávání (i) v jiné formě než denní. Mezi církevními</w:t>
      </w:r>
      <w:r>
        <w:rPr>
          <w:rFonts w:cs="Arial"/>
          <w:szCs w:val="20"/>
        </w:rPr>
        <w:t xml:space="preserve"> školami bylo takových škol 13,6 % a mezi veřejnými 13,2</w:t>
      </w:r>
      <w:r w:rsidR="00FA7769" w:rsidRPr="00403EDA">
        <w:rPr>
          <w:rFonts w:cs="Arial"/>
          <w:szCs w:val="20"/>
        </w:rPr>
        <w:t xml:space="preserve"> %. </w:t>
      </w:r>
    </w:p>
    <w:p w14:paraId="456B8A88" w14:textId="6FA3DEC0" w:rsidR="00FA7769" w:rsidRPr="00403EDA" w:rsidRDefault="00FA7769" w:rsidP="00FA7769">
      <w:pPr>
        <w:spacing w:after="120"/>
        <w:jc w:val="both"/>
        <w:rPr>
          <w:rFonts w:cs="Arial"/>
          <w:szCs w:val="20"/>
        </w:rPr>
      </w:pPr>
      <w:r w:rsidRPr="00403EDA">
        <w:rPr>
          <w:rFonts w:cs="Arial"/>
          <w:szCs w:val="20"/>
        </w:rPr>
        <w:t xml:space="preserve">Školy může navštěvovat různý počet žáků a jedno ředitelství může spravovat i více než jedno pracoviště, </w:t>
      </w:r>
      <w:r w:rsidR="00CE3254">
        <w:rPr>
          <w:rFonts w:cs="Arial"/>
          <w:szCs w:val="20"/>
        </w:rPr>
        <w:t>více úrovní vzdělávání, resp. více</w:t>
      </w:r>
      <w:r w:rsidRPr="00403EDA">
        <w:rPr>
          <w:rFonts w:cs="Arial"/>
          <w:szCs w:val="20"/>
        </w:rPr>
        <w:t xml:space="preserve"> druh</w:t>
      </w:r>
      <w:r w:rsidR="00CE3254">
        <w:rPr>
          <w:rFonts w:cs="Arial"/>
          <w:szCs w:val="20"/>
        </w:rPr>
        <w:t>ů</w:t>
      </w:r>
      <w:r w:rsidRPr="00403EDA">
        <w:rPr>
          <w:rFonts w:cs="Arial"/>
          <w:szCs w:val="20"/>
        </w:rPr>
        <w:t xml:space="preserve"> vzdělávání apod. Zajímavějším ukazatelem než počet škol proto většinou bývá </w:t>
      </w:r>
      <w:r w:rsidRPr="00403EDA">
        <w:rPr>
          <w:rFonts w:cs="Arial"/>
          <w:b/>
          <w:szCs w:val="20"/>
        </w:rPr>
        <w:t>počet žáků</w:t>
      </w:r>
      <w:r w:rsidR="00C83C52">
        <w:rPr>
          <w:rFonts w:cs="Arial"/>
          <w:szCs w:val="20"/>
        </w:rPr>
        <w:t>. Těch bylo ve školním roc</w:t>
      </w:r>
      <w:r w:rsidR="00B35EBA">
        <w:rPr>
          <w:rFonts w:cs="Arial"/>
          <w:szCs w:val="20"/>
        </w:rPr>
        <w:t>e 2021/22</w:t>
      </w:r>
      <w:r w:rsidRPr="00403EDA">
        <w:rPr>
          <w:rFonts w:cs="Arial"/>
          <w:szCs w:val="20"/>
        </w:rPr>
        <w:t xml:space="preserve"> celkem </w:t>
      </w:r>
      <w:r w:rsidR="00B35EBA" w:rsidRPr="00B35EBA">
        <w:rPr>
          <w:rFonts w:cs="Arial"/>
          <w:szCs w:val="20"/>
        </w:rPr>
        <w:t>446</w:t>
      </w:r>
      <w:r w:rsidR="00B35EBA">
        <w:rPr>
          <w:rFonts w:cs="Arial"/>
          <w:szCs w:val="20"/>
        </w:rPr>
        <w:t> </w:t>
      </w:r>
      <w:r w:rsidR="00B35EBA" w:rsidRPr="00B35EBA">
        <w:rPr>
          <w:rFonts w:cs="Arial"/>
          <w:szCs w:val="20"/>
        </w:rPr>
        <w:t>254</w:t>
      </w:r>
      <w:r w:rsidRPr="00403EDA">
        <w:rPr>
          <w:rFonts w:cs="Arial"/>
          <w:szCs w:val="20"/>
        </w:rPr>
        <w:t>, podíl chl</w:t>
      </w:r>
      <w:r w:rsidR="00C83C52">
        <w:rPr>
          <w:rFonts w:cs="Arial"/>
          <w:szCs w:val="20"/>
        </w:rPr>
        <w:t xml:space="preserve">apců a dívek byl </w:t>
      </w:r>
      <w:r w:rsidR="00241924">
        <w:rPr>
          <w:rFonts w:cs="Arial"/>
          <w:szCs w:val="20"/>
        </w:rPr>
        <w:t xml:space="preserve">takřka </w:t>
      </w:r>
      <w:r w:rsidR="00C83C52">
        <w:rPr>
          <w:rFonts w:cs="Arial"/>
          <w:szCs w:val="20"/>
        </w:rPr>
        <w:t>vyrovnaný (49,</w:t>
      </w:r>
      <w:r w:rsidR="00B35EBA">
        <w:rPr>
          <w:rFonts w:cs="Arial"/>
          <w:szCs w:val="20"/>
        </w:rPr>
        <w:t>5 % dívek a 50,5</w:t>
      </w:r>
      <w:r w:rsidRPr="00403EDA">
        <w:rPr>
          <w:rFonts w:cs="Arial"/>
          <w:szCs w:val="20"/>
        </w:rPr>
        <w:t xml:space="preserve"> % chlapců). </w:t>
      </w:r>
    </w:p>
    <w:p w14:paraId="49AE6842" w14:textId="79DA2B14" w:rsidR="00FA7769" w:rsidRPr="00403EDA" w:rsidRDefault="00FA7769" w:rsidP="00FA7769">
      <w:pPr>
        <w:spacing w:after="120"/>
        <w:jc w:val="both"/>
        <w:rPr>
          <w:rFonts w:cs="Arial"/>
          <w:szCs w:val="20"/>
        </w:rPr>
      </w:pPr>
      <w:r w:rsidRPr="00403EDA">
        <w:rPr>
          <w:rFonts w:cs="Arial"/>
          <w:szCs w:val="20"/>
        </w:rPr>
        <w:t>Naprostá většina žáků středních škol se vzdělával</w:t>
      </w:r>
      <w:r w:rsidR="000B741A">
        <w:rPr>
          <w:rFonts w:cs="Arial"/>
          <w:szCs w:val="20"/>
        </w:rPr>
        <w:t>a v denní formě vzdělávání (96,4</w:t>
      </w:r>
      <w:r w:rsidRPr="00403EDA">
        <w:rPr>
          <w:rFonts w:cs="Arial"/>
          <w:szCs w:val="20"/>
        </w:rPr>
        <w:t xml:space="preserve"> %). Zároveň </w:t>
      </w:r>
      <w:r w:rsidR="00C01061">
        <w:rPr>
          <w:rFonts w:cs="Arial"/>
          <w:szCs w:val="20"/>
        </w:rPr>
        <w:t>82,9 %</w:t>
      </w:r>
      <w:r w:rsidRPr="00403EDA">
        <w:rPr>
          <w:rFonts w:cs="Arial"/>
          <w:szCs w:val="20"/>
        </w:rPr>
        <w:t xml:space="preserve"> </w:t>
      </w:r>
      <w:r w:rsidR="00C01061">
        <w:rPr>
          <w:rFonts w:cs="Arial"/>
          <w:szCs w:val="20"/>
        </w:rPr>
        <w:t>žáků středních škol navštěvovalo</w:t>
      </w:r>
      <w:r w:rsidRPr="00403EDA">
        <w:rPr>
          <w:rFonts w:cs="Arial"/>
          <w:szCs w:val="20"/>
        </w:rPr>
        <w:t xml:space="preserve"> š</w:t>
      </w:r>
      <w:r w:rsidR="000B741A">
        <w:rPr>
          <w:rFonts w:cs="Arial"/>
          <w:szCs w:val="20"/>
        </w:rPr>
        <w:t>koly veřej</w:t>
      </w:r>
      <w:r w:rsidR="00C01061">
        <w:rPr>
          <w:rFonts w:cs="Arial"/>
          <w:szCs w:val="20"/>
        </w:rPr>
        <w:t>ného zřizovatele</w:t>
      </w:r>
      <w:r w:rsidRPr="00403EDA">
        <w:rPr>
          <w:rFonts w:cs="Arial"/>
          <w:szCs w:val="20"/>
        </w:rPr>
        <w:t>, 14</w:t>
      </w:r>
      <w:r w:rsidR="00C01061">
        <w:rPr>
          <w:rFonts w:cs="Arial"/>
          <w:szCs w:val="20"/>
        </w:rPr>
        <w:t>,7</w:t>
      </w:r>
      <w:r w:rsidRPr="00403EDA">
        <w:rPr>
          <w:rFonts w:cs="Arial"/>
          <w:szCs w:val="20"/>
        </w:rPr>
        <w:t> % žáků soukromé školy a 2,4 % </w:t>
      </w:r>
      <w:r w:rsidRPr="000B741A">
        <w:rPr>
          <w:rFonts w:cs="Arial"/>
          <w:szCs w:val="20"/>
        </w:rPr>
        <w:t>církevní</w:t>
      </w:r>
      <w:r w:rsidRPr="000B741A">
        <w:rPr>
          <w:rStyle w:val="Znakapoznpodarou"/>
          <w:rFonts w:cs="Arial"/>
          <w:szCs w:val="20"/>
        </w:rPr>
        <w:footnoteReference w:id="33"/>
      </w:r>
      <w:r w:rsidRPr="000B741A">
        <w:rPr>
          <w:rFonts w:cs="Arial"/>
          <w:szCs w:val="20"/>
        </w:rPr>
        <w:t>. Zde</w:t>
      </w:r>
      <w:r w:rsidRPr="00403EDA">
        <w:rPr>
          <w:rFonts w:cs="Arial"/>
          <w:szCs w:val="20"/>
        </w:rPr>
        <w:t xml:space="preserve"> je typické, že zatímco ve veřejných školách se vzdělávalo jinou než</w:t>
      </w:r>
      <w:r w:rsidR="003849B1">
        <w:rPr>
          <w:rFonts w:cs="Arial"/>
          <w:szCs w:val="20"/>
        </w:rPr>
        <w:t xml:space="preserve"> denní formou vzdělávání jen 1</w:t>
      </w:r>
      <w:r w:rsidR="00DF5C90">
        <w:rPr>
          <w:rFonts w:cs="Arial"/>
          <w:szCs w:val="20"/>
        </w:rPr>
        <w:t>,7</w:t>
      </w:r>
      <w:r w:rsidRPr="00403EDA">
        <w:rPr>
          <w:rFonts w:cs="Arial"/>
          <w:szCs w:val="20"/>
        </w:rPr>
        <w:t> % žáků, v soukromých šk</w:t>
      </w:r>
      <w:r w:rsidR="00A22821">
        <w:rPr>
          <w:rFonts w:cs="Arial"/>
          <w:szCs w:val="20"/>
        </w:rPr>
        <w:t>olách to bylo 14,1 % a v církevních 3,2</w:t>
      </w:r>
      <w:r w:rsidR="00C01061" w:rsidRPr="00403EDA">
        <w:rPr>
          <w:rFonts w:cs="Arial"/>
          <w:szCs w:val="20"/>
        </w:rPr>
        <w:t xml:space="preserve"> </w:t>
      </w:r>
      <w:r w:rsidRPr="00403EDA">
        <w:rPr>
          <w:rFonts w:cs="Arial"/>
          <w:szCs w:val="20"/>
        </w:rPr>
        <w:t xml:space="preserve">%. </w:t>
      </w:r>
    </w:p>
    <w:p w14:paraId="4E4A923E" w14:textId="429E6CAC" w:rsidR="003179AB" w:rsidRDefault="00FA7769" w:rsidP="00FA7769">
      <w:pPr>
        <w:spacing w:after="120"/>
        <w:jc w:val="both"/>
        <w:rPr>
          <w:rFonts w:cs="Arial"/>
          <w:szCs w:val="20"/>
        </w:rPr>
      </w:pPr>
      <w:r w:rsidRPr="00C01061">
        <w:rPr>
          <w:rFonts w:cs="Arial"/>
          <w:szCs w:val="20"/>
        </w:rPr>
        <w:t xml:space="preserve">Pokud se jedná o </w:t>
      </w:r>
      <w:r w:rsidRPr="00C01061">
        <w:rPr>
          <w:rFonts w:cs="Arial"/>
          <w:b/>
          <w:szCs w:val="20"/>
        </w:rPr>
        <w:t>učitele</w:t>
      </w:r>
      <w:r w:rsidRPr="00AE13E3">
        <w:rPr>
          <w:rFonts w:cs="Arial"/>
          <w:szCs w:val="20"/>
        </w:rPr>
        <w:t xml:space="preserve"> středních škol, pro účely této publikace u</w:t>
      </w:r>
      <w:r w:rsidR="0032270C" w:rsidRPr="00AE13E3">
        <w:rPr>
          <w:rFonts w:cs="Arial"/>
          <w:szCs w:val="20"/>
        </w:rPr>
        <w:t xml:space="preserve">vádíme jejich přepočtené počty neboli </w:t>
      </w:r>
      <w:r w:rsidRPr="00AE13E3">
        <w:rPr>
          <w:rFonts w:cs="Arial"/>
          <w:szCs w:val="20"/>
        </w:rPr>
        <w:t>počet plných úvazků učitelů. Těch bylo ve školn</w:t>
      </w:r>
      <w:r w:rsidR="0032270C" w:rsidRPr="00AE13E3">
        <w:rPr>
          <w:rFonts w:cs="Arial"/>
          <w:szCs w:val="20"/>
        </w:rPr>
        <w:t>ím roce</w:t>
      </w:r>
      <w:r w:rsidR="00C01061">
        <w:rPr>
          <w:rFonts w:cs="Arial"/>
          <w:szCs w:val="20"/>
        </w:rPr>
        <w:t xml:space="preserve"> 2021/22</w:t>
      </w:r>
      <w:r w:rsidRPr="00403EDA">
        <w:rPr>
          <w:rFonts w:cs="Arial"/>
          <w:szCs w:val="20"/>
        </w:rPr>
        <w:t xml:space="preserve"> celkem </w:t>
      </w:r>
      <w:r w:rsidR="00C01061">
        <w:rPr>
          <w:rFonts w:cs="Arial"/>
          <w:szCs w:val="20"/>
        </w:rPr>
        <w:t>41</w:t>
      </w:r>
      <w:r w:rsidR="0032270C">
        <w:rPr>
          <w:rFonts w:cs="Arial"/>
          <w:szCs w:val="20"/>
        </w:rPr>
        <w:t xml:space="preserve"> </w:t>
      </w:r>
      <w:r w:rsidR="00C01061">
        <w:rPr>
          <w:rFonts w:cs="Arial"/>
          <w:szCs w:val="20"/>
        </w:rPr>
        <w:t>305,8</w:t>
      </w:r>
      <w:r w:rsidR="00AE13E3">
        <w:rPr>
          <w:rFonts w:cs="Arial"/>
          <w:szCs w:val="20"/>
        </w:rPr>
        <w:t>, z</w:t>
      </w:r>
      <w:r w:rsidR="00C01061">
        <w:rPr>
          <w:rFonts w:cs="Arial"/>
          <w:szCs w:val="20"/>
        </w:rPr>
        <w:t> </w:t>
      </w:r>
      <w:r w:rsidR="00AE13E3">
        <w:rPr>
          <w:rFonts w:cs="Arial"/>
          <w:szCs w:val="20"/>
        </w:rPr>
        <w:t>toho</w:t>
      </w:r>
      <w:r w:rsidR="00C01061">
        <w:rPr>
          <w:rFonts w:cs="Arial"/>
          <w:szCs w:val="20"/>
        </w:rPr>
        <w:t xml:space="preserve"> 9,5 % vyučovalo na nižším stupni víceletýc</w:t>
      </w:r>
      <w:r w:rsidR="004C0AD8">
        <w:rPr>
          <w:rFonts w:cs="Arial"/>
          <w:szCs w:val="20"/>
        </w:rPr>
        <w:t>h gymnázií spadajících</w:t>
      </w:r>
      <w:r w:rsidR="00C01061">
        <w:rPr>
          <w:rFonts w:cs="Arial"/>
          <w:szCs w:val="20"/>
        </w:rPr>
        <w:t xml:space="preserve"> do povinné školní docházky. </w:t>
      </w:r>
      <w:r w:rsidR="003179AB">
        <w:rPr>
          <w:rFonts w:cs="Arial"/>
          <w:szCs w:val="20"/>
        </w:rPr>
        <w:t>Poznamenejme, že celkový počet učitelů jakožto fyzických osob byl  48 923, což svědčí o tom, že řada učitelů měla zkrácený úvazek (např. na některé specifické předměty či praktickou výuku).</w:t>
      </w:r>
    </w:p>
    <w:p w14:paraId="69973B6D" w14:textId="5EC1DD10" w:rsidR="00C01061" w:rsidRDefault="00C01061" w:rsidP="00FA7769">
      <w:pPr>
        <w:spacing w:after="120"/>
        <w:jc w:val="both"/>
        <w:rPr>
          <w:rFonts w:cs="Arial"/>
          <w:szCs w:val="20"/>
        </w:rPr>
      </w:pPr>
      <w:r>
        <w:rPr>
          <w:rFonts w:cs="Arial"/>
          <w:szCs w:val="20"/>
        </w:rPr>
        <w:t xml:space="preserve">Z celkového počtu úvazků učitelů pak tři pětiny </w:t>
      </w:r>
      <w:r w:rsidR="00FA7769" w:rsidRPr="00403EDA">
        <w:rPr>
          <w:rFonts w:cs="Arial"/>
          <w:szCs w:val="20"/>
        </w:rPr>
        <w:t xml:space="preserve">tvořily úvazky žen </w:t>
      </w:r>
      <w:r>
        <w:rPr>
          <w:rFonts w:cs="Arial"/>
          <w:szCs w:val="20"/>
        </w:rPr>
        <w:t>–</w:t>
      </w:r>
      <w:r w:rsidR="00FA7769" w:rsidRPr="00403EDA">
        <w:rPr>
          <w:rFonts w:cs="Arial"/>
          <w:szCs w:val="20"/>
        </w:rPr>
        <w:t xml:space="preserve"> </w:t>
      </w:r>
      <w:r w:rsidR="00FA7769" w:rsidRPr="00C01061">
        <w:rPr>
          <w:rFonts w:cs="Arial"/>
          <w:szCs w:val="20"/>
        </w:rPr>
        <w:t>učitelek</w:t>
      </w:r>
      <w:r w:rsidRPr="00C01061">
        <w:rPr>
          <w:rFonts w:cs="Arial"/>
          <w:szCs w:val="20"/>
        </w:rPr>
        <w:t xml:space="preserve"> (60 %)</w:t>
      </w:r>
      <w:r w:rsidR="00FA7769" w:rsidRPr="00C01061">
        <w:rPr>
          <w:rFonts w:cs="Arial"/>
          <w:szCs w:val="20"/>
        </w:rPr>
        <w:t>. Jedná se již o nižší podíl, než jaký byl mezi úvaz</w:t>
      </w:r>
      <w:r w:rsidR="00AE13E3" w:rsidRPr="00C01061">
        <w:rPr>
          <w:rFonts w:cs="Arial"/>
          <w:szCs w:val="20"/>
        </w:rPr>
        <w:t>ky učitelů škol mateřs</w:t>
      </w:r>
      <w:r w:rsidRPr="00C01061">
        <w:rPr>
          <w:rFonts w:cs="Arial"/>
          <w:szCs w:val="20"/>
        </w:rPr>
        <w:t>kých (99,3 %) a základních (83,8</w:t>
      </w:r>
      <w:r w:rsidR="00FA7769" w:rsidRPr="00C01061">
        <w:rPr>
          <w:rFonts w:cs="Arial"/>
          <w:szCs w:val="20"/>
        </w:rPr>
        <w:t> %).</w:t>
      </w:r>
      <w:r w:rsidR="00FA7769" w:rsidRPr="00403EDA">
        <w:rPr>
          <w:rFonts w:cs="Arial"/>
          <w:szCs w:val="20"/>
        </w:rPr>
        <w:t xml:space="preserve"> </w:t>
      </w:r>
    </w:p>
    <w:p w14:paraId="42E2988C" w14:textId="213A7B75" w:rsidR="00FA7769" w:rsidRPr="00403EDA" w:rsidRDefault="00FA7769" w:rsidP="00FA7769">
      <w:pPr>
        <w:spacing w:after="120"/>
        <w:jc w:val="both"/>
        <w:rPr>
          <w:rFonts w:cs="Arial"/>
          <w:szCs w:val="20"/>
        </w:rPr>
      </w:pPr>
      <w:r w:rsidRPr="00C01061">
        <w:rPr>
          <w:rFonts w:cs="Arial"/>
          <w:b/>
          <w:szCs w:val="20"/>
        </w:rPr>
        <w:t>Na jeden plný úvazek učitele</w:t>
      </w:r>
      <w:r w:rsidRPr="00403EDA">
        <w:rPr>
          <w:rFonts w:cs="Arial"/>
          <w:szCs w:val="20"/>
        </w:rPr>
        <w:t xml:space="preserve"> přitom připadalo v průměru 10,8 žáka a v jed</w:t>
      </w:r>
      <w:r w:rsidR="00843694">
        <w:rPr>
          <w:rFonts w:cs="Arial"/>
          <w:szCs w:val="20"/>
        </w:rPr>
        <w:t>né třídě bylo průměrně</w:t>
      </w:r>
      <w:r w:rsidRPr="00403EDA">
        <w:rPr>
          <w:rFonts w:cs="Arial"/>
          <w:szCs w:val="20"/>
        </w:rPr>
        <w:t xml:space="preserve"> 22</w:t>
      </w:r>
      <w:r w:rsidR="00C01061">
        <w:rPr>
          <w:rFonts w:cs="Arial"/>
          <w:szCs w:val="20"/>
        </w:rPr>
        <w:t>,3</w:t>
      </w:r>
      <w:r w:rsidR="00AE13E3">
        <w:rPr>
          <w:rFonts w:cs="Arial"/>
          <w:szCs w:val="20"/>
        </w:rPr>
        <w:t xml:space="preserve"> žáka</w:t>
      </w:r>
      <w:r w:rsidRPr="00403EDA">
        <w:rPr>
          <w:rFonts w:cs="Arial"/>
          <w:szCs w:val="20"/>
        </w:rPr>
        <w:t xml:space="preserve">. Srovnáme-li tyto počty se situací v základních školách, pak počet žáků </w:t>
      </w:r>
      <w:r w:rsidR="00AE13E3">
        <w:rPr>
          <w:rFonts w:cs="Arial"/>
          <w:szCs w:val="20"/>
        </w:rPr>
        <w:t xml:space="preserve">na </w:t>
      </w:r>
      <w:r w:rsidR="00733ACD">
        <w:rPr>
          <w:rFonts w:cs="Arial"/>
          <w:szCs w:val="20"/>
        </w:rPr>
        <w:t xml:space="preserve">jednu </w:t>
      </w:r>
      <w:r w:rsidR="00AE13E3">
        <w:rPr>
          <w:rFonts w:cs="Arial"/>
          <w:szCs w:val="20"/>
        </w:rPr>
        <w:t xml:space="preserve">třídu </w:t>
      </w:r>
      <w:r w:rsidR="00C01061">
        <w:rPr>
          <w:rFonts w:cs="Arial"/>
          <w:szCs w:val="20"/>
        </w:rPr>
        <w:t xml:space="preserve">školách </w:t>
      </w:r>
      <w:r w:rsidR="00733ACD">
        <w:rPr>
          <w:rFonts w:cs="Arial"/>
          <w:szCs w:val="20"/>
        </w:rPr>
        <w:t xml:space="preserve">byl v základních školách </w:t>
      </w:r>
      <w:r w:rsidR="00C01061">
        <w:rPr>
          <w:rFonts w:cs="Arial"/>
          <w:szCs w:val="20"/>
        </w:rPr>
        <w:t>o něco nižší (</w:t>
      </w:r>
      <w:r w:rsidR="00733ACD">
        <w:rPr>
          <w:rFonts w:cs="Arial"/>
          <w:szCs w:val="20"/>
        </w:rPr>
        <w:t>19,3 žáka), naopak počet žáků na jednoho učitele o něco vyšší (</w:t>
      </w:r>
      <w:r w:rsidR="00C01061">
        <w:rPr>
          <w:rFonts w:cs="Arial"/>
          <w:szCs w:val="20"/>
        </w:rPr>
        <w:t>13,5 žáka</w:t>
      </w:r>
      <w:r w:rsidR="00733ACD">
        <w:rPr>
          <w:rFonts w:cs="Arial"/>
          <w:szCs w:val="20"/>
        </w:rPr>
        <w:t>)</w:t>
      </w:r>
      <w:r w:rsidR="00AE13E3">
        <w:rPr>
          <w:rFonts w:cs="Arial"/>
          <w:szCs w:val="20"/>
        </w:rPr>
        <w:t xml:space="preserve">.  </w:t>
      </w:r>
    </w:p>
    <w:p w14:paraId="4540E2CD" w14:textId="16376CBA" w:rsidR="00DE5304" w:rsidRPr="00403EDA" w:rsidRDefault="00FA7769" w:rsidP="00FA7769">
      <w:pPr>
        <w:spacing w:after="120"/>
        <w:jc w:val="both"/>
        <w:rPr>
          <w:rFonts w:cs="Arial"/>
          <w:szCs w:val="20"/>
        </w:rPr>
      </w:pPr>
      <w:r w:rsidRPr="007825CF">
        <w:rPr>
          <w:rFonts w:cs="Arial"/>
          <w:szCs w:val="20"/>
        </w:rPr>
        <w:t xml:space="preserve">Ve </w:t>
      </w:r>
      <w:r w:rsidR="00CE3254" w:rsidRPr="007825CF">
        <w:rPr>
          <w:rFonts w:cs="Arial"/>
          <w:szCs w:val="20"/>
        </w:rPr>
        <w:t xml:space="preserve">středních </w:t>
      </w:r>
      <w:r w:rsidRPr="007825CF">
        <w:rPr>
          <w:rFonts w:cs="Arial"/>
          <w:szCs w:val="20"/>
        </w:rPr>
        <w:t>školách s veřejným zřizovatelem připadalo</w:t>
      </w:r>
      <w:r w:rsidRPr="00403EDA">
        <w:rPr>
          <w:rFonts w:cs="Arial"/>
          <w:szCs w:val="20"/>
        </w:rPr>
        <w:t xml:space="preserve"> na je</w:t>
      </w:r>
      <w:r w:rsidR="007825CF">
        <w:rPr>
          <w:rFonts w:cs="Arial"/>
          <w:szCs w:val="20"/>
        </w:rPr>
        <w:t>dnu třídu o něco více žáků (23,1</w:t>
      </w:r>
      <w:r w:rsidRPr="00403EDA">
        <w:rPr>
          <w:rFonts w:cs="Arial"/>
          <w:szCs w:val="20"/>
        </w:rPr>
        <w:t>), než jak tomu bylo ve školách</w:t>
      </w:r>
      <w:r w:rsidR="007825CF">
        <w:rPr>
          <w:rFonts w:cs="Arial"/>
          <w:szCs w:val="20"/>
        </w:rPr>
        <w:t xml:space="preserve"> se soukromým zřizovatelem (18,6</w:t>
      </w:r>
      <w:r w:rsidRPr="00403EDA">
        <w:rPr>
          <w:rFonts w:cs="Arial"/>
          <w:szCs w:val="20"/>
        </w:rPr>
        <w:t xml:space="preserve">). Ve </w:t>
      </w:r>
      <w:r w:rsidR="00DA46A4">
        <w:rPr>
          <w:rFonts w:cs="Arial"/>
          <w:szCs w:val="20"/>
        </w:rPr>
        <w:t xml:space="preserve">středních </w:t>
      </w:r>
      <w:r w:rsidRPr="00403EDA">
        <w:rPr>
          <w:rFonts w:cs="Arial"/>
          <w:szCs w:val="20"/>
        </w:rPr>
        <w:t xml:space="preserve">školách s církevním zřizovatelem však byl počet žáků </w:t>
      </w:r>
      <w:r w:rsidR="007825CF">
        <w:rPr>
          <w:rFonts w:cs="Arial"/>
          <w:szCs w:val="20"/>
        </w:rPr>
        <w:t>na jednu třídu ještě vyšší (24,4</w:t>
      </w:r>
      <w:r w:rsidRPr="00403EDA">
        <w:rPr>
          <w:rFonts w:cs="Arial"/>
          <w:szCs w:val="20"/>
        </w:rPr>
        <w:t xml:space="preserve">). Počet žáků na jednoho učitele byl ve </w:t>
      </w:r>
      <w:r w:rsidR="00DA46A4">
        <w:rPr>
          <w:rFonts w:cs="Arial"/>
          <w:szCs w:val="20"/>
        </w:rPr>
        <w:t xml:space="preserve">středních </w:t>
      </w:r>
      <w:r w:rsidRPr="00403EDA">
        <w:rPr>
          <w:rFonts w:cs="Arial"/>
          <w:szCs w:val="20"/>
        </w:rPr>
        <w:t xml:space="preserve">školách veřejného zřizovatele </w:t>
      </w:r>
      <w:r w:rsidR="00B93526">
        <w:rPr>
          <w:rFonts w:cs="Arial"/>
          <w:szCs w:val="20"/>
        </w:rPr>
        <w:t>10,5 žáka oproti 12</w:t>
      </w:r>
      <w:r w:rsidR="007825CF">
        <w:rPr>
          <w:rFonts w:cs="Arial"/>
          <w:szCs w:val="20"/>
        </w:rPr>
        <w:t>,7</w:t>
      </w:r>
      <w:r w:rsidR="008237DA">
        <w:rPr>
          <w:rFonts w:cs="Arial"/>
          <w:szCs w:val="20"/>
        </w:rPr>
        <w:t xml:space="preserve"> žáka ve školách se soukromým zřizovatelem a </w:t>
      </w:r>
      <w:r w:rsidR="007825CF">
        <w:rPr>
          <w:rFonts w:cs="Arial"/>
          <w:szCs w:val="20"/>
        </w:rPr>
        <w:t>11,7</w:t>
      </w:r>
      <w:r w:rsidR="008237DA">
        <w:rPr>
          <w:rFonts w:cs="Arial"/>
          <w:szCs w:val="20"/>
        </w:rPr>
        <w:t xml:space="preserve"> žáka ve školách církevních. </w:t>
      </w:r>
      <w:r w:rsidRPr="00403EDA">
        <w:rPr>
          <w:rFonts w:cs="Arial"/>
          <w:szCs w:val="20"/>
        </w:rPr>
        <w:t>Vybraná výše uvedená zjištění uvádí tabulka 3.1.</w:t>
      </w:r>
    </w:p>
    <w:p w14:paraId="5BC65915" w14:textId="4E55E557" w:rsidR="00DE5304" w:rsidRDefault="00FA7769" w:rsidP="007431D5">
      <w:pPr>
        <w:keepNext/>
        <w:spacing w:after="120" w:line="240" w:lineRule="auto"/>
        <w:rPr>
          <w:b/>
        </w:rPr>
      </w:pPr>
      <w:r>
        <w:rPr>
          <w:b/>
        </w:rPr>
        <w:lastRenderedPageBreak/>
        <w:t>Tab. 3</w:t>
      </w:r>
      <w:r w:rsidRPr="00497513">
        <w:rPr>
          <w:b/>
        </w:rPr>
        <w:t>.1</w:t>
      </w:r>
      <w:r w:rsidRPr="005F2BF4">
        <w:t xml:space="preserve"> </w:t>
      </w:r>
      <w:r>
        <w:rPr>
          <w:b/>
        </w:rPr>
        <w:t>Střední</w:t>
      </w:r>
      <w:r w:rsidR="00733ACD">
        <w:rPr>
          <w:b/>
        </w:rPr>
        <w:t xml:space="preserve"> školy</w:t>
      </w:r>
      <w:r w:rsidRPr="005F2BF4">
        <w:rPr>
          <w:b/>
        </w:rPr>
        <w:t xml:space="preserve"> - poč</w:t>
      </w:r>
      <w:r>
        <w:rPr>
          <w:b/>
        </w:rPr>
        <w:t>et škol, žáků</w:t>
      </w:r>
      <w:r w:rsidRPr="005F2BF4">
        <w:rPr>
          <w:b/>
        </w:rPr>
        <w:t xml:space="preserve"> a učitelů celk</w:t>
      </w:r>
      <w:r w:rsidR="007825CF">
        <w:rPr>
          <w:b/>
        </w:rPr>
        <w:t>em a dle zřizovatele školy (2021/22</w:t>
      </w:r>
      <w:r w:rsidRPr="005F2BF4">
        <w:rPr>
          <w:b/>
        </w:rPr>
        <w:t>)</w:t>
      </w:r>
    </w:p>
    <w:tbl>
      <w:tblPr>
        <w:tblW w:w="9639" w:type="dxa"/>
        <w:tblInd w:w="-10" w:type="dxa"/>
        <w:tblLayout w:type="fixed"/>
        <w:tblCellMar>
          <w:left w:w="70" w:type="dxa"/>
          <w:right w:w="70" w:type="dxa"/>
        </w:tblCellMar>
        <w:tblLook w:val="04A0" w:firstRow="1" w:lastRow="0" w:firstColumn="1" w:lastColumn="0" w:noHBand="0" w:noVBand="1"/>
      </w:tblPr>
      <w:tblGrid>
        <w:gridCol w:w="960"/>
        <w:gridCol w:w="974"/>
        <w:gridCol w:w="974"/>
        <w:gridCol w:w="974"/>
        <w:gridCol w:w="974"/>
        <w:gridCol w:w="974"/>
        <w:gridCol w:w="974"/>
        <w:gridCol w:w="1417"/>
        <w:gridCol w:w="1418"/>
      </w:tblGrid>
      <w:tr w:rsidR="007825CF" w:rsidRPr="007825CF" w14:paraId="4B3550D3" w14:textId="77777777" w:rsidTr="00717F46">
        <w:trPr>
          <w:trHeight w:val="284"/>
        </w:trPr>
        <w:tc>
          <w:tcPr>
            <w:tcW w:w="960" w:type="dxa"/>
            <w:vMerge w:val="restart"/>
            <w:tcBorders>
              <w:top w:val="single" w:sz="8" w:space="0" w:color="auto"/>
              <w:left w:val="single" w:sz="8" w:space="0" w:color="auto"/>
              <w:bottom w:val="single" w:sz="8" w:space="0" w:color="000000"/>
              <w:right w:val="single" w:sz="8" w:space="0" w:color="auto"/>
            </w:tcBorders>
            <w:shd w:val="clear" w:color="000000" w:fill="C00000"/>
            <w:noWrap/>
            <w:vAlign w:val="center"/>
            <w:hideMark/>
          </w:tcPr>
          <w:p w14:paraId="44807091" w14:textId="77777777" w:rsidR="007825CF" w:rsidRPr="007825CF" w:rsidRDefault="007825CF" w:rsidP="007431D5">
            <w:pPr>
              <w:keepNext/>
              <w:spacing w:after="0" w:line="240" w:lineRule="auto"/>
              <w:jc w:val="center"/>
              <w:rPr>
                <w:rFonts w:cs="Arial"/>
                <w:b/>
                <w:bCs/>
                <w:color w:val="FFFFFF"/>
                <w:sz w:val="16"/>
                <w:szCs w:val="16"/>
              </w:rPr>
            </w:pPr>
            <w:r w:rsidRPr="007825CF">
              <w:rPr>
                <w:rFonts w:cs="Arial"/>
                <w:b/>
                <w:bCs/>
                <w:color w:val="FFFFFF" w:themeColor="background1"/>
                <w:sz w:val="16"/>
                <w:szCs w:val="16"/>
              </w:rPr>
              <w:t>zřizovatel</w:t>
            </w:r>
          </w:p>
        </w:tc>
        <w:tc>
          <w:tcPr>
            <w:tcW w:w="1948" w:type="dxa"/>
            <w:gridSpan w:val="2"/>
            <w:tcBorders>
              <w:top w:val="single" w:sz="8" w:space="0" w:color="auto"/>
              <w:left w:val="nil"/>
              <w:bottom w:val="single" w:sz="8" w:space="0" w:color="auto"/>
              <w:right w:val="single" w:sz="8" w:space="0" w:color="000000"/>
            </w:tcBorders>
            <w:shd w:val="clear" w:color="000000" w:fill="C00000"/>
            <w:noWrap/>
            <w:vAlign w:val="center"/>
            <w:hideMark/>
          </w:tcPr>
          <w:p w14:paraId="0E6B359C" w14:textId="77777777" w:rsidR="007825CF" w:rsidRPr="007825CF" w:rsidRDefault="007825CF" w:rsidP="007431D5">
            <w:pPr>
              <w:keepNext/>
              <w:spacing w:after="0" w:line="240" w:lineRule="auto"/>
              <w:jc w:val="center"/>
              <w:rPr>
                <w:rFonts w:cs="Arial"/>
                <w:b/>
                <w:bCs/>
                <w:color w:val="FFFFFF"/>
                <w:sz w:val="16"/>
                <w:szCs w:val="16"/>
              </w:rPr>
            </w:pPr>
            <w:r w:rsidRPr="007825CF">
              <w:rPr>
                <w:rFonts w:cs="Arial"/>
                <w:b/>
                <w:bCs/>
                <w:color w:val="FFFFFF" w:themeColor="background1"/>
                <w:sz w:val="16"/>
                <w:szCs w:val="16"/>
              </w:rPr>
              <w:t>školy</w:t>
            </w:r>
          </w:p>
        </w:tc>
        <w:tc>
          <w:tcPr>
            <w:tcW w:w="1948" w:type="dxa"/>
            <w:gridSpan w:val="2"/>
            <w:tcBorders>
              <w:top w:val="single" w:sz="8" w:space="0" w:color="auto"/>
              <w:left w:val="nil"/>
              <w:bottom w:val="single" w:sz="8" w:space="0" w:color="auto"/>
              <w:right w:val="single" w:sz="8" w:space="0" w:color="000000"/>
            </w:tcBorders>
            <w:shd w:val="clear" w:color="000000" w:fill="C00000"/>
            <w:noWrap/>
            <w:vAlign w:val="center"/>
            <w:hideMark/>
          </w:tcPr>
          <w:p w14:paraId="41F4475C" w14:textId="7627B311" w:rsidR="007825CF" w:rsidRPr="007825CF" w:rsidRDefault="00733ACD" w:rsidP="007431D5">
            <w:pPr>
              <w:keepNext/>
              <w:spacing w:after="0" w:line="240" w:lineRule="auto"/>
              <w:jc w:val="center"/>
              <w:rPr>
                <w:rFonts w:cs="Arial"/>
                <w:b/>
                <w:bCs/>
                <w:color w:val="FFFFFF"/>
                <w:sz w:val="16"/>
                <w:szCs w:val="16"/>
              </w:rPr>
            </w:pPr>
            <w:r>
              <w:rPr>
                <w:rFonts w:cs="Arial"/>
                <w:b/>
                <w:bCs/>
                <w:color w:val="FFFFFF" w:themeColor="background1"/>
                <w:sz w:val="16"/>
                <w:szCs w:val="16"/>
              </w:rPr>
              <w:t>ž</w:t>
            </w:r>
            <w:r w:rsidR="007825CF" w:rsidRPr="007825CF">
              <w:rPr>
                <w:rFonts w:cs="Arial"/>
                <w:b/>
                <w:bCs/>
                <w:color w:val="FFFFFF" w:themeColor="background1"/>
                <w:sz w:val="16"/>
                <w:szCs w:val="16"/>
              </w:rPr>
              <w:t>áci</w:t>
            </w:r>
          </w:p>
        </w:tc>
        <w:tc>
          <w:tcPr>
            <w:tcW w:w="1948" w:type="dxa"/>
            <w:gridSpan w:val="2"/>
            <w:tcBorders>
              <w:top w:val="single" w:sz="8" w:space="0" w:color="auto"/>
              <w:left w:val="nil"/>
              <w:bottom w:val="single" w:sz="8" w:space="0" w:color="auto"/>
              <w:right w:val="single" w:sz="8" w:space="0" w:color="000000"/>
            </w:tcBorders>
            <w:shd w:val="clear" w:color="000000" w:fill="C00000"/>
            <w:noWrap/>
            <w:vAlign w:val="center"/>
            <w:hideMark/>
          </w:tcPr>
          <w:p w14:paraId="53627C46" w14:textId="77777777" w:rsidR="007825CF" w:rsidRPr="007825CF" w:rsidRDefault="007825CF" w:rsidP="007431D5">
            <w:pPr>
              <w:keepNext/>
              <w:spacing w:after="0" w:line="240" w:lineRule="auto"/>
              <w:jc w:val="center"/>
              <w:rPr>
                <w:rFonts w:cs="Arial"/>
                <w:b/>
                <w:bCs/>
                <w:color w:val="FFFFFF"/>
                <w:sz w:val="16"/>
                <w:szCs w:val="16"/>
              </w:rPr>
            </w:pPr>
            <w:r w:rsidRPr="007825CF">
              <w:rPr>
                <w:rFonts w:cs="Arial"/>
                <w:b/>
                <w:bCs/>
                <w:color w:val="FFFFFF" w:themeColor="background1"/>
                <w:sz w:val="16"/>
                <w:szCs w:val="16"/>
              </w:rPr>
              <w:t>učitelé</w:t>
            </w:r>
            <w:r w:rsidRPr="007825CF">
              <w:rPr>
                <w:rFonts w:cs="Arial"/>
                <w:b/>
                <w:bCs/>
                <w:color w:val="FFFFFF"/>
                <w:sz w:val="16"/>
                <w:szCs w:val="16"/>
                <w:vertAlign w:val="superscript"/>
              </w:rPr>
              <w:t>*)</w:t>
            </w:r>
          </w:p>
        </w:tc>
        <w:tc>
          <w:tcPr>
            <w:tcW w:w="1417" w:type="dxa"/>
            <w:vMerge w:val="restart"/>
            <w:tcBorders>
              <w:top w:val="single" w:sz="8" w:space="0" w:color="auto"/>
              <w:left w:val="nil"/>
              <w:bottom w:val="single" w:sz="8" w:space="0" w:color="000000"/>
              <w:right w:val="single" w:sz="8" w:space="0" w:color="auto"/>
            </w:tcBorders>
            <w:shd w:val="clear" w:color="000000" w:fill="C00000"/>
            <w:vAlign w:val="center"/>
            <w:hideMark/>
          </w:tcPr>
          <w:p w14:paraId="044659D5" w14:textId="77777777" w:rsidR="007825CF" w:rsidRPr="007825CF" w:rsidRDefault="007825CF" w:rsidP="007431D5">
            <w:pPr>
              <w:keepNext/>
              <w:spacing w:after="0" w:line="240" w:lineRule="auto"/>
              <w:jc w:val="center"/>
              <w:rPr>
                <w:rFonts w:cs="Arial"/>
                <w:b/>
                <w:bCs/>
                <w:color w:val="FFFFFF"/>
                <w:sz w:val="16"/>
                <w:szCs w:val="16"/>
              </w:rPr>
            </w:pPr>
            <w:r w:rsidRPr="007825CF">
              <w:rPr>
                <w:rFonts w:cs="Arial"/>
                <w:b/>
                <w:bCs/>
                <w:color w:val="FFFFFF" w:themeColor="background1"/>
                <w:sz w:val="16"/>
                <w:szCs w:val="16"/>
              </w:rPr>
              <w:t>žáků na 1 třídu</w:t>
            </w:r>
          </w:p>
        </w:tc>
        <w:tc>
          <w:tcPr>
            <w:tcW w:w="1418" w:type="dxa"/>
            <w:vMerge w:val="restart"/>
            <w:tcBorders>
              <w:top w:val="single" w:sz="8" w:space="0" w:color="auto"/>
              <w:left w:val="single" w:sz="8" w:space="0" w:color="auto"/>
              <w:bottom w:val="single" w:sz="8" w:space="0" w:color="000000"/>
              <w:right w:val="single" w:sz="8" w:space="0" w:color="auto"/>
            </w:tcBorders>
            <w:shd w:val="clear" w:color="000000" w:fill="C00000"/>
            <w:vAlign w:val="center"/>
            <w:hideMark/>
          </w:tcPr>
          <w:p w14:paraId="19F0F009" w14:textId="77777777" w:rsidR="007825CF" w:rsidRPr="007825CF" w:rsidRDefault="007825CF" w:rsidP="007431D5">
            <w:pPr>
              <w:keepNext/>
              <w:spacing w:after="0" w:line="240" w:lineRule="auto"/>
              <w:jc w:val="center"/>
              <w:rPr>
                <w:rFonts w:cs="Arial"/>
                <w:b/>
                <w:bCs/>
                <w:color w:val="FFFFFF"/>
                <w:sz w:val="16"/>
                <w:szCs w:val="16"/>
              </w:rPr>
            </w:pPr>
            <w:r w:rsidRPr="007825CF">
              <w:rPr>
                <w:rFonts w:cs="Arial"/>
                <w:b/>
                <w:bCs/>
                <w:color w:val="FFFFFF" w:themeColor="background1"/>
                <w:sz w:val="16"/>
                <w:szCs w:val="16"/>
              </w:rPr>
              <w:t>žáků na 1 učitele</w:t>
            </w:r>
          </w:p>
        </w:tc>
      </w:tr>
      <w:tr w:rsidR="007825CF" w:rsidRPr="007825CF" w14:paraId="624E8FB1" w14:textId="77777777" w:rsidTr="00717F46">
        <w:trPr>
          <w:trHeight w:val="284"/>
        </w:trPr>
        <w:tc>
          <w:tcPr>
            <w:tcW w:w="960" w:type="dxa"/>
            <w:vMerge/>
            <w:tcBorders>
              <w:top w:val="single" w:sz="8" w:space="0" w:color="auto"/>
              <w:left w:val="single" w:sz="8" w:space="0" w:color="auto"/>
              <w:bottom w:val="single" w:sz="8" w:space="0" w:color="000000"/>
              <w:right w:val="single" w:sz="8" w:space="0" w:color="auto"/>
            </w:tcBorders>
            <w:vAlign w:val="center"/>
            <w:hideMark/>
          </w:tcPr>
          <w:p w14:paraId="576A9A66" w14:textId="77777777" w:rsidR="007825CF" w:rsidRPr="007825CF" w:rsidRDefault="007825CF" w:rsidP="007431D5">
            <w:pPr>
              <w:keepNext/>
              <w:spacing w:after="0" w:line="240" w:lineRule="auto"/>
              <w:rPr>
                <w:rFonts w:cs="Arial"/>
                <w:b/>
                <w:bCs/>
                <w:color w:val="FFFFFF"/>
                <w:sz w:val="16"/>
                <w:szCs w:val="16"/>
              </w:rPr>
            </w:pPr>
          </w:p>
        </w:tc>
        <w:tc>
          <w:tcPr>
            <w:tcW w:w="974" w:type="dxa"/>
            <w:tcBorders>
              <w:top w:val="nil"/>
              <w:left w:val="nil"/>
              <w:bottom w:val="single" w:sz="8" w:space="0" w:color="auto"/>
              <w:right w:val="single" w:sz="8" w:space="0" w:color="auto"/>
            </w:tcBorders>
            <w:shd w:val="clear" w:color="000000" w:fill="F4B084"/>
            <w:noWrap/>
            <w:vAlign w:val="center"/>
            <w:hideMark/>
          </w:tcPr>
          <w:p w14:paraId="2FB21C8A" w14:textId="77777777" w:rsidR="007825CF" w:rsidRPr="007825CF" w:rsidRDefault="007825CF" w:rsidP="007431D5">
            <w:pPr>
              <w:keepNext/>
              <w:spacing w:after="0" w:line="240" w:lineRule="auto"/>
              <w:jc w:val="center"/>
              <w:rPr>
                <w:rFonts w:cs="Arial"/>
                <w:b/>
                <w:bCs/>
                <w:color w:val="000000"/>
                <w:sz w:val="16"/>
                <w:szCs w:val="16"/>
              </w:rPr>
            </w:pPr>
            <w:r w:rsidRPr="007825CF">
              <w:rPr>
                <w:rFonts w:cs="Arial"/>
                <w:b/>
                <w:bCs/>
                <w:color w:val="000000"/>
                <w:sz w:val="16"/>
                <w:szCs w:val="16"/>
              </w:rPr>
              <w:t>Abs.</w:t>
            </w:r>
          </w:p>
        </w:tc>
        <w:tc>
          <w:tcPr>
            <w:tcW w:w="974" w:type="dxa"/>
            <w:tcBorders>
              <w:top w:val="nil"/>
              <w:left w:val="nil"/>
              <w:bottom w:val="single" w:sz="8" w:space="0" w:color="auto"/>
              <w:right w:val="single" w:sz="8" w:space="0" w:color="auto"/>
            </w:tcBorders>
            <w:shd w:val="clear" w:color="000000" w:fill="F4B084"/>
            <w:noWrap/>
            <w:vAlign w:val="center"/>
            <w:hideMark/>
          </w:tcPr>
          <w:p w14:paraId="5EFD99AC" w14:textId="77777777" w:rsidR="007825CF" w:rsidRPr="007825CF" w:rsidRDefault="007825CF" w:rsidP="007431D5">
            <w:pPr>
              <w:keepNext/>
              <w:spacing w:after="0" w:line="240" w:lineRule="auto"/>
              <w:jc w:val="center"/>
              <w:rPr>
                <w:rFonts w:cs="Arial"/>
                <w:b/>
                <w:bCs/>
                <w:i/>
                <w:iCs/>
                <w:color w:val="000000"/>
                <w:sz w:val="16"/>
                <w:szCs w:val="16"/>
              </w:rPr>
            </w:pPr>
            <w:r w:rsidRPr="007825CF">
              <w:rPr>
                <w:rFonts w:cs="Arial"/>
                <w:b/>
                <w:bCs/>
                <w:i/>
                <w:iCs/>
                <w:color w:val="000000"/>
                <w:sz w:val="16"/>
                <w:szCs w:val="16"/>
              </w:rPr>
              <w:t>%</w:t>
            </w:r>
          </w:p>
        </w:tc>
        <w:tc>
          <w:tcPr>
            <w:tcW w:w="974" w:type="dxa"/>
            <w:tcBorders>
              <w:top w:val="nil"/>
              <w:left w:val="nil"/>
              <w:bottom w:val="single" w:sz="8" w:space="0" w:color="auto"/>
              <w:right w:val="single" w:sz="8" w:space="0" w:color="auto"/>
            </w:tcBorders>
            <w:shd w:val="clear" w:color="000000" w:fill="F4B084"/>
            <w:noWrap/>
            <w:vAlign w:val="center"/>
            <w:hideMark/>
          </w:tcPr>
          <w:p w14:paraId="41FD3686" w14:textId="77777777" w:rsidR="007825CF" w:rsidRPr="007825CF" w:rsidRDefault="007825CF" w:rsidP="007431D5">
            <w:pPr>
              <w:keepNext/>
              <w:spacing w:after="0" w:line="240" w:lineRule="auto"/>
              <w:jc w:val="center"/>
              <w:rPr>
                <w:rFonts w:cs="Arial"/>
                <w:b/>
                <w:bCs/>
                <w:color w:val="000000"/>
                <w:sz w:val="16"/>
                <w:szCs w:val="16"/>
              </w:rPr>
            </w:pPr>
            <w:r w:rsidRPr="007825CF">
              <w:rPr>
                <w:rFonts w:cs="Arial"/>
                <w:b/>
                <w:bCs/>
                <w:color w:val="000000"/>
                <w:sz w:val="16"/>
                <w:szCs w:val="16"/>
              </w:rPr>
              <w:t>Abs.</w:t>
            </w:r>
          </w:p>
        </w:tc>
        <w:tc>
          <w:tcPr>
            <w:tcW w:w="974" w:type="dxa"/>
            <w:tcBorders>
              <w:top w:val="nil"/>
              <w:left w:val="nil"/>
              <w:bottom w:val="single" w:sz="8" w:space="0" w:color="auto"/>
              <w:right w:val="single" w:sz="8" w:space="0" w:color="auto"/>
            </w:tcBorders>
            <w:shd w:val="clear" w:color="000000" w:fill="F4B084"/>
            <w:noWrap/>
            <w:vAlign w:val="center"/>
            <w:hideMark/>
          </w:tcPr>
          <w:p w14:paraId="2A2180C2" w14:textId="77777777" w:rsidR="007825CF" w:rsidRPr="007825CF" w:rsidRDefault="007825CF" w:rsidP="007431D5">
            <w:pPr>
              <w:keepNext/>
              <w:spacing w:after="0" w:line="240" w:lineRule="auto"/>
              <w:jc w:val="center"/>
              <w:rPr>
                <w:rFonts w:cs="Arial"/>
                <w:b/>
                <w:bCs/>
                <w:i/>
                <w:iCs/>
                <w:color w:val="000000"/>
                <w:sz w:val="16"/>
                <w:szCs w:val="16"/>
              </w:rPr>
            </w:pPr>
            <w:r w:rsidRPr="007825CF">
              <w:rPr>
                <w:rFonts w:cs="Arial"/>
                <w:b/>
                <w:bCs/>
                <w:i/>
                <w:iCs/>
                <w:color w:val="000000"/>
                <w:sz w:val="16"/>
                <w:szCs w:val="16"/>
              </w:rPr>
              <w:t>%</w:t>
            </w:r>
          </w:p>
        </w:tc>
        <w:tc>
          <w:tcPr>
            <w:tcW w:w="974" w:type="dxa"/>
            <w:tcBorders>
              <w:top w:val="nil"/>
              <w:left w:val="nil"/>
              <w:bottom w:val="single" w:sz="8" w:space="0" w:color="auto"/>
              <w:right w:val="single" w:sz="8" w:space="0" w:color="auto"/>
            </w:tcBorders>
            <w:shd w:val="clear" w:color="000000" w:fill="F4B084"/>
            <w:noWrap/>
            <w:vAlign w:val="center"/>
            <w:hideMark/>
          </w:tcPr>
          <w:p w14:paraId="6255504A" w14:textId="77777777" w:rsidR="007825CF" w:rsidRPr="007825CF" w:rsidRDefault="007825CF" w:rsidP="007431D5">
            <w:pPr>
              <w:keepNext/>
              <w:spacing w:after="0" w:line="240" w:lineRule="auto"/>
              <w:jc w:val="center"/>
              <w:rPr>
                <w:rFonts w:cs="Arial"/>
                <w:b/>
                <w:bCs/>
                <w:color w:val="000000"/>
                <w:sz w:val="16"/>
                <w:szCs w:val="16"/>
              </w:rPr>
            </w:pPr>
            <w:r w:rsidRPr="007825CF">
              <w:rPr>
                <w:rFonts w:cs="Arial"/>
                <w:b/>
                <w:bCs/>
                <w:color w:val="000000"/>
                <w:sz w:val="16"/>
                <w:szCs w:val="16"/>
              </w:rPr>
              <w:t>Abs.</w:t>
            </w:r>
          </w:p>
        </w:tc>
        <w:tc>
          <w:tcPr>
            <w:tcW w:w="974" w:type="dxa"/>
            <w:tcBorders>
              <w:top w:val="nil"/>
              <w:left w:val="nil"/>
              <w:bottom w:val="single" w:sz="8" w:space="0" w:color="auto"/>
              <w:right w:val="single" w:sz="8" w:space="0" w:color="auto"/>
            </w:tcBorders>
            <w:shd w:val="clear" w:color="000000" w:fill="F4B084"/>
            <w:noWrap/>
            <w:vAlign w:val="center"/>
            <w:hideMark/>
          </w:tcPr>
          <w:p w14:paraId="7DF62176" w14:textId="77777777" w:rsidR="007825CF" w:rsidRPr="007825CF" w:rsidRDefault="007825CF" w:rsidP="007431D5">
            <w:pPr>
              <w:keepNext/>
              <w:spacing w:after="0" w:line="240" w:lineRule="auto"/>
              <w:jc w:val="center"/>
              <w:rPr>
                <w:rFonts w:cs="Arial"/>
                <w:b/>
                <w:bCs/>
                <w:i/>
                <w:iCs/>
                <w:color w:val="000000"/>
                <w:sz w:val="16"/>
                <w:szCs w:val="16"/>
              </w:rPr>
            </w:pPr>
            <w:r w:rsidRPr="007825CF">
              <w:rPr>
                <w:rFonts w:cs="Arial"/>
                <w:b/>
                <w:bCs/>
                <w:i/>
                <w:iCs/>
                <w:color w:val="000000"/>
                <w:sz w:val="16"/>
                <w:szCs w:val="16"/>
              </w:rPr>
              <w:t>%</w:t>
            </w:r>
          </w:p>
        </w:tc>
        <w:tc>
          <w:tcPr>
            <w:tcW w:w="1417" w:type="dxa"/>
            <w:vMerge/>
            <w:tcBorders>
              <w:top w:val="single" w:sz="8" w:space="0" w:color="auto"/>
              <w:left w:val="nil"/>
              <w:bottom w:val="single" w:sz="8" w:space="0" w:color="000000"/>
              <w:right w:val="single" w:sz="8" w:space="0" w:color="auto"/>
            </w:tcBorders>
            <w:vAlign w:val="center"/>
            <w:hideMark/>
          </w:tcPr>
          <w:p w14:paraId="666EB25D" w14:textId="77777777" w:rsidR="007825CF" w:rsidRPr="007825CF" w:rsidRDefault="007825CF" w:rsidP="007431D5">
            <w:pPr>
              <w:keepNext/>
              <w:spacing w:after="0" w:line="240" w:lineRule="auto"/>
              <w:rPr>
                <w:rFonts w:cs="Arial"/>
                <w:b/>
                <w:bCs/>
                <w:color w:val="FFFFFF"/>
                <w:sz w:val="16"/>
                <w:szCs w:val="16"/>
              </w:rP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14:paraId="3FBD756C" w14:textId="77777777" w:rsidR="007825CF" w:rsidRPr="007825CF" w:rsidRDefault="007825CF" w:rsidP="007431D5">
            <w:pPr>
              <w:keepNext/>
              <w:spacing w:after="0" w:line="240" w:lineRule="auto"/>
              <w:rPr>
                <w:rFonts w:cs="Arial"/>
                <w:b/>
                <w:bCs/>
                <w:color w:val="FFFFFF"/>
                <w:sz w:val="16"/>
                <w:szCs w:val="16"/>
              </w:rPr>
            </w:pPr>
          </w:p>
        </w:tc>
      </w:tr>
      <w:tr w:rsidR="007825CF" w:rsidRPr="007825CF" w14:paraId="44254864" w14:textId="77777777" w:rsidTr="00717F46">
        <w:trPr>
          <w:trHeight w:val="284"/>
        </w:trPr>
        <w:tc>
          <w:tcPr>
            <w:tcW w:w="960" w:type="dxa"/>
            <w:tcBorders>
              <w:top w:val="nil"/>
              <w:left w:val="single" w:sz="8" w:space="0" w:color="auto"/>
              <w:bottom w:val="nil"/>
              <w:right w:val="single" w:sz="8" w:space="0" w:color="auto"/>
            </w:tcBorders>
            <w:shd w:val="clear" w:color="auto" w:fill="auto"/>
            <w:noWrap/>
            <w:vAlign w:val="center"/>
            <w:hideMark/>
          </w:tcPr>
          <w:p w14:paraId="7AEB62DF" w14:textId="77777777" w:rsidR="007825CF" w:rsidRPr="007825CF" w:rsidRDefault="007825CF" w:rsidP="007431D5">
            <w:pPr>
              <w:keepNext/>
              <w:spacing w:after="0" w:line="240" w:lineRule="auto"/>
              <w:rPr>
                <w:rFonts w:cs="Arial"/>
                <w:color w:val="000000"/>
                <w:sz w:val="16"/>
                <w:szCs w:val="16"/>
              </w:rPr>
            </w:pPr>
            <w:r w:rsidRPr="007825CF">
              <w:rPr>
                <w:rFonts w:cs="Arial"/>
                <w:color w:val="000000"/>
                <w:sz w:val="16"/>
                <w:szCs w:val="16"/>
              </w:rPr>
              <w:t>veřejný</w:t>
            </w:r>
          </w:p>
        </w:tc>
        <w:tc>
          <w:tcPr>
            <w:tcW w:w="974" w:type="dxa"/>
            <w:tcBorders>
              <w:top w:val="nil"/>
              <w:left w:val="nil"/>
              <w:bottom w:val="nil"/>
              <w:right w:val="nil"/>
            </w:tcBorders>
            <w:shd w:val="clear" w:color="auto" w:fill="auto"/>
            <w:noWrap/>
            <w:vAlign w:val="center"/>
            <w:hideMark/>
          </w:tcPr>
          <w:p w14:paraId="333D0298" w14:textId="77777777" w:rsidR="007825CF" w:rsidRPr="007825CF" w:rsidRDefault="007825CF" w:rsidP="007431D5">
            <w:pPr>
              <w:keepNext/>
              <w:spacing w:after="0" w:line="240" w:lineRule="auto"/>
              <w:jc w:val="right"/>
              <w:rPr>
                <w:rFonts w:cs="Arial"/>
                <w:color w:val="000000"/>
                <w:sz w:val="16"/>
                <w:szCs w:val="16"/>
              </w:rPr>
            </w:pPr>
            <w:r w:rsidRPr="007825CF">
              <w:rPr>
                <w:rFonts w:cs="Arial"/>
                <w:color w:val="000000"/>
                <w:sz w:val="16"/>
                <w:szCs w:val="16"/>
              </w:rPr>
              <w:t>954</w:t>
            </w:r>
          </w:p>
        </w:tc>
        <w:tc>
          <w:tcPr>
            <w:tcW w:w="974" w:type="dxa"/>
            <w:tcBorders>
              <w:top w:val="nil"/>
              <w:left w:val="nil"/>
              <w:bottom w:val="nil"/>
              <w:right w:val="single" w:sz="8" w:space="0" w:color="auto"/>
            </w:tcBorders>
            <w:shd w:val="clear" w:color="auto" w:fill="auto"/>
            <w:noWrap/>
            <w:vAlign w:val="center"/>
            <w:hideMark/>
          </w:tcPr>
          <w:p w14:paraId="4699452E" w14:textId="77777777" w:rsidR="007825CF" w:rsidRPr="007825CF" w:rsidRDefault="007825CF" w:rsidP="007431D5">
            <w:pPr>
              <w:keepNext/>
              <w:spacing w:after="0" w:line="240" w:lineRule="auto"/>
              <w:jc w:val="right"/>
              <w:rPr>
                <w:rFonts w:cs="Arial"/>
                <w:i/>
                <w:iCs/>
                <w:color w:val="000000"/>
                <w:sz w:val="16"/>
                <w:szCs w:val="16"/>
              </w:rPr>
            </w:pPr>
            <w:r w:rsidRPr="007825CF">
              <w:rPr>
                <w:rFonts w:cs="Arial"/>
                <w:i/>
                <w:iCs/>
                <w:color w:val="000000"/>
                <w:sz w:val="16"/>
                <w:szCs w:val="16"/>
              </w:rPr>
              <w:t>74,2</w:t>
            </w:r>
          </w:p>
        </w:tc>
        <w:tc>
          <w:tcPr>
            <w:tcW w:w="974" w:type="dxa"/>
            <w:tcBorders>
              <w:top w:val="nil"/>
              <w:left w:val="nil"/>
              <w:bottom w:val="nil"/>
              <w:right w:val="nil"/>
            </w:tcBorders>
            <w:shd w:val="clear" w:color="auto" w:fill="auto"/>
            <w:noWrap/>
            <w:vAlign w:val="center"/>
            <w:hideMark/>
          </w:tcPr>
          <w:p w14:paraId="00FFC5E3" w14:textId="77777777" w:rsidR="007825CF" w:rsidRPr="007825CF" w:rsidRDefault="007825CF" w:rsidP="007431D5">
            <w:pPr>
              <w:keepNext/>
              <w:spacing w:after="0" w:line="240" w:lineRule="auto"/>
              <w:jc w:val="right"/>
              <w:rPr>
                <w:rFonts w:cs="Arial"/>
                <w:color w:val="000000"/>
                <w:sz w:val="16"/>
                <w:szCs w:val="16"/>
              </w:rPr>
            </w:pPr>
            <w:r w:rsidRPr="007825CF">
              <w:rPr>
                <w:rFonts w:cs="Arial"/>
                <w:color w:val="000000"/>
                <w:sz w:val="16"/>
                <w:szCs w:val="16"/>
              </w:rPr>
              <w:t>369 823</w:t>
            </w:r>
          </w:p>
        </w:tc>
        <w:tc>
          <w:tcPr>
            <w:tcW w:w="974" w:type="dxa"/>
            <w:tcBorders>
              <w:top w:val="nil"/>
              <w:left w:val="nil"/>
              <w:bottom w:val="nil"/>
              <w:right w:val="single" w:sz="8" w:space="0" w:color="auto"/>
            </w:tcBorders>
            <w:shd w:val="clear" w:color="auto" w:fill="auto"/>
            <w:noWrap/>
            <w:vAlign w:val="center"/>
            <w:hideMark/>
          </w:tcPr>
          <w:p w14:paraId="6F575693" w14:textId="77777777" w:rsidR="007825CF" w:rsidRPr="007825CF" w:rsidRDefault="007825CF" w:rsidP="007431D5">
            <w:pPr>
              <w:keepNext/>
              <w:spacing w:after="0" w:line="240" w:lineRule="auto"/>
              <w:jc w:val="right"/>
              <w:rPr>
                <w:rFonts w:cs="Arial"/>
                <w:i/>
                <w:iCs/>
                <w:color w:val="000000"/>
                <w:sz w:val="16"/>
                <w:szCs w:val="16"/>
              </w:rPr>
            </w:pPr>
            <w:r w:rsidRPr="007825CF">
              <w:rPr>
                <w:rFonts w:cs="Arial"/>
                <w:i/>
                <w:iCs/>
                <w:color w:val="000000"/>
                <w:sz w:val="16"/>
                <w:szCs w:val="16"/>
              </w:rPr>
              <w:t>82,9</w:t>
            </w:r>
          </w:p>
        </w:tc>
        <w:tc>
          <w:tcPr>
            <w:tcW w:w="974" w:type="dxa"/>
            <w:tcBorders>
              <w:top w:val="nil"/>
              <w:left w:val="nil"/>
              <w:bottom w:val="nil"/>
              <w:right w:val="nil"/>
            </w:tcBorders>
            <w:shd w:val="clear" w:color="auto" w:fill="auto"/>
            <w:noWrap/>
            <w:vAlign w:val="center"/>
            <w:hideMark/>
          </w:tcPr>
          <w:p w14:paraId="04A13FB1" w14:textId="77777777" w:rsidR="007825CF" w:rsidRPr="007825CF" w:rsidRDefault="007825CF" w:rsidP="007431D5">
            <w:pPr>
              <w:keepNext/>
              <w:spacing w:after="0" w:line="240" w:lineRule="auto"/>
              <w:jc w:val="right"/>
              <w:rPr>
                <w:rFonts w:cs="Arial"/>
                <w:color w:val="000000"/>
                <w:sz w:val="16"/>
                <w:szCs w:val="16"/>
              </w:rPr>
            </w:pPr>
            <w:r w:rsidRPr="007825CF">
              <w:rPr>
                <w:rFonts w:cs="Arial"/>
                <w:color w:val="000000"/>
                <w:sz w:val="16"/>
                <w:szCs w:val="16"/>
              </w:rPr>
              <w:t>35 209,1</w:t>
            </w:r>
          </w:p>
        </w:tc>
        <w:tc>
          <w:tcPr>
            <w:tcW w:w="974" w:type="dxa"/>
            <w:tcBorders>
              <w:top w:val="nil"/>
              <w:left w:val="nil"/>
              <w:bottom w:val="nil"/>
              <w:right w:val="single" w:sz="8" w:space="0" w:color="auto"/>
            </w:tcBorders>
            <w:shd w:val="clear" w:color="auto" w:fill="auto"/>
            <w:noWrap/>
            <w:vAlign w:val="center"/>
            <w:hideMark/>
          </w:tcPr>
          <w:p w14:paraId="391512BD" w14:textId="77777777" w:rsidR="007825CF" w:rsidRPr="007825CF" w:rsidRDefault="007825CF" w:rsidP="007431D5">
            <w:pPr>
              <w:keepNext/>
              <w:spacing w:after="0" w:line="240" w:lineRule="auto"/>
              <w:jc w:val="right"/>
              <w:rPr>
                <w:rFonts w:cs="Arial"/>
                <w:i/>
                <w:iCs/>
                <w:color w:val="000000"/>
                <w:sz w:val="16"/>
                <w:szCs w:val="16"/>
              </w:rPr>
            </w:pPr>
            <w:r w:rsidRPr="007825CF">
              <w:rPr>
                <w:rFonts w:cs="Arial"/>
                <w:i/>
                <w:iCs/>
                <w:color w:val="000000"/>
                <w:sz w:val="16"/>
                <w:szCs w:val="16"/>
              </w:rPr>
              <w:t>85,2</w:t>
            </w:r>
          </w:p>
        </w:tc>
        <w:tc>
          <w:tcPr>
            <w:tcW w:w="1417" w:type="dxa"/>
            <w:tcBorders>
              <w:top w:val="nil"/>
              <w:left w:val="nil"/>
              <w:bottom w:val="nil"/>
              <w:right w:val="nil"/>
            </w:tcBorders>
            <w:shd w:val="clear" w:color="auto" w:fill="auto"/>
            <w:noWrap/>
            <w:vAlign w:val="center"/>
            <w:hideMark/>
          </w:tcPr>
          <w:p w14:paraId="787CA14B" w14:textId="77777777" w:rsidR="007825CF" w:rsidRPr="007825CF" w:rsidRDefault="007825CF" w:rsidP="007431D5">
            <w:pPr>
              <w:keepNext/>
              <w:spacing w:after="0" w:line="240" w:lineRule="auto"/>
              <w:jc w:val="right"/>
              <w:rPr>
                <w:rFonts w:cs="Arial"/>
                <w:color w:val="000000"/>
                <w:sz w:val="16"/>
                <w:szCs w:val="16"/>
              </w:rPr>
            </w:pPr>
            <w:r w:rsidRPr="007825CF">
              <w:rPr>
                <w:rFonts w:cs="Arial"/>
                <w:color w:val="000000"/>
                <w:sz w:val="16"/>
                <w:szCs w:val="16"/>
              </w:rPr>
              <w:t>23,1</w:t>
            </w:r>
          </w:p>
        </w:tc>
        <w:tc>
          <w:tcPr>
            <w:tcW w:w="1418" w:type="dxa"/>
            <w:tcBorders>
              <w:top w:val="nil"/>
              <w:left w:val="nil"/>
              <w:bottom w:val="nil"/>
              <w:right w:val="single" w:sz="8" w:space="0" w:color="auto"/>
            </w:tcBorders>
            <w:shd w:val="clear" w:color="auto" w:fill="auto"/>
            <w:noWrap/>
            <w:vAlign w:val="center"/>
            <w:hideMark/>
          </w:tcPr>
          <w:p w14:paraId="6044A2C5" w14:textId="77777777" w:rsidR="007825CF" w:rsidRPr="007825CF" w:rsidRDefault="007825CF" w:rsidP="007431D5">
            <w:pPr>
              <w:keepNext/>
              <w:spacing w:after="0" w:line="240" w:lineRule="auto"/>
              <w:jc w:val="right"/>
              <w:rPr>
                <w:rFonts w:cs="Arial"/>
                <w:color w:val="000000"/>
                <w:sz w:val="16"/>
                <w:szCs w:val="16"/>
              </w:rPr>
            </w:pPr>
            <w:r w:rsidRPr="007825CF">
              <w:rPr>
                <w:rFonts w:cs="Arial"/>
                <w:color w:val="000000"/>
                <w:sz w:val="16"/>
                <w:szCs w:val="16"/>
              </w:rPr>
              <w:t>10,5</w:t>
            </w:r>
          </w:p>
        </w:tc>
      </w:tr>
      <w:tr w:rsidR="007825CF" w:rsidRPr="007825CF" w14:paraId="3345F798" w14:textId="77777777" w:rsidTr="00717F46">
        <w:trPr>
          <w:trHeight w:val="284"/>
        </w:trPr>
        <w:tc>
          <w:tcPr>
            <w:tcW w:w="960" w:type="dxa"/>
            <w:tcBorders>
              <w:top w:val="nil"/>
              <w:left w:val="single" w:sz="8" w:space="0" w:color="auto"/>
              <w:bottom w:val="nil"/>
              <w:right w:val="single" w:sz="8" w:space="0" w:color="auto"/>
            </w:tcBorders>
            <w:shd w:val="clear" w:color="auto" w:fill="auto"/>
            <w:noWrap/>
            <w:vAlign w:val="center"/>
            <w:hideMark/>
          </w:tcPr>
          <w:p w14:paraId="65570296" w14:textId="77777777" w:rsidR="007825CF" w:rsidRPr="007825CF" w:rsidRDefault="007825CF" w:rsidP="007431D5">
            <w:pPr>
              <w:keepNext/>
              <w:spacing w:after="0" w:line="240" w:lineRule="auto"/>
              <w:rPr>
                <w:rFonts w:cs="Arial"/>
                <w:color w:val="000000"/>
                <w:sz w:val="16"/>
                <w:szCs w:val="16"/>
              </w:rPr>
            </w:pPr>
            <w:r w:rsidRPr="007825CF">
              <w:rPr>
                <w:rFonts w:cs="Arial"/>
                <w:color w:val="000000"/>
                <w:sz w:val="16"/>
                <w:szCs w:val="16"/>
              </w:rPr>
              <w:t>soukromý</w:t>
            </w:r>
          </w:p>
        </w:tc>
        <w:tc>
          <w:tcPr>
            <w:tcW w:w="974" w:type="dxa"/>
            <w:tcBorders>
              <w:top w:val="nil"/>
              <w:left w:val="nil"/>
              <w:bottom w:val="nil"/>
              <w:right w:val="nil"/>
            </w:tcBorders>
            <w:shd w:val="clear" w:color="auto" w:fill="auto"/>
            <w:noWrap/>
            <w:vAlign w:val="center"/>
            <w:hideMark/>
          </w:tcPr>
          <w:p w14:paraId="560B21A9" w14:textId="77777777" w:rsidR="007825CF" w:rsidRPr="007825CF" w:rsidRDefault="007825CF" w:rsidP="007431D5">
            <w:pPr>
              <w:keepNext/>
              <w:spacing w:after="0" w:line="240" w:lineRule="auto"/>
              <w:jc w:val="right"/>
              <w:rPr>
                <w:rFonts w:cs="Arial"/>
                <w:color w:val="000000"/>
                <w:sz w:val="16"/>
                <w:szCs w:val="16"/>
              </w:rPr>
            </w:pPr>
            <w:r w:rsidRPr="007825CF">
              <w:rPr>
                <w:rFonts w:cs="Arial"/>
                <w:color w:val="000000"/>
                <w:sz w:val="16"/>
                <w:szCs w:val="16"/>
              </w:rPr>
              <w:t>287</w:t>
            </w:r>
          </w:p>
        </w:tc>
        <w:tc>
          <w:tcPr>
            <w:tcW w:w="974" w:type="dxa"/>
            <w:tcBorders>
              <w:top w:val="nil"/>
              <w:left w:val="nil"/>
              <w:bottom w:val="nil"/>
              <w:right w:val="single" w:sz="8" w:space="0" w:color="auto"/>
            </w:tcBorders>
            <w:shd w:val="clear" w:color="auto" w:fill="auto"/>
            <w:noWrap/>
            <w:vAlign w:val="center"/>
            <w:hideMark/>
          </w:tcPr>
          <w:p w14:paraId="04174330" w14:textId="77777777" w:rsidR="007825CF" w:rsidRPr="007825CF" w:rsidRDefault="007825CF" w:rsidP="007431D5">
            <w:pPr>
              <w:keepNext/>
              <w:spacing w:after="0" w:line="240" w:lineRule="auto"/>
              <w:jc w:val="right"/>
              <w:rPr>
                <w:rFonts w:cs="Arial"/>
                <w:i/>
                <w:iCs/>
                <w:color w:val="000000"/>
                <w:sz w:val="16"/>
                <w:szCs w:val="16"/>
              </w:rPr>
            </w:pPr>
            <w:r w:rsidRPr="007825CF">
              <w:rPr>
                <w:rFonts w:cs="Arial"/>
                <w:i/>
                <w:iCs/>
                <w:color w:val="000000"/>
                <w:sz w:val="16"/>
                <w:szCs w:val="16"/>
              </w:rPr>
              <w:t>22,3</w:t>
            </w:r>
          </w:p>
        </w:tc>
        <w:tc>
          <w:tcPr>
            <w:tcW w:w="974" w:type="dxa"/>
            <w:tcBorders>
              <w:top w:val="nil"/>
              <w:left w:val="nil"/>
              <w:bottom w:val="nil"/>
              <w:right w:val="nil"/>
            </w:tcBorders>
            <w:shd w:val="clear" w:color="auto" w:fill="auto"/>
            <w:noWrap/>
            <w:vAlign w:val="center"/>
            <w:hideMark/>
          </w:tcPr>
          <w:p w14:paraId="0B794668" w14:textId="77777777" w:rsidR="007825CF" w:rsidRPr="007825CF" w:rsidRDefault="007825CF" w:rsidP="007431D5">
            <w:pPr>
              <w:keepNext/>
              <w:spacing w:after="0" w:line="240" w:lineRule="auto"/>
              <w:jc w:val="right"/>
              <w:rPr>
                <w:rFonts w:cs="Arial"/>
                <w:color w:val="000000"/>
                <w:sz w:val="16"/>
                <w:szCs w:val="16"/>
              </w:rPr>
            </w:pPr>
            <w:r w:rsidRPr="007825CF">
              <w:rPr>
                <w:rFonts w:cs="Arial"/>
                <w:color w:val="000000"/>
                <w:sz w:val="16"/>
                <w:szCs w:val="16"/>
              </w:rPr>
              <w:t>65 752</w:t>
            </w:r>
          </w:p>
        </w:tc>
        <w:tc>
          <w:tcPr>
            <w:tcW w:w="974" w:type="dxa"/>
            <w:tcBorders>
              <w:top w:val="nil"/>
              <w:left w:val="nil"/>
              <w:bottom w:val="nil"/>
              <w:right w:val="single" w:sz="8" w:space="0" w:color="auto"/>
            </w:tcBorders>
            <w:shd w:val="clear" w:color="auto" w:fill="auto"/>
            <w:noWrap/>
            <w:vAlign w:val="center"/>
            <w:hideMark/>
          </w:tcPr>
          <w:p w14:paraId="468EBF93" w14:textId="77777777" w:rsidR="007825CF" w:rsidRPr="007825CF" w:rsidRDefault="007825CF" w:rsidP="007431D5">
            <w:pPr>
              <w:keepNext/>
              <w:spacing w:after="0" w:line="240" w:lineRule="auto"/>
              <w:jc w:val="right"/>
              <w:rPr>
                <w:rFonts w:cs="Arial"/>
                <w:i/>
                <w:iCs/>
                <w:color w:val="000000"/>
                <w:sz w:val="16"/>
                <w:szCs w:val="16"/>
              </w:rPr>
            </w:pPr>
            <w:r w:rsidRPr="007825CF">
              <w:rPr>
                <w:rFonts w:cs="Arial"/>
                <w:i/>
                <w:iCs/>
                <w:color w:val="000000"/>
                <w:sz w:val="16"/>
                <w:szCs w:val="16"/>
              </w:rPr>
              <w:t>14,7</w:t>
            </w:r>
          </w:p>
        </w:tc>
        <w:tc>
          <w:tcPr>
            <w:tcW w:w="974" w:type="dxa"/>
            <w:tcBorders>
              <w:top w:val="nil"/>
              <w:left w:val="nil"/>
              <w:bottom w:val="nil"/>
              <w:right w:val="nil"/>
            </w:tcBorders>
            <w:shd w:val="clear" w:color="auto" w:fill="auto"/>
            <w:noWrap/>
            <w:vAlign w:val="center"/>
            <w:hideMark/>
          </w:tcPr>
          <w:p w14:paraId="6D58424A" w14:textId="77777777" w:rsidR="007825CF" w:rsidRPr="007825CF" w:rsidRDefault="007825CF" w:rsidP="007431D5">
            <w:pPr>
              <w:keepNext/>
              <w:spacing w:after="0" w:line="240" w:lineRule="auto"/>
              <w:jc w:val="right"/>
              <w:rPr>
                <w:rFonts w:cs="Arial"/>
                <w:color w:val="000000"/>
                <w:sz w:val="16"/>
                <w:szCs w:val="16"/>
              </w:rPr>
            </w:pPr>
            <w:r w:rsidRPr="007825CF">
              <w:rPr>
                <w:rFonts w:cs="Arial"/>
                <w:color w:val="000000"/>
                <w:sz w:val="16"/>
                <w:szCs w:val="16"/>
              </w:rPr>
              <w:t>5 186,0</w:t>
            </w:r>
          </w:p>
        </w:tc>
        <w:tc>
          <w:tcPr>
            <w:tcW w:w="974" w:type="dxa"/>
            <w:tcBorders>
              <w:top w:val="nil"/>
              <w:left w:val="nil"/>
              <w:bottom w:val="nil"/>
              <w:right w:val="single" w:sz="8" w:space="0" w:color="auto"/>
            </w:tcBorders>
            <w:shd w:val="clear" w:color="auto" w:fill="auto"/>
            <w:noWrap/>
            <w:vAlign w:val="center"/>
            <w:hideMark/>
          </w:tcPr>
          <w:p w14:paraId="6DF4138E" w14:textId="77777777" w:rsidR="007825CF" w:rsidRPr="007825CF" w:rsidRDefault="007825CF" w:rsidP="007431D5">
            <w:pPr>
              <w:keepNext/>
              <w:spacing w:after="0" w:line="240" w:lineRule="auto"/>
              <w:jc w:val="right"/>
              <w:rPr>
                <w:rFonts w:cs="Arial"/>
                <w:i/>
                <w:iCs/>
                <w:color w:val="000000"/>
                <w:sz w:val="16"/>
                <w:szCs w:val="16"/>
              </w:rPr>
            </w:pPr>
            <w:r w:rsidRPr="007825CF">
              <w:rPr>
                <w:rFonts w:cs="Arial"/>
                <w:i/>
                <w:iCs/>
                <w:color w:val="000000"/>
                <w:sz w:val="16"/>
                <w:szCs w:val="16"/>
              </w:rPr>
              <w:t>12,6</w:t>
            </w:r>
          </w:p>
        </w:tc>
        <w:tc>
          <w:tcPr>
            <w:tcW w:w="1417" w:type="dxa"/>
            <w:tcBorders>
              <w:top w:val="nil"/>
              <w:left w:val="nil"/>
              <w:bottom w:val="nil"/>
              <w:right w:val="nil"/>
            </w:tcBorders>
            <w:shd w:val="clear" w:color="auto" w:fill="auto"/>
            <w:noWrap/>
            <w:vAlign w:val="center"/>
            <w:hideMark/>
          </w:tcPr>
          <w:p w14:paraId="479F2665" w14:textId="77777777" w:rsidR="007825CF" w:rsidRPr="007825CF" w:rsidRDefault="007825CF" w:rsidP="007431D5">
            <w:pPr>
              <w:keepNext/>
              <w:spacing w:after="0" w:line="240" w:lineRule="auto"/>
              <w:jc w:val="right"/>
              <w:rPr>
                <w:rFonts w:cs="Arial"/>
                <w:color w:val="000000"/>
                <w:sz w:val="16"/>
                <w:szCs w:val="16"/>
              </w:rPr>
            </w:pPr>
            <w:r w:rsidRPr="007825CF">
              <w:rPr>
                <w:rFonts w:cs="Arial"/>
                <w:color w:val="000000"/>
                <w:sz w:val="16"/>
                <w:szCs w:val="16"/>
              </w:rPr>
              <w:t>18,6</w:t>
            </w:r>
          </w:p>
        </w:tc>
        <w:tc>
          <w:tcPr>
            <w:tcW w:w="1418" w:type="dxa"/>
            <w:tcBorders>
              <w:top w:val="nil"/>
              <w:left w:val="nil"/>
              <w:bottom w:val="nil"/>
              <w:right w:val="single" w:sz="8" w:space="0" w:color="auto"/>
            </w:tcBorders>
            <w:shd w:val="clear" w:color="auto" w:fill="auto"/>
            <w:noWrap/>
            <w:vAlign w:val="center"/>
            <w:hideMark/>
          </w:tcPr>
          <w:p w14:paraId="3F90DB9D" w14:textId="77777777" w:rsidR="007825CF" w:rsidRPr="007825CF" w:rsidRDefault="007825CF" w:rsidP="007431D5">
            <w:pPr>
              <w:keepNext/>
              <w:spacing w:after="0" w:line="240" w:lineRule="auto"/>
              <w:jc w:val="right"/>
              <w:rPr>
                <w:rFonts w:cs="Arial"/>
                <w:color w:val="000000"/>
                <w:sz w:val="16"/>
                <w:szCs w:val="16"/>
              </w:rPr>
            </w:pPr>
            <w:r w:rsidRPr="007825CF">
              <w:rPr>
                <w:rFonts w:cs="Arial"/>
                <w:color w:val="000000"/>
                <w:sz w:val="16"/>
                <w:szCs w:val="16"/>
              </w:rPr>
              <w:t>12,7</w:t>
            </w:r>
          </w:p>
        </w:tc>
      </w:tr>
      <w:tr w:rsidR="007825CF" w:rsidRPr="007825CF" w14:paraId="07A423C9" w14:textId="77777777" w:rsidTr="00717F46">
        <w:trPr>
          <w:trHeight w:val="284"/>
        </w:trPr>
        <w:tc>
          <w:tcPr>
            <w:tcW w:w="960" w:type="dxa"/>
            <w:tcBorders>
              <w:top w:val="nil"/>
              <w:left w:val="single" w:sz="8" w:space="0" w:color="auto"/>
              <w:bottom w:val="nil"/>
              <w:right w:val="single" w:sz="8" w:space="0" w:color="auto"/>
            </w:tcBorders>
            <w:shd w:val="clear" w:color="auto" w:fill="auto"/>
            <w:noWrap/>
            <w:vAlign w:val="center"/>
            <w:hideMark/>
          </w:tcPr>
          <w:p w14:paraId="1E3848BB" w14:textId="77777777" w:rsidR="007825CF" w:rsidRPr="007825CF" w:rsidRDefault="007825CF" w:rsidP="007431D5">
            <w:pPr>
              <w:keepNext/>
              <w:spacing w:after="0" w:line="240" w:lineRule="auto"/>
              <w:rPr>
                <w:rFonts w:cs="Arial"/>
                <w:color w:val="000000"/>
                <w:sz w:val="16"/>
                <w:szCs w:val="16"/>
              </w:rPr>
            </w:pPr>
            <w:r w:rsidRPr="007825CF">
              <w:rPr>
                <w:rFonts w:cs="Arial"/>
                <w:color w:val="000000"/>
                <w:sz w:val="16"/>
                <w:szCs w:val="16"/>
              </w:rPr>
              <w:t>církevní</w:t>
            </w:r>
          </w:p>
        </w:tc>
        <w:tc>
          <w:tcPr>
            <w:tcW w:w="974" w:type="dxa"/>
            <w:tcBorders>
              <w:top w:val="nil"/>
              <w:left w:val="nil"/>
              <w:bottom w:val="nil"/>
              <w:right w:val="nil"/>
            </w:tcBorders>
            <w:shd w:val="clear" w:color="auto" w:fill="auto"/>
            <w:noWrap/>
            <w:vAlign w:val="center"/>
            <w:hideMark/>
          </w:tcPr>
          <w:p w14:paraId="704ADE7C" w14:textId="77777777" w:rsidR="007825CF" w:rsidRPr="007825CF" w:rsidRDefault="007825CF" w:rsidP="007431D5">
            <w:pPr>
              <w:keepNext/>
              <w:spacing w:after="0" w:line="240" w:lineRule="auto"/>
              <w:jc w:val="right"/>
              <w:rPr>
                <w:rFonts w:cs="Arial"/>
                <w:color w:val="000000"/>
                <w:sz w:val="16"/>
                <w:szCs w:val="16"/>
              </w:rPr>
            </w:pPr>
            <w:r w:rsidRPr="007825CF">
              <w:rPr>
                <w:rFonts w:cs="Arial"/>
                <w:color w:val="000000"/>
                <w:sz w:val="16"/>
                <w:szCs w:val="16"/>
              </w:rPr>
              <w:t>44</w:t>
            </w:r>
          </w:p>
        </w:tc>
        <w:tc>
          <w:tcPr>
            <w:tcW w:w="974" w:type="dxa"/>
            <w:tcBorders>
              <w:top w:val="nil"/>
              <w:left w:val="nil"/>
              <w:bottom w:val="nil"/>
              <w:right w:val="single" w:sz="8" w:space="0" w:color="auto"/>
            </w:tcBorders>
            <w:shd w:val="clear" w:color="auto" w:fill="auto"/>
            <w:noWrap/>
            <w:vAlign w:val="center"/>
            <w:hideMark/>
          </w:tcPr>
          <w:p w14:paraId="03462FDD" w14:textId="77777777" w:rsidR="007825CF" w:rsidRPr="007825CF" w:rsidRDefault="007825CF" w:rsidP="007431D5">
            <w:pPr>
              <w:keepNext/>
              <w:spacing w:after="0" w:line="240" w:lineRule="auto"/>
              <w:jc w:val="right"/>
              <w:rPr>
                <w:rFonts w:cs="Arial"/>
                <w:i/>
                <w:iCs/>
                <w:color w:val="000000"/>
                <w:sz w:val="16"/>
                <w:szCs w:val="16"/>
              </w:rPr>
            </w:pPr>
            <w:r w:rsidRPr="007825CF">
              <w:rPr>
                <w:rFonts w:cs="Arial"/>
                <w:i/>
                <w:iCs/>
                <w:color w:val="000000"/>
                <w:sz w:val="16"/>
                <w:szCs w:val="16"/>
              </w:rPr>
              <w:t>3,4</w:t>
            </w:r>
          </w:p>
        </w:tc>
        <w:tc>
          <w:tcPr>
            <w:tcW w:w="974" w:type="dxa"/>
            <w:tcBorders>
              <w:top w:val="nil"/>
              <w:left w:val="nil"/>
              <w:bottom w:val="nil"/>
              <w:right w:val="nil"/>
            </w:tcBorders>
            <w:shd w:val="clear" w:color="auto" w:fill="auto"/>
            <w:noWrap/>
            <w:vAlign w:val="center"/>
            <w:hideMark/>
          </w:tcPr>
          <w:p w14:paraId="36A6EBA8" w14:textId="77777777" w:rsidR="007825CF" w:rsidRPr="007825CF" w:rsidRDefault="007825CF" w:rsidP="007431D5">
            <w:pPr>
              <w:keepNext/>
              <w:spacing w:after="0" w:line="240" w:lineRule="auto"/>
              <w:jc w:val="right"/>
              <w:rPr>
                <w:rFonts w:cs="Arial"/>
                <w:color w:val="000000"/>
                <w:sz w:val="16"/>
                <w:szCs w:val="16"/>
              </w:rPr>
            </w:pPr>
            <w:r w:rsidRPr="007825CF">
              <w:rPr>
                <w:rFonts w:cs="Arial"/>
                <w:color w:val="000000"/>
                <w:sz w:val="16"/>
                <w:szCs w:val="16"/>
              </w:rPr>
              <w:t>10 679</w:t>
            </w:r>
          </w:p>
        </w:tc>
        <w:tc>
          <w:tcPr>
            <w:tcW w:w="974" w:type="dxa"/>
            <w:tcBorders>
              <w:top w:val="nil"/>
              <w:left w:val="nil"/>
              <w:bottom w:val="nil"/>
              <w:right w:val="single" w:sz="8" w:space="0" w:color="auto"/>
            </w:tcBorders>
            <w:shd w:val="clear" w:color="auto" w:fill="auto"/>
            <w:noWrap/>
            <w:vAlign w:val="center"/>
            <w:hideMark/>
          </w:tcPr>
          <w:p w14:paraId="3CAB529E" w14:textId="77777777" w:rsidR="007825CF" w:rsidRPr="007825CF" w:rsidRDefault="007825CF" w:rsidP="007431D5">
            <w:pPr>
              <w:keepNext/>
              <w:spacing w:after="0" w:line="240" w:lineRule="auto"/>
              <w:jc w:val="right"/>
              <w:rPr>
                <w:rFonts w:cs="Arial"/>
                <w:i/>
                <w:iCs/>
                <w:color w:val="000000"/>
                <w:sz w:val="16"/>
                <w:szCs w:val="16"/>
              </w:rPr>
            </w:pPr>
            <w:r w:rsidRPr="007825CF">
              <w:rPr>
                <w:rFonts w:cs="Arial"/>
                <w:i/>
                <w:iCs/>
                <w:color w:val="000000"/>
                <w:sz w:val="16"/>
                <w:szCs w:val="16"/>
              </w:rPr>
              <w:t>2,4</w:t>
            </w:r>
          </w:p>
        </w:tc>
        <w:tc>
          <w:tcPr>
            <w:tcW w:w="974" w:type="dxa"/>
            <w:tcBorders>
              <w:top w:val="nil"/>
              <w:left w:val="nil"/>
              <w:bottom w:val="nil"/>
              <w:right w:val="nil"/>
            </w:tcBorders>
            <w:shd w:val="clear" w:color="auto" w:fill="auto"/>
            <w:noWrap/>
            <w:vAlign w:val="center"/>
            <w:hideMark/>
          </w:tcPr>
          <w:p w14:paraId="138D45ED" w14:textId="77777777" w:rsidR="007825CF" w:rsidRPr="007825CF" w:rsidRDefault="007825CF" w:rsidP="007431D5">
            <w:pPr>
              <w:keepNext/>
              <w:spacing w:after="0" w:line="240" w:lineRule="auto"/>
              <w:jc w:val="right"/>
              <w:rPr>
                <w:rFonts w:cs="Arial"/>
                <w:color w:val="000000"/>
                <w:sz w:val="16"/>
                <w:szCs w:val="16"/>
              </w:rPr>
            </w:pPr>
            <w:r w:rsidRPr="007825CF">
              <w:rPr>
                <w:rFonts w:cs="Arial"/>
                <w:color w:val="000000"/>
                <w:sz w:val="16"/>
                <w:szCs w:val="16"/>
              </w:rPr>
              <w:t>910,7</w:t>
            </w:r>
          </w:p>
        </w:tc>
        <w:tc>
          <w:tcPr>
            <w:tcW w:w="974" w:type="dxa"/>
            <w:tcBorders>
              <w:top w:val="nil"/>
              <w:left w:val="nil"/>
              <w:bottom w:val="nil"/>
              <w:right w:val="single" w:sz="8" w:space="0" w:color="auto"/>
            </w:tcBorders>
            <w:shd w:val="clear" w:color="auto" w:fill="auto"/>
            <w:noWrap/>
            <w:vAlign w:val="center"/>
            <w:hideMark/>
          </w:tcPr>
          <w:p w14:paraId="2DC0565D" w14:textId="77777777" w:rsidR="007825CF" w:rsidRPr="007825CF" w:rsidRDefault="007825CF" w:rsidP="007431D5">
            <w:pPr>
              <w:keepNext/>
              <w:spacing w:after="0" w:line="240" w:lineRule="auto"/>
              <w:jc w:val="right"/>
              <w:rPr>
                <w:rFonts w:cs="Arial"/>
                <w:i/>
                <w:iCs/>
                <w:color w:val="000000"/>
                <w:sz w:val="16"/>
                <w:szCs w:val="16"/>
              </w:rPr>
            </w:pPr>
            <w:r w:rsidRPr="007825CF">
              <w:rPr>
                <w:rFonts w:cs="Arial"/>
                <w:i/>
                <w:iCs/>
                <w:color w:val="000000"/>
                <w:sz w:val="16"/>
                <w:szCs w:val="16"/>
              </w:rPr>
              <w:t>2,2</w:t>
            </w:r>
          </w:p>
        </w:tc>
        <w:tc>
          <w:tcPr>
            <w:tcW w:w="1417" w:type="dxa"/>
            <w:tcBorders>
              <w:top w:val="nil"/>
              <w:left w:val="nil"/>
              <w:bottom w:val="nil"/>
              <w:right w:val="nil"/>
            </w:tcBorders>
            <w:shd w:val="clear" w:color="auto" w:fill="auto"/>
            <w:noWrap/>
            <w:vAlign w:val="center"/>
            <w:hideMark/>
          </w:tcPr>
          <w:p w14:paraId="46BDE947" w14:textId="77777777" w:rsidR="007825CF" w:rsidRPr="007825CF" w:rsidRDefault="007825CF" w:rsidP="007431D5">
            <w:pPr>
              <w:keepNext/>
              <w:spacing w:after="0" w:line="240" w:lineRule="auto"/>
              <w:jc w:val="right"/>
              <w:rPr>
                <w:rFonts w:cs="Arial"/>
                <w:color w:val="000000"/>
                <w:sz w:val="16"/>
                <w:szCs w:val="16"/>
              </w:rPr>
            </w:pPr>
            <w:r w:rsidRPr="007825CF">
              <w:rPr>
                <w:rFonts w:cs="Arial"/>
                <w:color w:val="000000"/>
                <w:sz w:val="16"/>
                <w:szCs w:val="16"/>
              </w:rPr>
              <w:t>24,4</w:t>
            </w:r>
          </w:p>
        </w:tc>
        <w:tc>
          <w:tcPr>
            <w:tcW w:w="1418" w:type="dxa"/>
            <w:tcBorders>
              <w:top w:val="nil"/>
              <w:left w:val="nil"/>
              <w:bottom w:val="nil"/>
              <w:right w:val="single" w:sz="8" w:space="0" w:color="auto"/>
            </w:tcBorders>
            <w:shd w:val="clear" w:color="auto" w:fill="auto"/>
            <w:noWrap/>
            <w:vAlign w:val="center"/>
            <w:hideMark/>
          </w:tcPr>
          <w:p w14:paraId="7EAB2B2C" w14:textId="77777777" w:rsidR="007825CF" w:rsidRPr="007825CF" w:rsidRDefault="007825CF" w:rsidP="007431D5">
            <w:pPr>
              <w:keepNext/>
              <w:spacing w:after="0" w:line="240" w:lineRule="auto"/>
              <w:jc w:val="right"/>
              <w:rPr>
                <w:rFonts w:cs="Arial"/>
                <w:color w:val="000000"/>
                <w:sz w:val="16"/>
                <w:szCs w:val="16"/>
              </w:rPr>
            </w:pPr>
            <w:r w:rsidRPr="007825CF">
              <w:rPr>
                <w:rFonts w:cs="Arial"/>
                <w:color w:val="000000"/>
                <w:sz w:val="16"/>
                <w:szCs w:val="16"/>
              </w:rPr>
              <w:t>11,7</w:t>
            </w:r>
          </w:p>
        </w:tc>
      </w:tr>
      <w:tr w:rsidR="007825CF" w:rsidRPr="007825CF" w14:paraId="518BD114" w14:textId="77777777" w:rsidTr="00717F46">
        <w:trPr>
          <w:trHeight w:val="284"/>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3EFD7F9B" w14:textId="77777777" w:rsidR="007825CF" w:rsidRPr="007825CF" w:rsidRDefault="007825CF" w:rsidP="007431D5">
            <w:pPr>
              <w:keepNext/>
              <w:spacing w:after="0" w:line="240" w:lineRule="auto"/>
              <w:rPr>
                <w:rFonts w:cs="Arial"/>
                <w:b/>
                <w:bCs/>
                <w:color w:val="000000"/>
                <w:sz w:val="16"/>
                <w:szCs w:val="16"/>
              </w:rPr>
            </w:pPr>
            <w:r w:rsidRPr="007825CF">
              <w:rPr>
                <w:rFonts w:cs="Arial"/>
                <w:b/>
                <w:bCs/>
                <w:color w:val="000000"/>
                <w:sz w:val="16"/>
                <w:szCs w:val="16"/>
              </w:rPr>
              <w:t>celkem</w:t>
            </w:r>
          </w:p>
        </w:tc>
        <w:tc>
          <w:tcPr>
            <w:tcW w:w="974" w:type="dxa"/>
            <w:tcBorders>
              <w:top w:val="nil"/>
              <w:left w:val="nil"/>
              <w:bottom w:val="single" w:sz="8" w:space="0" w:color="auto"/>
              <w:right w:val="nil"/>
            </w:tcBorders>
            <w:shd w:val="clear" w:color="auto" w:fill="auto"/>
            <w:noWrap/>
            <w:vAlign w:val="center"/>
            <w:hideMark/>
          </w:tcPr>
          <w:p w14:paraId="1E152FE2" w14:textId="77777777" w:rsidR="007825CF" w:rsidRPr="007825CF" w:rsidRDefault="007825CF" w:rsidP="007431D5">
            <w:pPr>
              <w:keepNext/>
              <w:spacing w:after="0" w:line="240" w:lineRule="auto"/>
              <w:jc w:val="right"/>
              <w:rPr>
                <w:rFonts w:cs="Arial"/>
                <w:b/>
                <w:bCs/>
                <w:color w:val="000000"/>
                <w:sz w:val="16"/>
                <w:szCs w:val="16"/>
              </w:rPr>
            </w:pPr>
            <w:r w:rsidRPr="007825CF">
              <w:rPr>
                <w:rFonts w:cs="Arial"/>
                <w:b/>
                <w:bCs/>
                <w:color w:val="000000"/>
                <w:sz w:val="16"/>
                <w:szCs w:val="16"/>
              </w:rPr>
              <w:t>1 285</w:t>
            </w:r>
          </w:p>
        </w:tc>
        <w:tc>
          <w:tcPr>
            <w:tcW w:w="974" w:type="dxa"/>
            <w:tcBorders>
              <w:top w:val="nil"/>
              <w:left w:val="nil"/>
              <w:bottom w:val="single" w:sz="8" w:space="0" w:color="auto"/>
              <w:right w:val="single" w:sz="8" w:space="0" w:color="auto"/>
            </w:tcBorders>
            <w:shd w:val="clear" w:color="auto" w:fill="auto"/>
            <w:noWrap/>
            <w:vAlign w:val="center"/>
            <w:hideMark/>
          </w:tcPr>
          <w:p w14:paraId="2DDAAB06" w14:textId="77777777" w:rsidR="007825CF" w:rsidRPr="007825CF" w:rsidRDefault="007825CF" w:rsidP="007431D5">
            <w:pPr>
              <w:keepNext/>
              <w:spacing w:after="0" w:line="240" w:lineRule="auto"/>
              <w:jc w:val="right"/>
              <w:rPr>
                <w:rFonts w:cs="Arial"/>
                <w:i/>
                <w:iCs/>
                <w:color w:val="000000"/>
                <w:sz w:val="16"/>
                <w:szCs w:val="16"/>
              </w:rPr>
            </w:pPr>
            <w:r w:rsidRPr="007825CF">
              <w:rPr>
                <w:rFonts w:cs="Arial"/>
                <w:i/>
                <w:iCs/>
                <w:color w:val="000000"/>
                <w:sz w:val="16"/>
                <w:szCs w:val="16"/>
              </w:rPr>
              <w:t>100</w:t>
            </w:r>
          </w:p>
        </w:tc>
        <w:tc>
          <w:tcPr>
            <w:tcW w:w="974" w:type="dxa"/>
            <w:tcBorders>
              <w:top w:val="nil"/>
              <w:left w:val="nil"/>
              <w:bottom w:val="single" w:sz="8" w:space="0" w:color="auto"/>
              <w:right w:val="nil"/>
            </w:tcBorders>
            <w:shd w:val="clear" w:color="auto" w:fill="auto"/>
            <w:noWrap/>
            <w:vAlign w:val="center"/>
            <w:hideMark/>
          </w:tcPr>
          <w:p w14:paraId="38DFC851" w14:textId="77777777" w:rsidR="007825CF" w:rsidRPr="007825CF" w:rsidRDefault="007825CF" w:rsidP="007431D5">
            <w:pPr>
              <w:keepNext/>
              <w:spacing w:after="0" w:line="240" w:lineRule="auto"/>
              <w:jc w:val="right"/>
              <w:rPr>
                <w:rFonts w:cs="Arial"/>
                <w:b/>
                <w:bCs/>
                <w:color w:val="000000"/>
                <w:sz w:val="16"/>
                <w:szCs w:val="16"/>
              </w:rPr>
            </w:pPr>
            <w:r w:rsidRPr="007825CF">
              <w:rPr>
                <w:rFonts w:cs="Arial"/>
                <w:b/>
                <w:bCs/>
                <w:color w:val="000000"/>
                <w:sz w:val="16"/>
                <w:szCs w:val="16"/>
              </w:rPr>
              <w:t>446 254</w:t>
            </w:r>
          </w:p>
        </w:tc>
        <w:tc>
          <w:tcPr>
            <w:tcW w:w="974" w:type="dxa"/>
            <w:tcBorders>
              <w:top w:val="nil"/>
              <w:left w:val="nil"/>
              <w:bottom w:val="single" w:sz="8" w:space="0" w:color="auto"/>
              <w:right w:val="single" w:sz="8" w:space="0" w:color="auto"/>
            </w:tcBorders>
            <w:shd w:val="clear" w:color="auto" w:fill="auto"/>
            <w:noWrap/>
            <w:vAlign w:val="center"/>
            <w:hideMark/>
          </w:tcPr>
          <w:p w14:paraId="7C149BAC" w14:textId="77777777" w:rsidR="007825CF" w:rsidRPr="007825CF" w:rsidRDefault="007825CF" w:rsidP="007431D5">
            <w:pPr>
              <w:keepNext/>
              <w:spacing w:after="0" w:line="240" w:lineRule="auto"/>
              <w:jc w:val="right"/>
              <w:rPr>
                <w:rFonts w:cs="Arial"/>
                <w:i/>
                <w:iCs/>
                <w:color w:val="000000"/>
                <w:sz w:val="16"/>
                <w:szCs w:val="16"/>
              </w:rPr>
            </w:pPr>
            <w:r w:rsidRPr="007825CF">
              <w:rPr>
                <w:rFonts w:cs="Arial"/>
                <w:i/>
                <w:iCs/>
                <w:color w:val="000000"/>
                <w:sz w:val="16"/>
                <w:szCs w:val="16"/>
              </w:rPr>
              <w:t>100</w:t>
            </w:r>
          </w:p>
        </w:tc>
        <w:tc>
          <w:tcPr>
            <w:tcW w:w="974" w:type="dxa"/>
            <w:tcBorders>
              <w:top w:val="nil"/>
              <w:left w:val="nil"/>
              <w:bottom w:val="single" w:sz="8" w:space="0" w:color="auto"/>
              <w:right w:val="nil"/>
            </w:tcBorders>
            <w:shd w:val="clear" w:color="auto" w:fill="auto"/>
            <w:noWrap/>
            <w:vAlign w:val="center"/>
            <w:hideMark/>
          </w:tcPr>
          <w:p w14:paraId="3DA503EE" w14:textId="77777777" w:rsidR="007825CF" w:rsidRPr="007825CF" w:rsidRDefault="007825CF" w:rsidP="007431D5">
            <w:pPr>
              <w:keepNext/>
              <w:spacing w:after="0" w:line="240" w:lineRule="auto"/>
              <w:jc w:val="right"/>
              <w:rPr>
                <w:rFonts w:cs="Arial"/>
                <w:b/>
                <w:bCs/>
                <w:color w:val="000000"/>
                <w:sz w:val="16"/>
                <w:szCs w:val="16"/>
              </w:rPr>
            </w:pPr>
            <w:r w:rsidRPr="007825CF">
              <w:rPr>
                <w:rFonts w:cs="Arial"/>
                <w:b/>
                <w:bCs/>
                <w:color w:val="000000"/>
                <w:sz w:val="16"/>
                <w:szCs w:val="16"/>
              </w:rPr>
              <w:t>41 305,8</w:t>
            </w:r>
          </w:p>
        </w:tc>
        <w:tc>
          <w:tcPr>
            <w:tcW w:w="974" w:type="dxa"/>
            <w:tcBorders>
              <w:top w:val="nil"/>
              <w:left w:val="nil"/>
              <w:bottom w:val="single" w:sz="8" w:space="0" w:color="auto"/>
              <w:right w:val="single" w:sz="8" w:space="0" w:color="auto"/>
            </w:tcBorders>
            <w:shd w:val="clear" w:color="auto" w:fill="auto"/>
            <w:noWrap/>
            <w:vAlign w:val="center"/>
            <w:hideMark/>
          </w:tcPr>
          <w:p w14:paraId="7E949168" w14:textId="77777777" w:rsidR="007825CF" w:rsidRPr="007825CF" w:rsidRDefault="007825CF" w:rsidP="007431D5">
            <w:pPr>
              <w:keepNext/>
              <w:spacing w:after="0" w:line="240" w:lineRule="auto"/>
              <w:jc w:val="right"/>
              <w:rPr>
                <w:rFonts w:cs="Arial"/>
                <w:i/>
                <w:iCs/>
                <w:color w:val="000000"/>
                <w:sz w:val="16"/>
                <w:szCs w:val="16"/>
              </w:rPr>
            </w:pPr>
            <w:r w:rsidRPr="007825CF">
              <w:rPr>
                <w:rFonts w:cs="Arial"/>
                <w:i/>
                <w:iCs/>
                <w:color w:val="000000"/>
                <w:sz w:val="16"/>
                <w:szCs w:val="16"/>
              </w:rPr>
              <w:t>100</w:t>
            </w:r>
          </w:p>
        </w:tc>
        <w:tc>
          <w:tcPr>
            <w:tcW w:w="1417" w:type="dxa"/>
            <w:tcBorders>
              <w:top w:val="nil"/>
              <w:left w:val="nil"/>
              <w:bottom w:val="single" w:sz="8" w:space="0" w:color="auto"/>
              <w:right w:val="nil"/>
            </w:tcBorders>
            <w:shd w:val="clear" w:color="auto" w:fill="auto"/>
            <w:noWrap/>
            <w:vAlign w:val="center"/>
            <w:hideMark/>
          </w:tcPr>
          <w:p w14:paraId="249B3BB8" w14:textId="77777777" w:rsidR="007825CF" w:rsidRPr="007825CF" w:rsidRDefault="007825CF" w:rsidP="007431D5">
            <w:pPr>
              <w:keepNext/>
              <w:spacing w:after="0" w:line="240" w:lineRule="auto"/>
              <w:jc w:val="right"/>
              <w:rPr>
                <w:rFonts w:cs="Arial"/>
                <w:b/>
                <w:bCs/>
                <w:color w:val="000000"/>
                <w:sz w:val="16"/>
                <w:szCs w:val="16"/>
              </w:rPr>
            </w:pPr>
            <w:r w:rsidRPr="007825CF">
              <w:rPr>
                <w:rFonts w:cs="Arial"/>
                <w:b/>
                <w:bCs/>
                <w:color w:val="000000"/>
                <w:sz w:val="16"/>
                <w:szCs w:val="16"/>
              </w:rPr>
              <w:t>22,3</w:t>
            </w:r>
          </w:p>
        </w:tc>
        <w:tc>
          <w:tcPr>
            <w:tcW w:w="1418" w:type="dxa"/>
            <w:tcBorders>
              <w:top w:val="nil"/>
              <w:left w:val="nil"/>
              <w:bottom w:val="single" w:sz="8" w:space="0" w:color="auto"/>
              <w:right w:val="single" w:sz="8" w:space="0" w:color="auto"/>
            </w:tcBorders>
            <w:shd w:val="clear" w:color="auto" w:fill="auto"/>
            <w:noWrap/>
            <w:vAlign w:val="center"/>
            <w:hideMark/>
          </w:tcPr>
          <w:p w14:paraId="724EBBE9" w14:textId="77777777" w:rsidR="007825CF" w:rsidRPr="007825CF" w:rsidRDefault="007825CF" w:rsidP="007431D5">
            <w:pPr>
              <w:keepNext/>
              <w:spacing w:after="0" w:line="240" w:lineRule="auto"/>
              <w:jc w:val="right"/>
              <w:rPr>
                <w:rFonts w:cs="Arial"/>
                <w:b/>
                <w:bCs/>
                <w:color w:val="000000"/>
                <w:sz w:val="16"/>
                <w:szCs w:val="16"/>
              </w:rPr>
            </w:pPr>
            <w:r w:rsidRPr="007825CF">
              <w:rPr>
                <w:rFonts w:cs="Arial"/>
                <w:b/>
                <w:bCs/>
                <w:color w:val="000000"/>
                <w:sz w:val="16"/>
                <w:szCs w:val="16"/>
              </w:rPr>
              <w:t>10,8</w:t>
            </w:r>
          </w:p>
        </w:tc>
      </w:tr>
    </w:tbl>
    <w:p w14:paraId="7B0D3E38" w14:textId="2F0BB5F4" w:rsidR="00FA7769" w:rsidRDefault="00FA7769" w:rsidP="00A61F79">
      <w:pPr>
        <w:spacing w:before="120" w:after="0" w:line="240" w:lineRule="auto"/>
        <w:jc w:val="both"/>
        <w:rPr>
          <w:sz w:val="18"/>
          <w:szCs w:val="18"/>
        </w:rPr>
      </w:pPr>
      <w:r w:rsidRPr="00257E22">
        <w:rPr>
          <w:sz w:val="18"/>
          <w:vertAlign w:val="superscript"/>
        </w:rPr>
        <w:t>*)</w:t>
      </w:r>
      <w:r w:rsidRPr="00257E22">
        <w:t xml:space="preserve"> </w:t>
      </w:r>
      <w:r w:rsidRPr="00257E22">
        <w:rPr>
          <w:sz w:val="18"/>
          <w:szCs w:val="18"/>
        </w:rPr>
        <w:t>Učitelé jsou přepočteni na plně zaměstnané, neboli na počet plných úvazků</w:t>
      </w:r>
      <w:r>
        <w:rPr>
          <w:sz w:val="18"/>
          <w:szCs w:val="18"/>
        </w:rPr>
        <w:t>.</w:t>
      </w:r>
    </w:p>
    <w:p w14:paraId="4618E514" w14:textId="77777777" w:rsidR="00FA7769" w:rsidRPr="00B410D9" w:rsidRDefault="00FA7769" w:rsidP="00EB5489">
      <w:pPr>
        <w:spacing w:line="276" w:lineRule="auto"/>
        <w:jc w:val="right"/>
        <w:rPr>
          <w:rFonts w:cs="Arial"/>
          <w:sz w:val="18"/>
          <w:szCs w:val="22"/>
        </w:rPr>
      </w:pPr>
      <w:r w:rsidRPr="00F94849">
        <w:rPr>
          <w:rFonts w:cs="Arial"/>
          <w:sz w:val="18"/>
        </w:rPr>
        <w:t>Zdroj: ČSÚ</w:t>
      </w:r>
      <w:r w:rsidRPr="00F94849">
        <w:rPr>
          <w:rFonts w:cs="Arial"/>
          <w:noProof/>
        </w:rPr>
        <w:t xml:space="preserve"> </w:t>
      </w:r>
      <w:r w:rsidRPr="00307699">
        <w:rPr>
          <w:rFonts w:cs="Arial"/>
          <w:sz w:val="18"/>
        </w:rPr>
        <w:t>podle údajů MŠMT</w:t>
      </w:r>
    </w:p>
    <w:p w14:paraId="4418F81F" w14:textId="45F4B6E5" w:rsidR="00FA7769" w:rsidRPr="00403EDA" w:rsidRDefault="00FA7769" w:rsidP="00FA7769">
      <w:pPr>
        <w:spacing w:after="120"/>
        <w:jc w:val="both"/>
        <w:rPr>
          <w:rFonts w:cs="Arial"/>
          <w:szCs w:val="20"/>
        </w:rPr>
      </w:pPr>
      <w:r w:rsidRPr="008B3029">
        <w:rPr>
          <w:rFonts w:cs="Arial"/>
          <w:szCs w:val="20"/>
        </w:rPr>
        <w:t>Podívejme se nyní</w:t>
      </w:r>
      <w:r w:rsidRPr="00403EDA">
        <w:rPr>
          <w:rFonts w:cs="Arial"/>
          <w:szCs w:val="20"/>
        </w:rPr>
        <w:t xml:space="preserve"> na </w:t>
      </w:r>
      <w:r w:rsidRPr="00403EDA">
        <w:rPr>
          <w:rFonts w:cs="Arial"/>
          <w:b/>
          <w:szCs w:val="20"/>
        </w:rPr>
        <w:t>vývoj počtu žáků středních škol v čase</w:t>
      </w:r>
      <w:r w:rsidRPr="00403EDA">
        <w:rPr>
          <w:rFonts w:cs="Arial"/>
          <w:szCs w:val="20"/>
        </w:rPr>
        <w:t xml:space="preserve"> a připomeňme, že počet žáků v základních školách měl od roku 2011/12 vzestupnou tendenci. Zde lze poznamenat, že počet žáků středních škol naopak </w:t>
      </w:r>
      <w:r w:rsidR="00802E27">
        <w:rPr>
          <w:rFonts w:cs="Arial"/>
          <w:szCs w:val="20"/>
        </w:rPr>
        <w:t>od školního roku 2011/12 do školního roku 2018/19</w:t>
      </w:r>
      <w:r w:rsidR="00215001">
        <w:rPr>
          <w:rFonts w:cs="Arial"/>
          <w:szCs w:val="20"/>
        </w:rPr>
        <w:t xml:space="preserve"> neustále klesal</w:t>
      </w:r>
      <w:r w:rsidR="00802E27">
        <w:rPr>
          <w:rFonts w:cs="Arial"/>
          <w:szCs w:val="20"/>
        </w:rPr>
        <w:t>, a sice z 501 220 žáků</w:t>
      </w:r>
      <w:r w:rsidR="00215001">
        <w:rPr>
          <w:rFonts w:cs="Arial"/>
          <w:szCs w:val="20"/>
        </w:rPr>
        <w:t xml:space="preserve"> až na 420 814 žáků. V posledních </w:t>
      </w:r>
      <w:r w:rsidR="00802E27">
        <w:rPr>
          <w:rFonts w:cs="Arial"/>
          <w:szCs w:val="20"/>
        </w:rPr>
        <w:t>třech</w:t>
      </w:r>
      <w:r w:rsidR="00215001">
        <w:rPr>
          <w:rFonts w:cs="Arial"/>
          <w:szCs w:val="20"/>
        </w:rPr>
        <w:t xml:space="preserve"> školních rocích </w:t>
      </w:r>
      <w:r w:rsidR="001526C3">
        <w:rPr>
          <w:rFonts w:cs="Arial"/>
          <w:szCs w:val="20"/>
        </w:rPr>
        <w:t>však již</w:t>
      </w:r>
      <w:r w:rsidR="00802E27">
        <w:rPr>
          <w:rFonts w:cs="Arial"/>
          <w:szCs w:val="20"/>
        </w:rPr>
        <w:t xml:space="preserve"> začal stoupat až na 446 254</w:t>
      </w:r>
      <w:r w:rsidR="00215001">
        <w:rPr>
          <w:rFonts w:cs="Arial"/>
          <w:szCs w:val="20"/>
        </w:rPr>
        <w:t xml:space="preserve"> žáků ve školní</w:t>
      </w:r>
      <w:r w:rsidR="00802E27">
        <w:rPr>
          <w:rFonts w:cs="Arial"/>
          <w:szCs w:val="20"/>
        </w:rPr>
        <w:t>m roce 2021/22</w:t>
      </w:r>
      <w:r w:rsidR="00215001">
        <w:rPr>
          <w:rFonts w:cs="Arial"/>
          <w:szCs w:val="20"/>
        </w:rPr>
        <w:t xml:space="preserve"> </w:t>
      </w:r>
      <w:r w:rsidRPr="00403EDA">
        <w:rPr>
          <w:rFonts w:cs="Arial"/>
          <w:szCs w:val="20"/>
        </w:rPr>
        <w:t>– viz graf 3.1.</w:t>
      </w:r>
      <w:r w:rsidR="00694677">
        <w:rPr>
          <w:rFonts w:cs="Arial"/>
          <w:szCs w:val="20"/>
        </w:rPr>
        <w:t xml:space="preserve"> Demografická vlna se tak již začala přelévat ze základních škol na střední.</w:t>
      </w:r>
      <w:r w:rsidRPr="00403EDA">
        <w:rPr>
          <w:rFonts w:cs="Arial"/>
          <w:szCs w:val="20"/>
        </w:rPr>
        <w:t xml:space="preserve"> </w:t>
      </w:r>
    </w:p>
    <w:p w14:paraId="0CF39E86" w14:textId="6CD1D9CF" w:rsidR="00FA7769" w:rsidRDefault="00FA7769" w:rsidP="00FA7769">
      <w:pPr>
        <w:keepNext/>
        <w:spacing w:after="120" w:line="240" w:lineRule="auto"/>
        <w:rPr>
          <w:b/>
        </w:rPr>
      </w:pPr>
      <w:r>
        <w:rPr>
          <w:b/>
        </w:rPr>
        <w:t>Graf 3.1 Střední školy</w:t>
      </w:r>
      <w:r w:rsidRPr="00C3589B">
        <w:t xml:space="preserve"> </w:t>
      </w:r>
      <w:r>
        <w:rPr>
          <w:b/>
        </w:rPr>
        <w:t>– vývoj počtu žáků,</w:t>
      </w:r>
      <w:r w:rsidRPr="005C3E71">
        <w:rPr>
          <w:b/>
        </w:rPr>
        <w:t xml:space="preserve"> podílu žáků v jiné než denní formě a </w:t>
      </w:r>
      <w:r>
        <w:rPr>
          <w:b/>
        </w:rPr>
        <w:t xml:space="preserve">podílu žáků </w:t>
      </w:r>
      <w:r w:rsidRPr="005C3E71">
        <w:rPr>
          <w:b/>
        </w:rPr>
        <w:t>ve školách s </w:t>
      </w:r>
      <w:r w:rsidR="00215001">
        <w:rPr>
          <w:b/>
        </w:rPr>
        <w:t>jiným než veřejným zřizovatelem</w:t>
      </w:r>
    </w:p>
    <w:p w14:paraId="79152550" w14:textId="722B0701" w:rsidR="00FA7769" w:rsidRPr="00394935" w:rsidRDefault="00802E27" w:rsidP="00394935">
      <w:pPr>
        <w:keepNext/>
        <w:spacing w:after="120" w:line="240" w:lineRule="auto"/>
        <w:rPr>
          <w:b/>
        </w:rPr>
      </w:pPr>
      <w:r>
        <w:rPr>
          <w:noProof/>
        </w:rPr>
        <w:drawing>
          <wp:inline distT="0" distB="0" distL="0" distR="0" wp14:anchorId="4A2EDFAA" wp14:editId="494A7573">
            <wp:extent cx="6115050" cy="3267075"/>
            <wp:effectExtent l="0" t="0" r="0" b="9525"/>
            <wp:docPr id="55" name="Graf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B455577" w14:textId="69E54A69" w:rsidR="00FA7769" w:rsidRDefault="00FA7769" w:rsidP="00EB5489">
      <w:pPr>
        <w:spacing w:line="276" w:lineRule="auto"/>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2DD83E72" w14:textId="48E350C7" w:rsidR="006D7525" w:rsidRDefault="006D7525" w:rsidP="006D7525">
      <w:pPr>
        <w:spacing w:after="120"/>
        <w:jc w:val="both"/>
        <w:rPr>
          <w:rFonts w:cs="Arial"/>
          <w:szCs w:val="20"/>
        </w:rPr>
      </w:pPr>
      <w:r w:rsidRPr="00403EDA">
        <w:rPr>
          <w:rFonts w:cs="Arial"/>
          <w:szCs w:val="20"/>
        </w:rPr>
        <w:t>Vzhledem k demografickému vývoji lze očekávat, že i v dalších letech počet žáků středních škol poroste</w:t>
      </w:r>
      <w:r w:rsidR="00864CB6">
        <w:rPr>
          <w:rFonts w:cs="Arial"/>
          <w:szCs w:val="20"/>
        </w:rPr>
        <w:t xml:space="preserve"> – viz graf </w:t>
      </w:r>
      <w:r>
        <w:rPr>
          <w:rFonts w:cs="Arial"/>
          <w:szCs w:val="20"/>
        </w:rPr>
        <w:t xml:space="preserve">3.2, kde </w:t>
      </w:r>
      <w:r w:rsidR="00180B35">
        <w:rPr>
          <w:rFonts w:cs="Arial"/>
          <w:szCs w:val="20"/>
        </w:rPr>
        <w:t>oranžový</w:t>
      </w:r>
      <w:r>
        <w:rPr>
          <w:rFonts w:cs="Arial"/>
          <w:szCs w:val="20"/>
        </w:rPr>
        <w:t xml:space="preserve"> sloupec značí počet obyvatel ČR ve věku obvyklém p</w:t>
      </w:r>
      <w:r w:rsidR="00A22821">
        <w:rPr>
          <w:rFonts w:cs="Arial"/>
          <w:szCs w:val="20"/>
        </w:rPr>
        <w:t xml:space="preserve">ro denní studium střední školy </w:t>
      </w:r>
      <w:r>
        <w:rPr>
          <w:rFonts w:cs="Arial"/>
          <w:szCs w:val="20"/>
        </w:rPr>
        <w:t>a následující tři modré sloupce počet obyvatel ČR o rok až t</w:t>
      </w:r>
      <w:r w:rsidR="00A22821">
        <w:rPr>
          <w:rFonts w:cs="Arial"/>
          <w:szCs w:val="20"/>
        </w:rPr>
        <w:t xml:space="preserve">ři mladších, kteří budou </w:t>
      </w:r>
      <w:r>
        <w:rPr>
          <w:rFonts w:cs="Arial"/>
          <w:szCs w:val="20"/>
        </w:rPr>
        <w:t>střední</w:t>
      </w:r>
      <w:r w:rsidR="00A22821">
        <w:rPr>
          <w:rFonts w:cs="Arial"/>
          <w:szCs w:val="20"/>
        </w:rPr>
        <w:t xml:space="preserve"> školy pravděpodobně navštěv</w:t>
      </w:r>
      <w:r>
        <w:rPr>
          <w:rFonts w:cs="Arial"/>
          <w:szCs w:val="20"/>
        </w:rPr>
        <w:t>ovat v nejbližších letech.</w:t>
      </w:r>
      <w:r w:rsidR="00D561C3">
        <w:rPr>
          <w:rStyle w:val="Znakapoznpodarou"/>
          <w:rFonts w:cs="Arial"/>
          <w:szCs w:val="20"/>
        </w:rPr>
        <w:footnoteReference w:id="34"/>
      </w:r>
      <w:r w:rsidR="00134C78">
        <w:rPr>
          <w:rFonts w:cs="Arial"/>
          <w:szCs w:val="20"/>
        </w:rPr>
        <w:t xml:space="preserve"> Modré sloupce s údaji k 1. 7. 2021 tedy poukazují na </w:t>
      </w:r>
      <w:r w:rsidR="00193677">
        <w:rPr>
          <w:rFonts w:cs="Arial"/>
          <w:szCs w:val="20"/>
        </w:rPr>
        <w:t xml:space="preserve">očekávaný </w:t>
      </w:r>
      <w:r w:rsidR="00134C78">
        <w:rPr>
          <w:rFonts w:cs="Arial"/>
          <w:szCs w:val="20"/>
        </w:rPr>
        <w:t>postupný růst žáků ve věku obvyklém pro studium střední školy ve školních rocích 2022/23 až 2024/25.</w:t>
      </w:r>
    </w:p>
    <w:p w14:paraId="7815E37A" w14:textId="1DE9300C" w:rsidR="00DE6E08" w:rsidRDefault="00DE6E08" w:rsidP="00DE6E08">
      <w:pPr>
        <w:keepNext/>
        <w:spacing w:after="120"/>
        <w:jc w:val="both"/>
        <w:rPr>
          <w:b/>
          <w:bCs/>
        </w:rPr>
      </w:pPr>
      <w:r>
        <w:rPr>
          <w:b/>
          <w:bCs/>
        </w:rPr>
        <w:lastRenderedPageBreak/>
        <w:t xml:space="preserve">Graf 3.2 </w:t>
      </w:r>
      <w:r w:rsidRPr="00435E99">
        <w:rPr>
          <w:b/>
          <w:bCs/>
        </w:rPr>
        <w:t>P</w:t>
      </w:r>
      <w:r>
        <w:rPr>
          <w:b/>
          <w:bCs/>
        </w:rPr>
        <w:t>opulační vývoj - p</w:t>
      </w:r>
      <w:r w:rsidRPr="00435E99">
        <w:rPr>
          <w:b/>
          <w:bCs/>
        </w:rPr>
        <w:t xml:space="preserve">očet obyvatel ČR </w:t>
      </w:r>
      <w:r>
        <w:rPr>
          <w:b/>
          <w:bCs/>
        </w:rPr>
        <w:t>uvedeného věku k 1. červenci vybraných roků</w:t>
      </w:r>
    </w:p>
    <w:p w14:paraId="056579B1" w14:textId="1D7ACC7E" w:rsidR="006D7525" w:rsidRPr="0063694F" w:rsidRDefault="0063694F" w:rsidP="0063694F">
      <w:pPr>
        <w:keepNext/>
        <w:spacing w:after="120"/>
        <w:jc w:val="both"/>
      </w:pPr>
      <w:r>
        <w:rPr>
          <w:noProof/>
        </w:rPr>
        <w:drawing>
          <wp:inline distT="0" distB="0" distL="0" distR="0" wp14:anchorId="4FDCABD4" wp14:editId="5D02DD53">
            <wp:extent cx="6120130" cy="2181225"/>
            <wp:effectExtent l="0" t="0" r="13970" b="9525"/>
            <wp:docPr id="79" name="Graf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533FA16" w14:textId="6420AF35" w:rsidR="006B3132" w:rsidRDefault="006B3132" w:rsidP="006B3132">
      <w:pPr>
        <w:spacing w:after="120"/>
        <w:jc w:val="right"/>
        <w:rPr>
          <w:rFonts w:cs="Arial"/>
          <w:szCs w:val="20"/>
        </w:rPr>
      </w:pPr>
      <w:r w:rsidRPr="00F94849">
        <w:rPr>
          <w:rFonts w:cs="Arial"/>
          <w:sz w:val="18"/>
        </w:rPr>
        <w:t>Zdroj: ČSÚ</w:t>
      </w:r>
    </w:p>
    <w:p w14:paraId="6DEC832E" w14:textId="2F146261" w:rsidR="00FA7769" w:rsidRPr="00403EDA" w:rsidRDefault="00FA7769" w:rsidP="00FA7769">
      <w:pPr>
        <w:spacing w:after="120"/>
        <w:jc w:val="both"/>
        <w:rPr>
          <w:rFonts w:cs="Arial"/>
          <w:szCs w:val="20"/>
        </w:rPr>
      </w:pPr>
      <w:r w:rsidRPr="00A06ACB">
        <w:rPr>
          <w:rFonts w:cs="Arial"/>
          <w:szCs w:val="20"/>
        </w:rPr>
        <w:t xml:space="preserve">Graf 3.1 také </w:t>
      </w:r>
      <w:r w:rsidR="00A06ACB" w:rsidRPr="00A06ACB">
        <w:rPr>
          <w:rFonts w:cs="Arial"/>
          <w:szCs w:val="20"/>
        </w:rPr>
        <w:t xml:space="preserve">dokládá, že se za posledních </w:t>
      </w:r>
      <w:r w:rsidR="00802E27">
        <w:rPr>
          <w:rFonts w:cs="Arial"/>
          <w:szCs w:val="20"/>
        </w:rPr>
        <w:t>devět</w:t>
      </w:r>
      <w:r w:rsidRPr="00A06ACB">
        <w:rPr>
          <w:rFonts w:cs="Arial"/>
          <w:szCs w:val="20"/>
        </w:rPr>
        <w:t xml:space="preserve"> let</w:t>
      </w:r>
      <w:r w:rsidRPr="00403EDA">
        <w:rPr>
          <w:rFonts w:cs="Arial"/>
          <w:szCs w:val="20"/>
        </w:rPr>
        <w:t xml:space="preserve"> mírně zvýšil podíl žáků v soukromých a církevních š</w:t>
      </w:r>
      <w:r w:rsidR="00802E27">
        <w:rPr>
          <w:rFonts w:cs="Arial"/>
          <w:szCs w:val="20"/>
        </w:rPr>
        <w:t>kolách, a sice ze 14,4 % na 17,1</w:t>
      </w:r>
      <w:r w:rsidRPr="00403EDA">
        <w:rPr>
          <w:rFonts w:cs="Arial"/>
          <w:szCs w:val="20"/>
        </w:rPr>
        <w:t xml:space="preserve"> %. Výraznější vývoj lze zaznamenat u podílů žáků v jiné než denní formě </w:t>
      </w:r>
      <w:r w:rsidR="00802E27">
        <w:rPr>
          <w:rFonts w:cs="Arial"/>
          <w:szCs w:val="20"/>
        </w:rPr>
        <w:t>vzdělávání. Ten se snížil ze 6,7</w:t>
      </w:r>
      <w:r w:rsidRPr="00403EDA">
        <w:rPr>
          <w:rFonts w:cs="Arial"/>
          <w:szCs w:val="20"/>
        </w:rPr>
        <w:t> </w:t>
      </w:r>
      <w:r w:rsidR="00A06ACB">
        <w:rPr>
          <w:rFonts w:cs="Arial"/>
          <w:szCs w:val="20"/>
        </w:rPr>
        <w:t xml:space="preserve">% ve školním roce 2010/11 </w:t>
      </w:r>
      <w:r w:rsidR="00134C78">
        <w:rPr>
          <w:rFonts w:cs="Arial"/>
          <w:szCs w:val="20"/>
        </w:rPr>
        <w:t xml:space="preserve">(resp. 6,2 ve školním roce 2011/12) </w:t>
      </w:r>
      <w:r w:rsidR="00A06ACB">
        <w:rPr>
          <w:rFonts w:cs="Arial"/>
          <w:szCs w:val="20"/>
        </w:rPr>
        <w:t>na 3,6 % ve školním roce 2020/21</w:t>
      </w:r>
      <w:r w:rsidR="00802E27">
        <w:rPr>
          <w:rFonts w:cs="Arial"/>
          <w:szCs w:val="20"/>
        </w:rPr>
        <w:t xml:space="preserve"> a stejný podíl byl zaznamenán i v uplynulém školním roce 2021/22. </w:t>
      </w:r>
      <w:r w:rsidR="00FC3D5B">
        <w:rPr>
          <w:rFonts w:cs="Arial"/>
          <w:szCs w:val="20"/>
        </w:rPr>
        <w:t>Počet žáků v jiné než denní formě vzdělávání se tak za sledované období snížil o polovinu</w:t>
      </w:r>
      <w:r w:rsidR="00435A4B">
        <w:rPr>
          <w:rFonts w:cs="Arial"/>
          <w:szCs w:val="20"/>
        </w:rPr>
        <w:t xml:space="preserve"> (z 30 873 ve školním roce 2011/12 </w:t>
      </w:r>
      <w:r w:rsidR="00F21755">
        <w:rPr>
          <w:rFonts w:cs="Arial"/>
          <w:szCs w:val="20"/>
        </w:rPr>
        <w:t xml:space="preserve">na </w:t>
      </w:r>
      <w:r w:rsidR="00435A4B">
        <w:rPr>
          <w:rFonts w:cs="Arial"/>
          <w:szCs w:val="20"/>
        </w:rPr>
        <w:t>15 604 ve školním roce 2020/21, resp. 16 038 ve školním roce 2021/22)</w:t>
      </w:r>
      <w:r w:rsidR="00FC3D5B">
        <w:rPr>
          <w:rFonts w:cs="Arial"/>
          <w:szCs w:val="20"/>
        </w:rPr>
        <w:t>.</w:t>
      </w:r>
      <w:r w:rsidRPr="00403EDA">
        <w:rPr>
          <w:rFonts w:cs="Arial"/>
          <w:szCs w:val="20"/>
        </w:rPr>
        <w:t xml:space="preserve"> </w:t>
      </w:r>
    </w:p>
    <w:p w14:paraId="25716A75" w14:textId="52FD7E6B" w:rsidR="00FA7769" w:rsidRPr="00403EDA" w:rsidRDefault="009E7EBC" w:rsidP="00FA7769">
      <w:pPr>
        <w:spacing w:after="120"/>
        <w:jc w:val="both"/>
        <w:rPr>
          <w:rFonts w:cs="Arial"/>
          <w:szCs w:val="20"/>
        </w:rPr>
      </w:pPr>
      <w:r>
        <w:rPr>
          <w:rFonts w:cs="Arial"/>
          <w:szCs w:val="20"/>
        </w:rPr>
        <w:t>Graf 3.3</w:t>
      </w:r>
      <w:r w:rsidR="00FA7769" w:rsidRPr="00403EDA">
        <w:rPr>
          <w:rFonts w:cs="Arial"/>
          <w:szCs w:val="20"/>
        </w:rPr>
        <w:t xml:space="preserve"> pro doplnění uvádí, jaký počet žá</w:t>
      </w:r>
      <w:r w:rsidR="001130E6">
        <w:rPr>
          <w:rFonts w:cs="Arial"/>
          <w:szCs w:val="20"/>
        </w:rPr>
        <w:t>ků docházel v</w:t>
      </w:r>
      <w:r w:rsidR="00802E27">
        <w:rPr>
          <w:rFonts w:cs="Arial"/>
          <w:szCs w:val="20"/>
        </w:rPr>
        <w:t>e školním roce 2021/22</w:t>
      </w:r>
      <w:r w:rsidR="00FA7769" w:rsidRPr="00403EDA">
        <w:rPr>
          <w:rFonts w:cs="Arial"/>
          <w:szCs w:val="20"/>
        </w:rPr>
        <w:t xml:space="preserve"> do středních škol v jednotlivých krajích. Nejvyšší počet žáků se vzdělával ve</w:t>
      </w:r>
      <w:r w:rsidR="002D19C0">
        <w:rPr>
          <w:rFonts w:cs="Arial"/>
          <w:szCs w:val="20"/>
        </w:rPr>
        <w:t xml:space="preserve"> středních školách v Praze (</w:t>
      </w:r>
      <w:r w:rsidR="00561F02">
        <w:rPr>
          <w:rFonts w:cs="Arial"/>
          <w:szCs w:val="20"/>
        </w:rPr>
        <w:t>16</w:t>
      </w:r>
      <w:r w:rsidR="00FA7769" w:rsidRPr="00403EDA">
        <w:rPr>
          <w:rFonts w:cs="Arial"/>
          <w:szCs w:val="20"/>
        </w:rPr>
        <w:t> % z celku) a více než desetina ze všech žáků také navštěvovala střední škol</w:t>
      </w:r>
      <w:r w:rsidR="00561F02">
        <w:rPr>
          <w:rFonts w:cs="Arial"/>
          <w:szCs w:val="20"/>
        </w:rPr>
        <w:t>y v kraji Moravskoslezském (11</w:t>
      </w:r>
      <w:r w:rsidR="00FA7769" w:rsidRPr="00403EDA">
        <w:rPr>
          <w:rFonts w:cs="Arial"/>
          <w:szCs w:val="20"/>
        </w:rPr>
        <w:t> %) a Jihomoravském (10,8 %). Naopak méně než 5 % ze všech žáků středních škol se vzdělávalo ve š</w:t>
      </w:r>
      <w:r w:rsidR="002D19C0">
        <w:rPr>
          <w:rFonts w:cs="Arial"/>
          <w:szCs w:val="20"/>
        </w:rPr>
        <w:t>kolác</w:t>
      </w:r>
      <w:r w:rsidR="00561F02">
        <w:rPr>
          <w:rFonts w:cs="Arial"/>
          <w:szCs w:val="20"/>
        </w:rPr>
        <w:t>h v Karlovarském kraji (2,4 %) a v kraji Libereckém (3,7</w:t>
      </w:r>
      <w:r w:rsidR="00FA7769" w:rsidRPr="00403EDA">
        <w:rPr>
          <w:rFonts w:cs="Arial"/>
          <w:szCs w:val="20"/>
        </w:rPr>
        <w:t> %).</w:t>
      </w:r>
    </w:p>
    <w:p w14:paraId="0B0DCFF7" w14:textId="660D6337" w:rsidR="00FA7769" w:rsidRDefault="00FA7769" w:rsidP="00FA7769">
      <w:pPr>
        <w:keepNext/>
        <w:spacing w:after="120" w:line="240" w:lineRule="auto"/>
        <w:jc w:val="both"/>
        <w:rPr>
          <w:b/>
        </w:rPr>
      </w:pPr>
      <w:r>
        <w:rPr>
          <w:b/>
        </w:rPr>
        <w:t>Graf 3</w:t>
      </w:r>
      <w:r w:rsidR="009E7EBC">
        <w:rPr>
          <w:b/>
        </w:rPr>
        <w:t>.3</w:t>
      </w:r>
      <w:r w:rsidRPr="00633A2F">
        <w:rPr>
          <w:b/>
        </w:rPr>
        <w:t xml:space="preserve"> Střední školy – počet </w:t>
      </w:r>
      <w:r w:rsidR="008D130E">
        <w:rPr>
          <w:b/>
        </w:rPr>
        <w:t xml:space="preserve">a podíl </w:t>
      </w:r>
      <w:r w:rsidRPr="00633A2F">
        <w:rPr>
          <w:b/>
        </w:rPr>
        <w:t>ž</w:t>
      </w:r>
      <w:r w:rsidR="00506B7E">
        <w:rPr>
          <w:b/>
        </w:rPr>
        <w:t xml:space="preserve">áků </w:t>
      </w:r>
      <w:r w:rsidR="00610DCE">
        <w:rPr>
          <w:b/>
        </w:rPr>
        <w:t>dle sídla školy</w:t>
      </w:r>
      <w:r w:rsidR="00802E27">
        <w:rPr>
          <w:b/>
        </w:rPr>
        <w:t xml:space="preserve"> (2021/22</w:t>
      </w:r>
      <w:r w:rsidRPr="00633A2F">
        <w:rPr>
          <w:b/>
        </w:rPr>
        <w:t>)</w:t>
      </w:r>
    </w:p>
    <w:p w14:paraId="2BEFF8D2" w14:textId="7B8FA8A7" w:rsidR="00FA7769" w:rsidRPr="001130E6" w:rsidRDefault="00BE6ECE" w:rsidP="001130E6">
      <w:pPr>
        <w:keepNext/>
        <w:spacing w:after="120" w:line="240" w:lineRule="auto"/>
        <w:jc w:val="both"/>
        <w:rPr>
          <w:b/>
        </w:rPr>
      </w:pPr>
      <w:r>
        <w:rPr>
          <w:noProof/>
        </w:rPr>
        <w:drawing>
          <wp:inline distT="0" distB="0" distL="0" distR="0" wp14:anchorId="4E245CDE" wp14:editId="4BE55F18">
            <wp:extent cx="6038850" cy="2952750"/>
            <wp:effectExtent l="0" t="0" r="0" b="0"/>
            <wp:docPr id="39" name="Graf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0294BB5" w14:textId="77777777" w:rsidR="00FA7769" w:rsidRDefault="00FA7769" w:rsidP="00CF27F9">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023EA1A2" w14:textId="40800262" w:rsidR="0039216A" w:rsidRPr="00A90149" w:rsidRDefault="0039216A" w:rsidP="00A90149">
      <w:pPr>
        <w:spacing w:after="120"/>
        <w:jc w:val="both"/>
        <w:rPr>
          <w:rFonts w:cs="Arial"/>
          <w:szCs w:val="20"/>
        </w:rPr>
      </w:pPr>
      <w:r w:rsidRPr="00A90149">
        <w:rPr>
          <w:rFonts w:cs="Arial"/>
          <w:szCs w:val="20"/>
        </w:rPr>
        <w:t xml:space="preserve">Jelikož střední školy navštěvují také žáci v povinné školní docházce, týká se i jich možnost plnit si ji formou individuální výuky či v zahraničí či v zahraniční škole. Jedná se však spíše o okrajovou záležitost. </w:t>
      </w:r>
      <w:r w:rsidR="00A90149" w:rsidRPr="00A90149">
        <w:rPr>
          <w:rFonts w:cs="Arial"/>
          <w:b/>
          <w:szCs w:val="20"/>
        </w:rPr>
        <w:t>V zahraničí či v zahraniční škole</w:t>
      </w:r>
      <w:r w:rsidR="00A90149" w:rsidRPr="00A90149">
        <w:rPr>
          <w:rFonts w:cs="Arial"/>
          <w:szCs w:val="20"/>
        </w:rPr>
        <w:t xml:space="preserve"> si ve školním roce 2021/22 plnilo povinnou školní docházku 67 žáků nižších ročníků </w:t>
      </w:r>
      <w:r w:rsidR="00A90149" w:rsidRPr="00A90149">
        <w:rPr>
          <w:rFonts w:cs="Arial"/>
          <w:szCs w:val="20"/>
        </w:rPr>
        <w:lastRenderedPageBreak/>
        <w:t xml:space="preserve">gymnázií, což je 0,16 %. Z toho 38 jich bylo z pražských gymnázií. </w:t>
      </w:r>
      <w:r w:rsidR="00A90149" w:rsidRPr="00A90149">
        <w:rPr>
          <w:rFonts w:cs="Arial"/>
          <w:b/>
          <w:szCs w:val="20"/>
        </w:rPr>
        <w:t>Individuální vzdělávání</w:t>
      </w:r>
      <w:r w:rsidR="00A90149" w:rsidRPr="00A90149">
        <w:rPr>
          <w:rFonts w:cs="Arial"/>
          <w:szCs w:val="20"/>
        </w:rPr>
        <w:t xml:space="preserve"> pak využili jen tři žáci, dva z pražských gymnázií a jeden z gymnázia v Jihomoravském kraji.</w:t>
      </w:r>
    </w:p>
    <w:p w14:paraId="41E17389" w14:textId="6C2E54FB" w:rsidR="0039216A" w:rsidRPr="00B410D9" w:rsidRDefault="0039216A" w:rsidP="007431D5">
      <w:pPr>
        <w:spacing w:after="120" w:line="276" w:lineRule="auto"/>
        <w:rPr>
          <w:rFonts w:cs="Arial"/>
          <w:sz w:val="18"/>
        </w:rPr>
      </w:pPr>
    </w:p>
    <w:p w14:paraId="29A64E2D" w14:textId="7E2F85BD" w:rsidR="00FA7769" w:rsidRPr="005E552D" w:rsidRDefault="00FA7769" w:rsidP="00386026">
      <w:pPr>
        <w:pStyle w:val="Nadpis2"/>
      </w:pPr>
      <w:bookmarkStart w:id="22" w:name="_Toc112069086"/>
      <w:r>
        <w:t xml:space="preserve">3.2 </w:t>
      </w:r>
      <w:r w:rsidR="00D7485A">
        <w:t>Žáci s</w:t>
      </w:r>
      <w:r w:rsidRPr="005E552D">
        <w:t>třední</w:t>
      </w:r>
      <w:r w:rsidR="00D7485A">
        <w:t>ch škol</w:t>
      </w:r>
      <w:r w:rsidRPr="005E552D">
        <w:t xml:space="preserve"> dle druhů a oborů vzdělávání</w:t>
      </w:r>
      <w:bookmarkEnd w:id="22"/>
    </w:p>
    <w:p w14:paraId="6C11E3EB" w14:textId="77777777" w:rsidR="00FA7769" w:rsidRPr="00B31202" w:rsidRDefault="00FA7769" w:rsidP="00161404">
      <w:pPr>
        <w:spacing w:before="120" w:after="120"/>
        <w:jc w:val="both"/>
        <w:rPr>
          <w:rFonts w:cs="Arial"/>
          <w:bCs/>
          <w:szCs w:val="20"/>
        </w:rPr>
      </w:pPr>
      <w:r w:rsidRPr="00B31202">
        <w:rPr>
          <w:rFonts w:cs="Arial"/>
          <w:bCs/>
          <w:szCs w:val="20"/>
        </w:rPr>
        <w:t xml:space="preserve">Střední vzdělání se dělí na několik druhů. </w:t>
      </w:r>
      <w:r w:rsidRPr="00B31202">
        <w:rPr>
          <w:rFonts w:cs="Arial"/>
          <w:b/>
          <w:bCs/>
          <w:szCs w:val="20"/>
        </w:rPr>
        <w:t>Střední vzdělávání</w:t>
      </w:r>
      <w:r w:rsidRPr="00B31202">
        <w:rPr>
          <w:rFonts w:cs="Arial"/>
          <w:bCs/>
          <w:szCs w:val="20"/>
        </w:rPr>
        <w:t xml:space="preserve"> označuje (v denní formě) dvouleté vzdělávací programy ukončené závěrečnou zkouškou (bez získání výučního listu či maturitního vysvědčení). </w:t>
      </w:r>
      <w:r w:rsidRPr="00B31202">
        <w:rPr>
          <w:rFonts w:cs="Arial"/>
          <w:b/>
          <w:bCs/>
          <w:szCs w:val="20"/>
        </w:rPr>
        <w:t>Střední vzdělávání s výučním listem</w:t>
      </w:r>
      <w:r w:rsidRPr="00B31202">
        <w:rPr>
          <w:rFonts w:cs="Arial"/>
          <w:bCs/>
          <w:szCs w:val="20"/>
        </w:rPr>
        <w:t xml:space="preserve"> zahrnuje (v denní formě) dvouleté nebo tříleté vzdělávací programy, jejichž úspěšným ukončením absolvent získává výuční list. </w:t>
      </w:r>
      <w:r w:rsidRPr="00B31202">
        <w:rPr>
          <w:rFonts w:cs="Arial"/>
          <w:b/>
          <w:bCs/>
          <w:szCs w:val="20"/>
        </w:rPr>
        <w:t>Středním vzděláváním s maturitní zkouškou</w:t>
      </w:r>
      <w:r w:rsidRPr="00B31202">
        <w:rPr>
          <w:rFonts w:cs="Arial"/>
          <w:bCs/>
          <w:szCs w:val="20"/>
        </w:rPr>
        <w:t xml:space="preserve"> jsou označovány maturitní obory, ve kterých absolvent získává maturitní vysvědčení. Toto vzdělávání je realizováno ve dvou variantách. </w:t>
      </w:r>
      <w:r w:rsidRPr="00B31202">
        <w:rPr>
          <w:rFonts w:cs="Arial"/>
          <w:b/>
          <w:bCs/>
          <w:i/>
          <w:szCs w:val="20"/>
        </w:rPr>
        <w:t>Všeobecné</w:t>
      </w:r>
      <w:r w:rsidRPr="00B31202">
        <w:rPr>
          <w:rFonts w:cs="Arial"/>
          <w:bCs/>
          <w:szCs w:val="20"/>
        </w:rPr>
        <w:t xml:space="preserve"> vzdělávání s maturitní zkouškou má neprofesní charakter vzdělávání a je určeno pro přípravu na další studium. Jedná se zpravidla o obory gymnázií. V současné době mají obory gymnázií dvojí podobu, a sice čtyřletou, do které odcházejí absolventi základních škol po úspěšném dokončení 9. ročníku, a víceletou (osmiletou a šestiletou) pro žáky z nižších ročníků základních škol (z 5., resp. 7. ročníku). Oproti tomu </w:t>
      </w:r>
      <w:r w:rsidRPr="00B31202">
        <w:rPr>
          <w:rFonts w:cs="Arial"/>
          <w:b/>
          <w:bCs/>
          <w:i/>
          <w:szCs w:val="20"/>
        </w:rPr>
        <w:t>odborné</w:t>
      </w:r>
      <w:r w:rsidRPr="00B31202">
        <w:rPr>
          <w:rFonts w:cs="Arial"/>
          <w:bCs/>
          <w:szCs w:val="20"/>
        </w:rPr>
        <w:t xml:space="preserve"> vzdělávání s maturitní zkouškou má profesní charakter vzdělávání, je v délce čtyř let a ukončené maturitní zkouškou. Do středního vzdělávání dále zahrnujeme </w:t>
      </w:r>
      <w:r w:rsidRPr="00B31202">
        <w:rPr>
          <w:rFonts w:cs="Arial"/>
          <w:b/>
          <w:bCs/>
          <w:szCs w:val="20"/>
        </w:rPr>
        <w:t>nástavbové studium</w:t>
      </w:r>
      <w:r w:rsidRPr="00B31202">
        <w:rPr>
          <w:rFonts w:cs="Arial"/>
          <w:bCs/>
          <w:szCs w:val="20"/>
        </w:rPr>
        <w:t>, které trvá v denní formě dva roky a je zakončené maturitní zkouškou. Je určeno pro uchazeče, kteří získali střední vzdělání s výučním listem v délce tří let denní formy vzdělávání v oboru příbuzném tomu, v jakém chtějí složit maturitní zkoušku</w:t>
      </w:r>
      <w:r w:rsidRPr="00B31202">
        <w:rPr>
          <w:bCs/>
          <w:szCs w:val="20"/>
        </w:rPr>
        <w:t>.</w:t>
      </w:r>
    </w:p>
    <w:p w14:paraId="0561AAD5" w14:textId="77777777" w:rsidR="00FA7769" w:rsidRPr="00B31202" w:rsidRDefault="00FA7769" w:rsidP="00FA7769">
      <w:pPr>
        <w:pStyle w:val="Zkladntextodsazen"/>
        <w:widowControl/>
        <w:tabs>
          <w:tab w:val="left" w:pos="540"/>
        </w:tabs>
        <w:spacing w:before="0" w:after="120" w:line="288" w:lineRule="auto"/>
        <w:ind w:firstLine="0"/>
        <w:rPr>
          <w:bCs/>
          <w:szCs w:val="20"/>
        </w:rPr>
      </w:pPr>
      <w:r w:rsidRPr="00B31202">
        <w:rPr>
          <w:bCs/>
          <w:szCs w:val="20"/>
        </w:rPr>
        <w:t xml:space="preserve">Kromě výše uvedeného spadá do středního vzdělávání též </w:t>
      </w:r>
      <w:r w:rsidRPr="00B31202">
        <w:rPr>
          <w:b/>
          <w:bCs/>
          <w:szCs w:val="20"/>
        </w:rPr>
        <w:t>zkrácené studium pro získání středního vzdělání s výučním listem</w:t>
      </w:r>
      <w:r w:rsidRPr="00B31202">
        <w:rPr>
          <w:bCs/>
          <w:szCs w:val="20"/>
        </w:rPr>
        <w:t xml:space="preserve">. Toto studium, které v denní formě trvá jeden až dva roky, je určeno pro uchazeče, kteří získali střední vzdělání s maturitní zkouškou nebo střední vzdělání s výučním listem v jiném oboru vzdělání. Obdobně je pak žákům k dispozici </w:t>
      </w:r>
      <w:r w:rsidRPr="00B31202">
        <w:rPr>
          <w:b/>
          <w:bCs/>
          <w:szCs w:val="20"/>
        </w:rPr>
        <w:t>zkrácené studium pro získání středního vzdělání s maturitní zkouškou</w:t>
      </w:r>
      <w:r w:rsidRPr="00B31202">
        <w:rPr>
          <w:bCs/>
          <w:szCs w:val="20"/>
        </w:rPr>
        <w:t>, které v denní formě trvá taktéž jeden až dva roky a je určené uchazečům, kteří získali střední vzdělání s maturitní zkouškou v jiném oboru. Pokud není uvedené jinak, započítáváme v této analýze i v tabulkách žáky zkráceného studia do celkového počtu žáků určitého druhu vzdělávání.</w:t>
      </w:r>
    </w:p>
    <w:p w14:paraId="34E8A4EA" w14:textId="20D2CF7A" w:rsidR="0075333A" w:rsidRDefault="00FA7769" w:rsidP="00FA7769">
      <w:pPr>
        <w:spacing w:after="120"/>
        <w:jc w:val="both"/>
        <w:rPr>
          <w:rFonts w:cs="Arial"/>
          <w:bCs/>
          <w:szCs w:val="20"/>
        </w:rPr>
      </w:pPr>
      <w:r w:rsidRPr="00B31202">
        <w:rPr>
          <w:rFonts w:cs="Arial"/>
          <w:b/>
          <w:bCs/>
          <w:szCs w:val="20"/>
        </w:rPr>
        <w:t>Z celkového počtu</w:t>
      </w:r>
      <w:r w:rsidRPr="00B31202">
        <w:rPr>
          <w:rFonts w:cs="Arial"/>
          <w:bCs/>
          <w:szCs w:val="20"/>
        </w:rPr>
        <w:t xml:space="preserve"> </w:t>
      </w:r>
      <w:r w:rsidR="006C40B8">
        <w:rPr>
          <w:b/>
        </w:rPr>
        <w:t>1 285</w:t>
      </w:r>
      <w:r w:rsidRPr="00B31202">
        <w:rPr>
          <w:b/>
        </w:rPr>
        <w:t xml:space="preserve"> škol</w:t>
      </w:r>
      <w:r w:rsidRPr="00B31202">
        <w:rPr>
          <w:rFonts w:cs="Arial"/>
          <w:bCs/>
          <w:szCs w:val="20"/>
        </w:rPr>
        <w:t xml:space="preserve"> jich </w:t>
      </w:r>
      <w:r w:rsidR="006C40B8">
        <w:rPr>
          <w:rFonts w:cs="Arial"/>
          <w:bCs/>
          <w:szCs w:val="20"/>
        </w:rPr>
        <w:t>ve školním roce 2021/22</w:t>
      </w:r>
      <w:r w:rsidR="00E35689">
        <w:rPr>
          <w:rFonts w:cs="Arial"/>
          <w:bCs/>
          <w:szCs w:val="20"/>
        </w:rPr>
        <w:t xml:space="preserve"> </w:t>
      </w:r>
      <w:r w:rsidRPr="006C40B8">
        <w:rPr>
          <w:rFonts w:cs="Arial"/>
          <w:bCs/>
          <w:szCs w:val="20"/>
        </w:rPr>
        <w:t>celkem</w:t>
      </w:r>
      <w:r w:rsidR="00E35689" w:rsidRPr="006C40B8">
        <w:rPr>
          <w:rFonts w:cs="Arial"/>
          <w:bCs/>
          <w:szCs w:val="20"/>
        </w:rPr>
        <w:t xml:space="preserve"> </w:t>
      </w:r>
      <w:r w:rsidR="006C40B8" w:rsidRPr="006C40B8">
        <w:rPr>
          <w:rFonts w:cs="Arial"/>
          <w:bCs/>
          <w:szCs w:val="20"/>
        </w:rPr>
        <w:t>990</w:t>
      </w:r>
      <w:r w:rsidR="00E35689" w:rsidRPr="006C40B8">
        <w:rPr>
          <w:rFonts w:cs="Arial"/>
          <w:bCs/>
          <w:szCs w:val="20"/>
        </w:rPr>
        <w:t xml:space="preserve"> nabízelo</w:t>
      </w:r>
      <w:r w:rsidR="00E35689" w:rsidRPr="00B31202">
        <w:rPr>
          <w:rFonts w:cs="Arial"/>
          <w:bCs/>
          <w:szCs w:val="20"/>
        </w:rPr>
        <w:t xml:space="preserve"> žákům </w:t>
      </w:r>
      <w:r w:rsidR="00E35689" w:rsidRPr="0075333A">
        <w:rPr>
          <w:rFonts w:cs="Arial"/>
          <w:b/>
          <w:bCs/>
          <w:i/>
          <w:szCs w:val="20"/>
        </w:rPr>
        <w:t>odborné</w:t>
      </w:r>
      <w:r w:rsidR="00E35689" w:rsidRPr="0075333A">
        <w:rPr>
          <w:rFonts w:cs="Arial"/>
          <w:b/>
          <w:bCs/>
          <w:szCs w:val="20"/>
        </w:rPr>
        <w:t xml:space="preserve"> </w:t>
      </w:r>
      <w:r w:rsidR="00E35689" w:rsidRPr="00B31202">
        <w:rPr>
          <w:rFonts w:cs="Arial"/>
          <w:bCs/>
          <w:szCs w:val="20"/>
        </w:rPr>
        <w:t xml:space="preserve">vzdělávání </w:t>
      </w:r>
      <w:r w:rsidR="006C40B8">
        <w:rPr>
          <w:rFonts w:cs="Arial"/>
          <w:bCs/>
          <w:szCs w:val="20"/>
        </w:rPr>
        <w:t>(bez nástavbového studia): 144</w:t>
      </w:r>
      <w:r w:rsidR="00E35689">
        <w:rPr>
          <w:rFonts w:cs="Arial"/>
          <w:bCs/>
          <w:szCs w:val="20"/>
        </w:rPr>
        <w:t xml:space="preserve"> střední vzdělávání bez výučního listu a bez maturitní zkoušky, </w:t>
      </w:r>
      <w:r w:rsidR="006C40B8">
        <w:rPr>
          <w:rFonts w:cs="Arial"/>
          <w:bCs/>
          <w:szCs w:val="20"/>
        </w:rPr>
        <w:t>506</w:t>
      </w:r>
      <w:r w:rsidR="00E35689">
        <w:rPr>
          <w:rFonts w:cs="Arial"/>
          <w:bCs/>
          <w:szCs w:val="20"/>
        </w:rPr>
        <w:t xml:space="preserve"> střed</w:t>
      </w:r>
      <w:r w:rsidR="00B64FC3">
        <w:rPr>
          <w:rFonts w:cs="Arial"/>
          <w:bCs/>
          <w:szCs w:val="20"/>
        </w:rPr>
        <w:t xml:space="preserve">ní </w:t>
      </w:r>
      <w:r w:rsidR="007E60A6">
        <w:rPr>
          <w:rFonts w:cs="Arial"/>
          <w:bCs/>
          <w:szCs w:val="20"/>
        </w:rPr>
        <w:t xml:space="preserve">odborné </w:t>
      </w:r>
      <w:r w:rsidR="006C40B8">
        <w:rPr>
          <w:rFonts w:cs="Arial"/>
          <w:bCs/>
          <w:szCs w:val="20"/>
        </w:rPr>
        <w:t>vzdělávání s výučním listem</w:t>
      </w:r>
      <w:r w:rsidR="00E35689">
        <w:rPr>
          <w:rFonts w:cs="Arial"/>
          <w:bCs/>
          <w:szCs w:val="20"/>
        </w:rPr>
        <w:t>,</w:t>
      </w:r>
      <w:r w:rsidR="006C40B8">
        <w:rPr>
          <w:rFonts w:cs="Arial"/>
          <w:bCs/>
          <w:szCs w:val="20"/>
        </w:rPr>
        <w:t xml:space="preserve"> 780</w:t>
      </w:r>
      <w:r w:rsidR="00E35689">
        <w:rPr>
          <w:rFonts w:cs="Arial"/>
          <w:bCs/>
          <w:szCs w:val="20"/>
        </w:rPr>
        <w:t xml:space="preserve"> střední </w:t>
      </w:r>
      <w:r w:rsidR="007E60A6">
        <w:rPr>
          <w:rFonts w:cs="Arial"/>
          <w:bCs/>
          <w:szCs w:val="20"/>
        </w:rPr>
        <w:t xml:space="preserve">odborné </w:t>
      </w:r>
      <w:r w:rsidR="00E35689">
        <w:rPr>
          <w:rFonts w:cs="Arial"/>
          <w:bCs/>
          <w:szCs w:val="20"/>
        </w:rPr>
        <w:t>vzdělávání s maturitní zkouškou</w:t>
      </w:r>
      <w:r w:rsidR="006C40B8">
        <w:rPr>
          <w:rFonts w:cs="Arial"/>
          <w:bCs/>
          <w:szCs w:val="20"/>
        </w:rPr>
        <w:t>. Celkem 267</w:t>
      </w:r>
      <w:r w:rsidR="00E35689">
        <w:rPr>
          <w:rFonts w:cs="Arial"/>
          <w:bCs/>
          <w:szCs w:val="20"/>
        </w:rPr>
        <w:t xml:space="preserve"> škol nabízelo </w:t>
      </w:r>
      <w:r w:rsidR="00E35689" w:rsidRPr="0075333A">
        <w:rPr>
          <w:rFonts w:cs="Arial"/>
          <w:b/>
          <w:bCs/>
          <w:i/>
          <w:szCs w:val="20"/>
        </w:rPr>
        <w:t>nástavbové</w:t>
      </w:r>
      <w:r w:rsidR="00E35689">
        <w:rPr>
          <w:rFonts w:cs="Arial"/>
          <w:bCs/>
          <w:szCs w:val="20"/>
        </w:rPr>
        <w:t xml:space="preserve"> </w:t>
      </w:r>
      <w:r w:rsidR="006C40B8">
        <w:rPr>
          <w:rFonts w:cs="Arial"/>
          <w:bCs/>
          <w:szCs w:val="20"/>
        </w:rPr>
        <w:t>studium a 363</w:t>
      </w:r>
      <w:r w:rsidR="00E35689" w:rsidRPr="00E35689">
        <w:rPr>
          <w:rFonts w:cs="Arial"/>
          <w:bCs/>
          <w:szCs w:val="20"/>
        </w:rPr>
        <w:t xml:space="preserve"> </w:t>
      </w:r>
      <w:r w:rsidR="00E35689" w:rsidRPr="0075333A">
        <w:rPr>
          <w:rFonts w:cs="Arial"/>
          <w:b/>
          <w:bCs/>
          <w:i/>
          <w:szCs w:val="20"/>
        </w:rPr>
        <w:t>všeobecné</w:t>
      </w:r>
      <w:r w:rsidR="00E35689">
        <w:rPr>
          <w:rFonts w:cs="Arial"/>
          <w:bCs/>
          <w:szCs w:val="20"/>
        </w:rPr>
        <w:t xml:space="preserve"> vzdělávání na gymnáziích</w:t>
      </w:r>
      <w:r w:rsidR="00E35689" w:rsidRPr="00B31202">
        <w:rPr>
          <w:rFonts w:cs="Arial"/>
          <w:bCs/>
          <w:szCs w:val="20"/>
        </w:rPr>
        <w:t>.</w:t>
      </w:r>
      <w:r w:rsidR="00E35689">
        <w:rPr>
          <w:rFonts w:cs="Arial"/>
          <w:bCs/>
          <w:szCs w:val="20"/>
        </w:rPr>
        <w:t xml:space="preserve"> </w:t>
      </w:r>
    </w:p>
    <w:p w14:paraId="0EE3559E" w14:textId="62604A8B" w:rsidR="00FA7769" w:rsidRPr="00B31202" w:rsidRDefault="00AD43A0" w:rsidP="00FA7769">
      <w:pPr>
        <w:spacing w:after="120"/>
        <w:jc w:val="both"/>
        <w:rPr>
          <w:rFonts w:cs="Arial"/>
          <w:bCs/>
          <w:szCs w:val="20"/>
        </w:rPr>
      </w:pPr>
      <w:r>
        <w:rPr>
          <w:rFonts w:cs="Arial"/>
          <w:bCs/>
          <w:szCs w:val="20"/>
        </w:rPr>
        <w:t>V jiném pohledu lze říci, že p</w:t>
      </w:r>
      <w:r w:rsidR="00E35689">
        <w:rPr>
          <w:rFonts w:cs="Arial"/>
          <w:bCs/>
          <w:szCs w:val="20"/>
        </w:rPr>
        <w:t xml:space="preserve">očet škol nabízejících střední </w:t>
      </w:r>
      <w:r w:rsidR="007E60A6">
        <w:rPr>
          <w:rFonts w:cs="Arial"/>
          <w:bCs/>
          <w:szCs w:val="20"/>
        </w:rPr>
        <w:t xml:space="preserve">odborné </w:t>
      </w:r>
      <w:r w:rsidR="00E35689">
        <w:rPr>
          <w:rFonts w:cs="Arial"/>
          <w:bCs/>
          <w:szCs w:val="20"/>
        </w:rPr>
        <w:t xml:space="preserve">vzdělávání </w:t>
      </w:r>
      <w:r w:rsidR="0075333A">
        <w:rPr>
          <w:rFonts w:cs="Arial"/>
          <w:bCs/>
          <w:szCs w:val="20"/>
        </w:rPr>
        <w:t xml:space="preserve">s výučním listem čítal </w:t>
      </w:r>
      <w:r>
        <w:rPr>
          <w:rFonts w:cs="Arial"/>
          <w:bCs/>
          <w:szCs w:val="20"/>
        </w:rPr>
        <w:t>dohromady</w:t>
      </w:r>
      <w:r w:rsidR="0075333A">
        <w:rPr>
          <w:rFonts w:cs="Arial"/>
          <w:bCs/>
          <w:szCs w:val="20"/>
        </w:rPr>
        <w:t xml:space="preserve"> </w:t>
      </w:r>
      <w:r w:rsidR="006C40B8">
        <w:rPr>
          <w:rFonts w:cs="Arial"/>
          <w:bCs/>
          <w:szCs w:val="20"/>
        </w:rPr>
        <w:t>506</w:t>
      </w:r>
      <w:r w:rsidR="0075333A">
        <w:rPr>
          <w:rFonts w:cs="Arial"/>
          <w:bCs/>
          <w:szCs w:val="20"/>
        </w:rPr>
        <w:t xml:space="preserve"> škol a počet škol se vzděláváním vedoucím k </w:t>
      </w:r>
      <w:r w:rsidR="00E35689" w:rsidRPr="0075333A">
        <w:rPr>
          <w:rFonts w:cs="Arial"/>
          <w:b/>
          <w:bCs/>
          <w:szCs w:val="20"/>
        </w:rPr>
        <w:t xml:space="preserve">maturitní </w:t>
      </w:r>
      <w:r w:rsidR="0075333A">
        <w:rPr>
          <w:rFonts w:cs="Arial"/>
          <w:b/>
          <w:bCs/>
          <w:szCs w:val="20"/>
        </w:rPr>
        <w:t>zkoušce</w:t>
      </w:r>
      <w:r w:rsidR="00E35689">
        <w:rPr>
          <w:rFonts w:cs="Arial"/>
          <w:bCs/>
          <w:szCs w:val="20"/>
        </w:rPr>
        <w:t xml:space="preserve"> </w:t>
      </w:r>
      <w:r w:rsidR="0075333A">
        <w:rPr>
          <w:rFonts w:cs="Arial"/>
          <w:bCs/>
          <w:szCs w:val="20"/>
        </w:rPr>
        <w:t>(</w:t>
      </w:r>
      <w:r w:rsidR="006C40B8">
        <w:rPr>
          <w:rFonts w:cs="Arial"/>
          <w:bCs/>
          <w:szCs w:val="20"/>
        </w:rPr>
        <w:t>bez nástavbového) zahrnoval 1</w:t>
      </w:r>
      <w:r w:rsidR="002602E7">
        <w:rPr>
          <w:rFonts w:cs="Arial"/>
          <w:bCs/>
          <w:szCs w:val="20"/>
        </w:rPr>
        <w:t> </w:t>
      </w:r>
      <w:r w:rsidR="006C40B8">
        <w:rPr>
          <w:rFonts w:cs="Arial"/>
          <w:bCs/>
          <w:szCs w:val="20"/>
        </w:rPr>
        <w:t>078</w:t>
      </w:r>
      <w:r w:rsidR="0075333A">
        <w:rPr>
          <w:rFonts w:cs="Arial"/>
          <w:bCs/>
          <w:szCs w:val="20"/>
        </w:rPr>
        <w:t xml:space="preserve"> škol. </w:t>
      </w:r>
    </w:p>
    <w:p w14:paraId="425856A1" w14:textId="71BA1ABC" w:rsidR="00FA7769" w:rsidRPr="00B31202" w:rsidRDefault="00FA7769" w:rsidP="00FA7769">
      <w:pPr>
        <w:pStyle w:val="Zkladntextodsazen"/>
        <w:widowControl/>
        <w:tabs>
          <w:tab w:val="left" w:pos="540"/>
        </w:tabs>
        <w:spacing w:before="0" w:after="120" w:line="288" w:lineRule="auto"/>
        <w:ind w:firstLine="0"/>
        <w:rPr>
          <w:bCs/>
          <w:szCs w:val="20"/>
        </w:rPr>
      </w:pPr>
      <w:r w:rsidRPr="008716FA">
        <w:rPr>
          <w:bCs/>
          <w:szCs w:val="20"/>
        </w:rPr>
        <w:t>Přejděme k </w:t>
      </w:r>
      <w:r w:rsidRPr="008716FA">
        <w:rPr>
          <w:b/>
          <w:bCs/>
          <w:szCs w:val="20"/>
        </w:rPr>
        <w:t>počtu žáků vzdělávajících se v jednotlivých druzích vzdělávání</w:t>
      </w:r>
      <w:r w:rsidRPr="008716FA">
        <w:rPr>
          <w:bCs/>
          <w:szCs w:val="20"/>
        </w:rPr>
        <w:t>.</w:t>
      </w:r>
      <w:r w:rsidR="004452E3" w:rsidRPr="008716FA">
        <w:rPr>
          <w:bCs/>
          <w:szCs w:val="20"/>
        </w:rPr>
        <w:t xml:space="preserve"> Ve škol</w:t>
      </w:r>
      <w:r w:rsidR="00A257A1">
        <w:rPr>
          <w:bCs/>
          <w:szCs w:val="20"/>
        </w:rPr>
        <w:t>ním roce 2021/22</w:t>
      </w:r>
      <w:r w:rsidRPr="00B31202">
        <w:rPr>
          <w:bCs/>
          <w:szCs w:val="20"/>
        </w:rPr>
        <w:t xml:space="preserve"> se nejvyšší podíl žáků vzdělával v oborech odborného vzděl</w:t>
      </w:r>
      <w:r w:rsidR="00700BF3">
        <w:rPr>
          <w:bCs/>
          <w:szCs w:val="20"/>
        </w:rPr>
        <w:t>ávání s maturitní zkouškou (45,7 %), dále pak v gymnáziích (29,9</w:t>
      </w:r>
      <w:r w:rsidRPr="00B31202">
        <w:rPr>
          <w:bCs/>
          <w:szCs w:val="20"/>
        </w:rPr>
        <w:t> %) a pětina žáků se také účastnila odborného v</w:t>
      </w:r>
      <w:r w:rsidR="00700BF3">
        <w:rPr>
          <w:bCs/>
          <w:szCs w:val="20"/>
        </w:rPr>
        <w:t>zdělávání s výučním listem (20,4</w:t>
      </w:r>
      <w:r w:rsidRPr="00B31202">
        <w:rPr>
          <w:bCs/>
          <w:szCs w:val="20"/>
        </w:rPr>
        <w:t> %). Nástavbo</w:t>
      </w:r>
      <w:r w:rsidR="00700BF3">
        <w:rPr>
          <w:bCs/>
          <w:szCs w:val="20"/>
        </w:rPr>
        <w:t>vé studium se týkalo již jen 3,4</w:t>
      </w:r>
      <w:r w:rsidRPr="00B31202">
        <w:rPr>
          <w:bCs/>
          <w:szCs w:val="20"/>
        </w:rPr>
        <w:t> % žáků a střední vzdělávání bez výučního listu a bez ma</w:t>
      </w:r>
      <w:r w:rsidR="009E7EBC">
        <w:rPr>
          <w:bCs/>
          <w:szCs w:val="20"/>
        </w:rPr>
        <w:t>turity 0,6 % žáků – viz graf 3.4</w:t>
      </w:r>
      <w:r w:rsidRPr="00B31202">
        <w:rPr>
          <w:bCs/>
          <w:szCs w:val="20"/>
        </w:rPr>
        <w:t xml:space="preserve">. </w:t>
      </w:r>
      <w:r w:rsidR="001A06C3">
        <w:rPr>
          <w:rStyle w:val="Znakapoznpodarou"/>
          <w:bCs/>
          <w:szCs w:val="20"/>
        </w:rPr>
        <w:footnoteReference w:id="35"/>
      </w:r>
      <w:r w:rsidRPr="00B31202">
        <w:rPr>
          <w:bCs/>
          <w:szCs w:val="20"/>
        </w:rPr>
        <w:t xml:space="preserve"> </w:t>
      </w:r>
    </w:p>
    <w:p w14:paraId="52003C39" w14:textId="59A57C1A" w:rsidR="00FA7769" w:rsidRDefault="009E7EBC" w:rsidP="00FA7769">
      <w:pPr>
        <w:pStyle w:val="Zkladntextodsazen"/>
        <w:keepNext/>
        <w:widowControl/>
        <w:tabs>
          <w:tab w:val="left" w:pos="540"/>
        </w:tabs>
        <w:spacing w:before="0" w:after="120" w:line="288" w:lineRule="auto"/>
        <w:ind w:firstLine="0"/>
        <w:rPr>
          <w:b/>
          <w:bCs/>
          <w:szCs w:val="20"/>
        </w:rPr>
      </w:pPr>
      <w:r>
        <w:rPr>
          <w:b/>
          <w:bCs/>
          <w:szCs w:val="20"/>
        </w:rPr>
        <w:lastRenderedPageBreak/>
        <w:t>Graf 3.4</w:t>
      </w:r>
      <w:r w:rsidR="00FA7769" w:rsidRPr="00B31202">
        <w:rPr>
          <w:b/>
          <w:bCs/>
          <w:szCs w:val="20"/>
        </w:rPr>
        <w:t xml:space="preserve"> </w:t>
      </w:r>
      <w:r w:rsidR="00FA7769" w:rsidRPr="00B31202">
        <w:rPr>
          <w:b/>
        </w:rPr>
        <w:t>Střední školy</w:t>
      </w:r>
      <w:r w:rsidR="00FA7769" w:rsidRPr="00B31202">
        <w:t xml:space="preserve"> </w:t>
      </w:r>
      <w:r w:rsidR="00FA7769" w:rsidRPr="00B31202">
        <w:rPr>
          <w:b/>
          <w:bCs/>
          <w:szCs w:val="20"/>
        </w:rPr>
        <w:t>– podíly žáků v jednotlivý</w:t>
      </w:r>
      <w:r w:rsidR="00700BF3">
        <w:rPr>
          <w:b/>
          <w:bCs/>
          <w:szCs w:val="20"/>
        </w:rPr>
        <w:t>ch druzích vzdělávání (2021/22</w:t>
      </w:r>
      <w:r w:rsidR="00FA7769" w:rsidRPr="00B31202">
        <w:rPr>
          <w:b/>
          <w:bCs/>
          <w:szCs w:val="20"/>
        </w:rPr>
        <w:t>)</w:t>
      </w:r>
    </w:p>
    <w:p w14:paraId="2C60F582" w14:textId="236CDC39" w:rsidR="00700BF3" w:rsidRDefault="00700BF3" w:rsidP="00FA7769">
      <w:pPr>
        <w:pStyle w:val="Zkladntextodsazen"/>
        <w:keepNext/>
        <w:widowControl/>
        <w:tabs>
          <w:tab w:val="left" w:pos="540"/>
        </w:tabs>
        <w:spacing w:before="0" w:after="120" w:line="288" w:lineRule="auto"/>
        <w:ind w:firstLine="0"/>
        <w:rPr>
          <w:b/>
          <w:bCs/>
          <w:szCs w:val="20"/>
        </w:rPr>
      </w:pPr>
      <w:r>
        <w:rPr>
          <w:noProof/>
        </w:rPr>
        <w:drawing>
          <wp:inline distT="0" distB="0" distL="0" distR="0" wp14:anchorId="224949A8" wp14:editId="0C212B5F">
            <wp:extent cx="6143625" cy="2076450"/>
            <wp:effectExtent l="0" t="0" r="9525" b="0"/>
            <wp:docPr id="64" name="Graf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2904D24" w14:textId="77777777" w:rsidR="00FA7769" w:rsidRDefault="00FA7769" w:rsidP="00CF27F9">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24EC3FDD" w14:textId="33612999" w:rsidR="00FA7769" w:rsidRPr="004A5668" w:rsidRDefault="00864CB6" w:rsidP="00FA7769">
      <w:pPr>
        <w:spacing w:after="120"/>
        <w:jc w:val="both"/>
      </w:pPr>
      <w:r>
        <w:t>V grafu</w:t>
      </w:r>
      <w:r w:rsidR="009E7EBC">
        <w:t xml:space="preserve"> 3.4</w:t>
      </w:r>
      <w:r w:rsidR="00FA7769" w:rsidRPr="004A5668">
        <w:t xml:space="preserve"> je také uveden podíl dívek mezi žáky jednotlivých druhů vzdělávání. Zde si lze všimnout, že mezi žáky gymná</w:t>
      </w:r>
      <w:r w:rsidR="00700BF3">
        <w:t>zií tvořily ve školním roce 2021/22 dívky téměř tři pětiny (56,8</w:t>
      </w:r>
      <w:r w:rsidR="00FA7769" w:rsidRPr="004A5668">
        <w:t xml:space="preserve"> %) a </w:t>
      </w:r>
      <w:r w:rsidR="00C719C3">
        <w:t>nadpoloviční byl jejich podíl i </w:t>
      </w:r>
      <w:r w:rsidR="00FA7769" w:rsidRPr="004A5668">
        <w:t>mezi žáky odborného vzd</w:t>
      </w:r>
      <w:r w:rsidR="00DA114F">
        <w:t>ělávání s maturitní zkouškou (5</w:t>
      </w:r>
      <w:r w:rsidR="00E54004">
        <w:t>1</w:t>
      </w:r>
      <w:r w:rsidR="00700BF3">
        <w:t>,7</w:t>
      </w:r>
      <w:r w:rsidR="00FA7769" w:rsidRPr="004A5668">
        <w:t xml:space="preserve"> %). Naproti tomu mezi žáky odborného vzdělávání s výučním listem byla dívek jen</w:t>
      </w:r>
      <w:r w:rsidR="00DA114F">
        <w:t xml:space="preserve"> cca</w:t>
      </w:r>
      <w:r w:rsidR="00FA7769" w:rsidRPr="004A5668">
        <w:t xml:space="preserve"> třetina (34</w:t>
      </w:r>
      <w:r w:rsidR="00700BF3">
        <w:t>,9</w:t>
      </w:r>
      <w:r w:rsidR="00FA7769" w:rsidRPr="004A5668">
        <w:t> %) a mezi žák</w:t>
      </w:r>
      <w:r w:rsidR="00DA114F">
        <w:t xml:space="preserve">y </w:t>
      </w:r>
      <w:r w:rsidR="00700BF3">
        <w:t xml:space="preserve">nástavbového studia tvořily </w:t>
      </w:r>
      <w:r w:rsidR="00F62818">
        <w:t xml:space="preserve">dívky </w:t>
      </w:r>
      <w:r w:rsidR="00700BF3">
        <w:t>43,9</w:t>
      </w:r>
      <w:r w:rsidR="00FA7769" w:rsidRPr="004A5668">
        <w:t> %. Z uvedených podílů je zároveň zřejmé, že pakliže se dívky rozhodnou vzdělávat v některém oboru s výučním listem, tak si poté častěji než chlapci doplňují vzdělání do maturitní zkoušky v rámci nástavbového studia.</w:t>
      </w:r>
    </w:p>
    <w:p w14:paraId="165AB66A" w14:textId="5FB31512" w:rsidR="00FA7769" w:rsidRPr="004A5668" w:rsidRDefault="00FA7769" w:rsidP="00FA7769">
      <w:pPr>
        <w:spacing w:after="120"/>
        <w:jc w:val="both"/>
      </w:pPr>
      <w:r w:rsidRPr="00811FCF">
        <w:t xml:space="preserve">Pokud se jedná o </w:t>
      </w:r>
      <w:r w:rsidRPr="00811FCF">
        <w:rPr>
          <w:b/>
        </w:rPr>
        <w:t>vývoj v čase</w:t>
      </w:r>
      <w:r w:rsidRPr="00811FCF">
        <w:t xml:space="preserve">, spolu s celkovým počtem žáků ve středních školách klesal též počet žáků </w:t>
      </w:r>
      <w:r w:rsidR="00811FCF">
        <w:t xml:space="preserve">téměř </w:t>
      </w:r>
      <w:r w:rsidRPr="00811FCF">
        <w:t>ve všech druzích vzdělávání</w:t>
      </w:r>
      <w:r w:rsidR="00811FCF">
        <w:t>, ovšem s výjimkou středního vzdělávání bez výučního listu a maturity, ve kterém se počet žáků ve školních rocích 2013/14 až 2018/19 zvýšil z 1 965 na 2 723 a poté se již výrazně neměnil</w:t>
      </w:r>
      <w:r w:rsidRPr="00811FCF">
        <w:t>.</w:t>
      </w:r>
      <w:r w:rsidRPr="004A5668">
        <w:t xml:space="preserve"> </w:t>
      </w:r>
      <w:r w:rsidR="00B414E6">
        <w:t>V roce 2021/22 tak čítal o 34,6</w:t>
      </w:r>
      <w:r w:rsidR="00811FCF">
        <w:t> % více žáků než před deseti lety. Za posledních deset let naopak n</w:t>
      </w:r>
      <w:r w:rsidRPr="004A5668">
        <w:t>ejvýrazněji klesl počet žáků v</w:t>
      </w:r>
      <w:r w:rsidR="00B414E6">
        <w:t> nástavbovém studiu, a sice o 59</w:t>
      </w:r>
      <w:r w:rsidRPr="004A5668">
        <w:t> %. Počet žáků ve středním vzdělávání s výučním listem</w:t>
      </w:r>
      <w:r w:rsidR="00B414E6">
        <w:t xml:space="preserve"> se snížil o 12</w:t>
      </w:r>
      <w:r w:rsidR="00811FCF">
        <w:t xml:space="preserve"> % a </w:t>
      </w:r>
      <w:r w:rsidRPr="004A5668">
        <w:t>počet žáků ve středním vzdělávání s maturitní zkouškou o</w:t>
      </w:r>
      <w:r w:rsidR="00B414E6">
        <w:t xml:space="preserve"> 6</w:t>
      </w:r>
      <w:r w:rsidR="00811FCF">
        <w:t> %.</w:t>
      </w:r>
      <w:r w:rsidR="00682FEB">
        <w:t xml:space="preserve"> </w:t>
      </w:r>
      <w:r w:rsidR="00811FCF">
        <w:t xml:space="preserve">Lze si však všimnout, že v posledních </w:t>
      </w:r>
      <w:r w:rsidR="00B414E6">
        <w:t>třech</w:t>
      </w:r>
      <w:r w:rsidR="00811FCF">
        <w:t xml:space="preserve"> školních rocích se </w:t>
      </w:r>
      <w:r w:rsidR="00B414E6">
        <w:t xml:space="preserve">v souladu se zvyšujícím se počtem žáků středních škol celkem zvyšoval též </w:t>
      </w:r>
      <w:r w:rsidR="00811FCF">
        <w:t xml:space="preserve">počet žáků ve středním </w:t>
      </w:r>
      <w:r w:rsidR="00811FCF" w:rsidRPr="004A5668">
        <w:t>vzdělávání s výučním listem</w:t>
      </w:r>
      <w:r w:rsidR="00B414E6">
        <w:t>,</w:t>
      </w:r>
      <w:r w:rsidR="00811FCF">
        <w:t xml:space="preserve"> </w:t>
      </w:r>
      <w:r w:rsidR="00316DF1">
        <w:t xml:space="preserve">ve středním </w:t>
      </w:r>
      <w:r w:rsidR="00316DF1" w:rsidRPr="004A5668">
        <w:t xml:space="preserve">vzdělávání </w:t>
      </w:r>
      <w:r w:rsidR="00811FCF">
        <w:t xml:space="preserve">s maturitní zkouškou </w:t>
      </w:r>
      <w:r w:rsidR="00B414E6">
        <w:t>i v nástavbovém studiu</w:t>
      </w:r>
      <w:r w:rsidR="00316DF1">
        <w:t xml:space="preserve"> </w:t>
      </w:r>
      <w:r w:rsidR="009E7EBC">
        <w:t>– viz graf 3.5</w:t>
      </w:r>
      <w:r w:rsidRPr="004A5668">
        <w:t>.</w:t>
      </w:r>
    </w:p>
    <w:p w14:paraId="3114ABAB" w14:textId="67E97D42" w:rsidR="00FA7769" w:rsidRDefault="009E7EBC" w:rsidP="00FA7769">
      <w:pPr>
        <w:keepNext/>
        <w:keepLines/>
        <w:spacing w:after="120" w:line="240" w:lineRule="auto"/>
        <w:jc w:val="both"/>
        <w:rPr>
          <w:b/>
        </w:rPr>
      </w:pPr>
      <w:r>
        <w:rPr>
          <w:b/>
        </w:rPr>
        <w:t>Graf 3.5</w:t>
      </w:r>
      <w:r w:rsidR="00FA7769">
        <w:rPr>
          <w:b/>
        </w:rPr>
        <w:t xml:space="preserve"> Střední školy</w:t>
      </w:r>
      <w:r w:rsidR="00FA7769" w:rsidRPr="00C3589B">
        <w:t xml:space="preserve"> </w:t>
      </w:r>
      <w:r w:rsidR="00FA7769" w:rsidRPr="00617510">
        <w:rPr>
          <w:b/>
        </w:rPr>
        <w:t xml:space="preserve">– vývoj počtu žáků v různých druzích vzdělávání </w:t>
      </w:r>
      <w:r w:rsidR="00261FA0">
        <w:rPr>
          <w:b/>
        </w:rPr>
        <w:t>(2011/12 – 2021/22</w:t>
      </w:r>
      <w:r w:rsidR="00FA7769">
        <w:rPr>
          <w:b/>
        </w:rPr>
        <w:t>)</w:t>
      </w:r>
    </w:p>
    <w:p w14:paraId="010A8A94" w14:textId="36DB7550" w:rsidR="00FA7769" w:rsidRPr="00925F22" w:rsidRDefault="00733ACD" w:rsidP="00FA7769">
      <w:pPr>
        <w:keepNext/>
        <w:keepLines/>
        <w:spacing w:after="120" w:line="240" w:lineRule="auto"/>
        <w:jc w:val="both"/>
        <w:rPr>
          <w:b/>
        </w:rPr>
      </w:pPr>
      <w:r>
        <w:rPr>
          <w:noProof/>
        </w:rPr>
        <w:drawing>
          <wp:inline distT="0" distB="0" distL="0" distR="0" wp14:anchorId="04741B40" wp14:editId="7FB08729">
            <wp:extent cx="6120130" cy="2838450"/>
            <wp:effectExtent l="0" t="0" r="13970" b="0"/>
            <wp:docPr id="42" name="Graf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C72FFE0" w14:textId="77777777" w:rsidR="00FA7769" w:rsidRPr="00B410D9" w:rsidRDefault="00FA7769" w:rsidP="00CF27F9">
      <w:pPr>
        <w:spacing w:after="120" w:line="276" w:lineRule="auto"/>
        <w:jc w:val="right"/>
        <w:rPr>
          <w:rFonts w:asciiTheme="minorHAnsi" w:hAnsiTheme="minorHAnsi"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3571B71C" w14:textId="466CCE48" w:rsidR="00682FEB" w:rsidRDefault="009E7EBC" w:rsidP="00FA7769">
      <w:pPr>
        <w:spacing w:after="120"/>
        <w:jc w:val="both"/>
      </w:pPr>
      <w:r>
        <w:lastRenderedPageBreak/>
        <w:t>Graf 3.5</w:t>
      </w:r>
      <w:r w:rsidR="00682FEB" w:rsidRPr="003C23F0">
        <w:t xml:space="preserve"> sledoval vývoj počtu žáků dle </w:t>
      </w:r>
      <w:r w:rsidR="0066204E">
        <w:t>úrovně vzdělávání, ke které směř</w:t>
      </w:r>
      <w:r w:rsidR="00682FEB" w:rsidRPr="003C23F0">
        <w:t xml:space="preserve">ují. Střední vzdělávání s maturitní zkouškou lze však rozdělit ještě na odborné a všeobecné, neboli </w:t>
      </w:r>
      <w:r w:rsidR="00682FEB">
        <w:t xml:space="preserve">gymnázia. Zde lze konstatovat, že počet žáků v odborném vzdělávání s maturitní zkouškou se </w:t>
      </w:r>
      <w:r w:rsidR="003C23F0">
        <w:t xml:space="preserve">za posledních deset let </w:t>
      </w:r>
      <w:r w:rsidR="00682FEB">
        <w:t xml:space="preserve">snížil výrazněji (o </w:t>
      </w:r>
      <w:r w:rsidR="000C61DB">
        <w:t>9</w:t>
      </w:r>
      <w:r w:rsidR="00682FEB">
        <w:t xml:space="preserve"> %) </w:t>
      </w:r>
      <w:r w:rsidR="00682FEB" w:rsidRPr="00682FEB">
        <w:t>než počet žáků</w:t>
      </w:r>
      <w:r w:rsidR="00682FEB">
        <w:t xml:space="preserve"> g</w:t>
      </w:r>
      <w:r w:rsidR="000C61DB">
        <w:t>ymnázií (o 1</w:t>
      </w:r>
      <w:r>
        <w:t>,2 %) – viz graf 3.6</w:t>
      </w:r>
      <w:r w:rsidR="00682FEB">
        <w:t>.</w:t>
      </w:r>
    </w:p>
    <w:p w14:paraId="2298FA38" w14:textId="0EA84B32" w:rsidR="00682FEB" w:rsidRDefault="009E7EBC" w:rsidP="00682FEB">
      <w:pPr>
        <w:keepNext/>
        <w:keepLines/>
        <w:spacing w:after="120" w:line="240" w:lineRule="auto"/>
        <w:jc w:val="both"/>
        <w:rPr>
          <w:b/>
        </w:rPr>
      </w:pPr>
      <w:r>
        <w:rPr>
          <w:b/>
        </w:rPr>
        <w:t>Graf 3.6</w:t>
      </w:r>
      <w:r w:rsidR="00682FEB">
        <w:rPr>
          <w:b/>
        </w:rPr>
        <w:t xml:space="preserve"> Střední školy</w:t>
      </w:r>
      <w:r w:rsidR="00682FEB" w:rsidRPr="00C3589B">
        <w:t xml:space="preserve"> </w:t>
      </w:r>
      <w:r w:rsidR="00682FEB" w:rsidRPr="00617510">
        <w:rPr>
          <w:b/>
        </w:rPr>
        <w:t>– vývoj počtu žáků v</w:t>
      </w:r>
      <w:r w:rsidR="00682FEB">
        <w:rPr>
          <w:b/>
        </w:rPr>
        <w:t> oborech vzdělávání s maturitou</w:t>
      </w:r>
      <w:r w:rsidR="00682FEB" w:rsidRPr="00617510">
        <w:rPr>
          <w:b/>
        </w:rPr>
        <w:t xml:space="preserve"> </w:t>
      </w:r>
      <w:r w:rsidR="000C61DB">
        <w:rPr>
          <w:b/>
        </w:rPr>
        <w:t>(2011/12 – 2021/22</w:t>
      </w:r>
      <w:r w:rsidR="00682FEB">
        <w:rPr>
          <w:b/>
        </w:rPr>
        <w:t>)</w:t>
      </w:r>
    </w:p>
    <w:p w14:paraId="6CCA45E6" w14:textId="203928B9" w:rsidR="00682FEB" w:rsidRPr="000C61DB" w:rsidRDefault="000C61DB" w:rsidP="000C61DB">
      <w:pPr>
        <w:keepNext/>
        <w:keepLines/>
        <w:spacing w:after="120" w:line="240" w:lineRule="auto"/>
        <w:jc w:val="both"/>
        <w:rPr>
          <w:b/>
        </w:rPr>
      </w:pPr>
      <w:r>
        <w:rPr>
          <w:noProof/>
        </w:rPr>
        <w:drawing>
          <wp:inline distT="0" distB="0" distL="0" distR="0" wp14:anchorId="7A36C287" wp14:editId="41F65797">
            <wp:extent cx="6120130" cy="2514600"/>
            <wp:effectExtent l="0" t="0" r="13970" b="0"/>
            <wp:docPr id="67" name="Graf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533687C9" w14:textId="77777777" w:rsidR="00682FEB" w:rsidRPr="00B410D9" w:rsidRDefault="00682FEB" w:rsidP="00EC53A0">
      <w:pPr>
        <w:spacing w:line="276" w:lineRule="auto"/>
        <w:jc w:val="right"/>
        <w:rPr>
          <w:rFonts w:asciiTheme="minorHAnsi" w:hAnsiTheme="minorHAnsi"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44684CFA" w14:textId="00B36DC6" w:rsidR="00FA7769" w:rsidRPr="004A5668" w:rsidRDefault="00FA7769" w:rsidP="00FA7769">
      <w:pPr>
        <w:spacing w:after="120"/>
        <w:jc w:val="both"/>
      </w:pPr>
      <w:r w:rsidRPr="003D6580">
        <w:t>V jiném pohledu lze konstatovat,</w:t>
      </w:r>
      <w:r w:rsidRPr="004A5668">
        <w:t xml:space="preserve"> že podíl žáků gymnázií ze všech žáků středních škol </w:t>
      </w:r>
      <w:r w:rsidR="006F4256">
        <w:t xml:space="preserve">v prvních </w:t>
      </w:r>
      <w:r w:rsidR="003D6580">
        <w:t>sedmi letech od školního roku 2011/12</w:t>
      </w:r>
      <w:r w:rsidRPr="004A5668">
        <w:t xml:space="preserve"> sto</w:t>
      </w:r>
      <w:r w:rsidR="00B92A24">
        <w:t>upal</w:t>
      </w:r>
      <w:r w:rsidR="006F4256">
        <w:t xml:space="preserve">, v posledních </w:t>
      </w:r>
      <w:r w:rsidR="003D6580">
        <w:t>třech</w:t>
      </w:r>
      <w:r w:rsidR="006F4256">
        <w:t xml:space="preserve"> školních rocích pak mírně poklesl</w:t>
      </w:r>
      <w:r w:rsidR="00B92A24">
        <w:t>. Jak je patrné z grafu 3</w:t>
      </w:r>
      <w:r w:rsidR="009E7EBC">
        <w:t>.7</w:t>
      </w:r>
      <w:r w:rsidRPr="004A5668">
        <w:t xml:space="preserve">, za deset let se </w:t>
      </w:r>
      <w:r w:rsidR="006F4256">
        <w:t>celkově zvýšil z 26</w:t>
      </w:r>
      <w:r w:rsidR="00F62818">
        <w:t>,9</w:t>
      </w:r>
      <w:r w:rsidR="006F4256">
        <w:t xml:space="preserve"> % na </w:t>
      </w:r>
      <w:r w:rsidR="003D6580">
        <w:t>29,9</w:t>
      </w:r>
      <w:r w:rsidRPr="004A5668">
        <w:t xml:space="preserve"> %. Mezi chlapci - středoškoláky byl </w:t>
      </w:r>
      <w:r w:rsidR="006F4256">
        <w:t xml:space="preserve">přitom </w:t>
      </w:r>
      <w:r w:rsidRPr="004A5668">
        <w:t>podíl žáků gymnázií o</w:t>
      </w:r>
      <w:r w:rsidR="006F4256">
        <w:t xml:space="preserve"> cca</w:t>
      </w:r>
      <w:r w:rsidR="00D55479">
        <w:t> 10 procentních bodů</w:t>
      </w:r>
      <w:r w:rsidRPr="004A5668">
        <w:t xml:space="preserve"> nižší, než jak tomu bylo mezi dívkami. Všechny tři kategorie však vykazují stej</w:t>
      </w:r>
      <w:r w:rsidR="00B92A24">
        <w:t>ný rostoucí trend</w:t>
      </w:r>
      <w:r w:rsidR="006F4256">
        <w:t xml:space="preserve"> </w:t>
      </w:r>
      <w:r w:rsidR="003D6580">
        <w:t xml:space="preserve">v prvních sedmi letech poslední dekády </w:t>
      </w:r>
      <w:r w:rsidR="006F4256">
        <w:t>s m</w:t>
      </w:r>
      <w:r w:rsidR="003D6580">
        <w:t>írným poklesem v posledních třech</w:t>
      </w:r>
      <w:r w:rsidR="006F4256">
        <w:t xml:space="preserve"> školních rocích</w:t>
      </w:r>
      <w:r w:rsidRPr="004A5668">
        <w:t>.</w:t>
      </w:r>
      <w:r w:rsidR="0076747E">
        <w:t xml:space="preserve"> Ve srovnání s grafem 3.1 výše lze konstatovat, že podíl žáků v gymnáziích rostl v době, kdy celkový počet žáků na středních školách klesal, a naopak klesal v době, kdy celkový počet žáků na středních školách rostl. </w:t>
      </w:r>
      <w:r w:rsidR="0076747E" w:rsidRPr="006A5807">
        <w:t xml:space="preserve">Zdá se tedy, že se kapacita gymnázií v čase příliš nemění a </w:t>
      </w:r>
      <w:r w:rsidR="004A1095" w:rsidRPr="006A5807">
        <w:t xml:space="preserve">dostatečně </w:t>
      </w:r>
      <w:r w:rsidR="0076747E" w:rsidRPr="006A5807">
        <w:t>nereflektuje růst či pokles žáků ve věku středoškolské docházky</w:t>
      </w:r>
      <w:r w:rsidR="0076747E">
        <w:t xml:space="preserve">.  </w:t>
      </w:r>
    </w:p>
    <w:p w14:paraId="705DDED5" w14:textId="23B61306" w:rsidR="00FA7769" w:rsidRDefault="009E7EBC" w:rsidP="00FA7769">
      <w:pPr>
        <w:keepNext/>
        <w:spacing w:after="120" w:line="240" w:lineRule="auto"/>
        <w:jc w:val="both"/>
        <w:rPr>
          <w:b/>
        </w:rPr>
      </w:pPr>
      <w:r w:rsidRPr="003D6580">
        <w:rPr>
          <w:b/>
        </w:rPr>
        <w:t>Graf 3.7</w:t>
      </w:r>
      <w:r w:rsidR="00FA7769" w:rsidRPr="003D6580">
        <w:rPr>
          <w:b/>
        </w:rPr>
        <w:t xml:space="preserve"> Střední školy – podíl žáků</w:t>
      </w:r>
      <w:r w:rsidR="00FA7769" w:rsidRPr="00060888">
        <w:rPr>
          <w:b/>
        </w:rPr>
        <w:t xml:space="preserve"> gymnázií ze všech žáků středních škol</w:t>
      </w:r>
      <w:r w:rsidR="00FA7769">
        <w:rPr>
          <w:b/>
        </w:rPr>
        <w:t xml:space="preserve"> celkem a dle pohlaví</w:t>
      </w:r>
      <w:r w:rsidR="003D6580">
        <w:rPr>
          <w:b/>
        </w:rPr>
        <w:t xml:space="preserve"> (2011/12 – 2021/22</w:t>
      </w:r>
      <w:r w:rsidR="00FA7769" w:rsidRPr="00060888">
        <w:rPr>
          <w:b/>
        </w:rPr>
        <w:t>)</w:t>
      </w:r>
    </w:p>
    <w:p w14:paraId="21D1D76E" w14:textId="6E464C31" w:rsidR="006F4256" w:rsidRDefault="003D6580" w:rsidP="00FA7769">
      <w:pPr>
        <w:keepNext/>
        <w:spacing w:after="120" w:line="240" w:lineRule="auto"/>
        <w:jc w:val="both"/>
        <w:rPr>
          <w:b/>
        </w:rPr>
      </w:pPr>
      <w:r>
        <w:rPr>
          <w:noProof/>
        </w:rPr>
        <w:drawing>
          <wp:inline distT="0" distB="0" distL="0" distR="0" wp14:anchorId="4B48ADD0" wp14:editId="45B8DA11">
            <wp:extent cx="5762625" cy="2752725"/>
            <wp:effectExtent l="0" t="0" r="9525" b="9525"/>
            <wp:docPr id="68" name="Graf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54B92195" w14:textId="13CFE1F5" w:rsidR="0076747E" w:rsidRPr="0076747E" w:rsidRDefault="006F4256" w:rsidP="0076747E">
      <w:pPr>
        <w:spacing w:line="276" w:lineRule="auto"/>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7AD54A6F" w14:textId="6394D3F9" w:rsidR="00FA7769" w:rsidRDefault="009D6447" w:rsidP="00FA7769">
      <w:pPr>
        <w:spacing w:after="120"/>
        <w:jc w:val="both"/>
      </w:pPr>
      <w:r w:rsidRPr="004A1095">
        <w:lastRenderedPageBreak/>
        <w:t>P</w:t>
      </w:r>
      <w:r w:rsidR="00FA7769" w:rsidRPr="004A1095">
        <w:t>odíl žáků v odborném vzdělávání s výučním l</w:t>
      </w:r>
      <w:r w:rsidR="004A1095" w:rsidRPr="004A1095">
        <w:t>istem se mezi školními roky 2011/12 a 2021/22</w:t>
      </w:r>
      <w:r w:rsidR="00FA7769" w:rsidRPr="004A5668">
        <w:t xml:space="preserve"> držel na cca pětinové úrovni </w:t>
      </w:r>
      <w:r w:rsidR="004A1095">
        <w:t xml:space="preserve">(tj. mezi 20,4 % a 21,8 %) </w:t>
      </w:r>
      <w:r w:rsidR="00FA7769" w:rsidRPr="004A5668">
        <w:t xml:space="preserve">a bez větších výkyvů </w:t>
      </w:r>
      <w:r w:rsidR="003C23F0">
        <w:t>byl</w:t>
      </w:r>
      <w:r w:rsidR="00FA7769" w:rsidRPr="004A5668">
        <w:t xml:space="preserve"> v čase též podíl žáků odborného vzdělávání s maturitní zkouškou (</w:t>
      </w:r>
      <w:r w:rsidR="004A1095">
        <w:t>pohyboval se v rozmezí od 43,2 % do 45,7 %</w:t>
      </w:r>
      <w:r w:rsidR="00FA7769" w:rsidRPr="004A5668">
        <w:t>). Podíl žáků nástavbového studia však postupně klesal, a sice z</w:t>
      </w:r>
      <w:r>
        <w:t> </w:t>
      </w:r>
      <w:r w:rsidR="00FA7769" w:rsidRPr="004A5668">
        <w:t>8</w:t>
      </w:r>
      <w:r>
        <w:t>,1 % ve školním roce 2010/11 na 3,1 % ve školním roce 2020/21</w:t>
      </w:r>
      <w:r w:rsidR="004A1095">
        <w:t>, do školního roku 2021/22 se pak mírně zvýšil na 3,4 %</w:t>
      </w:r>
      <w:r w:rsidR="00FA7769" w:rsidRPr="004A5668">
        <w:t>. Nakonec podíl žáků ve vzdělávání zakončeném pouze vysvědčením bez získání výučního listu či maturitní zkoušky mírně stoupal</w:t>
      </w:r>
      <w:r>
        <w:t xml:space="preserve">, pouze v posledních </w:t>
      </w:r>
      <w:r w:rsidR="00361C42">
        <w:t>třech</w:t>
      </w:r>
      <w:r>
        <w:t xml:space="preserve"> školních rocích nepatrně poklesl. C</w:t>
      </w:r>
      <w:r w:rsidR="00FA7769" w:rsidRPr="004A5668">
        <w:t>elkově se za sledované období zvýšil</w:t>
      </w:r>
      <w:r>
        <w:t xml:space="preserve"> z 0,40</w:t>
      </w:r>
      <w:r w:rsidR="002709AC">
        <w:t xml:space="preserve"> % na 0,6</w:t>
      </w:r>
      <w:r>
        <w:t>3</w:t>
      </w:r>
      <w:r w:rsidR="0066204E">
        <w:t xml:space="preserve"> %</w:t>
      </w:r>
      <w:r w:rsidR="002709AC">
        <w:t>.</w:t>
      </w:r>
    </w:p>
    <w:p w14:paraId="3A336DD3" w14:textId="6420104C" w:rsidR="0066204E" w:rsidRDefault="0066204E" w:rsidP="00FA7769">
      <w:pPr>
        <w:spacing w:after="120"/>
        <w:jc w:val="both"/>
      </w:pPr>
      <w:r w:rsidRPr="002A411C">
        <w:t>Srovnáme-li</w:t>
      </w:r>
      <w:r>
        <w:t xml:space="preserve"> situaci ve školním roce 2021/22</w:t>
      </w:r>
      <w:r w:rsidRPr="002A411C">
        <w:t xml:space="preserve"> v jednotlivých krajích, pak lze konstatovat, že nejvyšší podíl žáků</w:t>
      </w:r>
      <w:r w:rsidRPr="004A5668">
        <w:t xml:space="preserve"> ve středním vzdělávání bez maturitní zkouš</w:t>
      </w:r>
      <w:r>
        <w:t>ky (tj. max. s výučním listem) zaznamenal kraj Ústecký (26,9 %) a Karlovarský (26</w:t>
      </w:r>
      <w:r w:rsidRPr="004A5668">
        <w:t> %). Naopak v Praz</w:t>
      </w:r>
      <w:r>
        <w:t>e byl tento podíl nejnižší (13,1</w:t>
      </w:r>
      <w:r w:rsidRPr="004A5668">
        <w:t> %). V Praze byl mezi středoškoláky naopak ze všech krajů ne</w:t>
      </w:r>
      <w:r>
        <w:t>jvyšší podíl žáků gymnázií (37,1</w:t>
      </w:r>
      <w:r w:rsidRPr="004A5668">
        <w:t> %) a nadprůměrný</w:t>
      </w:r>
      <w:r>
        <w:t xml:space="preserve"> byl i v Jihomoravském kraji (33,4 %) a kraji Středočeském (30,9</w:t>
      </w:r>
      <w:r w:rsidRPr="004A5668">
        <w:t xml:space="preserve"> %). Nejnižší podíl žáků gymnázií zaznamenal </w:t>
      </w:r>
      <w:r>
        <w:t>kraj Ústecký (24,2</w:t>
      </w:r>
      <w:r w:rsidRPr="004A5668">
        <w:t> %) a Lib</w:t>
      </w:r>
      <w:r>
        <w:t>erecký (24,3 %). Doplňme, že srovnání je činěno dle sídla školy a nikoliv dle bydliště studentů. Např. v Praze se vzdělává též spousta žáků s trvalým pobytem ve Středočeském kraji.</w:t>
      </w:r>
    </w:p>
    <w:p w14:paraId="3630618B" w14:textId="2A5E34FB" w:rsidR="0066204E" w:rsidRPr="004A5668" w:rsidRDefault="0066204E" w:rsidP="00FA7769">
      <w:pPr>
        <w:spacing w:after="120"/>
        <w:jc w:val="both"/>
      </w:pPr>
      <w:r>
        <w:t>Více viz grafy 3.8 a 3.9 níže.</w:t>
      </w:r>
    </w:p>
    <w:p w14:paraId="63957431" w14:textId="6A00C821" w:rsidR="00FA7769" w:rsidRDefault="009E7EBC" w:rsidP="002709AC">
      <w:pPr>
        <w:keepNext/>
        <w:spacing w:after="120" w:line="240" w:lineRule="auto"/>
        <w:jc w:val="both"/>
        <w:rPr>
          <w:b/>
        </w:rPr>
      </w:pPr>
      <w:r>
        <w:rPr>
          <w:b/>
        </w:rPr>
        <w:t>Graf 3.8</w:t>
      </w:r>
      <w:r w:rsidR="00FA7769" w:rsidRPr="0003252D">
        <w:rPr>
          <w:b/>
        </w:rPr>
        <w:t xml:space="preserve"> Střední školy – podíl žáků středních škol v jedno</w:t>
      </w:r>
      <w:r w:rsidR="004A1095">
        <w:rPr>
          <w:b/>
        </w:rPr>
        <w:t>tlivých druzích vzdělávání (2011/12 – 2021/22</w:t>
      </w:r>
      <w:r w:rsidR="00FA7769" w:rsidRPr="0003252D">
        <w:rPr>
          <w:b/>
        </w:rPr>
        <w:t>)</w:t>
      </w:r>
    </w:p>
    <w:p w14:paraId="77975CFB" w14:textId="1FED7659" w:rsidR="00FA7769" w:rsidRDefault="004A1095" w:rsidP="00550EA0">
      <w:pPr>
        <w:keepNext/>
        <w:spacing w:after="120" w:line="240" w:lineRule="auto"/>
        <w:jc w:val="both"/>
        <w:rPr>
          <w:b/>
        </w:rPr>
      </w:pPr>
      <w:r>
        <w:rPr>
          <w:noProof/>
        </w:rPr>
        <w:drawing>
          <wp:inline distT="0" distB="0" distL="0" distR="0" wp14:anchorId="0E888B07" wp14:editId="2A8BCAC0">
            <wp:extent cx="6200775" cy="4610100"/>
            <wp:effectExtent l="0" t="0" r="9525" b="0"/>
            <wp:docPr id="35" name="Graf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04D6F994" w14:textId="77777777" w:rsidR="00FA7769" w:rsidRPr="002A411C" w:rsidRDefault="00FA7769" w:rsidP="00566C30">
      <w:pPr>
        <w:spacing w:after="120" w:line="276" w:lineRule="auto"/>
        <w:jc w:val="right"/>
        <w:rPr>
          <w:rFonts w:asciiTheme="minorHAnsi" w:hAnsiTheme="minorHAnsi" w:cs="Arial"/>
          <w:sz w:val="18"/>
        </w:rPr>
      </w:pPr>
      <w:r w:rsidRPr="002A411C">
        <w:rPr>
          <w:rFonts w:cs="Arial"/>
          <w:sz w:val="18"/>
        </w:rPr>
        <w:t>Zdroj: ČSÚ</w:t>
      </w:r>
      <w:r w:rsidRPr="002A411C">
        <w:rPr>
          <w:rFonts w:cs="Arial"/>
          <w:noProof/>
        </w:rPr>
        <w:t xml:space="preserve"> </w:t>
      </w:r>
      <w:r w:rsidRPr="002A411C">
        <w:rPr>
          <w:rFonts w:cs="Arial"/>
          <w:sz w:val="18"/>
        </w:rPr>
        <w:t>podle údajů MŠMT</w:t>
      </w:r>
    </w:p>
    <w:p w14:paraId="706CBBAC" w14:textId="2BE7D31C" w:rsidR="00FA7769" w:rsidRDefault="004E0A54" w:rsidP="00FA7769">
      <w:pPr>
        <w:keepNext/>
        <w:spacing w:after="120" w:line="240" w:lineRule="auto"/>
        <w:jc w:val="both"/>
        <w:rPr>
          <w:b/>
        </w:rPr>
      </w:pPr>
      <w:r>
        <w:rPr>
          <w:b/>
        </w:rPr>
        <w:lastRenderedPageBreak/>
        <w:t>Graf 3.9</w:t>
      </w:r>
      <w:r w:rsidR="00FA7769">
        <w:rPr>
          <w:b/>
        </w:rPr>
        <w:t xml:space="preserve"> Střední školy</w:t>
      </w:r>
      <w:r w:rsidR="00FA7769" w:rsidRPr="00C3589B">
        <w:t xml:space="preserve"> </w:t>
      </w:r>
      <w:r w:rsidR="00FA7769" w:rsidRPr="0029569A">
        <w:rPr>
          <w:b/>
        </w:rPr>
        <w:t>– podíl žáků různého druhu vzdělává</w:t>
      </w:r>
      <w:r w:rsidR="00857B9B">
        <w:rPr>
          <w:b/>
        </w:rPr>
        <w:t xml:space="preserve">ní </w:t>
      </w:r>
      <w:r w:rsidR="00EF467D">
        <w:rPr>
          <w:b/>
        </w:rPr>
        <w:t xml:space="preserve">v ČR </w:t>
      </w:r>
      <w:r w:rsidR="00857B9B">
        <w:rPr>
          <w:b/>
        </w:rPr>
        <w:t xml:space="preserve">celkem a dle </w:t>
      </w:r>
      <w:r w:rsidR="00EF467D">
        <w:rPr>
          <w:b/>
        </w:rPr>
        <w:t>kraje, ve kterém školy sídlí</w:t>
      </w:r>
      <w:r w:rsidR="00F52DDE">
        <w:rPr>
          <w:b/>
        </w:rPr>
        <w:t xml:space="preserve"> (2021/22</w:t>
      </w:r>
      <w:r w:rsidR="00FA7769" w:rsidRPr="0029569A">
        <w:rPr>
          <w:b/>
        </w:rPr>
        <w:t>)</w:t>
      </w:r>
    </w:p>
    <w:p w14:paraId="1668A7C1" w14:textId="2AC3676E" w:rsidR="00FA7769" w:rsidRPr="0029569A" w:rsidRDefault="00F52DDE" w:rsidP="00FA7769">
      <w:pPr>
        <w:keepNext/>
        <w:spacing w:after="120" w:line="240" w:lineRule="auto"/>
        <w:jc w:val="both"/>
        <w:rPr>
          <w:b/>
        </w:rPr>
      </w:pPr>
      <w:r>
        <w:rPr>
          <w:noProof/>
        </w:rPr>
        <w:drawing>
          <wp:inline distT="0" distB="0" distL="0" distR="0" wp14:anchorId="16AD2BEC" wp14:editId="5F4E813D">
            <wp:extent cx="6076950" cy="3752850"/>
            <wp:effectExtent l="0" t="0" r="0" b="0"/>
            <wp:docPr id="40" name="Graf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7F84ABD" w14:textId="77777777" w:rsidR="00FA7769" w:rsidRPr="00B410D9" w:rsidRDefault="00FA7769" w:rsidP="00566C30">
      <w:pPr>
        <w:spacing w:after="120" w:line="276" w:lineRule="auto"/>
        <w:jc w:val="right"/>
        <w:rPr>
          <w:rFonts w:asciiTheme="minorHAnsi" w:hAnsiTheme="minorHAnsi" w:cs="Arial"/>
          <w:sz w:val="18"/>
          <w:szCs w:val="22"/>
        </w:rPr>
      </w:pPr>
      <w:r w:rsidRPr="00F94849">
        <w:rPr>
          <w:rFonts w:cs="Arial"/>
          <w:sz w:val="18"/>
        </w:rPr>
        <w:t>Zdroj: ČSÚ</w:t>
      </w:r>
      <w:r w:rsidRPr="00F94849">
        <w:rPr>
          <w:rFonts w:cs="Arial"/>
          <w:noProof/>
        </w:rPr>
        <w:t xml:space="preserve"> </w:t>
      </w:r>
      <w:r w:rsidRPr="00307699">
        <w:rPr>
          <w:rFonts w:cs="Arial"/>
          <w:sz w:val="18"/>
        </w:rPr>
        <w:t>podle údajů MŠMT</w:t>
      </w:r>
    </w:p>
    <w:p w14:paraId="20DD89F4" w14:textId="25E1FF0E" w:rsidR="009E3798" w:rsidRDefault="00B22B13" w:rsidP="00FA7769">
      <w:pPr>
        <w:spacing w:after="120"/>
        <w:jc w:val="both"/>
        <w:rPr>
          <w:rFonts w:cs="Arial"/>
          <w:szCs w:val="20"/>
        </w:rPr>
      </w:pPr>
      <w:r>
        <w:rPr>
          <w:rFonts w:cs="Arial"/>
          <w:szCs w:val="20"/>
        </w:rPr>
        <w:t xml:space="preserve">Jak bylo uvedeno v úvodu této kapitoly, gymnázia je možné studovat v rámci osmiletého, šestiletého či čtyřletého programu. </w:t>
      </w:r>
      <w:r w:rsidR="002425D9">
        <w:rPr>
          <w:rFonts w:cs="Arial"/>
          <w:szCs w:val="20"/>
        </w:rPr>
        <w:t>Pokud odhlédneme od žáků plnících si na gymnáziích povinnou</w:t>
      </w:r>
      <w:r w:rsidR="004674B4">
        <w:rPr>
          <w:rFonts w:cs="Arial"/>
          <w:szCs w:val="20"/>
        </w:rPr>
        <w:t xml:space="preserve"> školní docházku, pak </w:t>
      </w:r>
      <w:r w:rsidR="00DC2C40">
        <w:rPr>
          <w:rFonts w:cs="Arial"/>
          <w:szCs w:val="20"/>
        </w:rPr>
        <w:t xml:space="preserve">ze žáků </w:t>
      </w:r>
      <w:r w:rsidR="004674B4">
        <w:rPr>
          <w:rFonts w:cs="Arial"/>
          <w:szCs w:val="20"/>
        </w:rPr>
        <w:t>ve vyšším</w:t>
      </w:r>
      <w:r w:rsidR="002425D9">
        <w:rPr>
          <w:rFonts w:cs="Arial"/>
          <w:szCs w:val="20"/>
        </w:rPr>
        <w:t xml:space="preserve"> </w:t>
      </w:r>
      <w:r w:rsidR="004674B4">
        <w:rPr>
          <w:rFonts w:cs="Arial"/>
          <w:szCs w:val="20"/>
        </w:rPr>
        <w:t>stupni gymnázia</w:t>
      </w:r>
      <w:r w:rsidR="002425D9">
        <w:rPr>
          <w:rFonts w:cs="Arial"/>
          <w:szCs w:val="20"/>
        </w:rPr>
        <w:t xml:space="preserve"> (tj. </w:t>
      </w:r>
      <w:r w:rsidR="004674B4">
        <w:rPr>
          <w:rFonts w:cs="Arial"/>
          <w:szCs w:val="20"/>
        </w:rPr>
        <w:t xml:space="preserve">ve </w:t>
      </w:r>
      <w:r w:rsidR="002425D9">
        <w:rPr>
          <w:rFonts w:cs="Arial"/>
          <w:szCs w:val="20"/>
        </w:rPr>
        <w:t xml:space="preserve">čtyřech </w:t>
      </w:r>
      <w:r w:rsidR="004674B4">
        <w:rPr>
          <w:rFonts w:cs="Arial"/>
          <w:szCs w:val="20"/>
        </w:rPr>
        <w:t xml:space="preserve">ročnících </w:t>
      </w:r>
      <w:r w:rsidR="002425D9">
        <w:rPr>
          <w:rFonts w:cs="Arial"/>
          <w:szCs w:val="20"/>
        </w:rPr>
        <w:t>před složením maturitní zk</w:t>
      </w:r>
      <w:r w:rsidR="00DC2C40">
        <w:rPr>
          <w:rFonts w:cs="Arial"/>
          <w:szCs w:val="20"/>
        </w:rPr>
        <w:t>oušky) bylo ve školním roce 2021/22 celkem 55</w:t>
      </w:r>
      <w:r w:rsidR="002425D9">
        <w:rPr>
          <w:rFonts w:cs="Arial"/>
          <w:szCs w:val="20"/>
        </w:rPr>
        <w:t xml:space="preserve"> % zapsáno ve čtyřletém gymnáziu, 9,6 % v šestiletém a 35,7 % v osmiletém. Jak je dále z grafu 3.10 zřejmé, podíl žáků, kteří navštěvují víceletá gymnázia, </w:t>
      </w:r>
      <w:r w:rsidR="004674B4">
        <w:rPr>
          <w:rFonts w:cs="Arial"/>
          <w:szCs w:val="20"/>
        </w:rPr>
        <w:t xml:space="preserve">ze všech žáků vyššího stupně gymnázia (tj. včetně čtyřletého), </w:t>
      </w:r>
      <w:r w:rsidR="002425D9">
        <w:rPr>
          <w:rFonts w:cs="Arial"/>
          <w:szCs w:val="20"/>
        </w:rPr>
        <w:t xml:space="preserve">se v čase příliš nemění. </w:t>
      </w:r>
    </w:p>
    <w:p w14:paraId="1B7BF458" w14:textId="545CC5AE" w:rsidR="00B22B13" w:rsidRDefault="004E0A54" w:rsidP="009411BF">
      <w:pPr>
        <w:keepNext/>
        <w:spacing w:after="120" w:line="240" w:lineRule="auto"/>
        <w:jc w:val="both"/>
        <w:rPr>
          <w:b/>
        </w:rPr>
      </w:pPr>
      <w:r>
        <w:rPr>
          <w:b/>
        </w:rPr>
        <w:t>Graf 3.10</w:t>
      </w:r>
      <w:r w:rsidR="009411BF">
        <w:rPr>
          <w:b/>
        </w:rPr>
        <w:t xml:space="preserve"> Gymnázia</w:t>
      </w:r>
      <w:r w:rsidR="009411BF" w:rsidRPr="00C3589B">
        <w:t xml:space="preserve"> </w:t>
      </w:r>
      <w:r w:rsidR="009411BF" w:rsidRPr="0029569A">
        <w:rPr>
          <w:b/>
        </w:rPr>
        <w:t>–</w:t>
      </w:r>
      <w:r w:rsidR="00F07BDE">
        <w:rPr>
          <w:b/>
        </w:rPr>
        <w:t xml:space="preserve"> rozložení </w:t>
      </w:r>
      <w:r w:rsidR="009411BF" w:rsidRPr="0029569A">
        <w:rPr>
          <w:b/>
        </w:rPr>
        <w:t xml:space="preserve">žáků </w:t>
      </w:r>
      <w:r w:rsidR="004674B4">
        <w:rPr>
          <w:b/>
        </w:rPr>
        <w:t>vyššího stupně gymnázia</w:t>
      </w:r>
      <w:r w:rsidR="00F07BDE">
        <w:rPr>
          <w:b/>
        </w:rPr>
        <w:t xml:space="preserve"> dle oboru </w:t>
      </w:r>
      <w:r w:rsidR="00D37886">
        <w:rPr>
          <w:b/>
        </w:rPr>
        <w:t>(2021/22</w:t>
      </w:r>
      <w:r w:rsidR="009411BF" w:rsidRPr="0029569A">
        <w:rPr>
          <w:b/>
        </w:rPr>
        <w:t>)</w:t>
      </w:r>
    </w:p>
    <w:p w14:paraId="3523C9CE" w14:textId="56F8FBA5" w:rsidR="00F07BDE" w:rsidRPr="009411BF" w:rsidRDefault="00DC2C40" w:rsidP="009411BF">
      <w:pPr>
        <w:keepNext/>
        <w:spacing w:after="120" w:line="240" w:lineRule="auto"/>
        <w:jc w:val="both"/>
        <w:rPr>
          <w:b/>
        </w:rPr>
      </w:pPr>
      <w:r>
        <w:rPr>
          <w:noProof/>
        </w:rPr>
        <w:drawing>
          <wp:inline distT="0" distB="0" distL="0" distR="0" wp14:anchorId="069A7C22" wp14:editId="1C5857E4">
            <wp:extent cx="6086475" cy="2790825"/>
            <wp:effectExtent l="0" t="0" r="9525" b="9525"/>
            <wp:docPr id="47" name="Graf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172D64DC" w14:textId="781A984F" w:rsidR="009E3798" w:rsidRPr="00B22B13" w:rsidRDefault="00B22B13" w:rsidP="00566C30">
      <w:pPr>
        <w:spacing w:after="120" w:line="276" w:lineRule="auto"/>
        <w:jc w:val="right"/>
        <w:rPr>
          <w:rFonts w:asciiTheme="minorHAnsi" w:hAnsiTheme="minorHAnsi" w:cs="Arial"/>
          <w:sz w:val="18"/>
          <w:szCs w:val="22"/>
        </w:rPr>
      </w:pPr>
      <w:r w:rsidRPr="00F94849">
        <w:rPr>
          <w:rFonts w:cs="Arial"/>
          <w:sz w:val="18"/>
        </w:rPr>
        <w:t>Zdroj: ČSÚ</w:t>
      </w:r>
      <w:r w:rsidRPr="00F94849">
        <w:rPr>
          <w:rFonts w:cs="Arial"/>
          <w:noProof/>
        </w:rPr>
        <w:t xml:space="preserve"> </w:t>
      </w:r>
      <w:r w:rsidRPr="00307699">
        <w:rPr>
          <w:rFonts w:cs="Arial"/>
          <w:sz w:val="18"/>
        </w:rPr>
        <w:t>podle údajů MŠMT</w:t>
      </w:r>
    </w:p>
    <w:p w14:paraId="380FA5B4" w14:textId="12CC4154" w:rsidR="008D4C38" w:rsidRDefault="008D4C38" w:rsidP="00FA7769">
      <w:pPr>
        <w:spacing w:after="120"/>
        <w:jc w:val="both"/>
        <w:rPr>
          <w:rFonts w:cs="Arial"/>
          <w:szCs w:val="20"/>
        </w:rPr>
      </w:pPr>
      <w:r w:rsidRPr="00BA3BF9">
        <w:rPr>
          <w:rFonts w:cs="Arial"/>
          <w:szCs w:val="20"/>
        </w:rPr>
        <w:lastRenderedPageBreak/>
        <w:t>Mezi žáky v nižších ročnících víceletých gymnázií</w:t>
      </w:r>
      <w:r>
        <w:rPr>
          <w:rFonts w:cs="Arial"/>
          <w:szCs w:val="20"/>
        </w:rPr>
        <w:t xml:space="preserve"> spadajících do povinné školní do</w:t>
      </w:r>
      <w:r w:rsidR="00BA3BF9">
        <w:rPr>
          <w:rFonts w:cs="Arial"/>
          <w:szCs w:val="20"/>
        </w:rPr>
        <w:t>cházky bylo ve školním roce 2021/22 přitom 52,9</w:t>
      </w:r>
      <w:r>
        <w:rPr>
          <w:rFonts w:cs="Arial"/>
          <w:szCs w:val="20"/>
        </w:rPr>
        <w:t> % dívek</w:t>
      </w:r>
      <w:r w:rsidR="00CD43FB">
        <w:rPr>
          <w:rFonts w:cs="Arial"/>
          <w:szCs w:val="20"/>
        </w:rPr>
        <w:t>. G</w:t>
      </w:r>
      <w:r>
        <w:rPr>
          <w:rFonts w:cs="Arial"/>
          <w:szCs w:val="20"/>
        </w:rPr>
        <w:t xml:space="preserve">enderové složení bylo </w:t>
      </w:r>
      <w:r w:rsidR="00CD43FB">
        <w:rPr>
          <w:rFonts w:cs="Arial"/>
          <w:szCs w:val="20"/>
        </w:rPr>
        <w:t xml:space="preserve">tedy </w:t>
      </w:r>
      <w:r>
        <w:rPr>
          <w:rFonts w:cs="Arial"/>
          <w:szCs w:val="20"/>
        </w:rPr>
        <w:t xml:space="preserve">poměrně vyrovnané. Ve </w:t>
      </w:r>
      <w:r w:rsidR="004674B4">
        <w:rPr>
          <w:rFonts w:cs="Arial"/>
          <w:szCs w:val="20"/>
        </w:rPr>
        <w:t xml:space="preserve">vyšším stupni gymnázia </w:t>
      </w:r>
      <w:r>
        <w:rPr>
          <w:rFonts w:cs="Arial"/>
          <w:szCs w:val="20"/>
        </w:rPr>
        <w:t xml:space="preserve"> však již dívky </w:t>
      </w:r>
      <w:r w:rsidR="00BA3BF9">
        <w:rPr>
          <w:rFonts w:cs="Arial"/>
          <w:szCs w:val="20"/>
        </w:rPr>
        <w:t>tvořily tři pětiny z celku (58,6</w:t>
      </w:r>
      <w:r>
        <w:rPr>
          <w:rFonts w:cs="Arial"/>
          <w:szCs w:val="20"/>
        </w:rPr>
        <w:t> %).</w:t>
      </w:r>
      <w:r w:rsidR="004674B4">
        <w:rPr>
          <w:rFonts w:cs="Arial"/>
          <w:szCs w:val="20"/>
        </w:rPr>
        <w:t xml:space="preserve"> </w:t>
      </w:r>
      <w:r w:rsidR="009204F9">
        <w:rPr>
          <w:rFonts w:cs="Arial"/>
          <w:szCs w:val="20"/>
        </w:rPr>
        <w:t xml:space="preserve">Po ukončení povinné školní docházky </w:t>
      </w:r>
      <w:r w:rsidR="005E5D8D">
        <w:rPr>
          <w:rFonts w:cs="Arial"/>
          <w:szCs w:val="20"/>
        </w:rPr>
        <w:t xml:space="preserve">na základní škole </w:t>
      </w:r>
      <w:r w:rsidR="009204F9">
        <w:rPr>
          <w:rFonts w:cs="Arial"/>
          <w:szCs w:val="20"/>
        </w:rPr>
        <w:t>tak do</w:t>
      </w:r>
      <w:r w:rsidR="00F00C8B">
        <w:rPr>
          <w:rFonts w:cs="Arial"/>
          <w:szCs w:val="20"/>
        </w:rPr>
        <w:t xml:space="preserve"> gymnázií odcházejí ve vět</w:t>
      </w:r>
      <w:r w:rsidR="009204F9">
        <w:rPr>
          <w:rFonts w:cs="Arial"/>
          <w:szCs w:val="20"/>
        </w:rPr>
        <w:t xml:space="preserve">ší míře dívky než chlapci. </w:t>
      </w:r>
    </w:p>
    <w:p w14:paraId="688ED6A5" w14:textId="587408BF" w:rsidR="00E24A9E" w:rsidRPr="004B4219" w:rsidRDefault="00FA7769" w:rsidP="008D4C38">
      <w:pPr>
        <w:spacing w:after="120"/>
        <w:jc w:val="both"/>
        <w:rPr>
          <w:rFonts w:cs="Arial"/>
          <w:szCs w:val="20"/>
        </w:rPr>
      </w:pPr>
      <w:r w:rsidRPr="00A32242">
        <w:rPr>
          <w:rFonts w:cs="Arial"/>
          <w:szCs w:val="20"/>
        </w:rPr>
        <w:t>V rámci středního odborného vzdělávání s výučním listem,</w:t>
      </w:r>
      <w:r w:rsidRPr="004B4219">
        <w:rPr>
          <w:rFonts w:cs="Arial"/>
          <w:szCs w:val="20"/>
        </w:rPr>
        <w:t xml:space="preserve"> s maturitní zkouškou či nástavbového studia se mohou navíc žáci vzdělávat </w:t>
      </w:r>
      <w:r w:rsidRPr="004B4219">
        <w:rPr>
          <w:rFonts w:cs="Arial"/>
          <w:b/>
          <w:szCs w:val="20"/>
        </w:rPr>
        <w:t>v různých oborech</w:t>
      </w:r>
      <w:r w:rsidRPr="004B4219">
        <w:rPr>
          <w:rFonts w:cs="Arial"/>
          <w:szCs w:val="20"/>
        </w:rPr>
        <w:t>, které jsou pro účely statistik uspořádány do skupin dle Klasifikace kmenových oborů vzdělávání (KKOV)</w:t>
      </w:r>
      <w:r w:rsidRPr="004B4219">
        <w:rPr>
          <w:rStyle w:val="Znakapoznpodarou"/>
          <w:rFonts w:cs="Arial"/>
          <w:szCs w:val="20"/>
        </w:rPr>
        <w:footnoteReference w:id="36"/>
      </w:r>
      <w:r w:rsidRPr="004B4219">
        <w:rPr>
          <w:rFonts w:cs="Arial"/>
          <w:szCs w:val="20"/>
        </w:rPr>
        <w:t xml:space="preserve">. </w:t>
      </w:r>
      <w:r w:rsidR="004B4219" w:rsidRPr="004B4219">
        <w:rPr>
          <w:rFonts w:cs="Arial"/>
          <w:szCs w:val="20"/>
        </w:rPr>
        <w:t>V tabulkové části této pub</w:t>
      </w:r>
      <w:r w:rsidR="00807739">
        <w:rPr>
          <w:rFonts w:cs="Arial"/>
          <w:szCs w:val="20"/>
        </w:rPr>
        <w:t>likace jsou k dispozici údaje o </w:t>
      </w:r>
      <w:r w:rsidR="004B4219" w:rsidRPr="004B4219">
        <w:rPr>
          <w:rFonts w:cs="Arial"/>
          <w:szCs w:val="20"/>
        </w:rPr>
        <w:t>počtech žáků jednotlivých skupin oborů vzdě</w:t>
      </w:r>
      <w:r w:rsidR="00837B49">
        <w:rPr>
          <w:rFonts w:cs="Arial"/>
          <w:szCs w:val="20"/>
        </w:rPr>
        <w:t>lá</w:t>
      </w:r>
      <w:r w:rsidR="00A32242">
        <w:rPr>
          <w:rFonts w:cs="Arial"/>
          <w:szCs w:val="20"/>
        </w:rPr>
        <w:t>vání v desetileté časové řadě, tedy od školního roku 2011/12</w:t>
      </w:r>
      <w:r w:rsidR="004B4219" w:rsidRPr="004B4219">
        <w:rPr>
          <w:rFonts w:cs="Arial"/>
          <w:szCs w:val="20"/>
        </w:rPr>
        <w:t>. Pro nástin vývoje jsme však zvolili porovnání se stavem před pěti let</w:t>
      </w:r>
      <w:r w:rsidR="00CD43FB">
        <w:rPr>
          <w:rFonts w:cs="Arial"/>
          <w:szCs w:val="20"/>
        </w:rPr>
        <w:t>y</w:t>
      </w:r>
      <w:r w:rsidR="00A32242">
        <w:rPr>
          <w:rFonts w:cs="Arial"/>
          <w:szCs w:val="20"/>
        </w:rPr>
        <w:t>, nikoliv před deseti</w:t>
      </w:r>
      <w:r w:rsidR="004B4219" w:rsidRPr="004B4219">
        <w:rPr>
          <w:rFonts w:cs="Arial"/>
          <w:szCs w:val="20"/>
        </w:rPr>
        <w:t>. Dne 30. června 2010 bylo totiž ve Sbírce zákonů zveřejněno nařízení vlády č. 211/2010 Sb., o soustavě oborů vzdělání v základním, středním a vyšším odborném vzdělávání, které nahradilo původní nařízení vlády č. 689/2004 S</w:t>
      </w:r>
      <w:r w:rsidR="00A32242">
        <w:rPr>
          <w:rFonts w:cs="Arial"/>
          <w:szCs w:val="20"/>
        </w:rPr>
        <w:t>b., o soustavě oborů vzdělání v </w:t>
      </w:r>
      <w:r w:rsidR="004B4219" w:rsidRPr="004B4219">
        <w:rPr>
          <w:rFonts w:cs="Arial"/>
          <w:szCs w:val="20"/>
        </w:rPr>
        <w:t>základním, středním a vyšším odborném vzdělávání, ve znění pozdějších předpisů. Školský zákon zakotvil zásadní změnu v oblasti vzdělávacích programů, kdy byl postupně zredukován počet původních oborů vzdělání a pro nově koncipované, komplexnější obory vzdělání, byly Ministerstvem školství, mládeže a tělovýchovy postupně vydány rámcové vzdělávací programy, podle kterých si jednotlivé školy zpracovávají své školní vzdělávací programy.</w:t>
      </w:r>
      <w:r w:rsidR="004B4219" w:rsidRPr="004B4219">
        <w:rPr>
          <w:rStyle w:val="Znakapoznpodarou"/>
          <w:rFonts w:cs="Arial"/>
          <w:szCs w:val="20"/>
        </w:rPr>
        <w:footnoteReference w:id="37"/>
      </w:r>
    </w:p>
    <w:p w14:paraId="2EB68DF9" w14:textId="77777777" w:rsidR="00A32242" w:rsidRDefault="004E0A54" w:rsidP="001764DA">
      <w:pPr>
        <w:spacing w:after="120"/>
        <w:jc w:val="both"/>
        <w:rPr>
          <w:rFonts w:cs="Arial"/>
          <w:szCs w:val="20"/>
        </w:rPr>
      </w:pPr>
      <w:r>
        <w:rPr>
          <w:rFonts w:cs="Arial"/>
          <w:szCs w:val="20"/>
        </w:rPr>
        <w:t>Graf 3.11</w:t>
      </w:r>
      <w:r w:rsidR="00FA7769" w:rsidRPr="004B4219">
        <w:rPr>
          <w:rFonts w:cs="Arial"/>
          <w:szCs w:val="20"/>
        </w:rPr>
        <w:t xml:space="preserve"> uvádí počty žáků (v tisících), kteří se vzdělávali v různých oborech </w:t>
      </w:r>
      <w:r w:rsidR="00FA7769" w:rsidRPr="004B4219">
        <w:rPr>
          <w:rFonts w:cs="Arial"/>
          <w:b/>
          <w:szCs w:val="20"/>
        </w:rPr>
        <w:t>středního</w:t>
      </w:r>
      <w:r w:rsidR="00FA7769" w:rsidRPr="004B4219">
        <w:rPr>
          <w:rFonts w:cs="Arial"/>
          <w:szCs w:val="20"/>
        </w:rPr>
        <w:t xml:space="preserve"> </w:t>
      </w:r>
      <w:r w:rsidR="00FA7769" w:rsidRPr="004B4219">
        <w:rPr>
          <w:rFonts w:cs="Arial"/>
          <w:b/>
          <w:szCs w:val="20"/>
        </w:rPr>
        <w:t>odborného vzdělávání s výučním listem</w:t>
      </w:r>
      <w:r w:rsidR="00FA7769" w:rsidRPr="004B4219">
        <w:rPr>
          <w:rFonts w:cs="Arial"/>
          <w:szCs w:val="20"/>
        </w:rPr>
        <w:t>. Zahrnuje pouze skupiny oborů, ve</w:t>
      </w:r>
      <w:r w:rsidR="00A32242">
        <w:rPr>
          <w:rFonts w:cs="Arial"/>
          <w:szCs w:val="20"/>
        </w:rPr>
        <w:t xml:space="preserve"> kterých se ve školním roce 2021/22</w:t>
      </w:r>
      <w:r w:rsidR="00FA7769" w:rsidRPr="004B4219">
        <w:rPr>
          <w:rFonts w:cs="Arial"/>
          <w:szCs w:val="20"/>
        </w:rPr>
        <w:t xml:space="preserve"> vzdělávalo více než 1 000 žáků</w:t>
      </w:r>
      <w:r w:rsidR="00D8240D">
        <w:rPr>
          <w:rFonts w:cs="Arial"/>
          <w:szCs w:val="20"/>
        </w:rPr>
        <w:t xml:space="preserve">. </w:t>
      </w:r>
    </w:p>
    <w:p w14:paraId="027F4853" w14:textId="1AB4F8A2" w:rsidR="00A32242" w:rsidRPr="0043524B" w:rsidRDefault="00A32242" w:rsidP="00A32242">
      <w:pPr>
        <w:keepNext/>
        <w:spacing w:after="120" w:line="240" w:lineRule="auto"/>
      </w:pPr>
      <w:r>
        <w:rPr>
          <w:b/>
        </w:rPr>
        <w:t>Graf 3.11</w:t>
      </w:r>
      <w:r w:rsidRPr="004B4219">
        <w:rPr>
          <w:b/>
        </w:rPr>
        <w:t xml:space="preserve"> Střední odborné školy s výučním listem – žáci dl</w:t>
      </w:r>
      <w:r>
        <w:rPr>
          <w:b/>
        </w:rPr>
        <w:t xml:space="preserve">e skupin oborů vzdělávání </w:t>
      </w:r>
      <w:r>
        <w:rPr>
          <w:b/>
        </w:rPr>
        <w:br/>
      </w:r>
      <w:r w:rsidRPr="0043524B">
        <w:t>(pouze skupiny oborů s více než</w:t>
      </w:r>
      <w:r w:rsidR="00E96034">
        <w:t xml:space="preserve"> 1 000 žáků ve školním roce 2021/22</w:t>
      </w:r>
      <w:r w:rsidRPr="0043524B">
        <w:t>)</w:t>
      </w:r>
    </w:p>
    <w:p w14:paraId="29717D41" w14:textId="3FB812E5" w:rsidR="00A32242" w:rsidRPr="00A32242" w:rsidRDefault="00A32242" w:rsidP="00A32242">
      <w:pPr>
        <w:keepNext/>
        <w:spacing w:after="120" w:line="240" w:lineRule="auto"/>
        <w:rPr>
          <w:b/>
        </w:rPr>
      </w:pPr>
      <w:r>
        <w:rPr>
          <w:noProof/>
        </w:rPr>
        <w:drawing>
          <wp:inline distT="0" distB="0" distL="0" distR="0" wp14:anchorId="154F718E" wp14:editId="2F1B7E78">
            <wp:extent cx="6120130" cy="3476625"/>
            <wp:effectExtent l="0" t="0" r="13970" b="9525"/>
            <wp:docPr id="56" name="Graf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7443BB78" w14:textId="79FA2063" w:rsidR="00A32242" w:rsidRPr="00D1194E" w:rsidRDefault="00A32242" w:rsidP="00D1194E">
      <w:pPr>
        <w:spacing w:after="120" w:line="276" w:lineRule="auto"/>
        <w:jc w:val="right"/>
        <w:rPr>
          <w:rFonts w:asciiTheme="minorHAnsi" w:hAnsiTheme="minorHAnsi" w:cs="Arial"/>
          <w:sz w:val="18"/>
          <w:szCs w:val="22"/>
        </w:rPr>
      </w:pPr>
      <w:r w:rsidRPr="00F94849">
        <w:rPr>
          <w:rFonts w:cs="Arial"/>
          <w:sz w:val="18"/>
        </w:rPr>
        <w:t>Zdroj: ČSÚ</w:t>
      </w:r>
      <w:r w:rsidRPr="00F94849">
        <w:rPr>
          <w:rFonts w:cs="Arial"/>
          <w:noProof/>
        </w:rPr>
        <w:t xml:space="preserve"> </w:t>
      </w:r>
      <w:r w:rsidRPr="00307699">
        <w:rPr>
          <w:rFonts w:cs="Arial"/>
          <w:sz w:val="18"/>
        </w:rPr>
        <w:t>podle údajů MŠMT</w:t>
      </w:r>
    </w:p>
    <w:p w14:paraId="7A49814C" w14:textId="6326D772" w:rsidR="00FA7769" w:rsidRPr="003F03F3" w:rsidRDefault="00FA7769" w:rsidP="003F03F3">
      <w:pPr>
        <w:spacing w:after="120"/>
        <w:jc w:val="both"/>
      </w:pPr>
      <w:r w:rsidRPr="004B4219">
        <w:t>Jak je patrné, v počtu žá</w:t>
      </w:r>
      <w:r w:rsidR="00D1194E">
        <w:t>ků vedly ve školních rocích 2016/17</w:t>
      </w:r>
      <w:r w:rsidR="00D8240D">
        <w:t xml:space="preserve"> i </w:t>
      </w:r>
      <w:r w:rsidR="00D1194E">
        <w:t>2021/22</w:t>
      </w:r>
      <w:r w:rsidRPr="004B4219">
        <w:t xml:space="preserve"> skupiny oborů z oblasti </w:t>
      </w:r>
      <w:r w:rsidRPr="003F03F3">
        <w:rPr>
          <w:b/>
        </w:rPr>
        <w:t>strojírenství a strojírenská výroba</w:t>
      </w:r>
      <w:r w:rsidRPr="004B4219">
        <w:t xml:space="preserve"> (s 2</w:t>
      </w:r>
      <w:r w:rsidR="009260ED">
        <w:t>0 </w:t>
      </w:r>
      <w:r w:rsidR="00D1194E">
        <w:t>532</w:t>
      </w:r>
      <w:r w:rsidR="009260ED">
        <w:t xml:space="preserve"> žáky</w:t>
      </w:r>
      <w:r w:rsidR="00D1194E">
        <w:t xml:space="preserve"> ve školním roce 2016/17</w:t>
      </w:r>
      <w:r w:rsidRPr="004B4219">
        <w:t xml:space="preserve"> a </w:t>
      </w:r>
      <w:r w:rsidR="00D1194E">
        <w:t>17 708 žáky ve školním roce 2021/22</w:t>
      </w:r>
      <w:r w:rsidRPr="004B4219">
        <w:t xml:space="preserve">) spolu </w:t>
      </w:r>
      <w:r w:rsidRPr="004B4219">
        <w:lastRenderedPageBreak/>
        <w:t xml:space="preserve">se skupinou oborů </w:t>
      </w:r>
      <w:r w:rsidRPr="003F03F3">
        <w:rPr>
          <w:b/>
        </w:rPr>
        <w:t>gastronomi</w:t>
      </w:r>
      <w:r w:rsidR="009260ED" w:rsidRPr="003F03F3">
        <w:rPr>
          <w:b/>
        </w:rPr>
        <w:t>e, hotelnictví a turismus</w:t>
      </w:r>
      <w:r w:rsidR="009260ED">
        <w:t xml:space="preserve"> (se </w:t>
      </w:r>
      <w:r w:rsidR="00C93DAD">
        <w:t>16 357</w:t>
      </w:r>
      <w:r w:rsidR="00D1194E">
        <w:t xml:space="preserve">  žáky ve školním roce 2016/17</w:t>
      </w:r>
      <w:r w:rsidRPr="004B4219">
        <w:t xml:space="preserve"> a </w:t>
      </w:r>
      <w:r w:rsidR="00C93DAD">
        <w:t>13 320</w:t>
      </w:r>
      <w:r w:rsidR="00D1194E">
        <w:t xml:space="preserve"> žáky ve školním roce 2021/22</w:t>
      </w:r>
      <w:r w:rsidRPr="004B4219">
        <w:t xml:space="preserve">). </w:t>
      </w:r>
      <w:r w:rsidR="001764DA">
        <w:t>Obě tyto sk</w:t>
      </w:r>
      <w:r w:rsidR="009260ED">
        <w:t>upiny oborů přitom zaznamenaly za posledníc</w:t>
      </w:r>
      <w:r w:rsidR="003C1047">
        <w:t xml:space="preserve">h pět let úbytek počtu </w:t>
      </w:r>
      <w:r w:rsidR="00B74B8F">
        <w:t>žáků (o 13,8</w:t>
      </w:r>
      <w:r w:rsidR="009260ED">
        <w:t xml:space="preserve"> %, resp. </w:t>
      </w:r>
      <w:r w:rsidR="002F6C29">
        <w:t xml:space="preserve">o </w:t>
      </w:r>
      <w:r w:rsidR="00B74B8F">
        <w:t>18,6</w:t>
      </w:r>
      <w:r w:rsidR="001764DA">
        <w:t> %</w:t>
      </w:r>
      <w:r w:rsidR="00B74B8F">
        <w:t>, neboli o 2 824</w:t>
      </w:r>
      <w:r w:rsidR="00E24A9E">
        <w:t>, resp. o 3 </w:t>
      </w:r>
      <w:r w:rsidR="00B74B8F">
        <w:t>037</w:t>
      </w:r>
      <w:r w:rsidR="00E24A9E">
        <w:t xml:space="preserve"> žáků)</w:t>
      </w:r>
      <w:r w:rsidR="00230643">
        <w:rPr>
          <w:rStyle w:val="Znakapoznpodarou"/>
        </w:rPr>
        <w:footnoteReference w:id="38"/>
      </w:r>
      <w:r w:rsidR="00E24A9E">
        <w:t xml:space="preserve">. </w:t>
      </w:r>
      <w:r w:rsidR="00852B7E">
        <w:t xml:space="preserve">V ostatních skupinách oborů uvedených v grafu se naopak počet žáků zvýšil. </w:t>
      </w:r>
      <w:r w:rsidR="00E86775">
        <w:t xml:space="preserve">Pokud sledujeme nárůst v procentech, pak </w:t>
      </w:r>
      <w:r w:rsidR="003C1047">
        <w:t xml:space="preserve">nejvýrazněji </w:t>
      </w:r>
      <w:r w:rsidR="00E86775">
        <w:t xml:space="preserve">vzrostl počet žáků </w:t>
      </w:r>
      <w:r w:rsidR="00852B7E">
        <w:t xml:space="preserve">v </w:t>
      </w:r>
      <w:r w:rsidR="003C1047">
        <w:t xml:space="preserve">oborech z oblasti </w:t>
      </w:r>
      <w:r w:rsidR="003C1047" w:rsidRPr="003F03F3">
        <w:rPr>
          <w:b/>
        </w:rPr>
        <w:t>elektrotechniky, telekomuni</w:t>
      </w:r>
      <w:r w:rsidR="00852B7E" w:rsidRPr="003F03F3">
        <w:rPr>
          <w:b/>
        </w:rPr>
        <w:t>kační a výpočetní techniky</w:t>
      </w:r>
      <w:r w:rsidR="00852B7E">
        <w:t xml:space="preserve"> (o 36</w:t>
      </w:r>
      <w:r w:rsidR="003C1047">
        <w:t>,6 %)</w:t>
      </w:r>
      <w:r w:rsidR="00852B7E">
        <w:t xml:space="preserve">, </w:t>
      </w:r>
      <w:r w:rsidR="00852B7E" w:rsidRPr="003F03F3">
        <w:rPr>
          <w:b/>
        </w:rPr>
        <w:t>zdravotnických oborech</w:t>
      </w:r>
      <w:r w:rsidR="00852B7E">
        <w:t xml:space="preserve"> (o 29,8 %) a v oborech věnujících se </w:t>
      </w:r>
      <w:r w:rsidR="00852B7E" w:rsidRPr="003F03F3">
        <w:rPr>
          <w:b/>
        </w:rPr>
        <w:t>zpracování dřeva a výrobě hudebních nástrojů</w:t>
      </w:r>
      <w:r w:rsidR="00852B7E">
        <w:t xml:space="preserve"> (o 29,2 %).</w:t>
      </w:r>
      <w:r w:rsidR="003F03F3">
        <w:t xml:space="preserve"> V ostatních skupinách oborů se</w:t>
      </w:r>
      <w:r w:rsidR="0043524B">
        <w:t xml:space="preserve"> počet žáků navýšil již jen o 3 % až </w:t>
      </w:r>
      <w:r w:rsidR="003F03F3">
        <w:t>12,6 %.</w:t>
      </w:r>
      <w:r w:rsidR="003C1047">
        <w:t xml:space="preserve"> </w:t>
      </w:r>
      <w:r w:rsidR="0070548C" w:rsidRPr="0070548C">
        <w:t>Počet žáků ve skupinách</w:t>
      </w:r>
      <w:r w:rsidR="00DD2DEC" w:rsidRPr="0070548C">
        <w:t xml:space="preserve"> oborů</w:t>
      </w:r>
      <w:r w:rsidR="001764DA" w:rsidRPr="0070548C">
        <w:t xml:space="preserve"> elektrotechnika, telekomunikační</w:t>
      </w:r>
      <w:r w:rsidR="009E2B1F" w:rsidRPr="0070548C">
        <w:t xml:space="preserve"> </w:t>
      </w:r>
      <w:r w:rsidR="001764DA" w:rsidRPr="0070548C">
        <w:t xml:space="preserve">a výpočetní technika </w:t>
      </w:r>
      <w:r w:rsidR="00DD2DEC" w:rsidRPr="0070548C">
        <w:t>se přito</w:t>
      </w:r>
      <w:r w:rsidR="00CD43FB">
        <w:t xml:space="preserve">m v absolutním vyjádření </w:t>
      </w:r>
      <w:r w:rsidR="00DD2DEC" w:rsidRPr="0070548C">
        <w:t>zvýšil o 2 </w:t>
      </w:r>
      <w:r w:rsidR="003F03F3">
        <w:t>982</w:t>
      </w:r>
      <w:r w:rsidR="00DD2DEC" w:rsidRPr="0070548C">
        <w:t xml:space="preserve">, což je ze skupin oborů uvedených v grafu </w:t>
      </w:r>
      <w:r w:rsidR="00E24A9E" w:rsidRPr="0070548C">
        <w:t xml:space="preserve">výrazně </w:t>
      </w:r>
      <w:r w:rsidR="00DD2DEC" w:rsidRPr="0070548C">
        <w:t>nejvíce.</w:t>
      </w:r>
      <w:r w:rsidR="00E24A9E" w:rsidRPr="0070548C">
        <w:t xml:space="preserve"> Násle</w:t>
      </w:r>
      <w:r w:rsidR="00E24A9E">
        <w:t xml:space="preserve">duje skupina oborů </w:t>
      </w:r>
      <w:r w:rsidR="00E24A9E" w:rsidRPr="00E24A9E">
        <w:t>zpracování dřeva a výroby hudebních nástrojů</w:t>
      </w:r>
      <w:r w:rsidR="00E24A9E">
        <w:t xml:space="preserve">, ve které se počet žáků zvýšil o </w:t>
      </w:r>
      <w:r w:rsidR="003F03F3">
        <w:t>1 168</w:t>
      </w:r>
      <w:r w:rsidR="00E24A9E">
        <w:t>.</w:t>
      </w:r>
      <w:r w:rsidR="006C46E7">
        <w:rPr>
          <w:rStyle w:val="Znakapoznpodarou"/>
        </w:rPr>
        <w:footnoteReference w:id="39"/>
      </w:r>
    </w:p>
    <w:p w14:paraId="3B31BB22" w14:textId="7A670D3E" w:rsidR="006A6F1E" w:rsidRDefault="004E0A54" w:rsidP="004C540F">
      <w:pPr>
        <w:spacing w:after="120"/>
        <w:jc w:val="both"/>
        <w:rPr>
          <w:rFonts w:cs="Arial"/>
          <w:szCs w:val="20"/>
        </w:rPr>
      </w:pPr>
      <w:r>
        <w:rPr>
          <w:rFonts w:cs="Arial"/>
          <w:szCs w:val="20"/>
        </w:rPr>
        <w:t>Graf 3.12</w:t>
      </w:r>
      <w:r w:rsidR="00FA7769" w:rsidRPr="004A5668">
        <w:rPr>
          <w:rFonts w:cs="Arial"/>
          <w:szCs w:val="20"/>
        </w:rPr>
        <w:t xml:space="preserve"> dále zahrnuje obory </w:t>
      </w:r>
      <w:r w:rsidR="00FA7769" w:rsidRPr="004A5668">
        <w:rPr>
          <w:rFonts w:cs="Arial"/>
          <w:b/>
          <w:szCs w:val="20"/>
        </w:rPr>
        <w:t>středního odborného vzdělávání s maturitní zkouškou</w:t>
      </w:r>
      <w:r w:rsidR="00FA7769" w:rsidRPr="004A5668">
        <w:rPr>
          <w:rFonts w:cs="Arial"/>
          <w:szCs w:val="20"/>
        </w:rPr>
        <w:t xml:space="preserve"> a porovnává počet žáků těch</w:t>
      </w:r>
      <w:r w:rsidR="004C540F">
        <w:rPr>
          <w:rFonts w:cs="Arial"/>
          <w:szCs w:val="20"/>
        </w:rPr>
        <w:t>to oborů ve školních rocíc</w:t>
      </w:r>
      <w:r w:rsidR="003F03F3">
        <w:rPr>
          <w:rFonts w:cs="Arial"/>
          <w:szCs w:val="20"/>
        </w:rPr>
        <w:t>h 2016/17 a 2021/22</w:t>
      </w:r>
      <w:r w:rsidR="00FA7769" w:rsidRPr="004A5668">
        <w:rPr>
          <w:rFonts w:cs="Arial"/>
          <w:szCs w:val="20"/>
        </w:rPr>
        <w:t xml:space="preserve"> (uvedeno v tisících). Uvádí pouze skupiny oborů s více než pěti tisíci žáky </w:t>
      </w:r>
      <w:r w:rsidR="0048304D">
        <w:rPr>
          <w:rFonts w:cs="Arial"/>
          <w:szCs w:val="20"/>
        </w:rPr>
        <w:t>v</w:t>
      </w:r>
      <w:r w:rsidR="003F03F3">
        <w:rPr>
          <w:rFonts w:cs="Arial"/>
          <w:szCs w:val="20"/>
        </w:rPr>
        <w:t>e školním roce 2021/22</w:t>
      </w:r>
      <w:r w:rsidR="00FA7769" w:rsidRPr="004A5668">
        <w:rPr>
          <w:rFonts w:cs="Arial"/>
          <w:szCs w:val="20"/>
        </w:rPr>
        <w:t>.</w:t>
      </w:r>
      <w:r w:rsidR="004C540F">
        <w:rPr>
          <w:rFonts w:cs="Arial"/>
          <w:szCs w:val="20"/>
        </w:rPr>
        <w:t xml:space="preserve"> </w:t>
      </w:r>
    </w:p>
    <w:p w14:paraId="3F1E6AAC" w14:textId="187E41E6" w:rsidR="003F03F3" w:rsidRDefault="003F03F3" w:rsidP="003F03F3">
      <w:pPr>
        <w:keepNext/>
        <w:spacing w:after="120" w:line="240" w:lineRule="auto"/>
        <w:rPr>
          <w:b/>
        </w:rPr>
      </w:pPr>
      <w:r>
        <w:rPr>
          <w:b/>
        </w:rPr>
        <w:t>Graf 3.12 Střední odborné</w:t>
      </w:r>
      <w:r w:rsidRPr="00906913">
        <w:rPr>
          <w:b/>
        </w:rPr>
        <w:t xml:space="preserve"> školy s maturitní zkouškou – žáci dle </w:t>
      </w:r>
      <w:r>
        <w:rPr>
          <w:b/>
        </w:rPr>
        <w:t xml:space="preserve">skupin </w:t>
      </w:r>
      <w:r w:rsidRPr="00906913">
        <w:rPr>
          <w:b/>
        </w:rPr>
        <w:t xml:space="preserve">oborů vzdělávání </w:t>
      </w:r>
      <w:r>
        <w:rPr>
          <w:b/>
        </w:rPr>
        <w:br/>
      </w:r>
      <w:r w:rsidRPr="0043524B">
        <w:t xml:space="preserve">(pouze skupiny oborů s více než 5 000 žáky </w:t>
      </w:r>
      <w:r w:rsidR="00862E24" w:rsidRPr="0043524B">
        <w:t>ve školním roce 2021/22</w:t>
      </w:r>
      <w:r w:rsidRPr="0043524B">
        <w:t>)</w:t>
      </w:r>
    </w:p>
    <w:p w14:paraId="0CEF20D4" w14:textId="76795013" w:rsidR="003F03F3" w:rsidRPr="00906913" w:rsidRDefault="003F03F3" w:rsidP="00862E24">
      <w:pPr>
        <w:keepNext/>
        <w:spacing w:after="120" w:line="240" w:lineRule="auto"/>
        <w:rPr>
          <w:b/>
        </w:rPr>
      </w:pPr>
      <w:r>
        <w:rPr>
          <w:noProof/>
        </w:rPr>
        <w:drawing>
          <wp:inline distT="0" distB="0" distL="0" distR="0" wp14:anchorId="270826EF" wp14:editId="32B45006">
            <wp:extent cx="6067425" cy="4648200"/>
            <wp:effectExtent l="0" t="0" r="9525" b="0"/>
            <wp:docPr id="62" name="Graf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1880FA83" w14:textId="7AE2148B" w:rsidR="003F03F3" w:rsidRPr="007F7756" w:rsidRDefault="003F03F3" w:rsidP="007F7756">
      <w:pPr>
        <w:spacing w:after="120" w:line="276" w:lineRule="auto"/>
        <w:jc w:val="right"/>
        <w:rPr>
          <w:rFonts w:asciiTheme="minorHAnsi" w:hAnsiTheme="minorHAnsi" w:cs="Arial"/>
          <w:sz w:val="18"/>
          <w:szCs w:val="22"/>
        </w:rPr>
      </w:pPr>
      <w:r w:rsidRPr="00F94849">
        <w:rPr>
          <w:rFonts w:cs="Arial"/>
          <w:sz w:val="18"/>
        </w:rPr>
        <w:t>Zdroj: ČSÚ</w:t>
      </w:r>
      <w:r w:rsidRPr="00F94849">
        <w:rPr>
          <w:rFonts w:cs="Arial"/>
          <w:noProof/>
        </w:rPr>
        <w:t xml:space="preserve"> </w:t>
      </w:r>
      <w:r>
        <w:rPr>
          <w:rFonts w:cs="Arial"/>
          <w:sz w:val="18"/>
        </w:rPr>
        <w:t>podle údaj</w:t>
      </w:r>
      <w:r w:rsidR="007F7756">
        <w:rPr>
          <w:rFonts w:cs="Arial"/>
          <w:sz w:val="18"/>
        </w:rPr>
        <w:t>ů MŠMT</w:t>
      </w:r>
    </w:p>
    <w:p w14:paraId="626D5F53" w14:textId="4A47A917" w:rsidR="0087647D" w:rsidRPr="004A5668" w:rsidRDefault="00E009CD" w:rsidP="0087647D">
      <w:pPr>
        <w:spacing w:after="120"/>
        <w:jc w:val="both"/>
        <w:rPr>
          <w:rFonts w:cs="Arial"/>
          <w:szCs w:val="20"/>
        </w:rPr>
      </w:pPr>
      <w:r>
        <w:rPr>
          <w:rFonts w:cs="Arial"/>
          <w:szCs w:val="20"/>
        </w:rPr>
        <w:lastRenderedPageBreak/>
        <w:t>Ve školním roce 2021/22</w:t>
      </w:r>
      <w:r w:rsidR="00FA7769" w:rsidRPr="004A5668">
        <w:rPr>
          <w:rFonts w:cs="Arial"/>
          <w:szCs w:val="20"/>
        </w:rPr>
        <w:t xml:space="preserve"> se mezi pět nejnavštěvovanějších skupin oborů řadila ekonomika a administrativa (</w:t>
      </w:r>
      <w:r>
        <w:rPr>
          <w:rFonts w:cs="Arial"/>
          <w:szCs w:val="20"/>
        </w:rPr>
        <w:t>30 311</w:t>
      </w:r>
      <w:r w:rsidR="00FA7769" w:rsidRPr="004A5668">
        <w:rPr>
          <w:rFonts w:cs="Arial"/>
          <w:szCs w:val="20"/>
        </w:rPr>
        <w:t xml:space="preserve"> žáků), s velkým propadem pak </w:t>
      </w:r>
      <w:r w:rsidR="0003718B">
        <w:rPr>
          <w:rFonts w:cs="Arial"/>
          <w:szCs w:val="20"/>
        </w:rPr>
        <w:t>informatické obory</w:t>
      </w:r>
      <w:r w:rsidR="0048304D">
        <w:rPr>
          <w:rFonts w:cs="Arial"/>
          <w:szCs w:val="20"/>
        </w:rPr>
        <w:t xml:space="preserve"> (</w:t>
      </w:r>
      <w:r>
        <w:rPr>
          <w:rFonts w:cs="Arial"/>
          <w:szCs w:val="20"/>
        </w:rPr>
        <w:t>16 731</w:t>
      </w:r>
      <w:r w:rsidR="00FA7769" w:rsidRPr="004A5668">
        <w:rPr>
          <w:rFonts w:cs="Arial"/>
          <w:szCs w:val="20"/>
        </w:rPr>
        <w:t xml:space="preserve"> žáků),</w:t>
      </w:r>
      <w:r w:rsidR="0048304D">
        <w:rPr>
          <w:rFonts w:cs="Arial"/>
          <w:szCs w:val="20"/>
        </w:rPr>
        <w:t xml:space="preserve"> obecně odborná příprava (</w:t>
      </w:r>
      <w:r>
        <w:rPr>
          <w:rFonts w:cs="Arial"/>
          <w:szCs w:val="20"/>
        </w:rPr>
        <w:t>16 655 žáků) a</w:t>
      </w:r>
      <w:r w:rsidR="00FA7769" w:rsidRPr="004A5668">
        <w:rPr>
          <w:rFonts w:cs="Arial"/>
          <w:szCs w:val="20"/>
        </w:rPr>
        <w:t xml:space="preserve"> zdravotnictví (</w:t>
      </w:r>
      <w:r w:rsidR="00585357">
        <w:rPr>
          <w:rFonts w:cs="Arial"/>
          <w:szCs w:val="20"/>
        </w:rPr>
        <w:t>16</w:t>
      </w:r>
      <w:r w:rsidR="0048304D">
        <w:rPr>
          <w:rFonts w:cs="Arial"/>
          <w:szCs w:val="20"/>
        </w:rPr>
        <w:t xml:space="preserve"> </w:t>
      </w:r>
      <w:r w:rsidR="00585357">
        <w:rPr>
          <w:rFonts w:cs="Arial"/>
          <w:szCs w:val="20"/>
        </w:rPr>
        <w:t>314</w:t>
      </w:r>
      <w:r w:rsidR="00FA7769" w:rsidRPr="004A5668">
        <w:rPr>
          <w:rFonts w:cs="Arial"/>
          <w:szCs w:val="20"/>
        </w:rPr>
        <w:t xml:space="preserve"> žáků).</w:t>
      </w:r>
      <w:r>
        <w:rPr>
          <w:rFonts w:cs="Arial"/>
          <w:szCs w:val="20"/>
        </w:rPr>
        <w:t xml:space="preserve"> Ostatní obory čítaly </w:t>
      </w:r>
      <w:r w:rsidR="00585357">
        <w:rPr>
          <w:rFonts w:cs="Arial"/>
          <w:szCs w:val="20"/>
        </w:rPr>
        <w:t>15,1</w:t>
      </w:r>
      <w:r w:rsidR="0043524B">
        <w:rPr>
          <w:rFonts w:cs="Arial"/>
          <w:szCs w:val="20"/>
        </w:rPr>
        <w:t xml:space="preserve"> tisíce žáků a méně</w:t>
      </w:r>
      <w:r>
        <w:rPr>
          <w:rFonts w:cs="Arial"/>
          <w:szCs w:val="20"/>
        </w:rPr>
        <w:t xml:space="preserve">. </w:t>
      </w:r>
    </w:p>
    <w:p w14:paraId="66025CBA" w14:textId="05E3F411" w:rsidR="0048304D" w:rsidRDefault="00E009CD" w:rsidP="00FA7769">
      <w:pPr>
        <w:spacing w:after="120"/>
        <w:jc w:val="both"/>
        <w:rPr>
          <w:rFonts w:cs="Arial"/>
          <w:szCs w:val="20"/>
        </w:rPr>
      </w:pPr>
      <w:r>
        <w:rPr>
          <w:rFonts w:cs="Arial"/>
          <w:szCs w:val="20"/>
        </w:rPr>
        <w:t>Ze skupin oborů uvedených v grafu se o</w:t>
      </w:r>
      <w:r w:rsidR="001A3486">
        <w:rPr>
          <w:rFonts w:cs="Arial"/>
          <w:szCs w:val="20"/>
        </w:rPr>
        <w:t>pro</w:t>
      </w:r>
      <w:r>
        <w:rPr>
          <w:rFonts w:cs="Arial"/>
          <w:szCs w:val="20"/>
        </w:rPr>
        <w:t>ti školnímu roku 2016/17</w:t>
      </w:r>
      <w:r w:rsidR="001A3486">
        <w:rPr>
          <w:rFonts w:cs="Arial"/>
          <w:szCs w:val="20"/>
        </w:rPr>
        <w:t xml:space="preserve"> přitom </w:t>
      </w:r>
      <w:r w:rsidR="00156D16">
        <w:rPr>
          <w:rFonts w:cs="Arial"/>
          <w:szCs w:val="20"/>
        </w:rPr>
        <w:t xml:space="preserve">v absolutním i relativním vyjádření </w:t>
      </w:r>
      <w:r w:rsidR="001A3486">
        <w:rPr>
          <w:rFonts w:cs="Arial"/>
          <w:szCs w:val="20"/>
        </w:rPr>
        <w:t>nejvíce navýšil počet žáků v</w:t>
      </w:r>
      <w:r w:rsidR="0048304D">
        <w:rPr>
          <w:rFonts w:cs="Arial"/>
          <w:szCs w:val="20"/>
        </w:rPr>
        <w:t> </w:t>
      </w:r>
      <w:r w:rsidR="001A3486">
        <w:rPr>
          <w:rFonts w:cs="Arial"/>
          <w:szCs w:val="20"/>
        </w:rPr>
        <w:t>oborech</w:t>
      </w:r>
      <w:r w:rsidR="0048304D">
        <w:rPr>
          <w:rFonts w:cs="Arial"/>
          <w:szCs w:val="20"/>
        </w:rPr>
        <w:t xml:space="preserve"> </w:t>
      </w:r>
      <w:r w:rsidR="00156D16" w:rsidRPr="004E0A54">
        <w:rPr>
          <w:rFonts w:cs="Arial"/>
          <w:b/>
          <w:szCs w:val="20"/>
        </w:rPr>
        <w:t>zdravotnictví</w:t>
      </w:r>
      <w:r w:rsidR="00156D16">
        <w:rPr>
          <w:rFonts w:cs="Arial"/>
          <w:szCs w:val="20"/>
        </w:rPr>
        <w:t xml:space="preserve">, a sice o </w:t>
      </w:r>
      <w:r>
        <w:rPr>
          <w:rFonts w:cs="Arial"/>
          <w:szCs w:val="20"/>
        </w:rPr>
        <w:t>37,4</w:t>
      </w:r>
      <w:r w:rsidR="00156D16">
        <w:rPr>
          <w:rFonts w:cs="Arial"/>
          <w:szCs w:val="20"/>
        </w:rPr>
        <w:t xml:space="preserve"> %, neboli o </w:t>
      </w:r>
      <w:r>
        <w:rPr>
          <w:rFonts w:cs="Arial"/>
          <w:szCs w:val="20"/>
        </w:rPr>
        <w:t>4 441</w:t>
      </w:r>
      <w:r w:rsidR="00156D16">
        <w:rPr>
          <w:rFonts w:cs="Arial"/>
          <w:szCs w:val="20"/>
        </w:rPr>
        <w:t xml:space="preserve"> žáků. Na další příčce se umístily </w:t>
      </w:r>
      <w:r w:rsidR="00585357">
        <w:rPr>
          <w:rFonts w:cs="Arial"/>
          <w:szCs w:val="20"/>
        </w:rPr>
        <w:t xml:space="preserve">speciální a interdisciplinární </w:t>
      </w:r>
      <w:r w:rsidR="00793731">
        <w:rPr>
          <w:rFonts w:cs="Arial"/>
          <w:szCs w:val="20"/>
        </w:rPr>
        <w:t>obory (</w:t>
      </w:r>
      <w:r w:rsidR="00585357">
        <w:rPr>
          <w:rFonts w:cs="Arial"/>
          <w:szCs w:val="20"/>
        </w:rPr>
        <w:t xml:space="preserve">o </w:t>
      </w:r>
      <w:r w:rsidR="00793731">
        <w:rPr>
          <w:rFonts w:cs="Arial"/>
          <w:szCs w:val="20"/>
        </w:rPr>
        <w:t>27,1 %</w:t>
      </w:r>
      <w:r w:rsidR="00585357">
        <w:rPr>
          <w:rFonts w:cs="Arial"/>
          <w:szCs w:val="20"/>
        </w:rPr>
        <w:t xml:space="preserve"> žáků více</w:t>
      </w:r>
      <w:r w:rsidR="00793731">
        <w:rPr>
          <w:rFonts w:cs="Arial"/>
          <w:szCs w:val="20"/>
        </w:rPr>
        <w:t xml:space="preserve">). Zhruba pětinový nárůst pak zaznamenaly obory věnované (užitému) umění (21,5 %), </w:t>
      </w:r>
      <w:r w:rsidR="00793731" w:rsidRPr="00793731">
        <w:rPr>
          <w:rFonts w:cs="Arial"/>
          <w:szCs w:val="20"/>
        </w:rPr>
        <w:t>informatické obory</w:t>
      </w:r>
      <w:r w:rsidR="00793731">
        <w:rPr>
          <w:rFonts w:cs="Arial"/>
          <w:szCs w:val="20"/>
        </w:rPr>
        <w:t xml:space="preserve"> (20,2 %) a obory ze skupiny </w:t>
      </w:r>
      <w:r w:rsidR="00793731" w:rsidRPr="00793731">
        <w:rPr>
          <w:rFonts w:cs="Arial"/>
          <w:szCs w:val="20"/>
        </w:rPr>
        <w:t>stavebnictví, geodézie a</w:t>
      </w:r>
      <w:r w:rsidR="00793731">
        <w:rPr>
          <w:rFonts w:cs="Arial"/>
          <w:szCs w:val="20"/>
        </w:rPr>
        <w:t xml:space="preserve"> kartografie (19,1 %)</w:t>
      </w:r>
      <w:r w:rsidR="00156D16">
        <w:rPr>
          <w:rFonts w:cs="Arial"/>
          <w:szCs w:val="20"/>
        </w:rPr>
        <w:t>.</w:t>
      </w:r>
      <w:r w:rsidR="00793731">
        <w:rPr>
          <w:rFonts w:cs="Arial"/>
          <w:szCs w:val="20"/>
        </w:rPr>
        <w:t xml:space="preserve"> V absolutním počtu pak vyšší než dvoutisícový nárůst počtu žáků zaznamenaly skupiny zdravotnických oborů (o 4 441 žáků), informatické obory (o 2 811 žáků, ekonomické a administrativní obory (o 2 546 žáků), obory ze skupiny elektrotechnika, telekomunikační a výpočetní technika (o 2 231) a (užité) umění (o 2 163 žáků). </w:t>
      </w:r>
    </w:p>
    <w:p w14:paraId="27958E13" w14:textId="53FD9623" w:rsidR="00862E24" w:rsidRPr="002B1785" w:rsidRDefault="001A3486" w:rsidP="00FA7769">
      <w:pPr>
        <w:spacing w:after="120"/>
        <w:jc w:val="both"/>
        <w:rPr>
          <w:rFonts w:cs="Arial"/>
          <w:szCs w:val="20"/>
        </w:rPr>
      </w:pPr>
      <w:r>
        <w:rPr>
          <w:rFonts w:cs="Arial"/>
          <w:szCs w:val="20"/>
        </w:rPr>
        <w:t>N</w:t>
      </w:r>
      <w:r w:rsidR="009D5E94">
        <w:rPr>
          <w:rFonts w:cs="Arial"/>
          <w:szCs w:val="20"/>
        </w:rPr>
        <w:t xml:space="preserve">aopak </w:t>
      </w:r>
      <w:r>
        <w:rPr>
          <w:rFonts w:cs="Arial"/>
          <w:szCs w:val="20"/>
        </w:rPr>
        <w:t xml:space="preserve">nejhlubší propad počtu žáků </w:t>
      </w:r>
      <w:r w:rsidR="00C5058F">
        <w:rPr>
          <w:rFonts w:cs="Arial"/>
          <w:szCs w:val="20"/>
        </w:rPr>
        <w:t xml:space="preserve">z oborů uvedených v grafu </w:t>
      </w:r>
      <w:r>
        <w:rPr>
          <w:rFonts w:cs="Arial"/>
          <w:szCs w:val="20"/>
        </w:rPr>
        <w:t xml:space="preserve">zaznamenaly obory </w:t>
      </w:r>
      <w:r w:rsidR="00793731">
        <w:rPr>
          <w:rFonts w:cs="Arial"/>
          <w:szCs w:val="20"/>
        </w:rPr>
        <w:t>věnované strojírenství a strojírenské výrobě (o 14,8 %, neboli o 2 496 žáků). Ze skupin oborů uvedených v grafu zaznamenaly snížení počtu žáků také obory věnované gastronomii, hotelnictví a turismu</w:t>
      </w:r>
      <w:r>
        <w:rPr>
          <w:rFonts w:cs="Arial"/>
          <w:szCs w:val="20"/>
        </w:rPr>
        <w:t xml:space="preserve"> (o </w:t>
      </w:r>
      <w:r w:rsidR="00793731">
        <w:rPr>
          <w:rFonts w:cs="Arial"/>
          <w:szCs w:val="20"/>
        </w:rPr>
        <w:t>6,5</w:t>
      </w:r>
      <w:r>
        <w:rPr>
          <w:rFonts w:cs="Arial"/>
          <w:szCs w:val="20"/>
        </w:rPr>
        <w:t> %</w:t>
      </w:r>
      <w:r w:rsidR="00C5058F">
        <w:rPr>
          <w:rFonts w:cs="Arial"/>
          <w:szCs w:val="20"/>
        </w:rPr>
        <w:t xml:space="preserve">, neboli </w:t>
      </w:r>
      <w:r w:rsidR="00793731">
        <w:rPr>
          <w:rFonts w:cs="Arial"/>
          <w:szCs w:val="20"/>
        </w:rPr>
        <w:t xml:space="preserve">916 </w:t>
      </w:r>
      <w:r w:rsidR="00C5058F">
        <w:rPr>
          <w:rFonts w:cs="Arial"/>
          <w:szCs w:val="20"/>
        </w:rPr>
        <w:t>žáků</w:t>
      </w:r>
      <w:r>
        <w:rPr>
          <w:rFonts w:cs="Arial"/>
          <w:szCs w:val="20"/>
        </w:rPr>
        <w:t>)</w:t>
      </w:r>
      <w:r w:rsidR="006C46E7">
        <w:rPr>
          <w:rFonts w:cs="Arial"/>
          <w:szCs w:val="20"/>
        </w:rPr>
        <w:t>.</w:t>
      </w:r>
      <w:r w:rsidR="00F00C8B">
        <w:rPr>
          <w:rStyle w:val="Znakapoznpodarou"/>
          <w:rFonts w:cs="Arial"/>
          <w:szCs w:val="20"/>
        </w:rPr>
        <w:footnoteReference w:id="40"/>
      </w:r>
      <w:r w:rsidR="00C5058F">
        <w:rPr>
          <w:rFonts w:cs="Arial"/>
          <w:szCs w:val="20"/>
        </w:rPr>
        <w:t xml:space="preserve"> </w:t>
      </w:r>
      <w:r w:rsidR="006C46E7">
        <w:rPr>
          <w:rStyle w:val="Znakapoznpodarou"/>
          <w:rFonts w:cs="Arial"/>
          <w:szCs w:val="20"/>
        </w:rPr>
        <w:footnoteReference w:id="41"/>
      </w:r>
    </w:p>
    <w:p w14:paraId="7D07368D" w14:textId="31E5C2C4" w:rsidR="002B1785" w:rsidRDefault="002B1785" w:rsidP="002B1785">
      <w:pPr>
        <w:spacing w:after="120"/>
        <w:jc w:val="both"/>
        <w:rPr>
          <w:rFonts w:cs="Arial"/>
          <w:szCs w:val="20"/>
        </w:rPr>
      </w:pPr>
      <w:r w:rsidRPr="00CD1661">
        <w:rPr>
          <w:rFonts w:cs="Arial"/>
          <w:szCs w:val="20"/>
        </w:rPr>
        <w:t>Srovnáme-li nejnavštěvovanější obory vzdělávání s výučním listem a maturitní zkouškou, lze</w:t>
      </w:r>
      <w:r w:rsidRPr="00EF4C14">
        <w:rPr>
          <w:rFonts w:cs="Arial"/>
          <w:szCs w:val="20"/>
        </w:rPr>
        <w:t xml:space="preserve"> si všimnout, že u obou druhů vzdělávání stojí v popředí obor </w:t>
      </w:r>
      <w:r w:rsidRPr="00996213">
        <w:rPr>
          <w:rFonts w:cs="Arial"/>
          <w:b/>
          <w:szCs w:val="20"/>
        </w:rPr>
        <w:t>strojírenství a strojírenská výroba</w:t>
      </w:r>
      <w:r w:rsidRPr="00EF4C14">
        <w:rPr>
          <w:rFonts w:cs="Arial"/>
          <w:szCs w:val="20"/>
        </w:rPr>
        <w:t xml:space="preserve"> (první, resp. </w:t>
      </w:r>
      <w:r>
        <w:rPr>
          <w:rFonts w:cs="Arial"/>
          <w:szCs w:val="20"/>
        </w:rPr>
        <w:t>sedmý</w:t>
      </w:r>
      <w:r w:rsidRPr="00EF4C14">
        <w:rPr>
          <w:rFonts w:cs="Arial"/>
          <w:szCs w:val="20"/>
        </w:rPr>
        <w:t xml:space="preserve"> nejnavštěvovanější). </w:t>
      </w:r>
      <w:r>
        <w:rPr>
          <w:rFonts w:cs="Arial"/>
          <w:szCs w:val="20"/>
        </w:rPr>
        <w:t>Od minulého roku se však tato skupina oborů mezi skupinami oborů vzdělává</w:t>
      </w:r>
      <w:r w:rsidR="00585357">
        <w:rPr>
          <w:rFonts w:cs="Arial"/>
          <w:szCs w:val="20"/>
        </w:rPr>
        <w:t>ní s maturitní zkouškou propadla</w:t>
      </w:r>
      <w:r>
        <w:rPr>
          <w:rFonts w:cs="Arial"/>
          <w:szCs w:val="20"/>
        </w:rPr>
        <w:t xml:space="preserve"> z pátého na sedmé místo a počet žáků těchto oborů poklesl o 4,5 %, zatímco se celkový počet žáků středního vzdělávání s maturitní zkouškou naopak o 5 % zvýšil. V absolutním počtu žáků navíc tato skupina oborů zaznamenala </w:t>
      </w:r>
      <w:r w:rsidR="007F7756">
        <w:rPr>
          <w:rFonts w:cs="Arial"/>
          <w:szCs w:val="20"/>
        </w:rPr>
        <w:t>největší meziroční propad (o 653</w:t>
      </w:r>
      <w:r>
        <w:rPr>
          <w:rFonts w:cs="Arial"/>
          <w:szCs w:val="20"/>
        </w:rPr>
        <w:t xml:space="preserve"> žáků</w:t>
      </w:r>
      <w:r>
        <w:rPr>
          <w:rStyle w:val="Znakapoznpodarou"/>
          <w:rFonts w:eastAsia="MS Gothic" w:cs="Arial"/>
          <w:szCs w:val="20"/>
        </w:rPr>
        <w:footnoteReference w:id="42"/>
      </w:r>
      <w:r>
        <w:rPr>
          <w:rFonts w:cs="Arial"/>
          <w:szCs w:val="20"/>
        </w:rPr>
        <w:t>).</w:t>
      </w:r>
    </w:p>
    <w:p w14:paraId="18C4B935" w14:textId="77777777" w:rsidR="002B1785" w:rsidRDefault="002B1785" w:rsidP="002B1785">
      <w:pPr>
        <w:spacing w:after="120"/>
        <w:jc w:val="both"/>
        <w:rPr>
          <w:rFonts w:cs="Arial"/>
          <w:szCs w:val="20"/>
        </w:rPr>
      </w:pPr>
      <w:r w:rsidRPr="00EF4C14">
        <w:rPr>
          <w:rFonts w:cs="Arial"/>
          <w:szCs w:val="20"/>
        </w:rPr>
        <w:t xml:space="preserve">Mezi deseti nejnavštěvovanějšími obory se u obou druhů vzdělávání zároveň objevují skupiny oborů </w:t>
      </w:r>
      <w:r w:rsidRPr="0043524B">
        <w:rPr>
          <w:rFonts w:cs="Arial"/>
          <w:b/>
          <w:szCs w:val="20"/>
        </w:rPr>
        <w:t>elektrotechnika, telekomunikační a výpočetní technika</w:t>
      </w:r>
      <w:r>
        <w:rPr>
          <w:rFonts w:cs="Arial"/>
          <w:szCs w:val="20"/>
        </w:rPr>
        <w:t>, jakož i</w:t>
      </w:r>
      <w:r w:rsidRPr="00BF0EF8">
        <w:rPr>
          <w:rFonts w:cs="Arial"/>
          <w:szCs w:val="20"/>
        </w:rPr>
        <w:t xml:space="preserve"> </w:t>
      </w:r>
      <w:r w:rsidRPr="0043524B">
        <w:rPr>
          <w:rFonts w:cs="Arial"/>
          <w:b/>
          <w:szCs w:val="20"/>
        </w:rPr>
        <w:t>gastronomie, hotelnictví a turismus</w:t>
      </w:r>
      <w:r w:rsidRPr="00EF4C14">
        <w:rPr>
          <w:rFonts w:cs="Arial"/>
          <w:szCs w:val="20"/>
        </w:rPr>
        <w:t>. Tyto dvě skupiny oborů jsou více upřednostňovány žáky středního</w:t>
      </w:r>
      <w:r>
        <w:rPr>
          <w:rFonts w:cs="Arial"/>
          <w:szCs w:val="20"/>
        </w:rPr>
        <w:t xml:space="preserve"> vzdělávání s výučním listem. U </w:t>
      </w:r>
      <w:r w:rsidRPr="00EF4C14">
        <w:rPr>
          <w:rFonts w:cs="Arial"/>
          <w:szCs w:val="20"/>
        </w:rPr>
        <w:t xml:space="preserve">obou druhů vzdělávání se také mezi deseti nejčastěji navštěvovanými objevuje skupina oborů </w:t>
      </w:r>
      <w:r w:rsidRPr="00C018F3">
        <w:rPr>
          <w:rFonts w:cs="Arial"/>
          <w:b/>
          <w:szCs w:val="20"/>
        </w:rPr>
        <w:t>zdravotnictví</w:t>
      </w:r>
      <w:r w:rsidRPr="00EF4C14">
        <w:rPr>
          <w:rFonts w:cs="Arial"/>
          <w:szCs w:val="20"/>
        </w:rPr>
        <w:t>, které naopak dávají častěji přednost žáci středního vzdělávání s maturitní zkouškou.</w:t>
      </w:r>
    </w:p>
    <w:p w14:paraId="2C282020" w14:textId="56EF16D6" w:rsidR="004E0A54" w:rsidRDefault="002B1785" w:rsidP="00FA7769">
      <w:pPr>
        <w:spacing w:after="120"/>
        <w:jc w:val="both"/>
        <w:rPr>
          <w:rFonts w:cs="Arial"/>
          <w:szCs w:val="20"/>
        </w:rPr>
      </w:pPr>
      <w:r>
        <w:rPr>
          <w:rFonts w:cs="Arial"/>
          <w:szCs w:val="20"/>
        </w:rPr>
        <w:t>Není bez zajímavosti, že v obou druzích vzdělávání se v posledních době výrazně zvyšoval počet žáků v oborech zdravotnictví. Stejně tomu bylo i u vyšších odborných škol (</w:t>
      </w:r>
      <w:r w:rsidR="005372CF">
        <w:rPr>
          <w:rFonts w:cs="Arial"/>
          <w:szCs w:val="20"/>
        </w:rPr>
        <w:t xml:space="preserve">podrobněji </w:t>
      </w:r>
      <w:r>
        <w:rPr>
          <w:rFonts w:cs="Arial"/>
          <w:szCs w:val="20"/>
        </w:rPr>
        <w:t xml:space="preserve">viz dále v této publikaci), ale též vysokých škol (viz publikace </w:t>
      </w:r>
      <w:hyperlink r:id="rId97" w:history="1">
        <w:r w:rsidRPr="004E0A54">
          <w:rPr>
            <w:rStyle w:val="Hypertextovodkaz"/>
            <w:rFonts w:cs="Arial"/>
            <w:szCs w:val="20"/>
          </w:rPr>
          <w:t>Studenti a absolventi vysokých škol v ČR</w:t>
        </w:r>
      </w:hyperlink>
      <w:r>
        <w:rPr>
          <w:rFonts w:cs="Arial"/>
          <w:szCs w:val="20"/>
        </w:rPr>
        <w:t xml:space="preserve">). </w:t>
      </w:r>
    </w:p>
    <w:p w14:paraId="3CB3E203" w14:textId="392686BA" w:rsidR="00FA7769" w:rsidRPr="00EF4C14" w:rsidRDefault="00821CC7" w:rsidP="00FA7769">
      <w:pPr>
        <w:spacing w:after="120"/>
        <w:jc w:val="both"/>
        <w:rPr>
          <w:rFonts w:cs="Arial"/>
          <w:szCs w:val="20"/>
        </w:rPr>
      </w:pPr>
      <w:r>
        <w:rPr>
          <w:rFonts w:cs="Arial"/>
          <w:szCs w:val="20"/>
        </w:rPr>
        <w:t>Graf 3.13</w:t>
      </w:r>
      <w:r w:rsidR="00FA7769" w:rsidRPr="00EF4C14">
        <w:rPr>
          <w:rFonts w:cs="Arial"/>
          <w:szCs w:val="20"/>
        </w:rPr>
        <w:t xml:space="preserve"> nakonec ukazuje počty žáků nástavbového studia dle jednotlivých skupin oborů</w:t>
      </w:r>
      <w:r w:rsidR="0003718B">
        <w:rPr>
          <w:rFonts w:cs="Arial"/>
          <w:szCs w:val="20"/>
        </w:rPr>
        <w:t xml:space="preserve"> vzdělávání</w:t>
      </w:r>
      <w:r w:rsidR="00FA7769" w:rsidRPr="00EF4C14">
        <w:rPr>
          <w:rFonts w:cs="Arial"/>
          <w:szCs w:val="20"/>
        </w:rPr>
        <w:t>. Znázorňuje přitom pouze obory, v</w:t>
      </w:r>
      <w:r w:rsidR="00033FA8">
        <w:rPr>
          <w:rFonts w:cs="Arial"/>
          <w:szCs w:val="20"/>
        </w:rPr>
        <w:t>e</w:t>
      </w:r>
      <w:r w:rsidR="002B1785">
        <w:rPr>
          <w:rFonts w:cs="Arial"/>
          <w:szCs w:val="20"/>
        </w:rPr>
        <w:t xml:space="preserve"> kterých se ve školním roce 2021/22</w:t>
      </w:r>
      <w:r w:rsidR="00FA7769" w:rsidRPr="00EF4C14">
        <w:rPr>
          <w:rFonts w:cs="Arial"/>
          <w:szCs w:val="20"/>
        </w:rPr>
        <w:t xml:space="preserve"> vzdělávalo více než 100 žáků.</w:t>
      </w:r>
    </w:p>
    <w:p w14:paraId="5BF261FB" w14:textId="6B76A164" w:rsidR="00FA7769" w:rsidRDefault="003920E0" w:rsidP="00FA7769">
      <w:pPr>
        <w:keepNext/>
        <w:spacing w:after="120" w:line="240" w:lineRule="auto"/>
        <w:rPr>
          <w:b/>
        </w:rPr>
      </w:pPr>
      <w:r>
        <w:rPr>
          <w:b/>
        </w:rPr>
        <w:lastRenderedPageBreak/>
        <w:t>Graf</w:t>
      </w:r>
      <w:r w:rsidR="00821CC7">
        <w:rPr>
          <w:b/>
        </w:rPr>
        <w:t xml:space="preserve"> 3.13</w:t>
      </w:r>
      <w:r w:rsidR="00FA7769" w:rsidRPr="00F603F0">
        <w:rPr>
          <w:b/>
        </w:rPr>
        <w:t xml:space="preserve"> </w:t>
      </w:r>
      <w:r w:rsidR="00FA7769">
        <w:rPr>
          <w:b/>
        </w:rPr>
        <w:t>N</w:t>
      </w:r>
      <w:r w:rsidR="00FA7769" w:rsidRPr="00F603F0">
        <w:rPr>
          <w:b/>
        </w:rPr>
        <w:t xml:space="preserve">ástavbové studium – žáci dle skupin oborů vzdělávání </w:t>
      </w:r>
      <w:r w:rsidR="00FA7769">
        <w:rPr>
          <w:b/>
        </w:rPr>
        <w:br/>
      </w:r>
      <w:r w:rsidR="00033FA8">
        <w:rPr>
          <w:b/>
        </w:rPr>
        <w:t>(</w:t>
      </w:r>
      <w:r w:rsidR="00FA7769" w:rsidRPr="00F603F0">
        <w:rPr>
          <w:b/>
        </w:rPr>
        <w:t>pouze</w:t>
      </w:r>
      <w:r w:rsidR="00FA7769" w:rsidRPr="00906913">
        <w:rPr>
          <w:b/>
        </w:rPr>
        <w:t xml:space="preserve"> </w:t>
      </w:r>
      <w:r w:rsidR="00FA7769">
        <w:rPr>
          <w:b/>
        </w:rPr>
        <w:t>skupiny oborů s více n</w:t>
      </w:r>
      <w:r w:rsidR="00FD25CE">
        <w:rPr>
          <w:b/>
        </w:rPr>
        <w:t>ež 100 žáků ve školním roce 2021/22</w:t>
      </w:r>
      <w:r w:rsidR="00FA7769" w:rsidRPr="00906913">
        <w:rPr>
          <w:b/>
        </w:rPr>
        <w:t>)</w:t>
      </w:r>
    </w:p>
    <w:p w14:paraId="0AF5DEBC" w14:textId="445C99C2" w:rsidR="00033FA8" w:rsidRDefault="00FD25CE" w:rsidP="00FA7769">
      <w:pPr>
        <w:keepNext/>
        <w:spacing w:after="120" w:line="240" w:lineRule="auto"/>
        <w:rPr>
          <w:b/>
        </w:rPr>
      </w:pPr>
      <w:r>
        <w:rPr>
          <w:noProof/>
        </w:rPr>
        <w:drawing>
          <wp:inline distT="0" distB="0" distL="0" distR="0" wp14:anchorId="580C79F4" wp14:editId="2AE4F4BA">
            <wp:extent cx="6115050" cy="4038600"/>
            <wp:effectExtent l="0" t="0" r="0" b="0"/>
            <wp:docPr id="63" name="Graf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008FC6F6" w14:textId="1F92E298" w:rsidR="00FA7769" w:rsidRPr="00B410D9" w:rsidRDefault="00FA7769" w:rsidP="00CF27F9">
      <w:pPr>
        <w:spacing w:after="120" w:line="276" w:lineRule="auto"/>
        <w:jc w:val="right"/>
        <w:rPr>
          <w:rFonts w:asciiTheme="minorHAnsi" w:hAnsiTheme="minorHAnsi" w:cs="Arial"/>
          <w:sz w:val="18"/>
          <w:szCs w:val="22"/>
        </w:rPr>
      </w:pPr>
      <w:r w:rsidRPr="00F94849">
        <w:rPr>
          <w:rFonts w:cs="Arial"/>
          <w:sz w:val="18"/>
        </w:rPr>
        <w:t>Zdroj: ČSÚ</w:t>
      </w:r>
      <w:r w:rsidRPr="00F94849">
        <w:rPr>
          <w:rFonts w:cs="Arial"/>
          <w:noProof/>
        </w:rPr>
        <w:t xml:space="preserve"> </w:t>
      </w:r>
      <w:r w:rsidRPr="00307699">
        <w:rPr>
          <w:rFonts w:cs="Arial"/>
          <w:sz w:val="18"/>
        </w:rPr>
        <w:t>podle údajů MŠMT</w:t>
      </w:r>
    </w:p>
    <w:p w14:paraId="5DAA6523" w14:textId="17F49F42" w:rsidR="00C018F3" w:rsidRDefault="00FA7769" w:rsidP="00FA7769">
      <w:pPr>
        <w:spacing w:after="120"/>
        <w:jc w:val="both"/>
        <w:rPr>
          <w:rFonts w:cs="Arial"/>
          <w:szCs w:val="20"/>
        </w:rPr>
      </w:pPr>
      <w:r w:rsidRPr="004A5668">
        <w:rPr>
          <w:rFonts w:cs="Arial"/>
          <w:szCs w:val="20"/>
        </w:rPr>
        <w:t xml:space="preserve">Jak je patrné, v obou sledovaných školních rocích se s velkým předstihem nejvíce žáků vzdělávalo ve skupinách oborů </w:t>
      </w:r>
      <w:r w:rsidRPr="00C018F3">
        <w:rPr>
          <w:rFonts w:cs="Arial"/>
          <w:b/>
          <w:szCs w:val="20"/>
        </w:rPr>
        <w:t>podnikání v oborech, odvětví</w:t>
      </w:r>
      <w:r w:rsidRPr="004A5668">
        <w:rPr>
          <w:rStyle w:val="Znakapoznpodarou"/>
          <w:rFonts w:cs="Arial"/>
          <w:szCs w:val="20"/>
        </w:rPr>
        <w:footnoteReference w:id="43"/>
      </w:r>
      <w:r w:rsidR="00270AF2">
        <w:rPr>
          <w:rFonts w:cs="Arial"/>
          <w:szCs w:val="20"/>
        </w:rPr>
        <w:t xml:space="preserve"> (13 455 ve školním roce 2016/17</w:t>
      </w:r>
      <w:r w:rsidR="00F50488">
        <w:rPr>
          <w:rFonts w:cs="Arial"/>
          <w:szCs w:val="20"/>
        </w:rPr>
        <w:t xml:space="preserve"> a </w:t>
      </w:r>
      <w:r w:rsidR="00270AF2">
        <w:rPr>
          <w:rFonts w:cs="Arial"/>
          <w:szCs w:val="20"/>
        </w:rPr>
        <w:t>10 494 ve školním roce 2021/22</w:t>
      </w:r>
      <w:r w:rsidRPr="004A5668">
        <w:rPr>
          <w:rFonts w:cs="Arial"/>
          <w:szCs w:val="20"/>
        </w:rPr>
        <w:t xml:space="preserve">). Již podstatně méně žáků se ve sledovaných rocích vzdělávalo v oborech </w:t>
      </w:r>
      <w:r w:rsidRPr="00C018F3">
        <w:rPr>
          <w:rFonts w:cs="Arial"/>
          <w:b/>
          <w:szCs w:val="20"/>
        </w:rPr>
        <w:t>strojí</w:t>
      </w:r>
      <w:r w:rsidR="00737BFE" w:rsidRPr="00C018F3">
        <w:rPr>
          <w:rFonts w:cs="Arial"/>
          <w:b/>
          <w:szCs w:val="20"/>
        </w:rPr>
        <w:t>renství a</w:t>
      </w:r>
      <w:r w:rsidR="00270AF2" w:rsidRPr="00C018F3">
        <w:rPr>
          <w:rFonts w:cs="Arial"/>
          <w:b/>
          <w:szCs w:val="20"/>
        </w:rPr>
        <w:t> strojírenská výroba</w:t>
      </w:r>
      <w:r w:rsidR="00270AF2">
        <w:rPr>
          <w:rFonts w:cs="Arial"/>
          <w:szCs w:val="20"/>
        </w:rPr>
        <w:t xml:space="preserve"> (1 650 žáků ve školním roce 2016/17</w:t>
      </w:r>
      <w:r w:rsidRPr="004A5668">
        <w:rPr>
          <w:rFonts w:cs="Arial"/>
          <w:szCs w:val="20"/>
        </w:rPr>
        <w:t xml:space="preserve"> a 1 </w:t>
      </w:r>
      <w:r w:rsidR="00270AF2">
        <w:rPr>
          <w:rFonts w:cs="Arial"/>
          <w:szCs w:val="20"/>
        </w:rPr>
        <w:t>219 ve školním roce 2021/22</w:t>
      </w:r>
      <w:r w:rsidRPr="004A5668">
        <w:rPr>
          <w:rFonts w:cs="Arial"/>
          <w:szCs w:val="20"/>
        </w:rPr>
        <w:t xml:space="preserve">), </w:t>
      </w:r>
      <w:r w:rsidRPr="00C018F3">
        <w:rPr>
          <w:rFonts w:cs="Arial"/>
          <w:b/>
          <w:szCs w:val="20"/>
        </w:rPr>
        <w:t>elektrotechnika, telekom</w:t>
      </w:r>
      <w:r w:rsidR="00737BFE" w:rsidRPr="00C018F3">
        <w:rPr>
          <w:rFonts w:cs="Arial"/>
          <w:b/>
          <w:szCs w:val="20"/>
        </w:rPr>
        <w:t>unikační a výpočetní technika</w:t>
      </w:r>
      <w:r w:rsidR="00737BFE">
        <w:rPr>
          <w:rFonts w:cs="Arial"/>
          <w:szCs w:val="20"/>
        </w:rPr>
        <w:t xml:space="preserve"> (</w:t>
      </w:r>
      <w:r w:rsidR="00270AF2">
        <w:rPr>
          <w:rFonts w:cs="Arial"/>
          <w:szCs w:val="20"/>
        </w:rPr>
        <w:t>840 žáků ve školním roce 2016/17 a 746 ve školním roce 2021/22</w:t>
      </w:r>
      <w:r w:rsidR="00CD374B">
        <w:rPr>
          <w:rFonts w:cs="Arial"/>
          <w:szCs w:val="20"/>
        </w:rPr>
        <w:t>),</w:t>
      </w:r>
      <w:r w:rsidRPr="004A5668">
        <w:rPr>
          <w:rFonts w:cs="Arial"/>
          <w:szCs w:val="20"/>
        </w:rPr>
        <w:t xml:space="preserve"> </w:t>
      </w:r>
      <w:r w:rsidRPr="00C018F3">
        <w:rPr>
          <w:rFonts w:cs="Arial"/>
          <w:b/>
          <w:szCs w:val="20"/>
        </w:rPr>
        <w:t>gastro</w:t>
      </w:r>
      <w:r w:rsidR="00737BFE" w:rsidRPr="00C018F3">
        <w:rPr>
          <w:rFonts w:cs="Arial"/>
          <w:b/>
          <w:szCs w:val="20"/>
        </w:rPr>
        <w:t>nomie, hotelnictví a turismus</w:t>
      </w:r>
      <w:r w:rsidR="00737BFE">
        <w:rPr>
          <w:rFonts w:cs="Arial"/>
          <w:szCs w:val="20"/>
        </w:rPr>
        <w:t xml:space="preserve"> (</w:t>
      </w:r>
      <w:r w:rsidR="00270AF2">
        <w:rPr>
          <w:rFonts w:cs="Arial"/>
          <w:szCs w:val="20"/>
        </w:rPr>
        <w:t>708 žáků ve školním roce 2016/17</w:t>
      </w:r>
      <w:r w:rsidRPr="004A5668">
        <w:rPr>
          <w:rFonts w:cs="Arial"/>
          <w:szCs w:val="20"/>
        </w:rPr>
        <w:t xml:space="preserve"> a </w:t>
      </w:r>
      <w:r w:rsidR="00270AF2">
        <w:rPr>
          <w:rFonts w:cs="Arial"/>
          <w:szCs w:val="20"/>
        </w:rPr>
        <w:t>465 ve školním roce 2021/22</w:t>
      </w:r>
      <w:r w:rsidRPr="004A5668">
        <w:rPr>
          <w:rFonts w:cs="Arial"/>
          <w:szCs w:val="20"/>
        </w:rPr>
        <w:t>)</w:t>
      </w:r>
      <w:r w:rsidR="00CD374B">
        <w:rPr>
          <w:rFonts w:cs="Arial"/>
          <w:szCs w:val="20"/>
        </w:rPr>
        <w:t xml:space="preserve">  a </w:t>
      </w:r>
      <w:r w:rsidR="00CD374B" w:rsidRPr="00C018F3">
        <w:rPr>
          <w:rFonts w:cs="Arial"/>
          <w:b/>
          <w:szCs w:val="20"/>
        </w:rPr>
        <w:t>právo, práv</w:t>
      </w:r>
      <w:r w:rsidR="00270AF2" w:rsidRPr="00C018F3">
        <w:rPr>
          <w:rFonts w:cs="Arial"/>
          <w:b/>
          <w:szCs w:val="20"/>
        </w:rPr>
        <w:t>ní a veřejnosprávní činnost</w:t>
      </w:r>
      <w:r w:rsidR="00270AF2">
        <w:rPr>
          <w:rFonts w:cs="Arial"/>
          <w:szCs w:val="20"/>
        </w:rPr>
        <w:t xml:space="preserve"> (498 žáků ve školním roce 2016/17</w:t>
      </w:r>
      <w:r w:rsidR="00CD374B" w:rsidRPr="004A5668">
        <w:rPr>
          <w:rFonts w:cs="Arial"/>
          <w:szCs w:val="20"/>
        </w:rPr>
        <w:t xml:space="preserve"> a </w:t>
      </w:r>
      <w:r w:rsidR="00270AF2">
        <w:rPr>
          <w:rFonts w:cs="Arial"/>
          <w:szCs w:val="20"/>
        </w:rPr>
        <w:t>376 ve školním roce 2021/22</w:t>
      </w:r>
      <w:r w:rsidR="00CD374B" w:rsidRPr="004A5668">
        <w:rPr>
          <w:rFonts w:cs="Arial"/>
          <w:szCs w:val="20"/>
        </w:rPr>
        <w:t>)</w:t>
      </w:r>
      <w:r w:rsidRPr="004A5668">
        <w:rPr>
          <w:rFonts w:cs="Arial"/>
          <w:szCs w:val="20"/>
        </w:rPr>
        <w:t xml:space="preserve">. Ostatní skupiny oborů již </w:t>
      </w:r>
      <w:r w:rsidR="002D74C7">
        <w:rPr>
          <w:rFonts w:cs="Arial"/>
          <w:szCs w:val="20"/>
        </w:rPr>
        <w:t>ve školním roce 2021/22</w:t>
      </w:r>
      <w:r w:rsidRPr="004A5668">
        <w:rPr>
          <w:rFonts w:cs="Arial"/>
          <w:szCs w:val="20"/>
        </w:rPr>
        <w:t xml:space="preserve"> </w:t>
      </w:r>
      <w:r w:rsidR="00CD374B">
        <w:rPr>
          <w:rFonts w:cs="Arial"/>
          <w:szCs w:val="20"/>
        </w:rPr>
        <w:t>zaznamenaly</w:t>
      </w:r>
      <w:r w:rsidR="00270AF2">
        <w:rPr>
          <w:rFonts w:cs="Arial"/>
          <w:szCs w:val="20"/>
        </w:rPr>
        <w:t xml:space="preserve"> již méně než</w:t>
      </w:r>
      <w:r w:rsidR="00CD374B">
        <w:rPr>
          <w:rFonts w:cs="Arial"/>
          <w:szCs w:val="20"/>
        </w:rPr>
        <w:t xml:space="preserve"> 2</w:t>
      </w:r>
      <w:r w:rsidR="00C018F3">
        <w:rPr>
          <w:rFonts w:cs="Arial"/>
          <w:szCs w:val="20"/>
        </w:rPr>
        <w:t>3</w:t>
      </w:r>
      <w:r w:rsidR="00270AF2">
        <w:rPr>
          <w:rFonts w:cs="Arial"/>
          <w:szCs w:val="20"/>
        </w:rPr>
        <w:t>0</w:t>
      </w:r>
      <w:r w:rsidR="00CD374B">
        <w:rPr>
          <w:rFonts w:cs="Arial"/>
          <w:szCs w:val="20"/>
        </w:rPr>
        <w:t xml:space="preserve"> </w:t>
      </w:r>
      <w:r w:rsidRPr="004A5668">
        <w:rPr>
          <w:rFonts w:cs="Arial"/>
          <w:szCs w:val="20"/>
        </w:rPr>
        <w:t>žáků.</w:t>
      </w:r>
      <w:r w:rsidR="00C018F3">
        <w:rPr>
          <w:rFonts w:cs="Arial"/>
          <w:szCs w:val="20"/>
        </w:rPr>
        <w:t xml:space="preserve"> </w:t>
      </w:r>
    </w:p>
    <w:p w14:paraId="4DDE14B9" w14:textId="3C0FA59D" w:rsidR="00EF1975" w:rsidRDefault="0088001A" w:rsidP="00EF1975">
      <w:pPr>
        <w:pStyle w:val="Textpoznpodarou"/>
        <w:spacing w:line="288" w:lineRule="auto"/>
        <w:jc w:val="both"/>
        <w:rPr>
          <w:rFonts w:ascii="Arial" w:hAnsi="Arial" w:cs="Arial"/>
        </w:rPr>
      </w:pPr>
      <w:r w:rsidRPr="00EF1975">
        <w:rPr>
          <w:rFonts w:ascii="Arial" w:hAnsi="Arial" w:cs="Arial"/>
        </w:rPr>
        <w:t xml:space="preserve">Lze </w:t>
      </w:r>
      <w:r w:rsidR="004F1EBD">
        <w:rPr>
          <w:rFonts w:ascii="Arial" w:hAnsi="Arial" w:cs="Arial"/>
        </w:rPr>
        <w:t xml:space="preserve">si </w:t>
      </w:r>
      <w:r w:rsidRPr="00EF1975">
        <w:rPr>
          <w:rFonts w:ascii="Arial" w:hAnsi="Arial" w:cs="Arial"/>
        </w:rPr>
        <w:t xml:space="preserve">všimnout, že téměř všechny skupiny oborů v grafu zaznamenaly v čase úbytek počtu žáků. Výjimku tvoří </w:t>
      </w:r>
      <w:r w:rsidRPr="00EF1975">
        <w:rPr>
          <w:rFonts w:ascii="Arial" w:hAnsi="Arial" w:cs="Arial"/>
          <w:b/>
        </w:rPr>
        <w:t>speciální a interdisciplinární obory</w:t>
      </w:r>
      <w:r w:rsidRPr="00EF1975">
        <w:rPr>
          <w:rFonts w:ascii="Arial" w:hAnsi="Arial" w:cs="Arial"/>
        </w:rPr>
        <w:t xml:space="preserve"> (nárůst ze 145 na 191 žáků) a </w:t>
      </w:r>
      <w:r w:rsidRPr="00EF1975">
        <w:rPr>
          <w:rFonts w:ascii="Arial" w:hAnsi="Arial" w:cs="Arial"/>
          <w:b/>
        </w:rPr>
        <w:t>potravinářství a potravinářská chemie</w:t>
      </w:r>
      <w:r w:rsidRPr="00EF1975">
        <w:rPr>
          <w:rFonts w:ascii="Arial" w:hAnsi="Arial" w:cs="Arial"/>
        </w:rPr>
        <w:t xml:space="preserve"> (nárůst ze 72 na 107 žáků). Naopak</w:t>
      </w:r>
      <w:r w:rsidR="00C018F3" w:rsidRPr="00EF1975">
        <w:rPr>
          <w:rFonts w:ascii="Arial" w:hAnsi="Arial" w:cs="Arial"/>
        </w:rPr>
        <w:t> </w:t>
      </w:r>
      <w:r w:rsidR="00270AF2" w:rsidRPr="00EF1975">
        <w:rPr>
          <w:rFonts w:ascii="Arial" w:hAnsi="Arial" w:cs="Arial"/>
        </w:rPr>
        <w:t xml:space="preserve">obory ze skupiny </w:t>
      </w:r>
      <w:r w:rsidR="00270AF2" w:rsidRPr="00EF1975">
        <w:rPr>
          <w:rFonts w:ascii="Arial" w:hAnsi="Arial" w:cs="Arial"/>
          <w:b/>
        </w:rPr>
        <w:t>stavebnictví, geodézie a kartografie</w:t>
      </w:r>
      <w:r w:rsidR="00270AF2" w:rsidRPr="00EF1975">
        <w:rPr>
          <w:rFonts w:ascii="Arial" w:hAnsi="Arial" w:cs="Arial"/>
        </w:rPr>
        <w:t xml:space="preserve"> čítaly </w:t>
      </w:r>
      <w:r w:rsidR="00C018F3" w:rsidRPr="00EF1975">
        <w:rPr>
          <w:rFonts w:ascii="Arial" w:hAnsi="Arial" w:cs="Arial"/>
        </w:rPr>
        <w:t xml:space="preserve">ještě </w:t>
      </w:r>
      <w:r w:rsidR="00270AF2" w:rsidRPr="00EF1975">
        <w:rPr>
          <w:rFonts w:ascii="Arial" w:hAnsi="Arial" w:cs="Arial"/>
        </w:rPr>
        <w:t>ve školním roce 2016/17 stejný počet žáků jako právní obory</w:t>
      </w:r>
      <w:r w:rsidR="00C018F3" w:rsidRPr="00EF1975">
        <w:rPr>
          <w:rFonts w:ascii="Arial" w:hAnsi="Arial" w:cs="Arial"/>
        </w:rPr>
        <w:t xml:space="preserve">, ve školním roce 2021/22 </w:t>
      </w:r>
      <w:r w:rsidR="00585357">
        <w:rPr>
          <w:rFonts w:ascii="Arial" w:hAnsi="Arial" w:cs="Arial"/>
        </w:rPr>
        <w:t>se v nich však vzdělávalo již</w:t>
      </w:r>
      <w:r w:rsidR="00C018F3" w:rsidRPr="00EF1975">
        <w:rPr>
          <w:rFonts w:ascii="Arial" w:hAnsi="Arial" w:cs="Arial"/>
        </w:rPr>
        <w:t xml:space="preserve"> jen 210 žáků. V uplynulých pěti letech tak zaznamenaly ze všech skupin oborů nástavbového studia druhý největší relativní propad počtu žáků, a sice o 57,8 %. </w:t>
      </w:r>
      <w:r w:rsidR="00EF1975" w:rsidRPr="00EF1975">
        <w:rPr>
          <w:rFonts w:ascii="Arial" w:hAnsi="Arial" w:cs="Arial"/>
        </w:rPr>
        <w:t xml:space="preserve">Ještě větší </w:t>
      </w:r>
      <w:r w:rsidR="00216DA0">
        <w:rPr>
          <w:rFonts w:ascii="Arial" w:hAnsi="Arial" w:cs="Arial"/>
        </w:rPr>
        <w:t xml:space="preserve">pokles vyjádřený v procentech </w:t>
      </w:r>
      <w:r w:rsidR="00EF1975" w:rsidRPr="00EF1975">
        <w:rPr>
          <w:rFonts w:ascii="Arial" w:hAnsi="Arial" w:cs="Arial"/>
        </w:rPr>
        <w:t xml:space="preserve"> zaznamenala skupina oborů technická chemie a chemie silikátů, ta však ve školním roce 2021/22 čítala jen čtyři žáky. P</w:t>
      </w:r>
      <w:r w:rsidR="00216DA0">
        <w:rPr>
          <w:rFonts w:ascii="Arial" w:hAnsi="Arial" w:cs="Arial"/>
        </w:rPr>
        <w:t>ropad o </w:t>
      </w:r>
      <w:r w:rsidR="00EF1975" w:rsidRPr="00EF1975">
        <w:rPr>
          <w:rFonts w:ascii="Arial" w:hAnsi="Arial" w:cs="Arial"/>
        </w:rPr>
        <w:t>třetinu (34,3 %) zaznamenala též skupina oborů gastronomie, hotelnictví a turismus. Ostatní skupiny oborů zaznamenaly cca čtvrtinový a menší propad počtu žáků.</w:t>
      </w:r>
    </w:p>
    <w:p w14:paraId="23192154" w14:textId="342668DE" w:rsidR="00D65631" w:rsidRDefault="00D65631" w:rsidP="00EF1975">
      <w:pPr>
        <w:pStyle w:val="Textpoznpodarou"/>
        <w:spacing w:line="288" w:lineRule="auto"/>
        <w:jc w:val="both"/>
        <w:rPr>
          <w:rFonts w:ascii="Arial" w:hAnsi="Arial" w:cs="Arial"/>
        </w:rPr>
      </w:pPr>
    </w:p>
    <w:p w14:paraId="27EF7286" w14:textId="77777777" w:rsidR="00FA7769" w:rsidRDefault="00FA7769" w:rsidP="00FA7769">
      <w:pPr>
        <w:spacing w:after="120" w:line="240" w:lineRule="auto"/>
        <w:rPr>
          <w:b/>
          <w:sz w:val="24"/>
        </w:rPr>
      </w:pPr>
    </w:p>
    <w:p w14:paraId="59792C03" w14:textId="71E4A929" w:rsidR="007431D5" w:rsidRDefault="00FA7769" w:rsidP="007431D5">
      <w:pPr>
        <w:pStyle w:val="Nadpis2"/>
      </w:pPr>
      <w:bookmarkStart w:id="23" w:name="_Toc112069087"/>
      <w:r w:rsidRPr="00FC43AD">
        <w:lastRenderedPageBreak/>
        <w:t>3.3 Žáci středních škol dle zdravotního postižení a integrace</w:t>
      </w:r>
      <w:bookmarkEnd w:id="23"/>
      <w:r w:rsidRPr="005E552D">
        <w:t xml:space="preserve"> </w:t>
      </w:r>
    </w:p>
    <w:p w14:paraId="6C3A714B" w14:textId="77777777" w:rsidR="007431D5" w:rsidRPr="007431D5" w:rsidRDefault="007431D5" w:rsidP="007431D5">
      <w:pPr>
        <w:spacing w:after="120" w:line="240" w:lineRule="auto"/>
      </w:pPr>
    </w:p>
    <w:p w14:paraId="1364D198" w14:textId="66CBB2F0" w:rsidR="00FA7769" w:rsidRDefault="009C43F4" w:rsidP="00FA7769">
      <w:pPr>
        <w:spacing w:after="120"/>
        <w:jc w:val="both"/>
      </w:pPr>
      <w:r>
        <w:t>V oblasti vzdělávání se používá pojem „žáci</w:t>
      </w:r>
      <w:r w:rsidR="00FA7769" w:rsidRPr="004A5668">
        <w:t xml:space="preserve"> se speciálními vzdělávacími potřebami</w:t>
      </w:r>
      <w:r>
        <w:t>“.</w:t>
      </w:r>
      <w:r w:rsidR="00FA7769" w:rsidRPr="004A5668">
        <w:t xml:space="preserve"> </w:t>
      </w:r>
      <w:r>
        <w:t>Tam se</w:t>
      </w:r>
      <w:r w:rsidR="00FA7769" w:rsidRPr="004A5668">
        <w:t xml:space="preserve"> vedle žáků se zdravotním postižením řadí též žáci se zdravotním znevýhodněním (tj. zdravotním oslabením, dlouhodobým onemocněním a lehčími zdravotními poruchami vedoucími k poruchám učení a chování) a se sociálním znevýho</w:t>
      </w:r>
      <w:r w:rsidR="007D0F30">
        <w:t>dněním (</w:t>
      </w:r>
      <w:r w:rsidR="00091BCC">
        <w:t xml:space="preserve">často jimi bývají žáci </w:t>
      </w:r>
      <w:r w:rsidR="007D0F30">
        <w:t>z rodinného prostředí s </w:t>
      </w:r>
      <w:r w:rsidR="00FA7769" w:rsidRPr="004A5668">
        <w:t>nízkým sociálně kulturním postavením, ohrožení sociálně patologickými jevy, s nařízenou ústavní výchovou ne</w:t>
      </w:r>
      <w:r w:rsidR="00091BCC">
        <w:t>bo uloženou ochrannou výchovou či</w:t>
      </w:r>
      <w:r w:rsidR="00FA7769" w:rsidRPr="004A5668">
        <w:t xml:space="preserve"> žáci v  postavení azylantů a účastníků řízení o udělení azylu) - viz § 16 školského zákona (zákon č. 561/2004 Sb.). Vzhledem k dostupnosti dat v časové řadě se však </w:t>
      </w:r>
      <w:r>
        <w:t xml:space="preserve">v této analýze </w:t>
      </w:r>
      <w:r w:rsidR="00FA7769" w:rsidRPr="004A5668">
        <w:t>omezíme na kategorii žáků se zdravotním postižením.</w:t>
      </w:r>
    </w:p>
    <w:p w14:paraId="09243BB1" w14:textId="29186A9F" w:rsidR="009C43F4" w:rsidRDefault="009C43F4" w:rsidP="009C43F4">
      <w:pPr>
        <w:spacing w:before="120" w:after="120"/>
        <w:jc w:val="both"/>
      </w:pPr>
      <w:r w:rsidRPr="004A5668">
        <w:t xml:space="preserve">Žáci se zdravotním postižením jsou žáci s postižením mentálním, sluchovým, se závažnými </w:t>
      </w:r>
      <w:r>
        <w:t>vadami řeči, s </w:t>
      </w:r>
      <w:r w:rsidRPr="004A5668">
        <w:t>postižením tělesným, se závažnými vývojovými poruchami učení a chování a s poruchami autistického spektra, příp. žáci s více vadami</w:t>
      </w:r>
      <w:r w:rsidRPr="004A5668">
        <w:rPr>
          <w:rStyle w:val="Znakapoznpodarou"/>
        </w:rPr>
        <w:footnoteReference w:id="44"/>
      </w:r>
      <w:r w:rsidRPr="004A5668">
        <w:t xml:space="preserve">. Ti mohou být individuálně integrováni do běžných tříd, zařazeni do speciálních tříd na běžných školách, nebo navštěvovat školy zaměřené primárně na výuku žáků se speciálními vzdělávacími potřebami (tj. školy </w:t>
      </w:r>
      <w:r>
        <w:t xml:space="preserve">pouze se speciálními třídami). </w:t>
      </w:r>
    </w:p>
    <w:p w14:paraId="28BF2197" w14:textId="19F83F5D" w:rsidR="00692076" w:rsidRPr="004A5668" w:rsidRDefault="00692076" w:rsidP="00692076">
      <w:pPr>
        <w:spacing w:after="120"/>
        <w:jc w:val="both"/>
      </w:pPr>
      <w:r>
        <w:t>Než přejdeme k prezentaci statistik, je dobré uvést, že ve sledovaném období mohlo kromě změn ve sledování statistik dojít ke změně diagnostiky onemocnění a zejména pak k rozšíření diagnostických kritérií, díky kterým lze přesněji a lépe postižené kategorizovat a poskytnout jim potřebnou podporu. Kromě toho se zvýšila informovanost odborníků i laiků co se poruch autistického spektra a vývojových poruch týče. Vzestup podílu žáků středních škol se zdravotním postižením pak může být zapříčiněn zvyšujícím se věkem rodičů při narození dítěte</w:t>
      </w:r>
      <w:r>
        <w:rPr>
          <w:vertAlign w:val="superscript"/>
        </w:rPr>
        <w:footnoteReference w:id="45"/>
      </w:r>
      <w:r>
        <w:t>. Spolu s tím totiž stoupá rizi</w:t>
      </w:r>
      <w:r w:rsidR="004F1EBD">
        <w:t>ko porodu dítěte s postižením. To</w:t>
      </w:r>
      <w:r>
        <w:t xml:space="preserve"> vše může hrát roli. Je však také možné, že se mění přístup škol, které mohou vycházet žákům s postižením stále více vstříc, poskytovat jim potřebné zázemí pro vzdělávání a činit pro ně střední vzdělávání dostupnější.</w:t>
      </w:r>
    </w:p>
    <w:p w14:paraId="4B95F37F" w14:textId="1A436F5D" w:rsidR="005B5339" w:rsidRDefault="002D29A6" w:rsidP="00FA7769">
      <w:pPr>
        <w:spacing w:after="120"/>
        <w:jc w:val="both"/>
      </w:pPr>
      <w:r w:rsidRPr="00612F79">
        <w:t>Mezi š</w:t>
      </w:r>
      <w:r w:rsidR="0083420B">
        <w:t>kolními roky 2011/12 a 2021/22</w:t>
      </w:r>
      <w:r w:rsidR="00FA7769" w:rsidRPr="00612F79">
        <w:t xml:space="preserve"> přibylo ve středních školách žáků </w:t>
      </w:r>
      <w:r w:rsidR="00FF0857">
        <w:t>s diagnostikovaným</w:t>
      </w:r>
      <w:r w:rsidR="00FA7769" w:rsidRPr="00AB1A99">
        <w:t xml:space="preserve"> zdravotním postižením o </w:t>
      </w:r>
      <w:r w:rsidR="00B2426E">
        <w:t xml:space="preserve"> 26,9</w:t>
      </w:r>
      <w:r w:rsidR="00AB1A99">
        <w:t> %</w:t>
      </w:r>
      <w:r w:rsidR="00FA7769" w:rsidRPr="00AB1A99">
        <w:t>.</w:t>
      </w:r>
      <w:r w:rsidR="00C22DC5">
        <w:rPr>
          <w:rStyle w:val="Znakapoznpodarou"/>
        </w:rPr>
        <w:footnoteReference w:id="46"/>
      </w:r>
      <w:r w:rsidR="00FA7769" w:rsidRPr="004A5668">
        <w:t xml:space="preserve"> </w:t>
      </w:r>
      <w:r w:rsidR="0083420B">
        <w:t xml:space="preserve">Oproti předchozímu roku však žáků s postižením naopak o 3,7 % ubylo. </w:t>
      </w:r>
      <w:r w:rsidR="00FA7769" w:rsidRPr="004A5668">
        <w:t xml:space="preserve">Přitom </w:t>
      </w:r>
      <w:r w:rsidR="0083420B">
        <w:t xml:space="preserve">počet </w:t>
      </w:r>
      <w:r w:rsidR="00FA7769" w:rsidRPr="004A5668">
        <w:t xml:space="preserve">žáků středních škol </w:t>
      </w:r>
      <w:r w:rsidR="0083420B">
        <w:t xml:space="preserve">od školního </w:t>
      </w:r>
      <w:r w:rsidR="005B5339">
        <w:t>roku 2018/19 rok od roku stoupá, a to v průměru o 2 % ročně</w:t>
      </w:r>
      <w:r w:rsidR="00FA7769" w:rsidRPr="004A5668">
        <w:t xml:space="preserve">. </w:t>
      </w:r>
    </w:p>
    <w:p w14:paraId="1DC96B7B" w14:textId="064EF057" w:rsidR="00FA7769" w:rsidRPr="004A5668" w:rsidRDefault="00840090" w:rsidP="00FA7769">
      <w:pPr>
        <w:spacing w:after="120"/>
        <w:jc w:val="both"/>
      </w:pPr>
      <w:r>
        <w:t>Celkově</w:t>
      </w:r>
      <w:r w:rsidR="005B5339">
        <w:t xml:space="preserve"> se</w:t>
      </w:r>
      <w:r>
        <w:t xml:space="preserve"> </w:t>
      </w:r>
      <w:r w:rsidR="00FA7769" w:rsidRPr="004A5668">
        <w:t>za sledov</w:t>
      </w:r>
      <w:r w:rsidR="007A3120">
        <w:t>ané období zvýšil podíl</w:t>
      </w:r>
      <w:r w:rsidR="00FA7769" w:rsidRPr="004A5668">
        <w:t xml:space="preserve"> žáků s diagnostikovaným postižením</w:t>
      </w:r>
      <w:r w:rsidR="007A3120">
        <w:t xml:space="preserve"> ze všech žáků středních škol</w:t>
      </w:r>
      <w:r w:rsidR="00FA7769" w:rsidRPr="004A5668">
        <w:t xml:space="preserve"> </w:t>
      </w:r>
      <w:r w:rsidR="005B5339">
        <w:t xml:space="preserve">z 3,8 % </w:t>
      </w:r>
      <w:r w:rsidR="00351746">
        <w:t xml:space="preserve">ve školním roce 2011/12 </w:t>
      </w:r>
      <w:r w:rsidR="005B5339">
        <w:t>na 5,4</w:t>
      </w:r>
      <w:r>
        <w:t xml:space="preserve"> % </w:t>
      </w:r>
      <w:r w:rsidR="00351746">
        <w:t xml:space="preserve">ve školním roce 2021/22 </w:t>
      </w:r>
      <w:r w:rsidR="004259A4">
        <w:t>– viz graf 3.14</w:t>
      </w:r>
      <w:r w:rsidR="00FA7769" w:rsidRPr="004A5668">
        <w:t xml:space="preserve">. </w:t>
      </w:r>
      <w:r w:rsidR="00612F79">
        <w:t xml:space="preserve">Tento podíl </w:t>
      </w:r>
      <w:r w:rsidR="005B5339">
        <w:t>od školního roku 2011/12 do školního roku 2017/18 soustavně stoupal, poté začal kolísat. Nejvyšší byl tento podíl ve školním roce 2019/20, a sice 5,9 %, další dva školní roky pak klesal.</w:t>
      </w:r>
    </w:p>
    <w:p w14:paraId="532D12CE" w14:textId="5DA30512" w:rsidR="00FA7769" w:rsidRDefault="004259A4" w:rsidP="00FA7769">
      <w:pPr>
        <w:keepNext/>
        <w:spacing w:after="120" w:line="240" w:lineRule="auto"/>
        <w:rPr>
          <w:b/>
          <w:noProof/>
        </w:rPr>
      </w:pPr>
      <w:r>
        <w:rPr>
          <w:b/>
          <w:noProof/>
        </w:rPr>
        <w:lastRenderedPageBreak/>
        <w:t>Graf 3.14</w:t>
      </w:r>
      <w:r w:rsidR="00FA7769" w:rsidRPr="001A4C13">
        <w:rPr>
          <w:b/>
          <w:noProof/>
        </w:rPr>
        <w:t xml:space="preserve"> </w:t>
      </w:r>
      <w:r w:rsidR="00FA7769">
        <w:rPr>
          <w:b/>
        </w:rPr>
        <w:t>Střední školy</w:t>
      </w:r>
      <w:r w:rsidR="00FA7769" w:rsidRPr="00C3589B">
        <w:t xml:space="preserve"> </w:t>
      </w:r>
      <w:r w:rsidR="002D29A6">
        <w:rPr>
          <w:b/>
          <w:noProof/>
        </w:rPr>
        <w:t>–</w:t>
      </w:r>
      <w:r w:rsidR="00FA7769" w:rsidRPr="001A4C13">
        <w:rPr>
          <w:b/>
          <w:noProof/>
        </w:rPr>
        <w:t xml:space="preserve"> </w:t>
      </w:r>
      <w:r w:rsidR="002D29A6">
        <w:rPr>
          <w:b/>
          <w:noProof/>
        </w:rPr>
        <w:t xml:space="preserve">počet a </w:t>
      </w:r>
      <w:r w:rsidR="00FA7769" w:rsidRPr="001A4C13">
        <w:rPr>
          <w:b/>
          <w:noProof/>
        </w:rPr>
        <w:t>podíl žáků se zdravotním postižením</w:t>
      </w:r>
      <w:r w:rsidR="004D2A8C">
        <w:rPr>
          <w:b/>
          <w:noProof/>
        </w:rPr>
        <w:t>, integrace do běžných tříd</w:t>
      </w:r>
    </w:p>
    <w:p w14:paraId="0337451D" w14:textId="4FF2C7C8" w:rsidR="00FA7769" w:rsidRDefault="006D29E3" w:rsidP="00FA7769">
      <w:pPr>
        <w:keepNext/>
        <w:spacing w:after="120" w:line="240" w:lineRule="auto"/>
        <w:rPr>
          <w:b/>
          <w:noProof/>
        </w:rPr>
      </w:pPr>
      <w:r>
        <w:rPr>
          <w:noProof/>
        </w:rPr>
        <w:drawing>
          <wp:inline distT="0" distB="0" distL="0" distR="0" wp14:anchorId="2800D660" wp14:editId="7EA10DFD">
            <wp:extent cx="6120130" cy="3219450"/>
            <wp:effectExtent l="0" t="0" r="13970" b="0"/>
            <wp:docPr id="1"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A632447" w14:textId="77777777" w:rsidR="00FA7769" w:rsidRPr="00B410D9" w:rsidRDefault="00FA7769" w:rsidP="004A2C68">
      <w:pPr>
        <w:spacing w:after="120" w:line="276" w:lineRule="auto"/>
        <w:jc w:val="right"/>
        <w:rPr>
          <w:rFonts w:asciiTheme="minorHAnsi" w:hAnsiTheme="minorHAnsi"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4873A138" w14:textId="38D69DD3" w:rsidR="00FA7769" w:rsidRPr="004A5668" w:rsidRDefault="00FA7769" w:rsidP="00FA7769">
      <w:pPr>
        <w:spacing w:after="120"/>
        <w:jc w:val="both"/>
      </w:pPr>
      <w:r w:rsidRPr="004A5668">
        <w:t>Při porovnání se situací v základních školách lze konstatovat, že podíl žáků se zdravotním pos</w:t>
      </w:r>
      <w:r w:rsidR="005B5339">
        <w:t>tižením byl ve školním roce 2021/22</w:t>
      </w:r>
      <w:r w:rsidRPr="004A5668">
        <w:t xml:space="preserve"> v základních školách </w:t>
      </w:r>
      <w:r w:rsidR="005B5339">
        <w:t>výrazně vyšší (11,6 % oproti 5,4</w:t>
      </w:r>
      <w:r w:rsidRPr="004A5668">
        <w:t xml:space="preserve"> %). </w:t>
      </w:r>
      <w:r w:rsidR="001D2643">
        <w:t>To může být ovlivněné skutečností</w:t>
      </w:r>
      <w:r w:rsidRPr="004A5668">
        <w:t>, že základní vzdělávání je na rozdíl od středního povinné</w:t>
      </w:r>
      <w:r w:rsidR="00023AA4">
        <w:t xml:space="preserve"> pro všechny děti bez rozdílu</w:t>
      </w:r>
      <w:r w:rsidRPr="004A5668">
        <w:t>.</w:t>
      </w:r>
      <w:r w:rsidR="001D2643">
        <w:t xml:space="preserve"> Svou </w:t>
      </w:r>
      <w:r w:rsidR="00AC7DE1">
        <w:t>ú</w:t>
      </w:r>
      <w:r w:rsidR="001D2643">
        <w:t xml:space="preserve">lohu však mohou sehrát i případné rozdíly v nárocích na různé formy podpory na jednotlivých úrovních vzdělávání, příp. jejich kompetence a subjektivně vnímaná potřeba je využívat. </w:t>
      </w:r>
    </w:p>
    <w:p w14:paraId="6207F8A1" w14:textId="2FF9E712" w:rsidR="009137FD" w:rsidRDefault="005B5339" w:rsidP="00BF7F41">
      <w:pPr>
        <w:spacing w:after="120"/>
        <w:jc w:val="both"/>
      </w:pPr>
      <w:r>
        <w:t>Mezi školními roky 2011/12</w:t>
      </w:r>
      <w:r w:rsidR="00351746">
        <w:t xml:space="preserve"> a 2020/21</w:t>
      </w:r>
      <w:r w:rsidR="00FA7769" w:rsidRPr="004A5668">
        <w:t xml:space="preserve"> se </w:t>
      </w:r>
      <w:r w:rsidR="00A70867">
        <w:t>výrazně zvýšil</w:t>
      </w:r>
      <w:r w:rsidR="00FA7769" w:rsidRPr="004A5668">
        <w:t xml:space="preserve"> podíl žáků se zdravotním postižením </w:t>
      </w:r>
      <w:r w:rsidR="00FA7769" w:rsidRPr="00A70867">
        <w:rPr>
          <w:b/>
        </w:rPr>
        <w:t>integrovaných do běžných tříd</w:t>
      </w:r>
      <w:r w:rsidR="00A70867" w:rsidRPr="00A70867">
        <w:t>,</w:t>
      </w:r>
      <w:r w:rsidR="00A70867">
        <w:rPr>
          <w:b/>
        </w:rPr>
        <w:t xml:space="preserve"> </w:t>
      </w:r>
      <w:r w:rsidR="00A70867" w:rsidRPr="00A70867">
        <w:t>a sice z 38,1 % na 68,7 %.</w:t>
      </w:r>
      <w:r w:rsidR="00FA7769" w:rsidRPr="004A5668">
        <w:t xml:space="preserve"> </w:t>
      </w:r>
      <w:r w:rsidR="00A70867">
        <w:t>Za poslední rok však došlo k mírnému poklesu na 67 %. Obdobný vývoj zaznamenaly i základní školy, pouze u mateřských škol došlo za poslední rok k nárůstu podílu dětí integrovaných do běžných tříd (viz výše v této zprávě, příp. v tabulkové příloze).</w:t>
      </w:r>
      <w:r w:rsidR="00FA7769" w:rsidRPr="00E40EDE">
        <w:t xml:space="preserve"> </w:t>
      </w:r>
    </w:p>
    <w:p w14:paraId="3E18F320" w14:textId="77777777" w:rsidR="009137FD" w:rsidRDefault="00FA4FC9" w:rsidP="00BF7F41">
      <w:pPr>
        <w:spacing w:after="120"/>
        <w:jc w:val="both"/>
      </w:pPr>
      <w:r w:rsidRPr="00CB0820">
        <w:t>Zároveň lze říci, že</w:t>
      </w:r>
      <w:r>
        <w:t xml:space="preserve"> zatímco </w:t>
      </w:r>
      <w:r w:rsidRPr="00605DA7">
        <w:rPr>
          <w:b/>
        </w:rPr>
        <w:t>v soukromých</w:t>
      </w:r>
      <w:r>
        <w:t xml:space="preserve"> středních </w:t>
      </w:r>
      <w:r w:rsidR="009137FD">
        <w:t>školách byl ve školním roce 2021/22</w:t>
      </w:r>
      <w:r>
        <w:t xml:space="preserve"> </w:t>
      </w:r>
      <w:r w:rsidR="0047521B">
        <w:t>podíl žáků s </w:t>
      </w:r>
      <w:r w:rsidR="00FC43AD">
        <w:t xml:space="preserve">postižením </w:t>
      </w:r>
      <w:r w:rsidR="0047521B">
        <w:t>nižší</w:t>
      </w:r>
      <w:r w:rsidR="009137FD">
        <w:t xml:space="preserve"> (5</w:t>
      </w:r>
      <w:r w:rsidR="0047521B">
        <w:t xml:space="preserve"> </w:t>
      </w:r>
      <w:r w:rsidR="009137FD">
        <w:t xml:space="preserve">%) než ve školách </w:t>
      </w:r>
      <w:r w:rsidR="009137FD" w:rsidRPr="00605DA7">
        <w:rPr>
          <w:b/>
        </w:rPr>
        <w:t>veřejných</w:t>
      </w:r>
      <w:r w:rsidR="009137FD">
        <w:t xml:space="preserve"> (5,5</w:t>
      </w:r>
      <w:r>
        <w:t xml:space="preserve"> %), ve školách </w:t>
      </w:r>
      <w:r w:rsidRPr="00605DA7">
        <w:rPr>
          <w:b/>
        </w:rPr>
        <w:t>církevních</w:t>
      </w:r>
      <w:r>
        <w:t xml:space="preserve"> byl tento podíl naopak vyšší (</w:t>
      </w:r>
      <w:r w:rsidR="00E54455">
        <w:t>6</w:t>
      </w:r>
      <w:r w:rsidR="009137FD">
        <w:t>,3</w:t>
      </w:r>
      <w:r>
        <w:t xml:space="preserve"> %). </w:t>
      </w:r>
      <w:r w:rsidR="005956BF">
        <w:t>V souhrnu byl tak podíl žáků s</w:t>
      </w:r>
      <w:r w:rsidR="0092171C">
        <w:t xml:space="preserve"> diagnostikovaným </w:t>
      </w:r>
      <w:r w:rsidR="005956BF">
        <w:t xml:space="preserve">postižením </w:t>
      </w:r>
      <w:r w:rsidR="0092171C">
        <w:t xml:space="preserve">mírně </w:t>
      </w:r>
      <w:r w:rsidR="005956BF">
        <w:t>vyšší ve šk</w:t>
      </w:r>
      <w:r w:rsidR="009137FD">
        <w:t>olách veřejného zřizovatele (5,5</w:t>
      </w:r>
      <w:r w:rsidR="005956BF">
        <w:t> %) než zřizovatele neveřejnéh</w:t>
      </w:r>
      <w:r w:rsidR="009137FD">
        <w:t>o (5,2</w:t>
      </w:r>
      <w:r w:rsidR="005956BF">
        <w:t xml:space="preserve"> %). </w:t>
      </w:r>
    </w:p>
    <w:p w14:paraId="7C20C1D7" w14:textId="27778AB7" w:rsidR="005956BF" w:rsidRDefault="002C18C3" w:rsidP="00BF7F41">
      <w:pPr>
        <w:spacing w:after="120"/>
        <w:jc w:val="both"/>
      </w:pPr>
      <w:r>
        <w:t>Připomeňme, že v</w:t>
      </w:r>
      <w:r w:rsidR="008B2F9E">
        <w:t xml:space="preserve"> mateřských a </w:t>
      </w:r>
      <w:r w:rsidR="005956BF">
        <w:t>základních školách tomu přitom bylo naopak – podíl žáků s postižením ve školách neveřejného zřizovatele byl vyšší než ve</w:t>
      </w:r>
      <w:r w:rsidR="00605DA7">
        <w:t xml:space="preserve"> školách zřizovatele veřejného</w:t>
      </w:r>
      <w:r w:rsidR="005956BF">
        <w:t xml:space="preserve">. </w:t>
      </w:r>
      <w:r w:rsidR="00FC43AD">
        <w:t>I u </w:t>
      </w:r>
      <w:r w:rsidR="008B2F9E">
        <w:t xml:space="preserve">mateřských a </w:t>
      </w:r>
      <w:r w:rsidR="00E54455">
        <w:t xml:space="preserve">základních škol byl však podíl žáků s postižením </w:t>
      </w:r>
      <w:r w:rsidR="004F11A0">
        <w:t>vyšší u </w:t>
      </w:r>
      <w:r w:rsidR="00E54455">
        <w:t>církevního zřizovatele (</w:t>
      </w:r>
      <w:r w:rsidR="00605DA7">
        <w:t>7</w:t>
      </w:r>
      <w:r w:rsidR="008B2F9E">
        <w:t xml:space="preserve">,5 %, resp. </w:t>
      </w:r>
      <w:r w:rsidR="00605DA7">
        <w:t>19,5</w:t>
      </w:r>
      <w:r w:rsidR="00E54455">
        <w:t xml:space="preserve"> %) než zřizovatele soukromého </w:t>
      </w:r>
      <w:r w:rsidR="008B2F9E">
        <w:t>(3,</w:t>
      </w:r>
      <w:r w:rsidR="00605DA7">
        <w:t>9</w:t>
      </w:r>
      <w:r w:rsidR="0047521B">
        <w:t xml:space="preserve"> </w:t>
      </w:r>
      <w:r w:rsidR="008B2F9E">
        <w:t xml:space="preserve">%, </w:t>
      </w:r>
      <w:r w:rsidR="00605DA7">
        <w:t>13</w:t>
      </w:r>
      <w:r w:rsidR="00E54455">
        <w:t>,9 %).</w:t>
      </w:r>
      <w:r w:rsidR="004F11A0">
        <w:t xml:space="preserve"> </w:t>
      </w:r>
      <w:r w:rsidR="0047521B">
        <w:t>Vyšší podíl žáků s postižením u církevního zřizovatele může být dán větším důrazem na solidaritu s potřebnými v těchto</w:t>
      </w:r>
      <w:r w:rsidR="00FC43AD">
        <w:t xml:space="preserve"> školách.</w:t>
      </w:r>
      <w:r w:rsidR="0047521B">
        <w:t xml:space="preserve">   </w:t>
      </w:r>
    </w:p>
    <w:p w14:paraId="301146C1" w14:textId="002BFC02" w:rsidR="00605DA7" w:rsidRDefault="00605DA7" w:rsidP="00BF7F41">
      <w:pPr>
        <w:spacing w:after="120"/>
        <w:jc w:val="both"/>
      </w:pPr>
      <w:r>
        <w:t xml:space="preserve">Podíl žáků integrovaných do běžných tříd byl u veřejného zřizovatele </w:t>
      </w:r>
      <w:r w:rsidR="00651766">
        <w:t>67,1 %, u soukromého 65,4 % a u </w:t>
      </w:r>
      <w:r>
        <w:t>církevního 74 %.</w:t>
      </w:r>
    </w:p>
    <w:p w14:paraId="52B98D08" w14:textId="5AE22470" w:rsidR="00FA7769" w:rsidRDefault="00FA7769" w:rsidP="00FA7769">
      <w:pPr>
        <w:spacing w:after="120"/>
        <w:jc w:val="both"/>
      </w:pPr>
      <w:r w:rsidRPr="00FD1C01">
        <w:t>Tabulka 3.</w:t>
      </w:r>
      <w:r w:rsidR="006E0507" w:rsidRPr="00FD1C01">
        <w:t>2</w:t>
      </w:r>
      <w:r w:rsidRPr="00FD1C01">
        <w:t xml:space="preserve"> uvádí kromě</w:t>
      </w:r>
      <w:r w:rsidRPr="004A5668">
        <w:t xml:space="preserve"> celkového počtu žáků s</w:t>
      </w:r>
      <w:r w:rsidR="00927F1E">
        <w:t xml:space="preserve"> diagnostikovaným </w:t>
      </w:r>
      <w:r w:rsidRPr="004A5668">
        <w:t>postižením ve školníc</w:t>
      </w:r>
      <w:r w:rsidR="00605DA7">
        <w:t>h rocích 2011/12, 2016/17 a 2021/22</w:t>
      </w:r>
      <w:r w:rsidRPr="004A5668">
        <w:t xml:space="preserve"> i podíl žáků s různými druhy postižení z tohoto celku. </w:t>
      </w:r>
    </w:p>
    <w:p w14:paraId="4110396A" w14:textId="0C00FD46" w:rsidR="005302AB" w:rsidRDefault="001D69DC" w:rsidP="00692076">
      <w:pPr>
        <w:keepNext/>
        <w:spacing w:after="120" w:line="240" w:lineRule="auto"/>
        <w:jc w:val="both"/>
        <w:rPr>
          <w:b/>
        </w:rPr>
      </w:pPr>
      <w:r>
        <w:rPr>
          <w:b/>
        </w:rPr>
        <w:lastRenderedPageBreak/>
        <w:t>Tab. 3.2</w:t>
      </w:r>
      <w:r w:rsidRPr="004A2233">
        <w:rPr>
          <w:b/>
        </w:rPr>
        <w:t xml:space="preserve"> </w:t>
      </w:r>
      <w:r>
        <w:rPr>
          <w:b/>
        </w:rPr>
        <w:t>Střední školy</w:t>
      </w:r>
      <w:r w:rsidRPr="00C3589B">
        <w:t xml:space="preserve"> </w:t>
      </w:r>
      <w:r w:rsidRPr="004A2233">
        <w:rPr>
          <w:b/>
        </w:rPr>
        <w:t>- podíl zastoupení jednotlivých druhů postižení na celkovém počtu postižených žáků</w:t>
      </w:r>
      <w:r w:rsidR="00FD1C01">
        <w:rPr>
          <w:b/>
        </w:rPr>
        <w:t>, podíl dívek s</w:t>
      </w:r>
      <w:r w:rsidR="005302AB">
        <w:rPr>
          <w:b/>
        </w:rPr>
        <w:t> </w:t>
      </w:r>
      <w:r w:rsidR="00FD1C01">
        <w:rPr>
          <w:b/>
        </w:rPr>
        <w:t>postižením</w:t>
      </w:r>
    </w:p>
    <w:tbl>
      <w:tblPr>
        <w:tblW w:w="9214" w:type="dxa"/>
        <w:tblInd w:w="-10" w:type="dxa"/>
        <w:tblLayout w:type="fixed"/>
        <w:tblCellMar>
          <w:left w:w="70" w:type="dxa"/>
          <w:right w:w="70" w:type="dxa"/>
        </w:tblCellMar>
        <w:tblLook w:val="04A0" w:firstRow="1" w:lastRow="0" w:firstColumn="1" w:lastColumn="0" w:noHBand="0" w:noVBand="1"/>
      </w:tblPr>
      <w:tblGrid>
        <w:gridCol w:w="2268"/>
        <w:gridCol w:w="709"/>
        <w:gridCol w:w="709"/>
        <w:gridCol w:w="850"/>
        <w:gridCol w:w="851"/>
        <w:gridCol w:w="709"/>
        <w:gridCol w:w="708"/>
        <w:gridCol w:w="851"/>
        <w:gridCol w:w="709"/>
        <w:gridCol w:w="850"/>
      </w:tblGrid>
      <w:tr w:rsidR="00EC5218" w:rsidRPr="00EC5218" w14:paraId="6AC6D321" w14:textId="77777777" w:rsidTr="003A78F5">
        <w:trPr>
          <w:trHeight w:val="260"/>
        </w:trPr>
        <w:tc>
          <w:tcPr>
            <w:tcW w:w="2268" w:type="dxa"/>
            <w:vMerge w:val="restart"/>
            <w:tcBorders>
              <w:top w:val="single" w:sz="8" w:space="0" w:color="auto"/>
              <w:left w:val="single" w:sz="8" w:space="0" w:color="auto"/>
              <w:bottom w:val="single" w:sz="8" w:space="0" w:color="000000"/>
              <w:right w:val="single" w:sz="8" w:space="0" w:color="auto"/>
            </w:tcBorders>
            <w:shd w:val="clear" w:color="000000" w:fill="C00000"/>
            <w:noWrap/>
            <w:vAlign w:val="center"/>
            <w:hideMark/>
          </w:tcPr>
          <w:p w14:paraId="2D6E49B5" w14:textId="77777777" w:rsidR="00EC5218" w:rsidRPr="00EC5218" w:rsidRDefault="00EC5218" w:rsidP="00692076">
            <w:pPr>
              <w:keepNext/>
              <w:spacing w:after="0" w:line="240" w:lineRule="auto"/>
              <w:jc w:val="center"/>
              <w:rPr>
                <w:rFonts w:cs="Arial"/>
                <w:b/>
                <w:bCs/>
                <w:color w:val="FFFFFF"/>
                <w:sz w:val="17"/>
                <w:szCs w:val="17"/>
              </w:rPr>
            </w:pPr>
            <w:r w:rsidRPr="00EC5218">
              <w:rPr>
                <w:rFonts w:cs="Arial"/>
                <w:b/>
                <w:bCs/>
                <w:color w:val="FFFFFF"/>
                <w:sz w:val="17"/>
                <w:szCs w:val="17"/>
              </w:rPr>
              <w:t> </w:t>
            </w:r>
          </w:p>
        </w:tc>
        <w:tc>
          <w:tcPr>
            <w:tcW w:w="2268" w:type="dxa"/>
            <w:gridSpan w:val="3"/>
            <w:tcBorders>
              <w:top w:val="single" w:sz="8" w:space="0" w:color="auto"/>
              <w:left w:val="nil"/>
              <w:bottom w:val="single" w:sz="8" w:space="0" w:color="auto"/>
              <w:right w:val="single" w:sz="8" w:space="0" w:color="000000"/>
            </w:tcBorders>
            <w:shd w:val="clear" w:color="000000" w:fill="C00000"/>
            <w:noWrap/>
            <w:vAlign w:val="center"/>
            <w:hideMark/>
          </w:tcPr>
          <w:p w14:paraId="7B0E724D" w14:textId="77777777" w:rsidR="00EC5218" w:rsidRPr="00EC5218" w:rsidRDefault="00EC5218" w:rsidP="00692076">
            <w:pPr>
              <w:keepNext/>
              <w:spacing w:after="0" w:line="240" w:lineRule="auto"/>
              <w:jc w:val="center"/>
              <w:rPr>
                <w:rFonts w:cs="Arial"/>
                <w:b/>
                <w:bCs/>
                <w:color w:val="FFFFFF"/>
                <w:sz w:val="17"/>
                <w:szCs w:val="17"/>
              </w:rPr>
            </w:pPr>
            <w:r w:rsidRPr="00EC5218">
              <w:rPr>
                <w:rFonts w:cs="Arial"/>
                <w:b/>
                <w:bCs/>
                <w:color w:val="FFFFFF" w:themeColor="background1"/>
                <w:sz w:val="17"/>
                <w:szCs w:val="17"/>
              </w:rPr>
              <w:t>2011/12</w:t>
            </w:r>
          </w:p>
        </w:tc>
        <w:tc>
          <w:tcPr>
            <w:tcW w:w="2268" w:type="dxa"/>
            <w:gridSpan w:val="3"/>
            <w:tcBorders>
              <w:top w:val="single" w:sz="8" w:space="0" w:color="auto"/>
              <w:left w:val="nil"/>
              <w:bottom w:val="single" w:sz="8" w:space="0" w:color="auto"/>
              <w:right w:val="single" w:sz="8" w:space="0" w:color="000000"/>
            </w:tcBorders>
            <w:shd w:val="clear" w:color="000000" w:fill="C00000"/>
            <w:noWrap/>
            <w:vAlign w:val="center"/>
            <w:hideMark/>
          </w:tcPr>
          <w:p w14:paraId="7443F419" w14:textId="77777777" w:rsidR="00EC5218" w:rsidRPr="00EC5218" w:rsidRDefault="00EC5218" w:rsidP="00692076">
            <w:pPr>
              <w:keepNext/>
              <w:spacing w:after="0" w:line="240" w:lineRule="auto"/>
              <w:jc w:val="center"/>
              <w:rPr>
                <w:rFonts w:cs="Arial"/>
                <w:b/>
                <w:bCs/>
                <w:color w:val="FFFFFF"/>
                <w:sz w:val="17"/>
                <w:szCs w:val="17"/>
              </w:rPr>
            </w:pPr>
            <w:r w:rsidRPr="00EC5218">
              <w:rPr>
                <w:rFonts w:cs="Arial"/>
                <w:b/>
                <w:bCs/>
                <w:color w:val="FFFFFF" w:themeColor="background1"/>
                <w:sz w:val="17"/>
                <w:szCs w:val="17"/>
              </w:rPr>
              <w:t>2016/17</w:t>
            </w:r>
          </w:p>
        </w:tc>
        <w:tc>
          <w:tcPr>
            <w:tcW w:w="2410" w:type="dxa"/>
            <w:gridSpan w:val="3"/>
            <w:tcBorders>
              <w:top w:val="single" w:sz="8" w:space="0" w:color="auto"/>
              <w:left w:val="nil"/>
              <w:bottom w:val="single" w:sz="8" w:space="0" w:color="auto"/>
              <w:right w:val="single" w:sz="8" w:space="0" w:color="000000"/>
            </w:tcBorders>
            <w:shd w:val="clear" w:color="000000" w:fill="C00000"/>
            <w:noWrap/>
            <w:vAlign w:val="center"/>
            <w:hideMark/>
          </w:tcPr>
          <w:p w14:paraId="6DF8544C" w14:textId="77777777" w:rsidR="00EC5218" w:rsidRPr="00EC5218" w:rsidRDefault="00EC5218" w:rsidP="00692076">
            <w:pPr>
              <w:keepNext/>
              <w:spacing w:after="0" w:line="240" w:lineRule="auto"/>
              <w:jc w:val="center"/>
              <w:rPr>
                <w:rFonts w:cs="Arial"/>
                <w:b/>
                <w:bCs/>
                <w:color w:val="FFFFFF"/>
                <w:sz w:val="17"/>
                <w:szCs w:val="17"/>
              </w:rPr>
            </w:pPr>
            <w:r w:rsidRPr="00EC5218">
              <w:rPr>
                <w:rFonts w:cs="Arial"/>
                <w:b/>
                <w:bCs/>
                <w:color w:val="FFFFFF" w:themeColor="background1"/>
                <w:sz w:val="17"/>
                <w:szCs w:val="17"/>
              </w:rPr>
              <w:t>2021/22</w:t>
            </w:r>
          </w:p>
        </w:tc>
      </w:tr>
      <w:tr w:rsidR="00EC5218" w:rsidRPr="00EC5218" w14:paraId="4DCCC109" w14:textId="77777777" w:rsidTr="003A78F5">
        <w:trPr>
          <w:trHeight w:val="384"/>
        </w:trPr>
        <w:tc>
          <w:tcPr>
            <w:tcW w:w="2268" w:type="dxa"/>
            <w:vMerge/>
            <w:tcBorders>
              <w:top w:val="single" w:sz="8" w:space="0" w:color="auto"/>
              <w:left w:val="single" w:sz="8" w:space="0" w:color="auto"/>
              <w:bottom w:val="single" w:sz="8" w:space="0" w:color="000000"/>
              <w:right w:val="single" w:sz="8" w:space="0" w:color="auto"/>
            </w:tcBorders>
            <w:vAlign w:val="center"/>
            <w:hideMark/>
          </w:tcPr>
          <w:p w14:paraId="689E8C00" w14:textId="77777777" w:rsidR="00EC5218" w:rsidRPr="00EC5218" w:rsidRDefault="00EC5218" w:rsidP="00692076">
            <w:pPr>
              <w:keepNext/>
              <w:spacing w:after="0" w:line="240" w:lineRule="auto"/>
              <w:rPr>
                <w:rFonts w:cs="Arial"/>
                <w:b/>
                <w:bCs/>
                <w:color w:val="FFFFFF"/>
                <w:sz w:val="17"/>
                <w:szCs w:val="17"/>
              </w:rPr>
            </w:pPr>
          </w:p>
        </w:tc>
        <w:tc>
          <w:tcPr>
            <w:tcW w:w="1418" w:type="dxa"/>
            <w:gridSpan w:val="2"/>
            <w:tcBorders>
              <w:top w:val="single" w:sz="8" w:space="0" w:color="auto"/>
              <w:left w:val="nil"/>
              <w:bottom w:val="single" w:sz="8" w:space="0" w:color="auto"/>
              <w:right w:val="single" w:sz="4" w:space="0" w:color="000000"/>
            </w:tcBorders>
            <w:shd w:val="clear" w:color="000000" w:fill="FABA86"/>
            <w:noWrap/>
            <w:vAlign w:val="center"/>
            <w:hideMark/>
          </w:tcPr>
          <w:p w14:paraId="256DD550" w14:textId="77777777" w:rsidR="00EC5218" w:rsidRPr="00651766" w:rsidRDefault="00EC5218" w:rsidP="00692076">
            <w:pPr>
              <w:keepNext/>
              <w:spacing w:after="0" w:line="240" w:lineRule="auto"/>
              <w:jc w:val="center"/>
              <w:rPr>
                <w:rFonts w:cs="Arial"/>
                <w:color w:val="000000"/>
                <w:sz w:val="17"/>
                <w:szCs w:val="17"/>
              </w:rPr>
            </w:pPr>
            <w:r w:rsidRPr="00651766">
              <w:rPr>
                <w:rFonts w:cs="Arial"/>
                <w:color w:val="000000"/>
                <w:sz w:val="17"/>
                <w:szCs w:val="17"/>
              </w:rPr>
              <w:t>celkem</w:t>
            </w:r>
          </w:p>
        </w:tc>
        <w:tc>
          <w:tcPr>
            <w:tcW w:w="850" w:type="dxa"/>
            <w:tcBorders>
              <w:top w:val="nil"/>
              <w:left w:val="nil"/>
              <w:bottom w:val="single" w:sz="8" w:space="0" w:color="auto"/>
              <w:right w:val="nil"/>
            </w:tcBorders>
            <w:shd w:val="clear" w:color="000000" w:fill="FABA86"/>
            <w:vAlign w:val="center"/>
            <w:hideMark/>
          </w:tcPr>
          <w:p w14:paraId="019D1477" w14:textId="77777777" w:rsidR="00EC5218" w:rsidRPr="00651766" w:rsidRDefault="00EC5218" w:rsidP="00692076">
            <w:pPr>
              <w:keepNext/>
              <w:spacing w:after="0" w:line="240" w:lineRule="auto"/>
              <w:jc w:val="center"/>
              <w:rPr>
                <w:rFonts w:cs="Arial"/>
                <w:i/>
                <w:color w:val="000000"/>
                <w:sz w:val="17"/>
                <w:szCs w:val="17"/>
              </w:rPr>
            </w:pPr>
            <w:r w:rsidRPr="00651766">
              <w:rPr>
                <w:rFonts w:cs="Arial"/>
                <w:i/>
                <w:color w:val="000000"/>
                <w:sz w:val="17"/>
                <w:szCs w:val="17"/>
              </w:rPr>
              <w:t>z toho dívky</w:t>
            </w:r>
            <w:r w:rsidRPr="009900AC">
              <w:rPr>
                <w:rFonts w:cs="Arial"/>
                <w:i/>
                <w:color w:val="000000"/>
                <w:sz w:val="17"/>
                <w:szCs w:val="17"/>
                <w:vertAlign w:val="superscript"/>
              </w:rPr>
              <w:t>*)</w:t>
            </w:r>
          </w:p>
        </w:tc>
        <w:tc>
          <w:tcPr>
            <w:tcW w:w="1560" w:type="dxa"/>
            <w:gridSpan w:val="2"/>
            <w:tcBorders>
              <w:top w:val="single" w:sz="8" w:space="0" w:color="auto"/>
              <w:left w:val="single" w:sz="8" w:space="0" w:color="auto"/>
              <w:bottom w:val="single" w:sz="8" w:space="0" w:color="auto"/>
              <w:right w:val="single" w:sz="4" w:space="0" w:color="000000"/>
            </w:tcBorders>
            <w:shd w:val="clear" w:color="000000" w:fill="FABA86"/>
            <w:noWrap/>
            <w:vAlign w:val="center"/>
            <w:hideMark/>
          </w:tcPr>
          <w:p w14:paraId="0226C7C4" w14:textId="77777777" w:rsidR="00EC5218" w:rsidRPr="00651766" w:rsidRDefault="00EC5218" w:rsidP="00692076">
            <w:pPr>
              <w:keepNext/>
              <w:spacing w:after="0" w:line="240" w:lineRule="auto"/>
              <w:jc w:val="center"/>
              <w:rPr>
                <w:rFonts w:cs="Arial"/>
                <w:bCs/>
                <w:color w:val="000000"/>
                <w:sz w:val="17"/>
                <w:szCs w:val="17"/>
              </w:rPr>
            </w:pPr>
            <w:r w:rsidRPr="00651766">
              <w:rPr>
                <w:rFonts w:cs="Arial"/>
                <w:bCs/>
                <w:color w:val="000000"/>
                <w:sz w:val="17"/>
                <w:szCs w:val="17"/>
              </w:rPr>
              <w:t>celkem</w:t>
            </w:r>
          </w:p>
        </w:tc>
        <w:tc>
          <w:tcPr>
            <w:tcW w:w="708" w:type="dxa"/>
            <w:tcBorders>
              <w:top w:val="nil"/>
              <w:left w:val="nil"/>
              <w:bottom w:val="single" w:sz="8" w:space="0" w:color="auto"/>
              <w:right w:val="single" w:sz="8" w:space="0" w:color="auto"/>
            </w:tcBorders>
            <w:shd w:val="clear" w:color="000000" w:fill="FABA86"/>
            <w:vAlign w:val="center"/>
            <w:hideMark/>
          </w:tcPr>
          <w:p w14:paraId="24CA55F7" w14:textId="77777777" w:rsidR="00EC5218" w:rsidRPr="00651766" w:rsidRDefault="00EC5218" w:rsidP="00692076">
            <w:pPr>
              <w:keepNext/>
              <w:spacing w:after="0" w:line="240" w:lineRule="auto"/>
              <w:jc w:val="center"/>
              <w:rPr>
                <w:rFonts w:cs="Arial"/>
                <w:bCs/>
                <w:i/>
                <w:iCs/>
                <w:color w:val="000000"/>
                <w:sz w:val="17"/>
                <w:szCs w:val="17"/>
              </w:rPr>
            </w:pPr>
            <w:r w:rsidRPr="00651766">
              <w:rPr>
                <w:rFonts w:cs="Arial"/>
                <w:bCs/>
                <w:i/>
                <w:iCs/>
                <w:color w:val="000000"/>
                <w:sz w:val="17"/>
                <w:szCs w:val="17"/>
              </w:rPr>
              <w:t>z toho dívky</w:t>
            </w:r>
            <w:r w:rsidRPr="00651766">
              <w:rPr>
                <w:rFonts w:cs="Arial"/>
                <w:bCs/>
                <w:i/>
                <w:iCs/>
                <w:color w:val="000000"/>
                <w:sz w:val="17"/>
                <w:szCs w:val="17"/>
                <w:vertAlign w:val="superscript"/>
              </w:rPr>
              <w:t>*)</w:t>
            </w:r>
          </w:p>
        </w:tc>
        <w:tc>
          <w:tcPr>
            <w:tcW w:w="1560" w:type="dxa"/>
            <w:gridSpan w:val="2"/>
            <w:tcBorders>
              <w:top w:val="single" w:sz="8" w:space="0" w:color="auto"/>
              <w:left w:val="nil"/>
              <w:bottom w:val="single" w:sz="8" w:space="0" w:color="auto"/>
              <w:right w:val="single" w:sz="4" w:space="0" w:color="000000"/>
            </w:tcBorders>
            <w:shd w:val="clear" w:color="000000" w:fill="FABA86"/>
            <w:noWrap/>
            <w:vAlign w:val="center"/>
            <w:hideMark/>
          </w:tcPr>
          <w:p w14:paraId="0150A6B5" w14:textId="77777777" w:rsidR="00EC5218" w:rsidRPr="00651766" w:rsidRDefault="00EC5218" w:rsidP="00692076">
            <w:pPr>
              <w:keepNext/>
              <w:spacing w:after="0" w:line="240" w:lineRule="auto"/>
              <w:jc w:val="center"/>
              <w:rPr>
                <w:rFonts w:cs="Arial"/>
                <w:bCs/>
                <w:color w:val="000000"/>
                <w:sz w:val="17"/>
                <w:szCs w:val="17"/>
              </w:rPr>
            </w:pPr>
            <w:r w:rsidRPr="00651766">
              <w:rPr>
                <w:rFonts w:cs="Arial"/>
                <w:bCs/>
                <w:color w:val="000000"/>
                <w:sz w:val="17"/>
                <w:szCs w:val="17"/>
              </w:rPr>
              <w:t>celkem</w:t>
            </w:r>
          </w:p>
        </w:tc>
        <w:tc>
          <w:tcPr>
            <w:tcW w:w="850" w:type="dxa"/>
            <w:tcBorders>
              <w:top w:val="nil"/>
              <w:left w:val="nil"/>
              <w:bottom w:val="single" w:sz="8" w:space="0" w:color="auto"/>
              <w:right w:val="single" w:sz="8" w:space="0" w:color="auto"/>
            </w:tcBorders>
            <w:shd w:val="clear" w:color="000000" w:fill="FABA86"/>
            <w:vAlign w:val="center"/>
            <w:hideMark/>
          </w:tcPr>
          <w:p w14:paraId="0E181AE7" w14:textId="77777777" w:rsidR="00EC5218" w:rsidRPr="00651766" w:rsidRDefault="00EC5218" w:rsidP="00692076">
            <w:pPr>
              <w:keepNext/>
              <w:spacing w:after="0" w:line="240" w:lineRule="auto"/>
              <w:jc w:val="center"/>
              <w:rPr>
                <w:rFonts w:cs="Arial"/>
                <w:bCs/>
                <w:i/>
                <w:iCs/>
                <w:color w:val="000000"/>
                <w:sz w:val="17"/>
                <w:szCs w:val="17"/>
              </w:rPr>
            </w:pPr>
            <w:r w:rsidRPr="00651766">
              <w:rPr>
                <w:rFonts w:cs="Arial"/>
                <w:bCs/>
                <w:i/>
                <w:iCs/>
                <w:color w:val="000000"/>
                <w:sz w:val="17"/>
                <w:szCs w:val="17"/>
              </w:rPr>
              <w:t>z toho dívky</w:t>
            </w:r>
            <w:r w:rsidRPr="00651766">
              <w:rPr>
                <w:rFonts w:cs="Arial"/>
                <w:bCs/>
                <w:i/>
                <w:iCs/>
                <w:color w:val="000000"/>
                <w:sz w:val="17"/>
                <w:szCs w:val="17"/>
                <w:vertAlign w:val="superscript"/>
              </w:rPr>
              <w:t>*)</w:t>
            </w:r>
          </w:p>
        </w:tc>
      </w:tr>
      <w:tr w:rsidR="00263D67" w:rsidRPr="003A78F5" w14:paraId="129DBCE6" w14:textId="77777777" w:rsidTr="003A78F5">
        <w:trPr>
          <w:trHeight w:val="368"/>
        </w:trPr>
        <w:tc>
          <w:tcPr>
            <w:tcW w:w="2268" w:type="dxa"/>
            <w:tcBorders>
              <w:top w:val="nil"/>
              <w:left w:val="single" w:sz="8" w:space="0" w:color="auto"/>
              <w:bottom w:val="nil"/>
              <w:right w:val="single" w:sz="8" w:space="0" w:color="auto"/>
            </w:tcBorders>
            <w:shd w:val="clear" w:color="auto" w:fill="auto"/>
            <w:noWrap/>
            <w:vAlign w:val="center"/>
            <w:hideMark/>
          </w:tcPr>
          <w:p w14:paraId="43164AF0" w14:textId="77777777" w:rsidR="00EC5218" w:rsidRPr="003A78F5" w:rsidRDefault="00EC5218" w:rsidP="00692076">
            <w:pPr>
              <w:keepNext/>
              <w:spacing w:after="0" w:line="240" w:lineRule="auto"/>
              <w:rPr>
                <w:rFonts w:cs="Arial"/>
                <w:b/>
                <w:bCs/>
                <w:color w:val="000000"/>
                <w:sz w:val="16"/>
                <w:szCs w:val="16"/>
              </w:rPr>
            </w:pPr>
            <w:r w:rsidRPr="003A78F5">
              <w:rPr>
                <w:rFonts w:cs="Arial"/>
                <w:b/>
                <w:bCs/>
                <w:color w:val="000000"/>
                <w:sz w:val="16"/>
                <w:szCs w:val="16"/>
              </w:rPr>
              <w:t>počet žáků s postižením</w:t>
            </w:r>
          </w:p>
        </w:tc>
        <w:tc>
          <w:tcPr>
            <w:tcW w:w="709" w:type="dxa"/>
            <w:tcBorders>
              <w:top w:val="nil"/>
              <w:left w:val="nil"/>
              <w:bottom w:val="nil"/>
              <w:right w:val="nil"/>
            </w:tcBorders>
            <w:shd w:val="clear" w:color="auto" w:fill="auto"/>
            <w:noWrap/>
            <w:vAlign w:val="center"/>
            <w:hideMark/>
          </w:tcPr>
          <w:p w14:paraId="4945BCC4" w14:textId="77777777" w:rsidR="00EC5218" w:rsidRPr="003A78F5" w:rsidRDefault="00EC5218" w:rsidP="00692076">
            <w:pPr>
              <w:keepNext/>
              <w:spacing w:after="0" w:line="240" w:lineRule="auto"/>
              <w:jc w:val="right"/>
              <w:rPr>
                <w:rFonts w:cs="Arial"/>
                <w:b/>
                <w:bCs/>
                <w:color w:val="000000"/>
                <w:sz w:val="16"/>
                <w:szCs w:val="16"/>
              </w:rPr>
            </w:pPr>
            <w:r w:rsidRPr="003A78F5">
              <w:rPr>
                <w:rFonts w:cs="Arial"/>
                <w:b/>
                <w:bCs/>
                <w:color w:val="000000"/>
                <w:sz w:val="16"/>
                <w:szCs w:val="16"/>
              </w:rPr>
              <w:t>19 125</w:t>
            </w:r>
          </w:p>
        </w:tc>
        <w:tc>
          <w:tcPr>
            <w:tcW w:w="709" w:type="dxa"/>
            <w:tcBorders>
              <w:top w:val="nil"/>
              <w:left w:val="nil"/>
              <w:bottom w:val="nil"/>
              <w:right w:val="single" w:sz="4" w:space="0" w:color="auto"/>
            </w:tcBorders>
            <w:shd w:val="clear" w:color="auto" w:fill="auto"/>
            <w:noWrap/>
            <w:vAlign w:val="center"/>
            <w:hideMark/>
          </w:tcPr>
          <w:p w14:paraId="13679468" w14:textId="77777777" w:rsidR="00EC5218" w:rsidRPr="003A78F5" w:rsidRDefault="00EC5218" w:rsidP="00692076">
            <w:pPr>
              <w:keepNext/>
              <w:spacing w:after="0" w:line="240" w:lineRule="auto"/>
              <w:jc w:val="right"/>
              <w:rPr>
                <w:rFonts w:cs="Arial"/>
                <w:b/>
                <w:bCs/>
                <w:color w:val="000000"/>
                <w:sz w:val="16"/>
                <w:szCs w:val="16"/>
              </w:rPr>
            </w:pPr>
            <w:r w:rsidRPr="003A78F5">
              <w:rPr>
                <w:rFonts w:cs="Arial"/>
                <w:b/>
                <w:bCs/>
                <w:color w:val="000000"/>
                <w:sz w:val="16"/>
                <w:szCs w:val="16"/>
              </w:rPr>
              <w:t>100%</w:t>
            </w:r>
          </w:p>
        </w:tc>
        <w:tc>
          <w:tcPr>
            <w:tcW w:w="850" w:type="dxa"/>
            <w:tcBorders>
              <w:top w:val="nil"/>
              <w:left w:val="nil"/>
              <w:bottom w:val="nil"/>
              <w:right w:val="nil"/>
            </w:tcBorders>
            <w:shd w:val="clear" w:color="auto" w:fill="auto"/>
            <w:noWrap/>
            <w:vAlign w:val="center"/>
            <w:hideMark/>
          </w:tcPr>
          <w:p w14:paraId="07B50E29" w14:textId="77777777" w:rsidR="00EC5218" w:rsidRPr="003A78F5" w:rsidRDefault="00EC5218" w:rsidP="00692076">
            <w:pPr>
              <w:keepNext/>
              <w:spacing w:after="0" w:line="240" w:lineRule="auto"/>
              <w:jc w:val="right"/>
              <w:rPr>
                <w:rFonts w:cs="Arial"/>
                <w:b/>
                <w:bCs/>
                <w:color w:val="000000"/>
                <w:sz w:val="16"/>
                <w:szCs w:val="16"/>
              </w:rPr>
            </w:pPr>
            <w:r w:rsidRPr="003A78F5">
              <w:rPr>
                <w:rFonts w:cs="Arial"/>
                <w:b/>
                <w:bCs/>
                <w:color w:val="000000"/>
                <w:sz w:val="16"/>
                <w:szCs w:val="16"/>
              </w:rPr>
              <w:t>38,1%</w:t>
            </w:r>
          </w:p>
        </w:tc>
        <w:tc>
          <w:tcPr>
            <w:tcW w:w="851" w:type="dxa"/>
            <w:tcBorders>
              <w:top w:val="nil"/>
              <w:left w:val="single" w:sz="8" w:space="0" w:color="auto"/>
              <w:bottom w:val="nil"/>
              <w:right w:val="nil"/>
            </w:tcBorders>
            <w:shd w:val="clear" w:color="auto" w:fill="auto"/>
            <w:noWrap/>
            <w:vAlign w:val="center"/>
            <w:hideMark/>
          </w:tcPr>
          <w:p w14:paraId="47ECED19" w14:textId="3B9792FB" w:rsidR="00EC5218" w:rsidRPr="003A78F5" w:rsidRDefault="00263D67" w:rsidP="00692076">
            <w:pPr>
              <w:keepNext/>
              <w:spacing w:after="0" w:line="240" w:lineRule="auto"/>
              <w:jc w:val="right"/>
              <w:rPr>
                <w:rFonts w:cs="Arial"/>
                <w:b/>
                <w:bCs/>
                <w:color w:val="000000"/>
                <w:sz w:val="16"/>
                <w:szCs w:val="16"/>
              </w:rPr>
            </w:pPr>
            <w:r w:rsidRPr="003A78F5">
              <w:rPr>
                <w:rFonts w:cs="Arial"/>
                <w:b/>
                <w:bCs/>
                <w:color w:val="000000"/>
                <w:sz w:val="16"/>
                <w:szCs w:val="16"/>
              </w:rPr>
              <w:t>20 335</w:t>
            </w:r>
          </w:p>
        </w:tc>
        <w:tc>
          <w:tcPr>
            <w:tcW w:w="709" w:type="dxa"/>
            <w:tcBorders>
              <w:top w:val="nil"/>
              <w:left w:val="nil"/>
              <w:bottom w:val="nil"/>
              <w:right w:val="single" w:sz="4" w:space="0" w:color="auto"/>
            </w:tcBorders>
            <w:shd w:val="clear" w:color="auto" w:fill="auto"/>
            <w:noWrap/>
            <w:vAlign w:val="center"/>
            <w:hideMark/>
          </w:tcPr>
          <w:p w14:paraId="6750A661" w14:textId="77777777" w:rsidR="00EC5218" w:rsidRPr="003A78F5" w:rsidRDefault="00EC5218" w:rsidP="00692076">
            <w:pPr>
              <w:keepNext/>
              <w:spacing w:after="0" w:line="240" w:lineRule="auto"/>
              <w:jc w:val="right"/>
              <w:rPr>
                <w:rFonts w:cs="Arial"/>
                <w:b/>
                <w:bCs/>
                <w:color w:val="000000"/>
                <w:sz w:val="16"/>
                <w:szCs w:val="16"/>
              </w:rPr>
            </w:pPr>
            <w:r w:rsidRPr="003A78F5">
              <w:rPr>
                <w:rFonts w:cs="Arial"/>
                <w:b/>
                <w:bCs/>
                <w:color w:val="000000"/>
                <w:sz w:val="16"/>
                <w:szCs w:val="16"/>
              </w:rPr>
              <w:t>100%</w:t>
            </w:r>
          </w:p>
        </w:tc>
        <w:tc>
          <w:tcPr>
            <w:tcW w:w="708" w:type="dxa"/>
            <w:tcBorders>
              <w:top w:val="nil"/>
              <w:left w:val="nil"/>
              <w:bottom w:val="nil"/>
              <w:right w:val="single" w:sz="8" w:space="0" w:color="auto"/>
            </w:tcBorders>
            <w:shd w:val="clear" w:color="auto" w:fill="auto"/>
            <w:noWrap/>
            <w:vAlign w:val="center"/>
            <w:hideMark/>
          </w:tcPr>
          <w:p w14:paraId="1C0BD053" w14:textId="77777777" w:rsidR="00EC5218" w:rsidRPr="003A78F5" w:rsidRDefault="00EC5218" w:rsidP="00692076">
            <w:pPr>
              <w:keepNext/>
              <w:spacing w:after="0" w:line="240" w:lineRule="auto"/>
              <w:jc w:val="right"/>
              <w:rPr>
                <w:rFonts w:cs="Arial"/>
                <w:b/>
                <w:bCs/>
                <w:color w:val="000000"/>
                <w:sz w:val="16"/>
                <w:szCs w:val="16"/>
              </w:rPr>
            </w:pPr>
            <w:r w:rsidRPr="003A78F5">
              <w:rPr>
                <w:rFonts w:cs="Arial"/>
                <w:b/>
                <w:bCs/>
                <w:color w:val="000000"/>
                <w:sz w:val="16"/>
                <w:szCs w:val="16"/>
              </w:rPr>
              <w:t>36,6%</w:t>
            </w:r>
          </w:p>
        </w:tc>
        <w:tc>
          <w:tcPr>
            <w:tcW w:w="851" w:type="dxa"/>
            <w:tcBorders>
              <w:top w:val="nil"/>
              <w:left w:val="nil"/>
              <w:bottom w:val="nil"/>
              <w:right w:val="nil"/>
            </w:tcBorders>
            <w:shd w:val="clear" w:color="auto" w:fill="auto"/>
            <w:noWrap/>
            <w:vAlign w:val="center"/>
            <w:hideMark/>
          </w:tcPr>
          <w:p w14:paraId="0C43C803" w14:textId="77777777" w:rsidR="00EC5218" w:rsidRPr="003A78F5" w:rsidRDefault="00EC5218" w:rsidP="00692076">
            <w:pPr>
              <w:keepNext/>
              <w:spacing w:after="0" w:line="240" w:lineRule="auto"/>
              <w:jc w:val="right"/>
              <w:rPr>
                <w:rFonts w:cs="Arial"/>
                <w:b/>
                <w:bCs/>
                <w:color w:val="000000"/>
                <w:sz w:val="16"/>
                <w:szCs w:val="16"/>
              </w:rPr>
            </w:pPr>
            <w:r w:rsidRPr="003A78F5">
              <w:rPr>
                <w:rFonts w:cs="Arial"/>
                <w:b/>
                <w:bCs/>
                <w:color w:val="000000"/>
                <w:sz w:val="16"/>
                <w:szCs w:val="16"/>
              </w:rPr>
              <w:t>24 271</w:t>
            </w:r>
          </w:p>
        </w:tc>
        <w:tc>
          <w:tcPr>
            <w:tcW w:w="709" w:type="dxa"/>
            <w:tcBorders>
              <w:top w:val="nil"/>
              <w:left w:val="nil"/>
              <w:bottom w:val="nil"/>
              <w:right w:val="single" w:sz="4" w:space="0" w:color="auto"/>
            </w:tcBorders>
            <w:shd w:val="clear" w:color="auto" w:fill="auto"/>
            <w:noWrap/>
            <w:vAlign w:val="center"/>
            <w:hideMark/>
          </w:tcPr>
          <w:p w14:paraId="1F5CD5FC" w14:textId="77777777" w:rsidR="00EC5218" w:rsidRPr="003A78F5" w:rsidRDefault="00EC5218" w:rsidP="00692076">
            <w:pPr>
              <w:keepNext/>
              <w:spacing w:after="0" w:line="240" w:lineRule="auto"/>
              <w:jc w:val="right"/>
              <w:rPr>
                <w:rFonts w:cs="Arial"/>
                <w:b/>
                <w:bCs/>
                <w:color w:val="000000"/>
                <w:sz w:val="16"/>
                <w:szCs w:val="16"/>
              </w:rPr>
            </w:pPr>
            <w:r w:rsidRPr="003A78F5">
              <w:rPr>
                <w:rFonts w:cs="Arial"/>
                <w:b/>
                <w:bCs/>
                <w:color w:val="000000"/>
                <w:sz w:val="16"/>
                <w:szCs w:val="16"/>
              </w:rPr>
              <w:t>100%</w:t>
            </w:r>
          </w:p>
        </w:tc>
        <w:tc>
          <w:tcPr>
            <w:tcW w:w="850" w:type="dxa"/>
            <w:tcBorders>
              <w:top w:val="nil"/>
              <w:left w:val="nil"/>
              <w:bottom w:val="nil"/>
              <w:right w:val="single" w:sz="8" w:space="0" w:color="auto"/>
            </w:tcBorders>
            <w:shd w:val="clear" w:color="auto" w:fill="auto"/>
            <w:noWrap/>
            <w:vAlign w:val="center"/>
            <w:hideMark/>
          </w:tcPr>
          <w:p w14:paraId="4789F58B" w14:textId="77777777" w:rsidR="00EC5218" w:rsidRPr="003A78F5" w:rsidRDefault="00EC5218" w:rsidP="00692076">
            <w:pPr>
              <w:keepNext/>
              <w:spacing w:after="0" w:line="240" w:lineRule="auto"/>
              <w:jc w:val="right"/>
              <w:rPr>
                <w:rFonts w:cs="Arial"/>
                <w:b/>
                <w:bCs/>
                <w:color w:val="000000"/>
                <w:sz w:val="16"/>
                <w:szCs w:val="16"/>
              </w:rPr>
            </w:pPr>
            <w:r w:rsidRPr="003A78F5">
              <w:rPr>
                <w:rFonts w:cs="Arial"/>
                <w:b/>
                <w:bCs/>
                <w:color w:val="000000"/>
                <w:sz w:val="16"/>
                <w:szCs w:val="16"/>
              </w:rPr>
              <w:t>36,7%</w:t>
            </w:r>
          </w:p>
        </w:tc>
      </w:tr>
      <w:tr w:rsidR="00EC5218" w:rsidRPr="003A78F5" w14:paraId="47BB12EB" w14:textId="77777777" w:rsidTr="003A78F5">
        <w:trPr>
          <w:trHeight w:val="368"/>
        </w:trPr>
        <w:tc>
          <w:tcPr>
            <w:tcW w:w="2268" w:type="dxa"/>
            <w:tcBorders>
              <w:top w:val="nil"/>
              <w:left w:val="single" w:sz="8" w:space="0" w:color="auto"/>
              <w:bottom w:val="nil"/>
              <w:right w:val="single" w:sz="8" w:space="0" w:color="auto"/>
            </w:tcBorders>
            <w:shd w:val="clear" w:color="auto" w:fill="auto"/>
            <w:noWrap/>
            <w:vAlign w:val="center"/>
            <w:hideMark/>
          </w:tcPr>
          <w:p w14:paraId="48649081" w14:textId="77777777" w:rsidR="00EC5218" w:rsidRPr="003A78F5" w:rsidRDefault="00EC5218" w:rsidP="00692076">
            <w:pPr>
              <w:keepNext/>
              <w:spacing w:after="0" w:line="240" w:lineRule="auto"/>
              <w:rPr>
                <w:rFonts w:cs="Arial"/>
                <w:i/>
                <w:iCs/>
                <w:color w:val="000000"/>
                <w:sz w:val="16"/>
                <w:szCs w:val="16"/>
              </w:rPr>
            </w:pPr>
            <w:r w:rsidRPr="003A78F5">
              <w:rPr>
                <w:rFonts w:cs="Arial"/>
                <w:i/>
                <w:iCs/>
                <w:color w:val="000000"/>
                <w:sz w:val="16"/>
                <w:szCs w:val="16"/>
              </w:rPr>
              <w:t>      dle druhu postižení:</w:t>
            </w:r>
          </w:p>
        </w:tc>
        <w:tc>
          <w:tcPr>
            <w:tcW w:w="1418" w:type="dxa"/>
            <w:gridSpan w:val="2"/>
            <w:tcBorders>
              <w:top w:val="nil"/>
              <w:left w:val="nil"/>
              <w:bottom w:val="nil"/>
              <w:right w:val="single" w:sz="4" w:space="0" w:color="000000"/>
            </w:tcBorders>
            <w:shd w:val="clear" w:color="auto" w:fill="auto"/>
            <w:noWrap/>
            <w:vAlign w:val="center"/>
            <w:hideMark/>
          </w:tcPr>
          <w:p w14:paraId="5508939B" w14:textId="77777777" w:rsidR="00EC5218" w:rsidRPr="003A78F5" w:rsidRDefault="00EC5218" w:rsidP="00692076">
            <w:pPr>
              <w:keepNext/>
              <w:spacing w:after="0" w:line="240" w:lineRule="auto"/>
              <w:jc w:val="center"/>
              <w:rPr>
                <w:rFonts w:cs="Arial"/>
                <w:i/>
                <w:iCs/>
                <w:color w:val="000000"/>
                <w:sz w:val="16"/>
                <w:szCs w:val="16"/>
              </w:rPr>
            </w:pPr>
            <w:r w:rsidRPr="003A78F5">
              <w:rPr>
                <w:rFonts w:cs="Arial"/>
                <w:i/>
                <w:iCs/>
                <w:color w:val="000000"/>
                <w:sz w:val="16"/>
                <w:szCs w:val="16"/>
              </w:rPr>
              <w:t>v tom:</w:t>
            </w:r>
          </w:p>
        </w:tc>
        <w:tc>
          <w:tcPr>
            <w:tcW w:w="850" w:type="dxa"/>
            <w:tcBorders>
              <w:top w:val="nil"/>
              <w:left w:val="nil"/>
              <w:bottom w:val="nil"/>
              <w:right w:val="nil"/>
            </w:tcBorders>
            <w:shd w:val="clear" w:color="auto" w:fill="auto"/>
            <w:noWrap/>
            <w:vAlign w:val="center"/>
            <w:hideMark/>
          </w:tcPr>
          <w:p w14:paraId="45138CFB" w14:textId="77777777" w:rsidR="00EC5218" w:rsidRPr="003A78F5" w:rsidRDefault="00EC5218" w:rsidP="00692076">
            <w:pPr>
              <w:keepNext/>
              <w:spacing w:after="0" w:line="240" w:lineRule="auto"/>
              <w:jc w:val="center"/>
              <w:rPr>
                <w:rFonts w:cs="Arial"/>
                <w:i/>
                <w:iCs/>
                <w:color w:val="000000"/>
                <w:sz w:val="16"/>
                <w:szCs w:val="16"/>
              </w:rPr>
            </w:pPr>
          </w:p>
        </w:tc>
        <w:tc>
          <w:tcPr>
            <w:tcW w:w="1560" w:type="dxa"/>
            <w:gridSpan w:val="2"/>
            <w:tcBorders>
              <w:top w:val="nil"/>
              <w:left w:val="single" w:sz="8" w:space="0" w:color="auto"/>
              <w:bottom w:val="nil"/>
              <w:right w:val="single" w:sz="4" w:space="0" w:color="000000"/>
            </w:tcBorders>
            <w:shd w:val="clear" w:color="auto" w:fill="auto"/>
            <w:noWrap/>
            <w:vAlign w:val="center"/>
            <w:hideMark/>
          </w:tcPr>
          <w:p w14:paraId="1A1453B3" w14:textId="77777777" w:rsidR="00EC5218" w:rsidRPr="003A78F5" w:rsidRDefault="00EC5218" w:rsidP="00692076">
            <w:pPr>
              <w:keepNext/>
              <w:spacing w:after="0" w:line="240" w:lineRule="auto"/>
              <w:jc w:val="center"/>
              <w:rPr>
                <w:rFonts w:cs="Arial"/>
                <w:i/>
                <w:iCs/>
                <w:color w:val="000000"/>
                <w:sz w:val="16"/>
                <w:szCs w:val="16"/>
              </w:rPr>
            </w:pPr>
            <w:r w:rsidRPr="003A78F5">
              <w:rPr>
                <w:rFonts w:cs="Arial"/>
                <w:i/>
                <w:iCs/>
                <w:color w:val="000000"/>
                <w:sz w:val="16"/>
                <w:szCs w:val="16"/>
              </w:rPr>
              <w:t>v tom:</w:t>
            </w:r>
          </w:p>
        </w:tc>
        <w:tc>
          <w:tcPr>
            <w:tcW w:w="708" w:type="dxa"/>
            <w:tcBorders>
              <w:top w:val="nil"/>
              <w:left w:val="nil"/>
              <w:bottom w:val="nil"/>
              <w:right w:val="single" w:sz="8" w:space="0" w:color="auto"/>
            </w:tcBorders>
            <w:shd w:val="clear" w:color="auto" w:fill="auto"/>
            <w:noWrap/>
            <w:vAlign w:val="center"/>
            <w:hideMark/>
          </w:tcPr>
          <w:p w14:paraId="18DBBDB1" w14:textId="77777777" w:rsidR="00EC5218" w:rsidRPr="003A78F5" w:rsidRDefault="00EC5218" w:rsidP="00692076">
            <w:pPr>
              <w:keepNext/>
              <w:spacing w:after="0" w:line="240" w:lineRule="auto"/>
              <w:rPr>
                <w:rFonts w:cs="Arial"/>
                <w:color w:val="000000"/>
                <w:sz w:val="16"/>
                <w:szCs w:val="16"/>
              </w:rPr>
            </w:pPr>
            <w:r w:rsidRPr="003A78F5">
              <w:rPr>
                <w:rFonts w:cs="Arial"/>
                <w:color w:val="000000"/>
                <w:sz w:val="16"/>
                <w:szCs w:val="16"/>
              </w:rPr>
              <w:t> </w:t>
            </w:r>
          </w:p>
        </w:tc>
        <w:tc>
          <w:tcPr>
            <w:tcW w:w="1560" w:type="dxa"/>
            <w:gridSpan w:val="2"/>
            <w:tcBorders>
              <w:top w:val="nil"/>
              <w:left w:val="nil"/>
              <w:bottom w:val="nil"/>
              <w:right w:val="single" w:sz="4" w:space="0" w:color="000000"/>
            </w:tcBorders>
            <w:shd w:val="clear" w:color="auto" w:fill="auto"/>
            <w:noWrap/>
            <w:vAlign w:val="center"/>
            <w:hideMark/>
          </w:tcPr>
          <w:p w14:paraId="4108E39A" w14:textId="77777777" w:rsidR="00EC5218" w:rsidRPr="003A78F5" w:rsidRDefault="00EC5218" w:rsidP="00692076">
            <w:pPr>
              <w:keepNext/>
              <w:spacing w:after="0" w:line="240" w:lineRule="auto"/>
              <w:jc w:val="center"/>
              <w:rPr>
                <w:rFonts w:cs="Arial"/>
                <w:i/>
                <w:iCs/>
                <w:color w:val="000000"/>
                <w:sz w:val="16"/>
                <w:szCs w:val="16"/>
              </w:rPr>
            </w:pPr>
            <w:r w:rsidRPr="003A78F5">
              <w:rPr>
                <w:rFonts w:cs="Arial"/>
                <w:i/>
                <w:iCs/>
                <w:color w:val="000000"/>
                <w:sz w:val="16"/>
                <w:szCs w:val="16"/>
              </w:rPr>
              <w:t>v tom:</w:t>
            </w:r>
          </w:p>
        </w:tc>
        <w:tc>
          <w:tcPr>
            <w:tcW w:w="850" w:type="dxa"/>
            <w:tcBorders>
              <w:top w:val="nil"/>
              <w:left w:val="nil"/>
              <w:bottom w:val="nil"/>
              <w:right w:val="single" w:sz="8" w:space="0" w:color="auto"/>
            </w:tcBorders>
            <w:shd w:val="clear" w:color="auto" w:fill="auto"/>
            <w:noWrap/>
            <w:vAlign w:val="center"/>
            <w:hideMark/>
          </w:tcPr>
          <w:p w14:paraId="0D105C8C" w14:textId="77777777" w:rsidR="00EC5218" w:rsidRPr="003A78F5" w:rsidRDefault="00EC5218" w:rsidP="00692076">
            <w:pPr>
              <w:keepNext/>
              <w:spacing w:after="0" w:line="240" w:lineRule="auto"/>
              <w:rPr>
                <w:rFonts w:cs="Arial"/>
                <w:color w:val="000000"/>
                <w:sz w:val="16"/>
                <w:szCs w:val="16"/>
              </w:rPr>
            </w:pPr>
            <w:r w:rsidRPr="003A78F5">
              <w:rPr>
                <w:rFonts w:cs="Arial"/>
                <w:color w:val="000000"/>
                <w:sz w:val="16"/>
                <w:szCs w:val="16"/>
              </w:rPr>
              <w:t> </w:t>
            </w:r>
          </w:p>
        </w:tc>
      </w:tr>
      <w:tr w:rsidR="00263D67" w:rsidRPr="003A78F5" w14:paraId="33CDF099" w14:textId="77777777" w:rsidTr="003A78F5">
        <w:trPr>
          <w:trHeight w:val="368"/>
        </w:trPr>
        <w:tc>
          <w:tcPr>
            <w:tcW w:w="2268" w:type="dxa"/>
            <w:tcBorders>
              <w:top w:val="nil"/>
              <w:left w:val="single" w:sz="8" w:space="0" w:color="auto"/>
              <w:bottom w:val="nil"/>
              <w:right w:val="single" w:sz="8" w:space="0" w:color="auto"/>
            </w:tcBorders>
            <w:shd w:val="clear" w:color="auto" w:fill="auto"/>
            <w:noWrap/>
            <w:vAlign w:val="center"/>
            <w:hideMark/>
          </w:tcPr>
          <w:p w14:paraId="6ED193B7" w14:textId="77777777" w:rsidR="00EC5218" w:rsidRPr="003A78F5" w:rsidRDefault="00EC5218" w:rsidP="00692076">
            <w:pPr>
              <w:keepNext/>
              <w:spacing w:after="0" w:line="240" w:lineRule="auto"/>
              <w:rPr>
                <w:rFonts w:cs="Arial"/>
                <w:color w:val="000000"/>
                <w:sz w:val="16"/>
                <w:szCs w:val="16"/>
              </w:rPr>
            </w:pPr>
            <w:r w:rsidRPr="003A78F5">
              <w:rPr>
                <w:rFonts w:cs="Arial"/>
                <w:color w:val="000000"/>
                <w:sz w:val="16"/>
                <w:szCs w:val="16"/>
              </w:rPr>
              <w:t>vývojovými poruchami učení</w:t>
            </w:r>
          </w:p>
        </w:tc>
        <w:tc>
          <w:tcPr>
            <w:tcW w:w="709" w:type="dxa"/>
            <w:tcBorders>
              <w:top w:val="nil"/>
              <w:left w:val="nil"/>
              <w:bottom w:val="nil"/>
              <w:right w:val="nil"/>
            </w:tcBorders>
            <w:shd w:val="clear" w:color="auto" w:fill="auto"/>
            <w:noWrap/>
            <w:vAlign w:val="center"/>
            <w:hideMark/>
          </w:tcPr>
          <w:p w14:paraId="791CC538"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7 501</w:t>
            </w:r>
          </w:p>
        </w:tc>
        <w:tc>
          <w:tcPr>
            <w:tcW w:w="709" w:type="dxa"/>
            <w:tcBorders>
              <w:top w:val="nil"/>
              <w:left w:val="nil"/>
              <w:bottom w:val="nil"/>
              <w:right w:val="single" w:sz="4" w:space="0" w:color="auto"/>
            </w:tcBorders>
            <w:shd w:val="clear" w:color="auto" w:fill="auto"/>
            <w:noWrap/>
            <w:vAlign w:val="center"/>
            <w:hideMark/>
          </w:tcPr>
          <w:p w14:paraId="5FC6EB5B"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39,2%</w:t>
            </w:r>
          </w:p>
        </w:tc>
        <w:tc>
          <w:tcPr>
            <w:tcW w:w="850" w:type="dxa"/>
            <w:tcBorders>
              <w:top w:val="nil"/>
              <w:left w:val="nil"/>
              <w:bottom w:val="nil"/>
              <w:right w:val="nil"/>
            </w:tcBorders>
            <w:shd w:val="clear" w:color="auto" w:fill="auto"/>
            <w:noWrap/>
            <w:vAlign w:val="center"/>
            <w:hideMark/>
          </w:tcPr>
          <w:p w14:paraId="6D3FDF31"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33,1%</w:t>
            </w:r>
          </w:p>
        </w:tc>
        <w:tc>
          <w:tcPr>
            <w:tcW w:w="851" w:type="dxa"/>
            <w:tcBorders>
              <w:top w:val="nil"/>
              <w:left w:val="single" w:sz="8" w:space="0" w:color="auto"/>
              <w:bottom w:val="nil"/>
              <w:right w:val="nil"/>
            </w:tcBorders>
            <w:shd w:val="clear" w:color="auto" w:fill="auto"/>
            <w:noWrap/>
            <w:vAlign w:val="center"/>
            <w:hideMark/>
          </w:tcPr>
          <w:p w14:paraId="46625289"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8 916</w:t>
            </w:r>
          </w:p>
        </w:tc>
        <w:tc>
          <w:tcPr>
            <w:tcW w:w="709" w:type="dxa"/>
            <w:tcBorders>
              <w:top w:val="nil"/>
              <w:left w:val="nil"/>
              <w:bottom w:val="nil"/>
              <w:right w:val="single" w:sz="4" w:space="0" w:color="auto"/>
            </w:tcBorders>
            <w:shd w:val="clear" w:color="auto" w:fill="auto"/>
            <w:noWrap/>
            <w:vAlign w:val="center"/>
            <w:hideMark/>
          </w:tcPr>
          <w:p w14:paraId="450535CC"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43,8%</w:t>
            </w:r>
          </w:p>
        </w:tc>
        <w:tc>
          <w:tcPr>
            <w:tcW w:w="708" w:type="dxa"/>
            <w:tcBorders>
              <w:top w:val="nil"/>
              <w:left w:val="nil"/>
              <w:bottom w:val="nil"/>
              <w:right w:val="single" w:sz="8" w:space="0" w:color="auto"/>
            </w:tcBorders>
            <w:shd w:val="clear" w:color="auto" w:fill="auto"/>
            <w:noWrap/>
            <w:vAlign w:val="center"/>
            <w:hideMark/>
          </w:tcPr>
          <w:p w14:paraId="73EDBFC1"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31,5%</w:t>
            </w:r>
          </w:p>
        </w:tc>
        <w:tc>
          <w:tcPr>
            <w:tcW w:w="851" w:type="dxa"/>
            <w:tcBorders>
              <w:top w:val="nil"/>
              <w:left w:val="nil"/>
              <w:bottom w:val="nil"/>
              <w:right w:val="nil"/>
            </w:tcBorders>
            <w:shd w:val="clear" w:color="auto" w:fill="auto"/>
            <w:noWrap/>
            <w:vAlign w:val="center"/>
            <w:hideMark/>
          </w:tcPr>
          <w:p w14:paraId="02E2377E"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11 398</w:t>
            </w:r>
          </w:p>
        </w:tc>
        <w:tc>
          <w:tcPr>
            <w:tcW w:w="709" w:type="dxa"/>
            <w:tcBorders>
              <w:top w:val="nil"/>
              <w:left w:val="nil"/>
              <w:bottom w:val="nil"/>
              <w:right w:val="single" w:sz="4" w:space="0" w:color="auto"/>
            </w:tcBorders>
            <w:shd w:val="clear" w:color="auto" w:fill="auto"/>
            <w:noWrap/>
            <w:vAlign w:val="center"/>
            <w:hideMark/>
          </w:tcPr>
          <w:p w14:paraId="3B77914C"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47,0%</w:t>
            </w:r>
          </w:p>
        </w:tc>
        <w:tc>
          <w:tcPr>
            <w:tcW w:w="850" w:type="dxa"/>
            <w:tcBorders>
              <w:top w:val="nil"/>
              <w:left w:val="nil"/>
              <w:bottom w:val="nil"/>
              <w:right w:val="single" w:sz="8" w:space="0" w:color="auto"/>
            </w:tcBorders>
            <w:shd w:val="clear" w:color="auto" w:fill="auto"/>
            <w:noWrap/>
            <w:vAlign w:val="center"/>
            <w:hideMark/>
          </w:tcPr>
          <w:p w14:paraId="750DF71C"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34,7%</w:t>
            </w:r>
          </w:p>
        </w:tc>
      </w:tr>
      <w:tr w:rsidR="00263D67" w:rsidRPr="003A78F5" w14:paraId="4B1E287A" w14:textId="77777777" w:rsidTr="003A78F5">
        <w:trPr>
          <w:trHeight w:val="368"/>
        </w:trPr>
        <w:tc>
          <w:tcPr>
            <w:tcW w:w="2268" w:type="dxa"/>
            <w:tcBorders>
              <w:top w:val="nil"/>
              <w:left w:val="single" w:sz="8" w:space="0" w:color="auto"/>
              <w:bottom w:val="nil"/>
              <w:right w:val="single" w:sz="8" w:space="0" w:color="auto"/>
            </w:tcBorders>
            <w:shd w:val="clear" w:color="auto" w:fill="auto"/>
            <w:noWrap/>
            <w:vAlign w:val="center"/>
            <w:hideMark/>
          </w:tcPr>
          <w:p w14:paraId="7E93E822" w14:textId="77777777" w:rsidR="00EC5218" w:rsidRPr="003A78F5" w:rsidRDefault="00EC5218" w:rsidP="00692076">
            <w:pPr>
              <w:keepNext/>
              <w:spacing w:after="0" w:line="240" w:lineRule="auto"/>
              <w:rPr>
                <w:rFonts w:cs="Arial"/>
                <w:color w:val="000000"/>
                <w:sz w:val="16"/>
                <w:szCs w:val="16"/>
              </w:rPr>
            </w:pPr>
            <w:r w:rsidRPr="003A78F5">
              <w:rPr>
                <w:rFonts w:cs="Arial"/>
                <w:color w:val="000000"/>
                <w:sz w:val="16"/>
                <w:szCs w:val="16"/>
              </w:rPr>
              <w:t>mentálně</w:t>
            </w:r>
          </w:p>
        </w:tc>
        <w:tc>
          <w:tcPr>
            <w:tcW w:w="709" w:type="dxa"/>
            <w:tcBorders>
              <w:top w:val="nil"/>
              <w:left w:val="nil"/>
              <w:bottom w:val="nil"/>
              <w:right w:val="nil"/>
            </w:tcBorders>
            <w:shd w:val="clear" w:color="auto" w:fill="auto"/>
            <w:noWrap/>
            <w:vAlign w:val="center"/>
            <w:hideMark/>
          </w:tcPr>
          <w:p w14:paraId="0B3D564B"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8 786</w:t>
            </w:r>
          </w:p>
        </w:tc>
        <w:tc>
          <w:tcPr>
            <w:tcW w:w="709" w:type="dxa"/>
            <w:tcBorders>
              <w:top w:val="nil"/>
              <w:left w:val="nil"/>
              <w:bottom w:val="nil"/>
              <w:right w:val="single" w:sz="4" w:space="0" w:color="auto"/>
            </w:tcBorders>
            <w:shd w:val="clear" w:color="auto" w:fill="auto"/>
            <w:noWrap/>
            <w:vAlign w:val="center"/>
            <w:hideMark/>
          </w:tcPr>
          <w:p w14:paraId="4B242B20"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45,9%</w:t>
            </w:r>
          </w:p>
        </w:tc>
        <w:tc>
          <w:tcPr>
            <w:tcW w:w="850" w:type="dxa"/>
            <w:tcBorders>
              <w:top w:val="nil"/>
              <w:left w:val="nil"/>
              <w:bottom w:val="nil"/>
              <w:right w:val="nil"/>
            </w:tcBorders>
            <w:shd w:val="clear" w:color="auto" w:fill="auto"/>
            <w:noWrap/>
            <w:vAlign w:val="center"/>
            <w:hideMark/>
          </w:tcPr>
          <w:p w14:paraId="45974716"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42,2%</w:t>
            </w:r>
          </w:p>
        </w:tc>
        <w:tc>
          <w:tcPr>
            <w:tcW w:w="851" w:type="dxa"/>
            <w:tcBorders>
              <w:top w:val="nil"/>
              <w:left w:val="single" w:sz="8" w:space="0" w:color="auto"/>
              <w:bottom w:val="nil"/>
              <w:right w:val="nil"/>
            </w:tcBorders>
            <w:shd w:val="clear" w:color="auto" w:fill="auto"/>
            <w:noWrap/>
            <w:vAlign w:val="center"/>
            <w:hideMark/>
          </w:tcPr>
          <w:p w14:paraId="578EF660"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6 547</w:t>
            </w:r>
          </w:p>
        </w:tc>
        <w:tc>
          <w:tcPr>
            <w:tcW w:w="709" w:type="dxa"/>
            <w:tcBorders>
              <w:top w:val="nil"/>
              <w:left w:val="nil"/>
              <w:bottom w:val="nil"/>
              <w:right w:val="single" w:sz="4" w:space="0" w:color="auto"/>
            </w:tcBorders>
            <w:shd w:val="clear" w:color="auto" w:fill="auto"/>
            <w:noWrap/>
            <w:vAlign w:val="center"/>
            <w:hideMark/>
          </w:tcPr>
          <w:p w14:paraId="228EA37C"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32,2%</w:t>
            </w:r>
          </w:p>
        </w:tc>
        <w:tc>
          <w:tcPr>
            <w:tcW w:w="708" w:type="dxa"/>
            <w:tcBorders>
              <w:top w:val="nil"/>
              <w:left w:val="nil"/>
              <w:bottom w:val="nil"/>
              <w:right w:val="single" w:sz="8" w:space="0" w:color="auto"/>
            </w:tcBorders>
            <w:shd w:val="clear" w:color="auto" w:fill="auto"/>
            <w:noWrap/>
            <w:vAlign w:val="center"/>
            <w:hideMark/>
          </w:tcPr>
          <w:p w14:paraId="55228105"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44,3%</w:t>
            </w:r>
          </w:p>
        </w:tc>
        <w:tc>
          <w:tcPr>
            <w:tcW w:w="851" w:type="dxa"/>
            <w:tcBorders>
              <w:top w:val="nil"/>
              <w:left w:val="nil"/>
              <w:bottom w:val="nil"/>
              <w:right w:val="nil"/>
            </w:tcBorders>
            <w:shd w:val="clear" w:color="auto" w:fill="auto"/>
            <w:noWrap/>
            <w:vAlign w:val="center"/>
            <w:hideMark/>
          </w:tcPr>
          <w:p w14:paraId="27BC86C4"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4 660</w:t>
            </w:r>
          </w:p>
        </w:tc>
        <w:tc>
          <w:tcPr>
            <w:tcW w:w="709" w:type="dxa"/>
            <w:tcBorders>
              <w:top w:val="nil"/>
              <w:left w:val="nil"/>
              <w:bottom w:val="nil"/>
              <w:right w:val="single" w:sz="4" w:space="0" w:color="auto"/>
            </w:tcBorders>
            <w:shd w:val="clear" w:color="auto" w:fill="auto"/>
            <w:noWrap/>
            <w:vAlign w:val="center"/>
            <w:hideMark/>
          </w:tcPr>
          <w:p w14:paraId="068AE0E7"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19,2%</w:t>
            </w:r>
          </w:p>
        </w:tc>
        <w:tc>
          <w:tcPr>
            <w:tcW w:w="850" w:type="dxa"/>
            <w:tcBorders>
              <w:top w:val="nil"/>
              <w:left w:val="nil"/>
              <w:bottom w:val="nil"/>
              <w:right w:val="single" w:sz="8" w:space="0" w:color="auto"/>
            </w:tcBorders>
            <w:shd w:val="clear" w:color="auto" w:fill="auto"/>
            <w:noWrap/>
            <w:vAlign w:val="center"/>
            <w:hideMark/>
          </w:tcPr>
          <w:p w14:paraId="18E2AD46"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49,0%</w:t>
            </w:r>
          </w:p>
        </w:tc>
      </w:tr>
      <w:tr w:rsidR="00263D67" w:rsidRPr="003A78F5" w14:paraId="10006AB3" w14:textId="77777777" w:rsidTr="003A78F5">
        <w:trPr>
          <w:trHeight w:val="368"/>
        </w:trPr>
        <w:tc>
          <w:tcPr>
            <w:tcW w:w="2268" w:type="dxa"/>
            <w:tcBorders>
              <w:top w:val="nil"/>
              <w:left w:val="single" w:sz="8" w:space="0" w:color="auto"/>
              <w:bottom w:val="nil"/>
              <w:right w:val="single" w:sz="8" w:space="0" w:color="auto"/>
            </w:tcBorders>
            <w:shd w:val="clear" w:color="auto" w:fill="auto"/>
            <w:noWrap/>
            <w:vAlign w:val="center"/>
            <w:hideMark/>
          </w:tcPr>
          <w:p w14:paraId="5F03A630" w14:textId="77777777" w:rsidR="00EC5218" w:rsidRPr="003A78F5" w:rsidRDefault="00EC5218" w:rsidP="00692076">
            <w:pPr>
              <w:keepNext/>
              <w:spacing w:after="0" w:line="240" w:lineRule="auto"/>
              <w:rPr>
                <w:rFonts w:cs="Arial"/>
                <w:color w:val="000000"/>
                <w:sz w:val="16"/>
                <w:szCs w:val="16"/>
              </w:rPr>
            </w:pPr>
            <w:r w:rsidRPr="003A78F5">
              <w:rPr>
                <w:rFonts w:cs="Arial"/>
                <w:color w:val="000000"/>
                <w:sz w:val="16"/>
                <w:szCs w:val="16"/>
              </w:rPr>
              <w:t>vývojovými poruchami chování</w:t>
            </w:r>
          </w:p>
        </w:tc>
        <w:tc>
          <w:tcPr>
            <w:tcW w:w="709" w:type="dxa"/>
            <w:tcBorders>
              <w:top w:val="nil"/>
              <w:left w:val="nil"/>
              <w:bottom w:val="nil"/>
              <w:right w:val="nil"/>
            </w:tcBorders>
            <w:shd w:val="clear" w:color="auto" w:fill="auto"/>
            <w:noWrap/>
            <w:vAlign w:val="center"/>
            <w:hideMark/>
          </w:tcPr>
          <w:p w14:paraId="2A0B5F6C" w14:textId="77777777" w:rsidR="00EC5218" w:rsidRPr="003A78F5" w:rsidRDefault="00EC5218" w:rsidP="00692076">
            <w:pPr>
              <w:keepNext/>
              <w:spacing w:after="0" w:line="240" w:lineRule="auto"/>
              <w:jc w:val="center"/>
              <w:rPr>
                <w:rFonts w:cs="Arial"/>
                <w:color w:val="000000"/>
                <w:sz w:val="16"/>
                <w:szCs w:val="16"/>
              </w:rPr>
            </w:pPr>
            <w:r w:rsidRPr="003A78F5">
              <w:rPr>
                <w:rFonts w:cs="Arial"/>
                <w:color w:val="000000"/>
                <w:sz w:val="16"/>
                <w:szCs w:val="16"/>
              </w:rPr>
              <w:t>.</w:t>
            </w:r>
          </w:p>
        </w:tc>
        <w:tc>
          <w:tcPr>
            <w:tcW w:w="709" w:type="dxa"/>
            <w:tcBorders>
              <w:top w:val="nil"/>
              <w:left w:val="nil"/>
              <w:bottom w:val="nil"/>
              <w:right w:val="single" w:sz="4" w:space="0" w:color="auto"/>
            </w:tcBorders>
            <w:shd w:val="clear" w:color="auto" w:fill="auto"/>
            <w:noWrap/>
            <w:vAlign w:val="center"/>
            <w:hideMark/>
          </w:tcPr>
          <w:p w14:paraId="11587FDD" w14:textId="77777777" w:rsidR="00EC5218" w:rsidRPr="003A78F5" w:rsidRDefault="00EC5218" w:rsidP="00692076">
            <w:pPr>
              <w:keepNext/>
              <w:spacing w:after="0" w:line="240" w:lineRule="auto"/>
              <w:jc w:val="center"/>
              <w:rPr>
                <w:rFonts w:cs="Arial"/>
                <w:color w:val="000000"/>
                <w:sz w:val="16"/>
                <w:szCs w:val="16"/>
              </w:rPr>
            </w:pPr>
            <w:r w:rsidRPr="003A78F5">
              <w:rPr>
                <w:rFonts w:cs="Arial"/>
                <w:color w:val="000000"/>
                <w:sz w:val="16"/>
                <w:szCs w:val="16"/>
              </w:rPr>
              <w:t>.</w:t>
            </w:r>
          </w:p>
        </w:tc>
        <w:tc>
          <w:tcPr>
            <w:tcW w:w="850" w:type="dxa"/>
            <w:tcBorders>
              <w:top w:val="nil"/>
              <w:left w:val="nil"/>
              <w:bottom w:val="nil"/>
              <w:right w:val="nil"/>
            </w:tcBorders>
            <w:shd w:val="clear" w:color="auto" w:fill="auto"/>
            <w:noWrap/>
            <w:vAlign w:val="center"/>
            <w:hideMark/>
          </w:tcPr>
          <w:p w14:paraId="0B2DFBA8" w14:textId="77777777" w:rsidR="00EC5218" w:rsidRPr="003A78F5" w:rsidRDefault="00EC5218" w:rsidP="00692076">
            <w:pPr>
              <w:keepNext/>
              <w:spacing w:after="0" w:line="240" w:lineRule="auto"/>
              <w:jc w:val="center"/>
              <w:rPr>
                <w:rFonts w:cs="Arial"/>
                <w:color w:val="000000"/>
                <w:sz w:val="16"/>
                <w:szCs w:val="16"/>
              </w:rPr>
            </w:pPr>
            <w:r w:rsidRPr="003A78F5">
              <w:rPr>
                <w:rFonts w:cs="Arial"/>
                <w:color w:val="000000"/>
                <w:sz w:val="16"/>
                <w:szCs w:val="16"/>
              </w:rPr>
              <w:t>.</w:t>
            </w:r>
          </w:p>
        </w:tc>
        <w:tc>
          <w:tcPr>
            <w:tcW w:w="851" w:type="dxa"/>
            <w:tcBorders>
              <w:top w:val="nil"/>
              <w:left w:val="single" w:sz="8" w:space="0" w:color="auto"/>
              <w:bottom w:val="nil"/>
              <w:right w:val="nil"/>
            </w:tcBorders>
            <w:shd w:val="clear" w:color="auto" w:fill="auto"/>
            <w:noWrap/>
            <w:vAlign w:val="center"/>
            <w:hideMark/>
          </w:tcPr>
          <w:p w14:paraId="7E1C229C"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640</w:t>
            </w:r>
          </w:p>
        </w:tc>
        <w:tc>
          <w:tcPr>
            <w:tcW w:w="709" w:type="dxa"/>
            <w:tcBorders>
              <w:top w:val="nil"/>
              <w:left w:val="nil"/>
              <w:bottom w:val="nil"/>
              <w:right w:val="single" w:sz="4" w:space="0" w:color="auto"/>
            </w:tcBorders>
            <w:shd w:val="clear" w:color="auto" w:fill="auto"/>
            <w:noWrap/>
            <w:vAlign w:val="center"/>
            <w:hideMark/>
          </w:tcPr>
          <w:p w14:paraId="1868BEEC"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3,1%</w:t>
            </w:r>
          </w:p>
        </w:tc>
        <w:tc>
          <w:tcPr>
            <w:tcW w:w="708" w:type="dxa"/>
            <w:tcBorders>
              <w:top w:val="nil"/>
              <w:left w:val="nil"/>
              <w:bottom w:val="nil"/>
              <w:right w:val="single" w:sz="8" w:space="0" w:color="auto"/>
            </w:tcBorders>
            <w:shd w:val="clear" w:color="auto" w:fill="auto"/>
            <w:noWrap/>
            <w:vAlign w:val="center"/>
            <w:hideMark/>
          </w:tcPr>
          <w:p w14:paraId="05712E24"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25,8%</w:t>
            </w:r>
          </w:p>
        </w:tc>
        <w:tc>
          <w:tcPr>
            <w:tcW w:w="851" w:type="dxa"/>
            <w:tcBorders>
              <w:top w:val="nil"/>
              <w:left w:val="nil"/>
              <w:bottom w:val="nil"/>
              <w:right w:val="nil"/>
            </w:tcBorders>
            <w:shd w:val="clear" w:color="auto" w:fill="auto"/>
            <w:noWrap/>
            <w:vAlign w:val="center"/>
            <w:hideMark/>
          </w:tcPr>
          <w:p w14:paraId="6203DCB7"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2 125</w:t>
            </w:r>
          </w:p>
        </w:tc>
        <w:tc>
          <w:tcPr>
            <w:tcW w:w="709" w:type="dxa"/>
            <w:tcBorders>
              <w:top w:val="nil"/>
              <w:left w:val="nil"/>
              <w:bottom w:val="nil"/>
              <w:right w:val="single" w:sz="4" w:space="0" w:color="auto"/>
            </w:tcBorders>
            <w:shd w:val="clear" w:color="auto" w:fill="auto"/>
            <w:noWrap/>
            <w:vAlign w:val="center"/>
            <w:hideMark/>
          </w:tcPr>
          <w:p w14:paraId="493736D1"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8,8%</w:t>
            </w:r>
          </w:p>
        </w:tc>
        <w:tc>
          <w:tcPr>
            <w:tcW w:w="850" w:type="dxa"/>
            <w:tcBorders>
              <w:top w:val="nil"/>
              <w:left w:val="nil"/>
              <w:bottom w:val="nil"/>
              <w:right w:val="single" w:sz="8" w:space="0" w:color="auto"/>
            </w:tcBorders>
            <w:shd w:val="clear" w:color="auto" w:fill="auto"/>
            <w:noWrap/>
            <w:vAlign w:val="center"/>
            <w:hideMark/>
          </w:tcPr>
          <w:p w14:paraId="663EBDB3"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29,8%</w:t>
            </w:r>
          </w:p>
        </w:tc>
      </w:tr>
      <w:tr w:rsidR="00263D67" w:rsidRPr="003A78F5" w14:paraId="2C2B78A2" w14:textId="77777777" w:rsidTr="003A78F5">
        <w:trPr>
          <w:trHeight w:val="368"/>
        </w:trPr>
        <w:tc>
          <w:tcPr>
            <w:tcW w:w="2268" w:type="dxa"/>
            <w:tcBorders>
              <w:top w:val="nil"/>
              <w:left w:val="single" w:sz="8" w:space="0" w:color="auto"/>
              <w:bottom w:val="nil"/>
              <w:right w:val="single" w:sz="8" w:space="0" w:color="auto"/>
            </w:tcBorders>
            <w:shd w:val="clear" w:color="auto" w:fill="auto"/>
            <w:noWrap/>
            <w:vAlign w:val="center"/>
            <w:hideMark/>
          </w:tcPr>
          <w:p w14:paraId="7B0A135D" w14:textId="672374C9" w:rsidR="00EC5218" w:rsidRPr="003A78F5" w:rsidRDefault="00DF4FB7" w:rsidP="00692076">
            <w:pPr>
              <w:keepNext/>
              <w:spacing w:after="0" w:line="240" w:lineRule="auto"/>
              <w:rPr>
                <w:rFonts w:cs="Arial"/>
                <w:color w:val="000000"/>
                <w:sz w:val="16"/>
                <w:szCs w:val="16"/>
              </w:rPr>
            </w:pPr>
            <w:r w:rsidRPr="003A78F5">
              <w:rPr>
                <w:rFonts w:cs="Arial"/>
                <w:color w:val="000000"/>
                <w:sz w:val="16"/>
                <w:szCs w:val="16"/>
              </w:rPr>
              <w:t>poruchami autistického spektra</w:t>
            </w:r>
          </w:p>
        </w:tc>
        <w:tc>
          <w:tcPr>
            <w:tcW w:w="709" w:type="dxa"/>
            <w:tcBorders>
              <w:top w:val="nil"/>
              <w:left w:val="nil"/>
              <w:bottom w:val="nil"/>
              <w:right w:val="nil"/>
            </w:tcBorders>
            <w:shd w:val="clear" w:color="auto" w:fill="auto"/>
            <w:noWrap/>
            <w:vAlign w:val="center"/>
            <w:hideMark/>
          </w:tcPr>
          <w:p w14:paraId="4C95DBC8"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227</w:t>
            </w:r>
          </w:p>
        </w:tc>
        <w:tc>
          <w:tcPr>
            <w:tcW w:w="709" w:type="dxa"/>
            <w:tcBorders>
              <w:top w:val="nil"/>
              <w:left w:val="nil"/>
              <w:bottom w:val="nil"/>
              <w:right w:val="single" w:sz="4" w:space="0" w:color="auto"/>
            </w:tcBorders>
            <w:shd w:val="clear" w:color="auto" w:fill="auto"/>
            <w:noWrap/>
            <w:vAlign w:val="center"/>
            <w:hideMark/>
          </w:tcPr>
          <w:p w14:paraId="2C1D7162"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1,2%</w:t>
            </w:r>
          </w:p>
        </w:tc>
        <w:tc>
          <w:tcPr>
            <w:tcW w:w="850" w:type="dxa"/>
            <w:tcBorders>
              <w:top w:val="nil"/>
              <w:left w:val="nil"/>
              <w:bottom w:val="nil"/>
              <w:right w:val="nil"/>
            </w:tcBorders>
            <w:shd w:val="clear" w:color="auto" w:fill="auto"/>
            <w:noWrap/>
            <w:vAlign w:val="center"/>
            <w:hideMark/>
          </w:tcPr>
          <w:p w14:paraId="00937B65"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12,8%</w:t>
            </w:r>
          </w:p>
        </w:tc>
        <w:tc>
          <w:tcPr>
            <w:tcW w:w="851" w:type="dxa"/>
            <w:tcBorders>
              <w:top w:val="nil"/>
              <w:left w:val="single" w:sz="8" w:space="0" w:color="auto"/>
              <w:bottom w:val="nil"/>
              <w:right w:val="nil"/>
            </w:tcBorders>
            <w:shd w:val="clear" w:color="auto" w:fill="auto"/>
            <w:noWrap/>
            <w:vAlign w:val="center"/>
            <w:hideMark/>
          </w:tcPr>
          <w:p w14:paraId="34F18D69"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1017</w:t>
            </w:r>
          </w:p>
        </w:tc>
        <w:tc>
          <w:tcPr>
            <w:tcW w:w="709" w:type="dxa"/>
            <w:tcBorders>
              <w:top w:val="nil"/>
              <w:left w:val="nil"/>
              <w:bottom w:val="nil"/>
              <w:right w:val="single" w:sz="4" w:space="0" w:color="auto"/>
            </w:tcBorders>
            <w:shd w:val="clear" w:color="auto" w:fill="auto"/>
            <w:noWrap/>
            <w:vAlign w:val="center"/>
            <w:hideMark/>
          </w:tcPr>
          <w:p w14:paraId="31CAC612"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5,0%</w:t>
            </w:r>
          </w:p>
        </w:tc>
        <w:tc>
          <w:tcPr>
            <w:tcW w:w="708" w:type="dxa"/>
            <w:tcBorders>
              <w:top w:val="nil"/>
              <w:left w:val="nil"/>
              <w:bottom w:val="nil"/>
              <w:right w:val="single" w:sz="8" w:space="0" w:color="auto"/>
            </w:tcBorders>
            <w:shd w:val="clear" w:color="auto" w:fill="auto"/>
            <w:noWrap/>
            <w:vAlign w:val="center"/>
            <w:hideMark/>
          </w:tcPr>
          <w:p w14:paraId="4B1D661C"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17,5%</w:t>
            </w:r>
          </w:p>
        </w:tc>
        <w:tc>
          <w:tcPr>
            <w:tcW w:w="851" w:type="dxa"/>
            <w:tcBorders>
              <w:top w:val="nil"/>
              <w:left w:val="nil"/>
              <w:bottom w:val="nil"/>
              <w:right w:val="nil"/>
            </w:tcBorders>
            <w:shd w:val="clear" w:color="auto" w:fill="auto"/>
            <w:noWrap/>
            <w:vAlign w:val="center"/>
            <w:hideMark/>
          </w:tcPr>
          <w:p w14:paraId="41E31FE5"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1468</w:t>
            </w:r>
          </w:p>
        </w:tc>
        <w:tc>
          <w:tcPr>
            <w:tcW w:w="709" w:type="dxa"/>
            <w:tcBorders>
              <w:top w:val="nil"/>
              <w:left w:val="nil"/>
              <w:bottom w:val="nil"/>
              <w:right w:val="single" w:sz="4" w:space="0" w:color="auto"/>
            </w:tcBorders>
            <w:shd w:val="clear" w:color="auto" w:fill="auto"/>
            <w:noWrap/>
            <w:vAlign w:val="center"/>
            <w:hideMark/>
          </w:tcPr>
          <w:p w14:paraId="414B5C93"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6,0%</w:t>
            </w:r>
          </w:p>
        </w:tc>
        <w:tc>
          <w:tcPr>
            <w:tcW w:w="850" w:type="dxa"/>
            <w:tcBorders>
              <w:top w:val="nil"/>
              <w:left w:val="nil"/>
              <w:bottom w:val="nil"/>
              <w:right w:val="single" w:sz="8" w:space="0" w:color="auto"/>
            </w:tcBorders>
            <w:shd w:val="clear" w:color="auto" w:fill="auto"/>
            <w:noWrap/>
            <w:vAlign w:val="center"/>
            <w:hideMark/>
          </w:tcPr>
          <w:p w14:paraId="032B38B7"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16,6%</w:t>
            </w:r>
          </w:p>
        </w:tc>
      </w:tr>
      <w:tr w:rsidR="00263D67" w:rsidRPr="003A78F5" w14:paraId="35863216" w14:textId="77777777" w:rsidTr="003A78F5">
        <w:trPr>
          <w:trHeight w:val="368"/>
        </w:trPr>
        <w:tc>
          <w:tcPr>
            <w:tcW w:w="2268" w:type="dxa"/>
            <w:tcBorders>
              <w:top w:val="nil"/>
              <w:left w:val="single" w:sz="8" w:space="0" w:color="auto"/>
              <w:bottom w:val="nil"/>
              <w:right w:val="single" w:sz="8" w:space="0" w:color="auto"/>
            </w:tcBorders>
            <w:shd w:val="clear" w:color="auto" w:fill="auto"/>
            <w:noWrap/>
            <w:vAlign w:val="center"/>
            <w:hideMark/>
          </w:tcPr>
          <w:p w14:paraId="1ABFA284" w14:textId="77777777" w:rsidR="00EC5218" w:rsidRPr="003A78F5" w:rsidRDefault="00EC5218" w:rsidP="00692076">
            <w:pPr>
              <w:keepNext/>
              <w:spacing w:after="0" w:line="240" w:lineRule="auto"/>
              <w:rPr>
                <w:rFonts w:cs="Arial"/>
                <w:color w:val="000000"/>
                <w:sz w:val="16"/>
                <w:szCs w:val="16"/>
              </w:rPr>
            </w:pPr>
            <w:r w:rsidRPr="003A78F5">
              <w:rPr>
                <w:rFonts w:cs="Arial"/>
                <w:color w:val="000000"/>
                <w:sz w:val="16"/>
                <w:szCs w:val="16"/>
              </w:rPr>
              <w:t>vadami řeči</w:t>
            </w:r>
          </w:p>
        </w:tc>
        <w:tc>
          <w:tcPr>
            <w:tcW w:w="709" w:type="dxa"/>
            <w:tcBorders>
              <w:top w:val="nil"/>
              <w:left w:val="nil"/>
              <w:bottom w:val="nil"/>
              <w:right w:val="nil"/>
            </w:tcBorders>
            <w:shd w:val="clear" w:color="auto" w:fill="auto"/>
            <w:noWrap/>
            <w:vAlign w:val="center"/>
            <w:hideMark/>
          </w:tcPr>
          <w:p w14:paraId="44CA6D42"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82</w:t>
            </w:r>
          </w:p>
        </w:tc>
        <w:tc>
          <w:tcPr>
            <w:tcW w:w="709" w:type="dxa"/>
            <w:tcBorders>
              <w:top w:val="nil"/>
              <w:left w:val="nil"/>
              <w:bottom w:val="nil"/>
              <w:right w:val="single" w:sz="4" w:space="0" w:color="auto"/>
            </w:tcBorders>
            <w:shd w:val="clear" w:color="auto" w:fill="auto"/>
            <w:noWrap/>
            <w:vAlign w:val="center"/>
            <w:hideMark/>
          </w:tcPr>
          <w:p w14:paraId="24CE4582"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0,4%</w:t>
            </w:r>
          </w:p>
        </w:tc>
        <w:tc>
          <w:tcPr>
            <w:tcW w:w="850" w:type="dxa"/>
            <w:tcBorders>
              <w:top w:val="nil"/>
              <w:left w:val="nil"/>
              <w:bottom w:val="nil"/>
              <w:right w:val="nil"/>
            </w:tcBorders>
            <w:shd w:val="clear" w:color="auto" w:fill="auto"/>
            <w:noWrap/>
            <w:vAlign w:val="center"/>
            <w:hideMark/>
          </w:tcPr>
          <w:p w14:paraId="184D5F7A"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35,4%</w:t>
            </w:r>
          </w:p>
        </w:tc>
        <w:tc>
          <w:tcPr>
            <w:tcW w:w="851" w:type="dxa"/>
            <w:tcBorders>
              <w:top w:val="nil"/>
              <w:left w:val="single" w:sz="8" w:space="0" w:color="auto"/>
              <w:bottom w:val="nil"/>
              <w:right w:val="nil"/>
            </w:tcBorders>
            <w:shd w:val="clear" w:color="auto" w:fill="auto"/>
            <w:noWrap/>
            <w:vAlign w:val="center"/>
            <w:hideMark/>
          </w:tcPr>
          <w:p w14:paraId="6B54773A"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189</w:t>
            </w:r>
          </w:p>
        </w:tc>
        <w:tc>
          <w:tcPr>
            <w:tcW w:w="709" w:type="dxa"/>
            <w:tcBorders>
              <w:top w:val="nil"/>
              <w:left w:val="nil"/>
              <w:bottom w:val="nil"/>
              <w:right w:val="single" w:sz="4" w:space="0" w:color="auto"/>
            </w:tcBorders>
            <w:shd w:val="clear" w:color="auto" w:fill="auto"/>
            <w:noWrap/>
            <w:vAlign w:val="center"/>
            <w:hideMark/>
          </w:tcPr>
          <w:p w14:paraId="226ED6D8"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0,9%</w:t>
            </w:r>
          </w:p>
        </w:tc>
        <w:tc>
          <w:tcPr>
            <w:tcW w:w="708" w:type="dxa"/>
            <w:tcBorders>
              <w:top w:val="nil"/>
              <w:left w:val="nil"/>
              <w:bottom w:val="nil"/>
              <w:right w:val="single" w:sz="8" w:space="0" w:color="auto"/>
            </w:tcBorders>
            <w:shd w:val="clear" w:color="auto" w:fill="auto"/>
            <w:noWrap/>
            <w:vAlign w:val="center"/>
            <w:hideMark/>
          </w:tcPr>
          <w:p w14:paraId="1134F02B"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30,2%</w:t>
            </w:r>
          </w:p>
        </w:tc>
        <w:tc>
          <w:tcPr>
            <w:tcW w:w="851" w:type="dxa"/>
            <w:tcBorders>
              <w:top w:val="nil"/>
              <w:left w:val="nil"/>
              <w:bottom w:val="nil"/>
              <w:right w:val="nil"/>
            </w:tcBorders>
            <w:shd w:val="clear" w:color="auto" w:fill="auto"/>
            <w:noWrap/>
            <w:vAlign w:val="center"/>
            <w:hideMark/>
          </w:tcPr>
          <w:p w14:paraId="36EE50FA"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776</w:t>
            </w:r>
          </w:p>
        </w:tc>
        <w:tc>
          <w:tcPr>
            <w:tcW w:w="709" w:type="dxa"/>
            <w:tcBorders>
              <w:top w:val="nil"/>
              <w:left w:val="nil"/>
              <w:bottom w:val="nil"/>
              <w:right w:val="single" w:sz="4" w:space="0" w:color="auto"/>
            </w:tcBorders>
            <w:shd w:val="clear" w:color="auto" w:fill="auto"/>
            <w:noWrap/>
            <w:vAlign w:val="center"/>
            <w:hideMark/>
          </w:tcPr>
          <w:p w14:paraId="6FA558DD"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3,2%</w:t>
            </w:r>
          </w:p>
        </w:tc>
        <w:tc>
          <w:tcPr>
            <w:tcW w:w="850" w:type="dxa"/>
            <w:tcBorders>
              <w:top w:val="nil"/>
              <w:left w:val="nil"/>
              <w:bottom w:val="nil"/>
              <w:right w:val="single" w:sz="8" w:space="0" w:color="auto"/>
            </w:tcBorders>
            <w:shd w:val="clear" w:color="auto" w:fill="auto"/>
            <w:noWrap/>
            <w:vAlign w:val="center"/>
            <w:hideMark/>
          </w:tcPr>
          <w:p w14:paraId="354F1284"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30,0%</w:t>
            </w:r>
          </w:p>
        </w:tc>
      </w:tr>
      <w:tr w:rsidR="00263D67" w:rsidRPr="003A78F5" w14:paraId="41DACBE1" w14:textId="77777777" w:rsidTr="003A78F5">
        <w:trPr>
          <w:trHeight w:val="368"/>
        </w:trPr>
        <w:tc>
          <w:tcPr>
            <w:tcW w:w="2268" w:type="dxa"/>
            <w:tcBorders>
              <w:top w:val="nil"/>
              <w:left w:val="single" w:sz="8" w:space="0" w:color="auto"/>
              <w:bottom w:val="nil"/>
              <w:right w:val="single" w:sz="8" w:space="0" w:color="auto"/>
            </w:tcBorders>
            <w:shd w:val="clear" w:color="auto" w:fill="auto"/>
            <w:noWrap/>
            <w:vAlign w:val="center"/>
            <w:hideMark/>
          </w:tcPr>
          <w:p w14:paraId="783C518D" w14:textId="77777777" w:rsidR="00EC5218" w:rsidRPr="003A78F5" w:rsidRDefault="00EC5218" w:rsidP="00692076">
            <w:pPr>
              <w:keepNext/>
              <w:spacing w:after="0" w:line="240" w:lineRule="auto"/>
              <w:rPr>
                <w:rFonts w:cs="Arial"/>
                <w:color w:val="000000"/>
                <w:sz w:val="16"/>
                <w:szCs w:val="16"/>
              </w:rPr>
            </w:pPr>
            <w:r w:rsidRPr="003A78F5">
              <w:rPr>
                <w:rFonts w:cs="Arial"/>
                <w:color w:val="000000"/>
                <w:sz w:val="16"/>
                <w:szCs w:val="16"/>
              </w:rPr>
              <w:t>tělesně</w:t>
            </w:r>
          </w:p>
        </w:tc>
        <w:tc>
          <w:tcPr>
            <w:tcW w:w="709" w:type="dxa"/>
            <w:tcBorders>
              <w:top w:val="nil"/>
              <w:left w:val="nil"/>
              <w:bottom w:val="nil"/>
              <w:right w:val="nil"/>
            </w:tcBorders>
            <w:shd w:val="clear" w:color="auto" w:fill="auto"/>
            <w:noWrap/>
            <w:vAlign w:val="center"/>
            <w:hideMark/>
          </w:tcPr>
          <w:p w14:paraId="3D118D14"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732</w:t>
            </w:r>
          </w:p>
        </w:tc>
        <w:tc>
          <w:tcPr>
            <w:tcW w:w="709" w:type="dxa"/>
            <w:tcBorders>
              <w:top w:val="nil"/>
              <w:left w:val="nil"/>
              <w:bottom w:val="nil"/>
              <w:right w:val="single" w:sz="4" w:space="0" w:color="auto"/>
            </w:tcBorders>
            <w:shd w:val="clear" w:color="auto" w:fill="auto"/>
            <w:noWrap/>
            <w:vAlign w:val="center"/>
            <w:hideMark/>
          </w:tcPr>
          <w:p w14:paraId="655DFFAC"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3,8%</w:t>
            </w:r>
          </w:p>
        </w:tc>
        <w:tc>
          <w:tcPr>
            <w:tcW w:w="850" w:type="dxa"/>
            <w:tcBorders>
              <w:top w:val="nil"/>
              <w:left w:val="nil"/>
              <w:bottom w:val="nil"/>
              <w:right w:val="nil"/>
            </w:tcBorders>
            <w:shd w:val="clear" w:color="auto" w:fill="auto"/>
            <w:noWrap/>
            <w:vAlign w:val="center"/>
            <w:hideMark/>
          </w:tcPr>
          <w:p w14:paraId="6226474B"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38,0%</w:t>
            </w:r>
          </w:p>
        </w:tc>
        <w:tc>
          <w:tcPr>
            <w:tcW w:w="851" w:type="dxa"/>
            <w:tcBorders>
              <w:top w:val="nil"/>
              <w:left w:val="single" w:sz="8" w:space="0" w:color="auto"/>
              <w:bottom w:val="nil"/>
              <w:right w:val="nil"/>
            </w:tcBorders>
            <w:shd w:val="clear" w:color="auto" w:fill="auto"/>
            <w:noWrap/>
            <w:vAlign w:val="center"/>
            <w:hideMark/>
          </w:tcPr>
          <w:p w14:paraId="7189F1F8"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622</w:t>
            </w:r>
          </w:p>
        </w:tc>
        <w:tc>
          <w:tcPr>
            <w:tcW w:w="709" w:type="dxa"/>
            <w:tcBorders>
              <w:top w:val="nil"/>
              <w:left w:val="nil"/>
              <w:bottom w:val="nil"/>
              <w:right w:val="single" w:sz="4" w:space="0" w:color="auto"/>
            </w:tcBorders>
            <w:shd w:val="clear" w:color="auto" w:fill="auto"/>
            <w:noWrap/>
            <w:vAlign w:val="center"/>
            <w:hideMark/>
          </w:tcPr>
          <w:p w14:paraId="54149C3F"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3,1%</w:t>
            </w:r>
          </w:p>
        </w:tc>
        <w:tc>
          <w:tcPr>
            <w:tcW w:w="708" w:type="dxa"/>
            <w:tcBorders>
              <w:top w:val="nil"/>
              <w:left w:val="nil"/>
              <w:bottom w:val="nil"/>
              <w:right w:val="single" w:sz="8" w:space="0" w:color="auto"/>
            </w:tcBorders>
            <w:shd w:val="clear" w:color="auto" w:fill="auto"/>
            <w:noWrap/>
            <w:vAlign w:val="center"/>
            <w:hideMark/>
          </w:tcPr>
          <w:p w14:paraId="35BAFF1E"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40,4%</w:t>
            </w:r>
          </w:p>
        </w:tc>
        <w:tc>
          <w:tcPr>
            <w:tcW w:w="851" w:type="dxa"/>
            <w:tcBorders>
              <w:top w:val="nil"/>
              <w:left w:val="nil"/>
              <w:bottom w:val="nil"/>
              <w:right w:val="nil"/>
            </w:tcBorders>
            <w:shd w:val="clear" w:color="auto" w:fill="auto"/>
            <w:noWrap/>
            <w:vAlign w:val="center"/>
            <w:hideMark/>
          </w:tcPr>
          <w:p w14:paraId="61DA00C2"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527</w:t>
            </w:r>
          </w:p>
        </w:tc>
        <w:tc>
          <w:tcPr>
            <w:tcW w:w="709" w:type="dxa"/>
            <w:tcBorders>
              <w:top w:val="nil"/>
              <w:left w:val="nil"/>
              <w:bottom w:val="nil"/>
              <w:right w:val="single" w:sz="4" w:space="0" w:color="auto"/>
            </w:tcBorders>
            <w:shd w:val="clear" w:color="auto" w:fill="auto"/>
            <w:noWrap/>
            <w:vAlign w:val="center"/>
            <w:hideMark/>
          </w:tcPr>
          <w:p w14:paraId="035BEAAC"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2,2%</w:t>
            </w:r>
          </w:p>
        </w:tc>
        <w:tc>
          <w:tcPr>
            <w:tcW w:w="850" w:type="dxa"/>
            <w:tcBorders>
              <w:top w:val="nil"/>
              <w:left w:val="nil"/>
              <w:bottom w:val="nil"/>
              <w:right w:val="single" w:sz="8" w:space="0" w:color="auto"/>
            </w:tcBorders>
            <w:shd w:val="clear" w:color="auto" w:fill="auto"/>
            <w:noWrap/>
            <w:vAlign w:val="center"/>
            <w:hideMark/>
          </w:tcPr>
          <w:p w14:paraId="784673F1"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48,8%</w:t>
            </w:r>
          </w:p>
        </w:tc>
      </w:tr>
      <w:tr w:rsidR="00263D67" w:rsidRPr="003A78F5" w14:paraId="0A415A23" w14:textId="77777777" w:rsidTr="003A78F5">
        <w:trPr>
          <w:trHeight w:val="368"/>
        </w:trPr>
        <w:tc>
          <w:tcPr>
            <w:tcW w:w="2268" w:type="dxa"/>
            <w:tcBorders>
              <w:top w:val="nil"/>
              <w:left w:val="single" w:sz="8" w:space="0" w:color="auto"/>
              <w:bottom w:val="nil"/>
              <w:right w:val="single" w:sz="8" w:space="0" w:color="auto"/>
            </w:tcBorders>
            <w:shd w:val="clear" w:color="auto" w:fill="auto"/>
            <w:noWrap/>
            <w:vAlign w:val="center"/>
            <w:hideMark/>
          </w:tcPr>
          <w:p w14:paraId="01CC3CCD" w14:textId="77777777" w:rsidR="00EC5218" w:rsidRPr="003A78F5" w:rsidRDefault="00EC5218" w:rsidP="00692076">
            <w:pPr>
              <w:keepNext/>
              <w:spacing w:after="0" w:line="240" w:lineRule="auto"/>
              <w:rPr>
                <w:rFonts w:cs="Arial"/>
                <w:color w:val="000000"/>
                <w:sz w:val="16"/>
                <w:szCs w:val="16"/>
              </w:rPr>
            </w:pPr>
            <w:r w:rsidRPr="003A78F5">
              <w:rPr>
                <w:rFonts w:cs="Arial"/>
                <w:color w:val="000000"/>
                <w:sz w:val="16"/>
                <w:szCs w:val="16"/>
              </w:rPr>
              <w:t>sluchově</w:t>
            </w:r>
          </w:p>
        </w:tc>
        <w:tc>
          <w:tcPr>
            <w:tcW w:w="709" w:type="dxa"/>
            <w:tcBorders>
              <w:top w:val="nil"/>
              <w:left w:val="nil"/>
              <w:bottom w:val="nil"/>
              <w:right w:val="nil"/>
            </w:tcBorders>
            <w:shd w:val="clear" w:color="auto" w:fill="auto"/>
            <w:noWrap/>
            <w:vAlign w:val="center"/>
            <w:hideMark/>
          </w:tcPr>
          <w:p w14:paraId="13453195"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482</w:t>
            </w:r>
          </w:p>
        </w:tc>
        <w:tc>
          <w:tcPr>
            <w:tcW w:w="709" w:type="dxa"/>
            <w:tcBorders>
              <w:top w:val="nil"/>
              <w:left w:val="nil"/>
              <w:bottom w:val="nil"/>
              <w:right w:val="single" w:sz="4" w:space="0" w:color="auto"/>
            </w:tcBorders>
            <w:shd w:val="clear" w:color="auto" w:fill="auto"/>
            <w:noWrap/>
            <w:vAlign w:val="center"/>
            <w:hideMark/>
          </w:tcPr>
          <w:p w14:paraId="608BE1F1"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2,5%</w:t>
            </w:r>
          </w:p>
        </w:tc>
        <w:tc>
          <w:tcPr>
            <w:tcW w:w="850" w:type="dxa"/>
            <w:tcBorders>
              <w:top w:val="nil"/>
              <w:left w:val="nil"/>
              <w:bottom w:val="nil"/>
              <w:right w:val="nil"/>
            </w:tcBorders>
            <w:shd w:val="clear" w:color="auto" w:fill="auto"/>
            <w:noWrap/>
            <w:vAlign w:val="center"/>
            <w:hideMark/>
          </w:tcPr>
          <w:p w14:paraId="7167CFF6"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47,1%</w:t>
            </w:r>
          </w:p>
        </w:tc>
        <w:tc>
          <w:tcPr>
            <w:tcW w:w="851" w:type="dxa"/>
            <w:tcBorders>
              <w:top w:val="nil"/>
              <w:left w:val="single" w:sz="8" w:space="0" w:color="auto"/>
              <w:bottom w:val="nil"/>
              <w:right w:val="nil"/>
            </w:tcBorders>
            <w:shd w:val="clear" w:color="auto" w:fill="auto"/>
            <w:noWrap/>
            <w:vAlign w:val="center"/>
            <w:hideMark/>
          </w:tcPr>
          <w:p w14:paraId="36A20269"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466</w:t>
            </w:r>
          </w:p>
        </w:tc>
        <w:tc>
          <w:tcPr>
            <w:tcW w:w="709" w:type="dxa"/>
            <w:tcBorders>
              <w:top w:val="nil"/>
              <w:left w:val="nil"/>
              <w:bottom w:val="nil"/>
              <w:right w:val="single" w:sz="4" w:space="0" w:color="auto"/>
            </w:tcBorders>
            <w:shd w:val="clear" w:color="auto" w:fill="auto"/>
            <w:noWrap/>
            <w:vAlign w:val="center"/>
            <w:hideMark/>
          </w:tcPr>
          <w:p w14:paraId="00433B4F"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2,3%</w:t>
            </w:r>
          </w:p>
        </w:tc>
        <w:tc>
          <w:tcPr>
            <w:tcW w:w="708" w:type="dxa"/>
            <w:tcBorders>
              <w:top w:val="nil"/>
              <w:left w:val="nil"/>
              <w:bottom w:val="nil"/>
              <w:right w:val="single" w:sz="8" w:space="0" w:color="auto"/>
            </w:tcBorders>
            <w:shd w:val="clear" w:color="auto" w:fill="auto"/>
            <w:noWrap/>
            <w:vAlign w:val="center"/>
            <w:hideMark/>
          </w:tcPr>
          <w:p w14:paraId="2E46EBEA"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48,7%</w:t>
            </w:r>
          </w:p>
        </w:tc>
        <w:tc>
          <w:tcPr>
            <w:tcW w:w="851" w:type="dxa"/>
            <w:tcBorders>
              <w:top w:val="nil"/>
              <w:left w:val="nil"/>
              <w:bottom w:val="nil"/>
              <w:right w:val="nil"/>
            </w:tcBorders>
            <w:shd w:val="clear" w:color="auto" w:fill="auto"/>
            <w:noWrap/>
            <w:vAlign w:val="center"/>
            <w:hideMark/>
          </w:tcPr>
          <w:p w14:paraId="71D53BE9"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434</w:t>
            </w:r>
          </w:p>
        </w:tc>
        <w:tc>
          <w:tcPr>
            <w:tcW w:w="709" w:type="dxa"/>
            <w:tcBorders>
              <w:top w:val="nil"/>
              <w:left w:val="nil"/>
              <w:bottom w:val="nil"/>
              <w:right w:val="single" w:sz="4" w:space="0" w:color="auto"/>
            </w:tcBorders>
            <w:shd w:val="clear" w:color="auto" w:fill="auto"/>
            <w:noWrap/>
            <w:vAlign w:val="center"/>
            <w:hideMark/>
          </w:tcPr>
          <w:p w14:paraId="1C6841F2"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1,8%</w:t>
            </w:r>
          </w:p>
        </w:tc>
        <w:tc>
          <w:tcPr>
            <w:tcW w:w="850" w:type="dxa"/>
            <w:tcBorders>
              <w:top w:val="nil"/>
              <w:left w:val="nil"/>
              <w:bottom w:val="nil"/>
              <w:right w:val="single" w:sz="8" w:space="0" w:color="auto"/>
            </w:tcBorders>
            <w:shd w:val="clear" w:color="auto" w:fill="auto"/>
            <w:noWrap/>
            <w:vAlign w:val="center"/>
            <w:hideMark/>
          </w:tcPr>
          <w:p w14:paraId="66B6B4C2"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50,0%</w:t>
            </w:r>
          </w:p>
        </w:tc>
      </w:tr>
      <w:tr w:rsidR="00263D67" w:rsidRPr="003A78F5" w14:paraId="2AF60187" w14:textId="77777777" w:rsidTr="003A78F5">
        <w:trPr>
          <w:trHeight w:val="368"/>
        </w:trPr>
        <w:tc>
          <w:tcPr>
            <w:tcW w:w="2268" w:type="dxa"/>
            <w:tcBorders>
              <w:top w:val="nil"/>
              <w:left w:val="single" w:sz="8" w:space="0" w:color="auto"/>
              <w:bottom w:val="nil"/>
              <w:right w:val="single" w:sz="8" w:space="0" w:color="auto"/>
            </w:tcBorders>
            <w:shd w:val="clear" w:color="auto" w:fill="auto"/>
            <w:noWrap/>
            <w:vAlign w:val="center"/>
            <w:hideMark/>
          </w:tcPr>
          <w:p w14:paraId="082B9429" w14:textId="77777777" w:rsidR="00EC5218" w:rsidRPr="003A78F5" w:rsidRDefault="00EC5218" w:rsidP="00692076">
            <w:pPr>
              <w:keepNext/>
              <w:spacing w:after="0" w:line="240" w:lineRule="auto"/>
              <w:rPr>
                <w:rFonts w:cs="Arial"/>
                <w:color w:val="000000"/>
                <w:sz w:val="16"/>
                <w:szCs w:val="16"/>
              </w:rPr>
            </w:pPr>
            <w:r w:rsidRPr="003A78F5">
              <w:rPr>
                <w:rFonts w:cs="Arial"/>
                <w:color w:val="000000"/>
                <w:sz w:val="16"/>
                <w:szCs w:val="16"/>
              </w:rPr>
              <w:t>zrakově</w:t>
            </w:r>
          </w:p>
        </w:tc>
        <w:tc>
          <w:tcPr>
            <w:tcW w:w="709" w:type="dxa"/>
            <w:tcBorders>
              <w:top w:val="nil"/>
              <w:left w:val="nil"/>
              <w:bottom w:val="nil"/>
              <w:right w:val="nil"/>
            </w:tcBorders>
            <w:shd w:val="clear" w:color="auto" w:fill="auto"/>
            <w:noWrap/>
            <w:vAlign w:val="center"/>
            <w:hideMark/>
          </w:tcPr>
          <w:p w14:paraId="0ADF9927"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258</w:t>
            </w:r>
          </w:p>
        </w:tc>
        <w:tc>
          <w:tcPr>
            <w:tcW w:w="709" w:type="dxa"/>
            <w:tcBorders>
              <w:top w:val="nil"/>
              <w:left w:val="nil"/>
              <w:bottom w:val="nil"/>
              <w:right w:val="single" w:sz="4" w:space="0" w:color="auto"/>
            </w:tcBorders>
            <w:shd w:val="clear" w:color="auto" w:fill="auto"/>
            <w:noWrap/>
            <w:vAlign w:val="center"/>
            <w:hideMark/>
          </w:tcPr>
          <w:p w14:paraId="3F031FBF"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1,3%</w:t>
            </w:r>
          </w:p>
        </w:tc>
        <w:tc>
          <w:tcPr>
            <w:tcW w:w="850" w:type="dxa"/>
            <w:tcBorders>
              <w:top w:val="nil"/>
              <w:left w:val="nil"/>
              <w:bottom w:val="nil"/>
              <w:right w:val="nil"/>
            </w:tcBorders>
            <w:shd w:val="clear" w:color="auto" w:fill="auto"/>
            <w:noWrap/>
            <w:vAlign w:val="center"/>
            <w:hideMark/>
          </w:tcPr>
          <w:p w14:paraId="75E5AD2A"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41,9%</w:t>
            </w:r>
          </w:p>
        </w:tc>
        <w:tc>
          <w:tcPr>
            <w:tcW w:w="851" w:type="dxa"/>
            <w:tcBorders>
              <w:top w:val="nil"/>
              <w:left w:val="single" w:sz="8" w:space="0" w:color="auto"/>
              <w:bottom w:val="nil"/>
              <w:right w:val="nil"/>
            </w:tcBorders>
            <w:shd w:val="clear" w:color="auto" w:fill="auto"/>
            <w:noWrap/>
            <w:vAlign w:val="center"/>
            <w:hideMark/>
          </w:tcPr>
          <w:p w14:paraId="073108BE"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264</w:t>
            </w:r>
          </w:p>
        </w:tc>
        <w:tc>
          <w:tcPr>
            <w:tcW w:w="709" w:type="dxa"/>
            <w:tcBorders>
              <w:top w:val="nil"/>
              <w:left w:val="nil"/>
              <w:bottom w:val="nil"/>
              <w:right w:val="single" w:sz="4" w:space="0" w:color="auto"/>
            </w:tcBorders>
            <w:shd w:val="clear" w:color="auto" w:fill="auto"/>
            <w:noWrap/>
            <w:vAlign w:val="center"/>
            <w:hideMark/>
          </w:tcPr>
          <w:p w14:paraId="7F290476"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1,3%</w:t>
            </w:r>
          </w:p>
        </w:tc>
        <w:tc>
          <w:tcPr>
            <w:tcW w:w="708" w:type="dxa"/>
            <w:tcBorders>
              <w:top w:val="nil"/>
              <w:left w:val="nil"/>
              <w:bottom w:val="nil"/>
              <w:right w:val="single" w:sz="8" w:space="0" w:color="auto"/>
            </w:tcBorders>
            <w:shd w:val="clear" w:color="auto" w:fill="auto"/>
            <w:noWrap/>
            <w:vAlign w:val="center"/>
            <w:hideMark/>
          </w:tcPr>
          <w:p w14:paraId="639D1FD9"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42,8%</w:t>
            </w:r>
          </w:p>
        </w:tc>
        <w:tc>
          <w:tcPr>
            <w:tcW w:w="851" w:type="dxa"/>
            <w:tcBorders>
              <w:top w:val="nil"/>
              <w:left w:val="nil"/>
              <w:bottom w:val="nil"/>
              <w:right w:val="nil"/>
            </w:tcBorders>
            <w:shd w:val="clear" w:color="auto" w:fill="auto"/>
            <w:noWrap/>
            <w:vAlign w:val="center"/>
            <w:hideMark/>
          </w:tcPr>
          <w:p w14:paraId="1DDBA0C6"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309</w:t>
            </w:r>
          </w:p>
        </w:tc>
        <w:tc>
          <w:tcPr>
            <w:tcW w:w="709" w:type="dxa"/>
            <w:tcBorders>
              <w:top w:val="nil"/>
              <w:left w:val="nil"/>
              <w:bottom w:val="nil"/>
              <w:right w:val="single" w:sz="4" w:space="0" w:color="auto"/>
            </w:tcBorders>
            <w:shd w:val="clear" w:color="auto" w:fill="auto"/>
            <w:noWrap/>
            <w:vAlign w:val="center"/>
            <w:hideMark/>
          </w:tcPr>
          <w:p w14:paraId="0DB396B6"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1,3%</w:t>
            </w:r>
          </w:p>
        </w:tc>
        <w:tc>
          <w:tcPr>
            <w:tcW w:w="850" w:type="dxa"/>
            <w:tcBorders>
              <w:top w:val="nil"/>
              <w:left w:val="nil"/>
              <w:bottom w:val="nil"/>
              <w:right w:val="single" w:sz="8" w:space="0" w:color="auto"/>
            </w:tcBorders>
            <w:shd w:val="clear" w:color="auto" w:fill="auto"/>
            <w:noWrap/>
            <w:vAlign w:val="center"/>
            <w:hideMark/>
          </w:tcPr>
          <w:p w14:paraId="3DA9823C" w14:textId="77777777" w:rsidR="00EC5218" w:rsidRPr="003A78F5" w:rsidRDefault="00EC5218" w:rsidP="00692076">
            <w:pPr>
              <w:keepNext/>
              <w:spacing w:after="0" w:line="240" w:lineRule="auto"/>
              <w:jc w:val="right"/>
              <w:rPr>
                <w:rFonts w:cs="Arial"/>
                <w:color w:val="000000"/>
                <w:sz w:val="16"/>
                <w:szCs w:val="16"/>
              </w:rPr>
            </w:pPr>
            <w:r w:rsidRPr="003A78F5">
              <w:rPr>
                <w:rFonts w:cs="Arial"/>
                <w:color w:val="000000"/>
                <w:sz w:val="16"/>
                <w:szCs w:val="16"/>
              </w:rPr>
              <w:t>46,9%</w:t>
            </w:r>
          </w:p>
        </w:tc>
      </w:tr>
      <w:tr w:rsidR="00263D67" w:rsidRPr="003A78F5" w14:paraId="1990F620" w14:textId="77777777" w:rsidTr="003A78F5">
        <w:trPr>
          <w:trHeight w:val="368"/>
        </w:trPr>
        <w:tc>
          <w:tcPr>
            <w:tcW w:w="2268" w:type="dxa"/>
            <w:tcBorders>
              <w:top w:val="nil"/>
              <w:left w:val="single" w:sz="8" w:space="0" w:color="auto"/>
              <w:bottom w:val="single" w:sz="8" w:space="0" w:color="auto"/>
              <w:right w:val="single" w:sz="8" w:space="0" w:color="auto"/>
            </w:tcBorders>
            <w:shd w:val="clear" w:color="auto" w:fill="auto"/>
            <w:noWrap/>
            <w:vAlign w:val="center"/>
            <w:hideMark/>
          </w:tcPr>
          <w:p w14:paraId="3AA567B1" w14:textId="01A32F25" w:rsidR="00EC5218" w:rsidRPr="003A78F5" w:rsidRDefault="00EC5218" w:rsidP="00EC5218">
            <w:pPr>
              <w:spacing w:after="0" w:line="240" w:lineRule="auto"/>
              <w:rPr>
                <w:rFonts w:cs="Arial"/>
                <w:color w:val="000000"/>
                <w:sz w:val="16"/>
                <w:szCs w:val="16"/>
              </w:rPr>
            </w:pPr>
            <w:r w:rsidRPr="003A78F5">
              <w:rPr>
                <w:rFonts w:cs="Arial"/>
                <w:color w:val="000000"/>
                <w:sz w:val="16"/>
                <w:szCs w:val="16"/>
              </w:rPr>
              <w:t>více vadami</w:t>
            </w:r>
            <w:r w:rsidR="004F1EBD">
              <w:rPr>
                <w:rFonts w:cs="Arial"/>
                <w:color w:val="000000"/>
                <w:sz w:val="16"/>
                <w:szCs w:val="16"/>
                <w:vertAlign w:val="superscript"/>
              </w:rPr>
              <w:t>1</w:t>
            </w:r>
            <w:r w:rsidRPr="003A78F5">
              <w:rPr>
                <w:rFonts w:cs="Arial"/>
                <w:color w:val="000000"/>
                <w:sz w:val="16"/>
                <w:szCs w:val="16"/>
                <w:vertAlign w:val="superscript"/>
              </w:rPr>
              <w:t>)</w:t>
            </w:r>
          </w:p>
        </w:tc>
        <w:tc>
          <w:tcPr>
            <w:tcW w:w="709" w:type="dxa"/>
            <w:tcBorders>
              <w:top w:val="nil"/>
              <w:left w:val="nil"/>
              <w:bottom w:val="single" w:sz="8" w:space="0" w:color="auto"/>
              <w:right w:val="nil"/>
            </w:tcBorders>
            <w:shd w:val="clear" w:color="auto" w:fill="auto"/>
            <w:noWrap/>
            <w:vAlign w:val="center"/>
            <w:hideMark/>
          </w:tcPr>
          <w:p w14:paraId="7687CE5C" w14:textId="77777777" w:rsidR="00EC5218" w:rsidRPr="003A78F5" w:rsidRDefault="00EC5218" w:rsidP="00EC5218">
            <w:pPr>
              <w:spacing w:after="0" w:line="240" w:lineRule="auto"/>
              <w:jc w:val="right"/>
              <w:rPr>
                <w:rFonts w:cs="Arial"/>
                <w:color w:val="000000"/>
                <w:sz w:val="16"/>
                <w:szCs w:val="16"/>
              </w:rPr>
            </w:pPr>
            <w:r w:rsidRPr="003A78F5">
              <w:rPr>
                <w:rFonts w:cs="Arial"/>
                <w:color w:val="000000"/>
                <w:sz w:val="16"/>
                <w:szCs w:val="16"/>
              </w:rPr>
              <w:t>1057</w:t>
            </w:r>
          </w:p>
        </w:tc>
        <w:tc>
          <w:tcPr>
            <w:tcW w:w="709" w:type="dxa"/>
            <w:tcBorders>
              <w:top w:val="nil"/>
              <w:left w:val="nil"/>
              <w:bottom w:val="single" w:sz="8" w:space="0" w:color="auto"/>
              <w:right w:val="single" w:sz="4" w:space="0" w:color="auto"/>
            </w:tcBorders>
            <w:shd w:val="clear" w:color="auto" w:fill="auto"/>
            <w:noWrap/>
            <w:vAlign w:val="center"/>
            <w:hideMark/>
          </w:tcPr>
          <w:p w14:paraId="53049030" w14:textId="77777777" w:rsidR="00EC5218" w:rsidRPr="003A78F5" w:rsidRDefault="00EC5218" w:rsidP="00EC5218">
            <w:pPr>
              <w:spacing w:after="0" w:line="240" w:lineRule="auto"/>
              <w:jc w:val="right"/>
              <w:rPr>
                <w:rFonts w:cs="Arial"/>
                <w:color w:val="000000"/>
                <w:sz w:val="16"/>
                <w:szCs w:val="16"/>
              </w:rPr>
            </w:pPr>
            <w:r w:rsidRPr="003A78F5">
              <w:rPr>
                <w:rFonts w:cs="Arial"/>
                <w:color w:val="000000"/>
                <w:sz w:val="16"/>
                <w:szCs w:val="16"/>
              </w:rPr>
              <w:t>5,5%</w:t>
            </w:r>
          </w:p>
        </w:tc>
        <w:tc>
          <w:tcPr>
            <w:tcW w:w="850" w:type="dxa"/>
            <w:tcBorders>
              <w:top w:val="nil"/>
              <w:left w:val="nil"/>
              <w:bottom w:val="single" w:sz="8" w:space="0" w:color="auto"/>
              <w:right w:val="nil"/>
            </w:tcBorders>
            <w:shd w:val="clear" w:color="auto" w:fill="auto"/>
            <w:noWrap/>
            <w:vAlign w:val="center"/>
            <w:hideMark/>
          </w:tcPr>
          <w:p w14:paraId="711C6983" w14:textId="77777777" w:rsidR="00EC5218" w:rsidRPr="003A78F5" w:rsidRDefault="00EC5218" w:rsidP="00EC5218">
            <w:pPr>
              <w:spacing w:after="0" w:line="240" w:lineRule="auto"/>
              <w:jc w:val="right"/>
              <w:rPr>
                <w:rFonts w:cs="Arial"/>
                <w:color w:val="000000"/>
                <w:sz w:val="16"/>
                <w:szCs w:val="16"/>
              </w:rPr>
            </w:pPr>
            <w:r w:rsidRPr="003A78F5">
              <w:rPr>
                <w:rFonts w:cs="Arial"/>
                <w:color w:val="000000"/>
                <w:sz w:val="16"/>
                <w:szCs w:val="16"/>
              </w:rPr>
              <w:t>39,6%</w:t>
            </w:r>
          </w:p>
        </w:tc>
        <w:tc>
          <w:tcPr>
            <w:tcW w:w="851" w:type="dxa"/>
            <w:tcBorders>
              <w:top w:val="nil"/>
              <w:left w:val="single" w:sz="8" w:space="0" w:color="auto"/>
              <w:bottom w:val="single" w:sz="8" w:space="0" w:color="auto"/>
              <w:right w:val="nil"/>
            </w:tcBorders>
            <w:shd w:val="clear" w:color="auto" w:fill="auto"/>
            <w:noWrap/>
            <w:vAlign w:val="center"/>
            <w:hideMark/>
          </w:tcPr>
          <w:p w14:paraId="6A08ABE4" w14:textId="77777777" w:rsidR="00EC5218" w:rsidRPr="003A78F5" w:rsidRDefault="00EC5218" w:rsidP="00EC5218">
            <w:pPr>
              <w:spacing w:after="0" w:line="240" w:lineRule="auto"/>
              <w:jc w:val="right"/>
              <w:rPr>
                <w:rFonts w:cs="Arial"/>
                <w:color w:val="000000"/>
                <w:sz w:val="16"/>
                <w:szCs w:val="16"/>
              </w:rPr>
            </w:pPr>
            <w:r w:rsidRPr="003A78F5">
              <w:rPr>
                <w:rFonts w:cs="Arial"/>
                <w:color w:val="000000"/>
                <w:sz w:val="16"/>
                <w:szCs w:val="16"/>
              </w:rPr>
              <w:t>1674</w:t>
            </w:r>
          </w:p>
        </w:tc>
        <w:tc>
          <w:tcPr>
            <w:tcW w:w="709" w:type="dxa"/>
            <w:tcBorders>
              <w:top w:val="nil"/>
              <w:left w:val="nil"/>
              <w:bottom w:val="single" w:sz="8" w:space="0" w:color="auto"/>
              <w:right w:val="single" w:sz="4" w:space="0" w:color="auto"/>
            </w:tcBorders>
            <w:shd w:val="clear" w:color="auto" w:fill="auto"/>
            <w:noWrap/>
            <w:vAlign w:val="center"/>
            <w:hideMark/>
          </w:tcPr>
          <w:p w14:paraId="69B739D8" w14:textId="77777777" w:rsidR="00EC5218" w:rsidRPr="003A78F5" w:rsidRDefault="00EC5218" w:rsidP="00EC5218">
            <w:pPr>
              <w:spacing w:after="0" w:line="240" w:lineRule="auto"/>
              <w:jc w:val="right"/>
              <w:rPr>
                <w:rFonts w:cs="Arial"/>
                <w:color w:val="000000"/>
                <w:sz w:val="16"/>
                <w:szCs w:val="16"/>
              </w:rPr>
            </w:pPr>
            <w:r w:rsidRPr="003A78F5">
              <w:rPr>
                <w:rFonts w:cs="Arial"/>
                <w:color w:val="000000"/>
                <w:sz w:val="16"/>
                <w:szCs w:val="16"/>
              </w:rPr>
              <w:t>8,2%</w:t>
            </w:r>
          </w:p>
        </w:tc>
        <w:tc>
          <w:tcPr>
            <w:tcW w:w="708" w:type="dxa"/>
            <w:tcBorders>
              <w:top w:val="nil"/>
              <w:left w:val="nil"/>
              <w:bottom w:val="single" w:sz="8" w:space="0" w:color="auto"/>
              <w:right w:val="single" w:sz="8" w:space="0" w:color="auto"/>
            </w:tcBorders>
            <w:shd w:val="clear" w:color="auto" w:fill="auto"/>
            <w:noWrap/>
            <w:vAlign w:val="center"/>
            <w:hideMark/>
          </w:tcPr>
          <w:p w14:paraId="35330283" w14:textId="77777777" w:rsidR="00EC5218" w:rsidRPr="003A78F5" w:rsidRDefault="00EC5218" w:rsidP="00EC5218">
            <w:pPr>
              <w:spacing w:after="0" w:line="240" w:lineRule="auto"/>
              <w:jc w:val="right"/>
              <w:rPr>
                <w:rFonts w:cs="Arial"/>
                <w:color w:val="000000"/>
                <w:sz w:val="16"/>
                <w:szCs w:val="16"/>
              </w:rPr>
            </w:pPr>
            <w:r w:rsidRPr="003A78F5">
              <w:rPr>
                <w:rFonts w:cs="Arial"/>
                <w:color w:val="000000"/>
                <w:sz w:val="16"/>
                <w:szCs w:val="16"/>
              </w:rPr>
              <w:t>44,3%</w:t>
            </w:r>
          </w:p>
        </w:tc>
        <w:tc>
          <w:tcPr>
            <w:tcW w:w="851" w:type="dxa"/>
            <w:tcBorders>
              <w:top w:val="nil"/>
              <w:left w:val="nil"/>
              <w:bottom w:val="single" w:sz="8" w:space="0" w:color="auto"/>
              <w:right w:val="nil"/>
            </w:tcBorders>
            <w:shd w:val="clear" w:color="auto" w:fill="auto"/>
            <w:noWrap/>
            <w:vAlign w:val="center"/>
            <w:hideMark/>
          </w:tcPr>
          <w:p w14:paraId="00F43CC7" w14:textId="77777777" w:rsidR="00EC5218" w:rsidRPr="003A78F5" w:rsidRDefault="00EC5218" w:rsidP="00EC5218">
            <w:pPr>
              <w:spacing w:after="0" w:line="240" w:lineRule="auto"/>
              <w:jc w:val="right"/>
              <w:rPr>
                <w:rFonts w:cs="Arial"/>
                <w:color w:val="000000"/>
                <w:sz w:val="16"/>
                <w:szCs w:val="16"/>
              </w:rPr>
            </w:pPr>
            <w:r w:rsidRPr="003A78F5">
              <w:rPr>
                <w:rFonts w:cs="Arial"/>
                <w:color w:val="000000"/>
                <w:sz w:val="16"/>
                <w:szCs w:val="16"/>
              </w:rPr>
              <w:t>2574</w:t>
            </w:r>
          </w:p>
        </w:tc>
        <w:tc>
          <w:tcPr>
            <w:tcW w:w="709" w:type="dxa"/>
            <w:tcBorders>
              <w:top w:val="nil"/>
              <w:left w:val="nil"/>
              <w:bottom w:val="single" w:sz="8" w:space="0" w:color="auto"/>
              <w:right w:val="single" w:sz="4" w:space="0" w:color="auto"/>
            </w:tcBorders>
            <w:shd w:val="clear" w:color="auto" w:fill="auto"/>
            <w:noWrap/>
            <w:vAlign w:val="center"/>
            <w:hideMark/>
          </w:tcPr>
          <w:p w14:paraId="34CC41F6" w14:textId="77777777" w:rsidR="00EC5218" w:rsidRPr="003A78F5" w:rsidRDefault="00EC5218" w:rsidP="00EC5218">
            <w:pPr>
              <w:spacing w:after="0" w:line="240" w:lineRule="auto"/>
              <w:jc w:val="right"/>
              <w:rPr>
                <w:rFonts w:cs="Arial"/>
                <w:color w:val="000000"/>
                <w:sz w:val="16"/>
                <w:szCs w:val="16"/>
              </w:rPr>
            </w:pPr>
            <w:r w:rsidRPr="003A78F5">
              <w:rPr>
                <w:rFonts w:cs="Arial"/>
                <w:color w:val="000000"/>
                <w:sz w:val="16"/>
                <w:szCs w:val="16"/>
              </w:rPr>
              <w:t>10,6%</w:t>
            </w:r>
          </w:p>
        </w:tc>
        <w:tc>
          <w:tcPr>
            <w:tcW w:w="850" w:type="dxa"/>
            <w:tcBorders>
              <w:top w:val="nil"/>
              <w:left w:val="nil"/>
              <w:bottom w:val="single" w:sz="8" w:space="0" w:color="auto"/>
              <w:right w:val="single" w:sz="8" w:space="0" w:color="auto"/>
            </w:tcBorders>
            <w:shd w:val="clear" w:color="auto" w:fill="auto"/>
            <w:noWrap/>
            <w:vAlign w:val="center"/>
            <w:hideMark/>
          </w:tcPr>
          <w:p w14:paraId="1B0B3F88" w14:textId="77777777" w:rsidR="00EC5218" w:rsidRPr="003A78F5" w:rsidRDefault="00EC5218" w:rsidP="00EC5218">
            <w:pPr>
              <w:spacing w:after="0" w:line="240" w:lineRule="auto"/>
              <w:jc w:val="right"/>
              <w:rPr>
                <w:rFonts w:cs="Arial"/>
                <w:color w:val="000000"/>
                <w:sz w:val="16"/>
                <w:szCs w:val="16"/>
              </w:rPr>
            </w:pPr>
            <w:r w:rsidRPr="003A78F5">
              <w:rPr>
                <w:rFonts w:cs="Arial"/>
                <w:color w:val="000000"/>
                <w:sz w:val="16"/>
                <w:szCs w:val="16"/>
              </w:rPr>
              <w:t>36,4%</w:t>
            </w:r>
          </w:p>
        </w:tc>
      </w:tr>
    </w:tbl>
    <w:p w14:paraId="5A006A06" w14:textId="77777777" w:rsidR="004F1EBD" w:rsidRPr="004F1EBD" w:rsidRDefault="001D69DC" w:rsidP="00233DA6">
      <w:pPr>
        <w:keepNext/>
        <w:spacing w:before="120" w:after="0" w:line="240" w:lineRule="auto"/>
        <w:jc w:val="both"/>
        <w:rPr>
          <w:sz w:val="16"/>
          <w:szCs w:val="16"/>
        </w:rPr>
      </w:pPr>
      <w:r w:rsidRPr="004F1EBD">
        <w:rPr>
          <w:sz w:val="16"/>
          <w:szCs w:val="16"/>
          <w:vertAlign w:val="superscript"/>
        </w:rPr>
        <w:t>*)</w:t>
      </w:r>
      <w:r w:rsidRPr="004F1EBD">
        <w:rPr>
          <w:sz w:val="16"/>
          <w:szCs w:val="16"/>
        </w:rPr>
        <w:t xml:space="preserve"> podíl dívek z celkového počtu žáků s postižením a ze žáků s jednotlivými druhy postižení</w:t>
      </w:r>
    </w:p>
    <w:p w14:paraId="5D736CEB" w14:textId="46D792F3" w:rsidR="001D69DC" w:rsidRPr="00233DA6" w:rsidRDefault="004F1EBD" w:rsidP="00233DA6">
      <w:pPr>
        <w:spacing w:before="120" w:after="0"/>
        <w:jc w:val="both"/>
        <w:rPr>
          <w:rFonts w:cs="Arial"/>
          <w:sz w:val="16"/>
          <w:szCs w:val="16"/>
        </w:rPr>
      </w:pPr>
      <w:r w:rsidRPr="00907168">
        <w:rPr>
          <w:rFonts w:cs="Arial"/>
          <w:sz w:val="16"/>
          <w:szCs w:val="16"/>
          <w:vertAlign w:val="superscript"/>
        </w:rPr>
        <w:t>1)</w:t>
      </w:r>
      <w:r w:rsidRPr="00907168">
        <w:rPr>
          <w:rFonts w:cs="Arial"/>
          <w:sz w:val="16"/>
          <w:szCs w:val="16"/>
        </w:rPr>
        <w:t xml:space="preserve"> za postižené více vadami se považuje dítě se dvěma nebo více druhy postižení, ze kterých by každé opravňovalo k poskytování podpůrných opatř</w:t>
      </w:r>
      <w:r w:rsidR="00233DA6">
        <w:rPr>
          <w:rFonts w:cs="Arial"/>
          <w:sz w:val="16"/>
          <w:szCs w:val="16"/>
        </w:rPr>
        <w:t>ení ve vyšších stupních podpory</w:t>
      </w:r>
    </w:p>
    <w:p w14:paraId="476C1B0D" w14:textId="0709E22D" w:rsidR="001D69DC" w:rsidRPr="00EE7EAD" w:rsidRDefault="001D69DC" w:rsidP="004A2C68">
      <w:pPr>
        <w:spacing w:after="120" w:line="276" w:lineRule="auto"/>
        <w:jc w:val="right"/>
        <w:rPr>
          <w:rFonts w:asciiTheme="minorHAnsi" w:hAnsiTheme="minorHAnsi"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5F6A8E17" w14:textId="0B8E63FB" w:rsidR="006A3A1C" w:rsidRDefault="006A3A1C" w:rsidP="006A3A1C">
      <w:pPr>
        <w:spacing w:after="120"/>
        <w:jc w:val="both"/>
      </w:pPr>
      <w:r w:rsidRPr="004A5668">
        <w:t>Jak</w:t>
      </w:r>
      <w:r w:rsidR="00DC16DD">
        <w:t xml:space="preserve"> </w:t>
      </w:r>
      <w:r w:rsidR="004B11C6">
        <w:t>je patrné, ve školním roce 2021/22</w:t>
      </w:r>
      <w:r w:rsidRPr="004A5668">
        <w:t xml:space="preserve"> zaujímali žáci se závažnými </w:t>
      </w:r>
      <w:r w:rsidR="00CB0332">
        <w:t xml:space="preserve">vývojovými </w:t>
      </w:r>
      <w:r w:rsidRPr="004A5668">
        <w:t xml:space="preserve">poruchami učení </w:t>
      </w:r>
      <w:r w:rsidR="004B11C6">
        <w:t xml:space="preserve">téměř </w:t>
      </w:r>
      <w:r w:rsidRPr="004A5668">
        <w:t>polovinu všech ž</w:t>
      </w:r>
      <w:r w:rsidR="004B11C6">
        <w:t>áků s postižením (47 %). Ve školním roce 2011/12</w:t>
      </w:r>
      <w:r w:rsidRPr="004A5668">
        <w:t xml:space="preserve"> tvořili oproti tomu žáci s tímto postižením jen </w:t>
      </w:r>
      <w:r w:rsidR="004B11C6">
        <w:t>dvě pětiny (39</w:t>
      </w:r>
      <w:r w:rsidR="00DC16DD">
        <w:t>,2 %</w:t>
      </w:r>
      <w:r w:rsidR="004B11C6">
        <w:t>)</w:t>
      </w:r>
      <w:r w:rsidR="007565CF">
        <w:t>.  Ve školním roce 2011/12 mělo</w:t>
      </w:r>
      <w:r w:rsidRPr="004A5668">
        <w:t xml:space="preserve"> dále </w:t>
      </w:r>
      <w:r w:rsidR="007565CF">
        <w:t>45,9 %</w:t>
      </w:r>
      <w:r w:rsidRPr="004A5668">
        <w:t xml:space="preserve"> žáků s postižením diagnózu spadající do kategorie mentálního pos</w:t>
      </w:r>
      <w:r w:rsidR="00DC16DD">
        <w:t>tižení</w:t>
      </w:r>
      <w:r w:rsidRPr="004A5668">
        <w:t xml:space="preserve">. Jak tomu bylo u základních škol, i u středních škol </w:t>
      </w:r>
      <w:r w:rsidR="007565CF">
        <w:t xml:space="preserve">měl </w:t>
      </w:r>
      <w:r w:rsidRPr="004A5668">
        <w:t xml:space="preserve">tento podíl v čase </w:t>
      </w:r>
      <w:r w:rsidR="007565CF">
        <w:t>tendenci klesat</w:t>
      </w:r>
      <w:r w:rsidRPr="004A5668">
        <w:t xml:space="preserve"> </w:t>
      </w:r>
      <w:r w:rsidR="007565CF">
        <w:t>a od školního roku 2019/20 se ustálil těsně pod jedn</w:t>
      </w:r>
      <w:r w:rsidR="00E96034">
        <w:t>ou pětinou (ve školním roce 2021/22</w:t>
      </w:r>
      <w:r w:rsidR="007565CF">
        <w:t xml:space="preserve"> činil 19,2 %)</w:t>
      </w:r>
      <w:r w:rsidRPr="004A5668">
        <w:t xml:space="preserve">. </w:t>
      </w:r>
      <w:r w:rsidR="007565CF">
        <w:t>Oproti tomu ve školním roce 2011/12</w:t>
      </w:r>
      <w:r w:rsidRPr="004A5668">
        <w:t xml:space="preserve"> nebyli </w:t>
      </w:r>
      <w:r w:rsidR="00FC43AD">
        <w:t xml:space="preserve">ve středních školách </w:t>
      </w:r>
      <w:r w:rsidRPr="004A5668">
        <w:t>zaznamenáni žáci s diagnostikovanou závažnou poruchou chování, ve školním roce 2</w:t>
      </w:r>
      <w:r w:rsidR="007565CF">
        <w:t>021/22</w:t>
      </w:r>
      <w:r w:rsidR="00DC16DD">
        <w:t xml:space="preserve"> však již tvořili 8</w:t>
      </w:r>
      <w:r w:rsidR="007565CF">
        <w:t>,8</w:t>
      </w:r>
      <w:r w:rsidRPr="004A5668">
        <w:t xml:space="preserve"> %. Zároveň se </w:t>
      </w:r>
      <w:r w:rsidR="007565CF">
        <w:t xml:space="preserve">za posledních 10 let </w:t>
      </w:r>
      <w:r w:rsidRPr="004A5668">
        <w:t>zvýšil podíl žáků s diagnostikovanou poru</w:t>
      </w:r>
      <w:r w:rsidR="00DC16DD">
        <w:t xml:space="preserve">chou autistického spektra (z </w:t>
      </w:r>
      <w:r w:rsidR="007565CF">
        <w:t>1,2 % na 6 %) a s vadami řeči (z 0,4 % na 3,2</w:t>
      </w:r>
      <w:r w:rsidR="00DC16DD">
        <w:t> %).</w:t>
      </w:r>
    </w:p>
    <w:p w14:paraId="73D1A124" w14:textId="6570C6A9" w:rsidR="002220EC" w:rsidRPr="002220EC" w:rsidRDefault="002220EC" w:rsidP="00FA7769">
      <w:pPr>
        <w:spacing w:after="120"/>
        <w:jc w:val="both"/>
        <w:rPr>
          <w:rFonts w:cs="Arial"/>
          <w:szCs w:val="20"/>
        </w:rPr>
      </w:pPr>
      <w:r w:rsidRPr="00967556">
        <w:rPr>
          <w:rFonts w:cs="Arial"/>
          <w:szCs w:val="20"/>
        </w:rPr>
        <w:t>Nutno poznamenat, že vlivem metodických změn souvisejících s přijetím „inkluzivní novely“ školského zákona</w:t>
      </w:r>
      <w:r w:rsidRPr="00D105FB">
        <w:t xml:space="preserve"> </w:t>
      </w:r>
      <w:r w:rsidRPr="00967556">
        <w:rPr>
          <w:rFonts w:cs="Arial"/>
          <w:szCs w:val="20"/>
        </w:rPr>
        <w:t xml:space="preserve">roku 2016 je statistika vykazovaných zdravotních postižení či znevýhodnění od roku 2016/17 hůře srovnatelná se staršími údaji. </w:t>
      </w:r>
    </w:p>
    <w:p w14:paraId="336442AD" w14:textId="3F00FE4A" w:rsidR="00FA7769" w:rsidRPr="004A5668" w:rsidRDefault="002220EC" w:rsidP="00FA7769">
      <w:pPr>
        <w:spacing w:after="120"/>
        <w:jc w:val="both"/>
      </w:pPr>
      <w:r>
        <w:t xml:space="preserve">V tabulce </w:t>
      </w:r>
      <w:r w:rsidR="00FA7769" w:rsidRPr="004A5668">
        <w:t xml:space="preserve">3.2 </w:t>
      </w:r>
      <w:r w:rsidR="000050C6">
        <w:t xml:space="preserve">výše </w:t>
      </w:r>
      <w:r w:rsidR="00FA7769" w:rsidRPr="004A5668">
        <w:t>je také uveden podíl dívek ze všech žáků středních škol se zdravotním po</w:t>
      </w:r>
      <w:r w:rsidR="007565CF">
        <w:t>stižením v</w:t>
      </w:r>
      <w:r w:rsidR="00E96034">
        <w:t>e školních rocích 2011/12 a 2021/22</w:t>
      </w:r>
      <w:r w:rsidR="00FA7769" w:rsidRPr="004A5668">
        <w:t xml:space="preserve"> a dále podíl dívek ze žáků s postižením konkrétního druhu. Zde je patrné, že častěji než dívky mívají potvrzenou diagnózu chlapci. Ti tvořili </w:t>
      </w:r>
      <w:r w:rsidR="007565CF">
        <w:t>61,9</w:t>
      </w:r>
      <w:r w:rsidR="00DC16DD">
        <w:t> %</w:t>
      </w:r>
      <w:r w:rsidR="00FA7769" w:rsidRPr="004A5668">
        <w:t xml:space="preserve"> všech </w:t>
      </w:r>
      <w:r w:rsidR="007565CF">
        <w:t>postižených ve školním roce 2011/12</w:t>
      </w:r>
      <w:r w:rsidR="00FA7769" w:rsidRPr="004A5668">
        <w:t xml:space="preserve"> a </w:t>
      </w:r>
      <w:r w:rsidR="007565CF">
        <w:t>63,3</w:t>
      </w:r>
      <w:r w:rsidR="00DC16DD">
        <w:t> %</w:t>
      </w:r>
      <w:r w:rsidR="00FA7769" w:rsidRPr="004A5668">
        <w:t xml:space="preserve"> všech </w:t>
      </w:r>
      <w:r w:rsidR="007565CF">
        <w:t>postižených ve školním roce 2021/22</w:t>
      </w:r>
      <w:r w:rsidR="00FA7769" w:rsidRPr="004A5668">
        <w:t>. Výrazné rozdíly mezi chlapci a dívkami jsou přitom zejmé</w:t>
      </w:r>
      <w:r w:rsidR="00DF4FB7">
        <w:t>na v četnosti postižení poruchami autistického spektra</w:t>
      </w:r>
      <w:r w:rsidR="00FA7769" w:rsidRPr="004A5668">
        <w:t xml:space="preserve"> (</w:t>
      </w:r>
      <w:r w:rsidR="00086A75">
        <w:t>ve školním roce 2021/22</w:t>
      </w:r>
      <w:r w:rsidR="00CB0332">
        <w:t xml:space="preserve"> tvořily dívky </w:t>
      </w:r>
      <w:r w:rsidR="00FA7769" w:rsidRPr="004A5668">
        <w:t xml:space="preserve">jen </w:t>
      </w:r>
      <w:r w:rsidR="00086A75">
        <w:t>16,6</w:t>
      </w:r>
      <w:r w:rsidR="00CB0332">
        <w:t xml:space="preserve"> % postižených</w:t>
      </w:r>
      <w:r w:rsidR="00FA7769" w:rsidRPr="004A5668">
        <w:t xml:space="preserve">), v četnosti závažných </w:t>
      </w:r>
      <w:r w:rsidR="00CB0332">
        <w:t>vad</w:t>
      </w:r>
      <w:r w:rsidR="00086A75">
        <w:t xml:space="preserve"> řeči (s 30</w:t>
      </w:r>
      <w:r w:rsidR="00FA7769" w:rsidRPr="004A5668">
        <w:t xml:space="preserve">% podílem dívek), závažných </w:t>
      </w:r>
      <w:r w:rsidR="00CB0332">
        <w:t>vývojových poruch chování (s </w:t>
      </w:r>
      <w:r w:rsidR="00086A75">
        <w:t>29</w:t>
      </w:r>
      <w:r w:rsidR="00D92018">
        <w:t>,8</w:t>
      </w:r>
      <w:r w:rsidR="00FA7769" w:rsidRPr="004A5668">
        <w:t xml:space="preserve">% podílem dívek) a závažných </w:t>
      </w:r>
      <w:r w:rsidR="00CB0332">
        <w:t xml:space="preserve">vývojových </w:t>
      </w:r>
      <w:r w:rsidR="00FA7769" w:rsidRPr="004A5668">
        <w:t xml:space="preserve">poruch učení (s </w:t>
      </w:r>
      <w:r w:rsidR="00086A75">
        <w:t>34,7 %</w:t>
      </w:r>
      <w:r w:rsidR="00FA7769" w:rsidRPr="004A5668">
        <w:t xml:space="preserve"> podílem dívek). Oproti tomu mezi žáky s mentálním</w:t>
      </w:r>
      <w:r w:rsidR="00D92018">
        <w:t>, sluchovým</w:t>
      </w:r>
      <w:r w:rsidR="00086A75">
        <w:t>, zrakovým</w:t>
      </w:r>
      <w:r w:rsidR="00D92018">
        <w:t xml:space="preserve"> a tělesným</w:t>
      </w:r>
      <w:r w:rsidR="00FA7769" w:rsidRPr="004A5668">
        <w:t xml:space="preserve"> </w:t>
      </w:r>
      <w:r w:rsidR="00D92018" w:rsidRPr="004A5668">
        <w:t xml:space="preserve">postižením </w:t>
      </w:r>
      <w:r w:rsidR="00FA7769" w:rsidRPr="004A5668">
        <w:t>byl ve středních školách podíl dívek a chlapců</w:t>
      </w:r>
      <w:r w:rsidR="003D002C">
        <w:t xml:space="preserve"> poměrně</w:t>
      </w:r>
      <w:r w:rsidR="00FA7769" w:rsidRPr="004A5668">
        <w:t xml:space="preserve"> vyrovnaný.</w:t>
      </w:r>
      <w:r w:rsidR="00FA7769" w:rsidRPr="004A5668">
        <w:rPr>
          <w:rStyle w:val="Znakapoznpodarou"/>
        </w:rPr>
        <w:footnoteReference w:id="47"/>
      </w:r>
    </w:p>
    <w:p w14:paraId="3763C05C" w14:textId="77777777" w:rsidR="00FA7769" w:rsidRPr="005E552D" w:rsidRDefault="00FA7769" w:rsidP="00FA7769">
      <w:pPr>
        <w:keepNext/>
        <w:spacing w:after="120" w:line="240" w:lineRule="auto"/>
        <w:rPr>
          <w:rFonts w:eastAsia="MS Gothic"/>
          <w:b/>
          <w:bCs/>
          <w:color w:val="BC091B"/>
          <w:sz w:val="28"/>
          <w:szCs w:val="26"/>
        </w:rPr>
      </w:pPr>
    </w:p>
    <w:p w14:paraId="08D76D88" w14:textId="0D335877" w:rsidR="00FA7769" w:rsidRPr="005E552D" w:rsidRDefault="004F77D6" w:rsidP="00386026">
      <w:pPr>
        <w:pStyle w:val="Nadpis2"/>
      </w:pPr>
      <w:bookmarkStart w:id="24" w:name="_Toc112069088"/>
      <w:r>
        <w:t>3</w:t>
      </w:r>
      <w:r w:rsidR="00FA7769" w:rsidRPr="005D213D">
        <w:t>.4 Žáci středních škol dle státní příslušnosti</w:t>
      </w:r>
      <w:bookmarkEnd w:id="24"/>
    </w:p>
    <w:p w14:paraId="4B91A14B" w14:textId="51DD7A7B" w:rsidR="00FA7769" w:rsidRPr="004A5668" w:rsidRDefault="00FA7769" w:rsidP="00161404">
      <w:pPr>
        <w:spacing w:before="120" w:after="120"/>
        <w:jc w:val="both"/>
        <w:rPr>
          <w:rFonts w:cs="Arial"/>
          <w:szCs w:val="20"/>
        </w:rPr>
      </w:pPr>
      <w:r w:rsidRPr="004A5668">
        <w:rPr>
          <w:rFonts w:cs="Arial"/>
          <w:szCs w:val="20"/>
        </w:rPr>
        <w:t>Do středních ško</w:t>
      </w:r>
      <w:r w:rsidR="003C29D4">
        <w:rPr>
          <w:rFonts w:cs="Arial"/>
          <w:szCs w:val="20"/>
        </w:rPr>
        <w:t xml:space="preserve">l docházelo ve školním </w:t>
      </w:r>
      <w:r w:rsidR="008F560C">
        <w:rPr>
          <w:rFonts w:cs="Arial"/>
          <w:szCs w:val="20"/>
        </w:rPr>
        <w:t>roce 2021/22</w:t>
      </w:r>
      <w:r w:rsidRPr="004A5668">
        <w:rPr>
          <w:rFonts w:cs="Arial"/>
          <w:szCs w:val="20"/>
        </w:rPr>
        <w:t xml:space="preserve"> celkem </w:t>
      </w:r>
      <w:r w:rsidR="008F560C" w:rsidRPr="008F560C">
        <w:rPr>
          <w:rFonts w:cs="Arial"/>
          <w:szCs w:val="20"/>
        </w:rPr>
        <w:t>10</w:t>
      </w:r>
      <w:r w:rsidR="008F560C">
        <w:rPr>
          <w:rFonts w:cs="Arial"/>
          <w:szCs w:val="20"/>
        </w:rPr>
        <w:t> </w:t>
      </w:r>
      <w:r w:rsidR="008F560C" w:rsidRPr="008F560C">
        <w:rPr>
          <w:rFonts w:cs="Arial"/>
          <w:szCs w:val="20"/>
        </w:rPr>
        <w:t>053</w:t>
      </w:r>
      <w:r w:rsidRPr="004A5668">
        <w:rPr>
          <w:rFonts w:cs="Arial"/>
          <w:szCs w:val="20"/>
        </w:rPr>
        <w:t xml:space="preserve"> žáků s jiným než č</w:t>
      </w:r>
      <w:r w:rsidR="003C29D4">
        <w:rPr>
          <w:rFonts w:cs="Arial"/>
          <w:szCs w:val="20"/>
        </w:rPr>
        <w:t>eským státním občanstvím, což jsou 2,3</w:t>
      </w:r>
      <w:r w:rsidRPr="004A5668">
        <w:rPr>
          <w:rFonts w:cs="Arial"/>
          <w:szCs w:val="20"/>
        </w:rPr>
        <w:t xml:space="preserve"> % ze všech žáků středních škol. </w:t>
      </w:r>
      <w:r w:rsidRPr="004A5668">
        <w:rPr>
          <w:rFonts w:cs="Arial"/>
          <w:b/>
          <w:szCs w:val="20"/>
        </w:rPr>
        <w:t>Ze všech krajů</w:t>
      </w:r>
      <w:r w:rsidRPr="004A5668">
        <w:rPr>
          <w:rFonts w:cs="Arial"/>
          <w:szCs w:val="20"/>
        </w:rPr>
        <w:t xml:space="preserve"> byl podíl cizinců </w:t>
      </w:r>
      <w:r w:rsidR="008F560C">
        <w:rPr>
          <w:rFonts w:cs="Arial"/>
          <w:szCs w:val="20"/>
        </w:rPr>
        <w:t>mezi žáky nejvyšší v Praze (5,8</w:t>
      </w:r>
      <w:r w:rsidRPr="004A5668">
        <w:rPr>
          <w:rFonts w:cs="Arial"/>
          <w:szCs w:val="20"/>
        </w:rPr>
        <w:t> %), s velkým odstupem pak byla Praha v žebříčku násl</w:t>
      </w:r>
      <w:r w:rsidR="008F560C">
        <w:rPr>
          <w:rFonts w:cs="Arial"/>
          <w:szCs w:val="20"/>
        </w:rPr>
        <w:t>edována krajem Karlovarským (3,9</w:t>
      </w:r>
      <w:r w:rsidR="003C29D4">
        <w:rPr>
          <w:rFonts w:cs="Arial"/>
          <w:szCs w:val="20"/>
        </w:rPr>
        <w:t> %</w:t>
      </w:r>
      <w:r w:rsidR="008F560C">
        <w:rPr>
          <w:rFonts w:cs="Arial"/>
          <w:szCs w:val="20"/>
        </w:rPr>
        <w:t>) a Plzeňským (3</w:t>
      </w:r>
      <w:r w:rsidRPr="004A5668">
        <w:rPr>
          <w:rFonts w:cs="Arial"/>
          <w:szCs w:val="20"/>
        </w:rPr>
        <w:t> %). Naopak v kraji Moravskoslezském</w:t>
      </w:r>
      <w:r w:rsidR="00017D11">
        <w:rPr>
          <w:rFonts w:cs="Arial"/>
          <w:szCs w:val="20"/>
        </w:rPr>
        <w:t>, Olomouckém</w:t>
      </w:r>
      <w:r w:rsidRPr="004A5668">
        <w:rPr>
          <w:rFonts w:cs="Arial"/>
          <w:szCs w:val="20"/>
        </w:rPr>
        <w:t xml:space="preserve"> a na Vysočině nedosáhl podíl žáků </w:t>
      </w:r>
      <w:r w:rsidR="0021603A">
        <w:rPr>
          <w:rFonts w:cs="Arial"/>
          <w:szCs w:val="20"/>
        </w:rPr>
        <w:t>středních</w:t>
      </w:r>
      <w:r w:rsidRPr="004A5668">
        <w:rPr>
          <w:rFonts w:cs="Arial"/>
          <w:szCs w:val="20"/>
        </w:rPr>
        <w:t xml:space="preserve"> škol cizí státní příslušnosti </w:t>
      </w:r>
      <w:r w:rsidR="0021603A">
        <w:rPr>
          <w:rFonts w:cs="Arial"/>
          <w:szCs w:val="20"/>
        </w:rPr>
        <w:t xml:space="preserve">ani jednoho procenta. </w:t>
      </w:r>
      <w:r w:rsidRPr="004A5668">
        <w:rPr>
          <w:rFonts w:cs="Arial"/>
          <w:szCs w:val="20"/>
        </w:rPr>
        <w:t>V ostatních krajích se podíl takových žáků pohybov</w:t>
      </w:r>
      <w:r w:rsidR="003C29D4">
        <w:rPr>
          <w:rFonts w:cs="Arial"/>
          <w:szCs w:val="20"/>
        </w:rPr>
        <w:t>al mezi 1 % a 2</w:t>
      </w:r>
      <w:r w:rsidR="008F560C">
        <w:rPr>
          <w:rFonts w:cs="Arial"/>
          <w:szCs w:val="20"/>
        </w:rPr>
        <w:t>,2</w:t>
      </w:r>
      <w:r w:rsidR="003E423A">
        <w:rPr>
          <w:rFonts w:cs="Arial"/>
          <w:szCs w:val="20"/>
        </w:rPr>
        <w:t> % - viz graf 3</w:t>
      </w:r>
      <w:r w:rsidR="004259A4">
        <w:rPr>
          <w:rFonts w:cs="Arial"/>
          <w:szCs w:val="20"/>
        </w:rPr>
        <w:t>.15</w:t>
      </w:r>
      <w:r w:rsidRPr="004A5668">
        <w:rPr>
          <w:rFonts w:cs="Arial"/>
          <w:szCs w:val="20"/>
        </w:rPr>
        <w:t>. Ten samý graf také ukazuje, že ve středních školách veřejného zřizovatele byl podstatně nižší podíl žá</w:t>
      </w:r>
      <w:r w:rsidR="003C29D4">
        <w:rPr>
          <w:rFonts w:cs="Arial"/>
          <w:szCs w:val="20"/>
        </w:rPr>
        <w:t>ků cizí státní příslušnosti (2</w:t>
      </w:r>
      <w:r w:rsidRPr="004A5668">
        <w:rPr>
          <w:rFonts w:cs="Arial"/>
          <w:szCs w:val="20"/>
        </w:rPr>
        <w:t> %) než ve středních ško</w:t>
      </w:r>
      <w:r w:rsidR="008F560C">
        <w:rPr>
          <w:rFonts w:cs="Arial"/>
          <w:szCs w:val="20"/>
        </w:rPr>
        <w:t>lách zřizovatele soukromého (3,8</w:t>
      </w:r>
      <w:r w:rsidRPr="004A5668">
        <w:rPr>
          <w:rFonts w:cs="Arial"/>
          <w:szCs w:val="20"/>
        </w:rPr>
        <w:t> %). Ještě nižší podíl žáků cizí státní příslušnosti však zaznamenaly ško</w:t>
      </w:r>
      <w:r w:rsidR="003C29D4">
        <w:rPr>
          <w:rFonts w:cs="Arial"/>
          <w:szCs w:val="20"/>
        </w:rPr>
        <w:t>ly s církevním zřizovatelem (1,5</w:t>
      </w:r>
      <w:r w:rsidRPr="004A5668">
        <w:rPr>
          <w:rFonts w:cs="Arial"/>
          <w:szCs w:val="20"/>
        </w:rPr>
        <w:t xml:space="preserve"> %). </w:t>
      </w:r>
    </w:p>
    <w:p w14:paraId="2CE59E80" w14:textId="21F0C92F" w:rsidR="00FA7769" w:rsidRDefault="00FA7769" w:rsidP="00FA3561">
      <w:pPr>
        <w:keepNext/>
        <w:spacing w:after="120" w:line="240" w:lineRule="auto"/>
        <w:rPr>
          <w:b/>
        </w:rPr>
      </w:pPr>
      <w:r w:rsidRPr="00C3589B">
        <w:rPr>
          <w:b/>
        </w:rPr>
        <w:t>G</w:t>
      </w:r>
      <w:r>
        <w:rPr>
          <w:b/>
        </w:rPr>
        <w:t>raf</w:t>
      </w:r>
      <w:r w:rsidRPr="00C3589B">
        <w:rPr>
          <w:b/>
        </w:rPr>
        <w:t xml:space="preserve"> </w:t>
      </w:r>
      <w:r w:rsidR="004259A4">
        <w:rPr>
          <w:b/>
        </w:rPr>
        <w:t>3.15</w:t>
      </w:r>
      <w:r w:rsidRPr="00C3589B">
        <w:t xml:space="preserve"> </w:t>
      </w:r>
      <w:r>
        <w:rPr>
          <w:b/>
        </w:rPr>
        <w:t>Střední školy</w:t>
      </w:r>
      <w:r w:rsidRPr="00C3589B">
        <w:t xml:space="preserve"> - </w:t>
      </w:r>
      <w:r w:rsidRPr="00C3589B">
        <w:rPr>
          <w:b/>
        </w:rPr>
        <w:t xml:space="preserve">podíl žáků s cizí státní příslušností </w:t>
      </w:r>
      <w:r>
        <w:rPr>
          <w:b/>
        </w:rPr>
        <w:t xml:space="preserve">celkem, </w:t>
      </w:r>
      <w:r w:rsidRPr="00C3589B">
        <w:rPr>
          <w:b/>
        </w:rPr>
        <w:t xml:space="preserve">dle kraje a </w:t>
      </w:r>
      <w:r>
        <w:rPr>
          <w:b/>
        </w:rPr>
        <w:t xml:space="preserve">dle </w:t>
      </w:r>
      <w:r w:rsidR="00E96034">
        <w:rPr>
          <w:b/>
        </w:rPr>
        <w:t>zřizovatele (2021/22</w:t>
      </w:r>
      <w:r w:rsidRPr="00C3589B">
        <w:rPr>
          <w:b/>
        </w:rPr>
        <w:t>)</w:t>
      </w:r>
    </w:p>
    <w:p w14:paraId="7FFE6FAF" w14:textId="602EF3EC" w:rsidR="00FA7769" w:rsidRPr="003C29D4" w:rsidRDefault="0028535B" w:rsidP="00FA3561">
      <w:pPr>
        <w:keepNext/>
        <w:spacing w:after="120" w:line="240" w:lineRule="auto"/>
        <w:rPr>
          <w:b/>
        </w:rPr>
      </w:pPr>
      <w:r>
        <w:rPr>
          <w:noProof/>
        </w:rPr>
        <w:drawing>
          <wp:inline distT="0" distB="0" distL="0" distR="0" wp14:anchorId="163D2253" wp14:editId="01028CCD">
            <wp:extent cx="6029325" cy="4714875"/>
            <wp:effectExtent l="0" t="0" r="9525" b="9525"/>
            <wp:docPr id="90" name="Graf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5F0F8EF3" w14:textId="77777777" w:rsidR="00FA7769" w:rsidRPr="00B410D9" w:rsidRDefault="00FA7769" w:rsidP="00FA3561">
      <w:pPr>
        <w:spacing w:after="120" w:line="276" w:lineRule="auto"/>
        <w:jc w:val="right"/>
        <w:rPr>
          <w:rFonts w:asciiTheme="minorHAnsi" w:hAnsiTheme="minorHAnsi" w:cs="Arial"/>
          <w:sz w:val="18"/>
          <w:szCs w:val="22"/>
        </w:rPr>
      </w:pPr>
      <w:r w:rsidRPr="00F94849">
        <w:rPr>
          <w:rFonts w:cs="Arial"/>
          <w:sz w:val="18"/>
        </w:rPr>
        <w:t>Zdroj: ČSÚ</w:t>
      </w:r>
      <w:r w:rsidRPr="00F94849">
        <w:rPr>
          <w:rFonts w:cs="Arial"/>
          <w:noProof/>
        </w:rPr>
        <w:t xml:space="preserve"> </w:t>
      </w:r>
      <w:r w:rsidRPr="00307699">
        <w:rPr>
          <w:rFonts w:cs="Arial"/>
          <w:sz w:val="18"/>
        </w:rPr>
        <w:t>podle údajů MŠMT</w:t>
      </w:r>
    </w:p>
    <w:p w14:paraId="72EBDC36" w14:textId="41D0426F" w:rsidR="00FA7769" w:rsidRPr="004A5668" w:rsidRDefault="004259A4" w:rsidP="00FA7769">
      <w:pPr>
        <w:spacing w:after="120"/>
        <w:jc w:val="both"/>
        <w:rPr>
          <w:rFonts w:cs="Arial"/>
          <w:szCs w:val="20"/>
        </w:rPr>
      </w:pPr>
      <w:r>
        <w:rPr>
          <w:rFonts w:cs="Arial"/>
          <w:szCs w:val="20"/>
        </w:rPr>
        <w:t>Graf 3.16</w:t>
      </w:r>
      <w:r w:rsidR="00FA7769" w:rsidRPr="004A5668">
        <w:rPr>
          <w:rFonts w:cs="Arial"/>
          <w:szCs w:val="20"/>
        </w:rPr>
        <w:t xml:space="preserve"> se dále blíže zabývá </w:t>
      </w:r>
      <w:r w:rsidR="00FA7769" w:rsidRPr="004A5668">
        <w:rPr>
          <w:rFonts w:cs="Arial"/>
          <w:b/>
          <w:szCs w:val="20"/>
        </w:rPr>
        <w:t>původem žáků cizí státní příslušnosti</w:t>
      </w:r>
      <w:r w:rsidR="00FA7769" w:rsidRPr="004A5668">
        <w:rPr>
          <w:rFonts w:cs="Arial"/>
          <w:szCs w:val="20"/>
        </w:rPr>
        <w:t xml:space="preserve"> ve školách v České republice a v jednotlivých krajích a řadí kraje sestupně dle celkového podílu žáků cizí státní příslušnosti, jak </w:t>
      </w:r>
      <w:r w:rsidR="00043865">
        <w:rPr>
          <w:rFonts w:cs="Arial"/>
          <w:szCs w:val="20"/>
        </w:rPr>
        <w:t>je uvedený v předchozím grafu (3</w:t>
      </w:r>
      <w:r w:rsidR="0079466B">
        <w:rPr>
          <w:rFonts w:cs="Arial"/>
          <w:szCs w:val="20"/>
        </w:rPr>
        <w:t>.15</w:t>
      </w:r>
      <w:r w:rsidR="00D5363B">
        <w:rPr>
          <w:rFonts w:cs="Arial"/>
          <w:szCs w:val="20"/>
        </w:rPr>
        <w:t xml:space="preserve">). </w:t>
      </w:r>
    </w:p>
    <w:p w14:paraId="1EC2904F" w14:textId="77777777" w:rsidR="00633690" w:rsidRDefault="00FA7769" w:rsidP="00633690">
      <w:pPr>
        <w:keepNext/>
        <w:spacing w:after="0" w:line="240" w:lineRule="auto"/>
        <w:rPr>
          <w:b/>
        </w:rPr>
      </w:pPr>
      <w:r w:rsidRPr="00DA3773">
        <w:rPr>
          <w:b/>
        </w:rPr>
        <w:lastRenderedPageBreak/>
        <w:t>G</w:t>
      </w:r>
      <w:r>
        <w:rPr>
          <w:b/>
        </w:rPr>
        <w:t>raf</w:t>
      </w:r>
      <w:r w:rsidRPr="00DA3773">
        <w:rPr>
          <w:b/>
        </w:rPr>
        <w:t xml:space="preserve"> </w:t>
      </w:r>
      <w:r w:rsidR="004259A4">
        <w:rPr>
          <w:b/>
        </w:rPr>
        <w:t>3.16</w:t>
      </w:r>
      <w:r w:rsidRPr="00DA3773">
        <w:rPr>
          <w:b/>
        </w:rPr>
        <w:t xml:space="preserve"> Střední školy – podíl žáků ze Slovenska, EU, jiných států Evropy a jiných států světa ze všech žák</w:t>
      </w:r>
      <w:r w:rsidR="00570A11">
        <w:rPr>
          <w:b/>
        </w:rPr>
        <w:t>ů cizí státní příslušnosti</w:t>
      </w:r>
      <w:r w:rsidR="00633690">
        <w:rPr>
          <w:b/>
        </w:rPr>
        <w:t>, celkem a dle kraje</w:t>
      </w:r>
      <w:r w:rsidR="00570A11">
        <w:rPr>
          <w:b/>
        </w:rPr>
        <w:t xml:space="preserve"> (2021/22</w:t>
      </w:r>
      <w:r w:rsidRPr="00DA3773">
        <w:rPr>
          <w:b/>
        </w:rPr>
        <w:t>)</w:t>
      </w:r>
      <w:r w:rsidR="00494032">
        <w:rPr>
          <w:b/>
        </w:rPr>
        <w:t xml:space="preserve"> </w:t>
      </w:r>
    </w:p>
    <w:p w14:paraId="6248739A" w14:textId="3DEE564E" w:rsidR="00FA7769" w:rsidRDefault="00633690" w:rsidP="00FA7769">
      <w:pPr>
        <w:keepNext/>
        <w:spacing w:after="120" w:line="240" w:lineRule="auto"/>
        <w:rPr>
          <w:i/>
        </w:rPr>
      </w:pPr>
      <w:r>
        <w:rPr>
          <w:i/>
        </w:rPr>
        <w:t>(</w:t>
      </w:r>
      <w:r w:rsidR="00494032" w:rsidRPr="00494032">
        <w:rPr>
          <w:i/>
        </w:rPr>
        <w:t xml:space="preserve">kraje seřazeny </w:t>
      </w:r>
      <w:r>
        <w:rPr>
          <w:i/>
        </w:rPr>
        <w:t xml:space="preserve">sestupně </w:t>
      </w:r>
      <w:r w:rsidR="00494032" w:rsidRPr="00494032">
        <w:rPr>
          <w:i/>
        </w:rPr>
        <w:t>dle celkového podílu cizinců</w:t>
      </w:r>
      <w:r>
        <w:rPr>
          <w:i/>
        </w:rPr>
        <w:t>)</w:t>
      </w:r>
    </w:p>
    <w:p w14:paraId="1087D54E" w14:textId="62E1814E" w:rsidR="00FA7769" w:rsidRPr="0079044F" w:rsidRDefault="0079044F" w:rsidP="00494032">
      <w:pPr>
        <w:keepNext/>
        <w:spacing w:after="120" w:line="240" w:lineRule="auto"/>
      </w:pPr>
      <w:r>
        <w:rPr>
          <w:noProof/>
        </w:rPr>
        <w:drawing>
          <wp:inline distT="0" distB="0" distL="0" distR="0" wp14:anchorId="2499221D" wp14:editId="4370C3B8">
            <wp:extent cx="6086475" cy="4429125"/>
            <wp:effectExtent l="0" t="0" r="9525" b="9525"/>
            <wp:docPr id="86" name="Graf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460EDC90" w14:textId="77777777" w:rsidR="00FA7769" w:rsidRPr="00B410D9" w:rsidRDefault="00FA7769" w:rsidP="00AB0787">
      <w:pPr>
        <w:spacing w:after="120" w:line="276" w:lineRule="auto"/>
        <w:jc w:val="right"/>
        <w:rPr>
          <w:rFonts w:asciiTheme="minorHAnsi" w:hAnsiTheme="minorHAnsi"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3897F11A" w14:textId="77777777" w:rsidR="000F4596" w:rsidRDefault="000F4596" w:rsidP="000F4596">
      <w:pPr>
        <w:spacing w:after="120"/>
        <w:jc w:val="both"/>
        <w:rPr>
          <w:rFonts w:cs="Arial"/>
          <w:szCs w:val="20"/>
        </w:rPr>
      </w:pPr>
      <w:r>
        <w:rPr>
          <w:rFonts w:cs="Arial"/>
          <w:szCs w:val="20"/>
        </w:rPr>
        <w:t>Z grafu 3.16</w:t>
      </w:r>
      <w:r w:rsidRPr="004A5668">
        <w:rPr>
          <w:rFonts w:cs="Arial"/>
          <w:szCs w:val="20"/>
        </w:rPr>
        <w:t xml:space="preserve"> lze vyčíst, že pětinu ze všech žáků cizí státní příslušnosti tvořili Slováci (19</w:t>
      </w:r>
      <w:r>
        <w:rPr>
          <w:rFonts w:cs="Arial"/>
          <w:szCs w:val="20"/>
        </w:rPr>
        <w:t>,9</w:t>
      </w:r>
      <w:r w:rsidRPr="004A5668">
        <w:rPr>
          <w:rFonts w:cs="Arial"/>
          <w:szCs w:val="20"/>
        </w:rPr>
        <w:t xml:space="preserve"> %), dalších </w:t>
      </w:r>
      <w:r>
        <w:rPr>
          <w:rFonts w:cs="Arial"/>
          <w:szCs w:val="20"/>
        </w:rPr>
        <w:t>8,4</w:t>
      </w:r>
      <w:r w:rsidRPr="004A5668">
        <w:rPr>
          <w:rFonts w:cs="Arial"/>
          <w:szCs w:val="20"/>
        </w:rPr>
        <w:t xml:space="preserve"> % příslušníci jiných států Evropské unie, </w:t>
      </w:r>
      <w:r>
        <w:rPr>
          <w:rFonts w:cs="Arial"/>
          <w:szCs w:val="20"/>
        </w:rPr>
        <w:t>44,7 %</w:t>
      </w:r>
      <w:r w:rsidRPr="004A5668">
        <w:rPr>
          <w:rFonts w:cs="Arial"/>
          <w:szCs w:val="20"/>
        </w:rPr>
        <w:t xml:space="preserve"> příslušn</w:t>
      </w:r>
      <w:r>
        <w:rPr>
          <w:rFonts w:cs="Arial"/>
          <w:szCs w:val="20"/>
        </w:rPr>
        <w:t>íci ostatních států Evropy (zejména ukrajinské státní příslušnosti, kteří tvořili 31 % všech cizinců) a zbylých 27</w:t>
      </w:r>
      <w:r w:rsidRPr="004A5668">
        <w:rPr>
          <w:rFonts w:cs="Arial"/>
          <w:szCs w:val="20"/>
        </w:rPr>
        <w:t> % tvořili žáci původem z jiných kontinentů</w:t>
      </w:r>
      <w:r>
        <w:rPr>
          <w:rFonts w:cs="Arial"/>
          <w:szCs w:val="20"/>
        </w:rPr>
        <w:t xml:space="preserve"> (zejména Vietnamci, jejichž podíl mezi cizinci byl 18,3 %)</w:t>
      </w:r>
      <w:r w:rsidRPr="004A5668">
        <w:rPr>
          <w:rFonts w:cs="Arial"/>
          <w:szCs w:val="20"/>
        </w:rPr>
        <w:t>.</w:t>
      </w:r>
    </w:p>
    <w:p w14:paraId="566525E6" w14:textId="195944CF" w:rsidR="000F4596" w:rsidRPr="00184DA9" w:rsidRDefault="000F4596" w:rsidP="00FA7769">
      <w:pPr>
        <w:spacing w:after="120"/>
        <w:jc w:val="both"/>
        <w:rPr>
          <w:rFonts w:cs="Arial"/>
          <w:szCs w:val="20"/>
        </w:rPr>
      </w:pPr>
      <w:r w:rsidRPr="004A5668">
        <w:rPr>
          <w:rFonts w:cs="Arial"/>
          <w:szCs w:val="20"/>
        </w:rPr>
        <w:t xml:space="preserve">V krajském členění je nápadné, že zatímco ve Zlínském kraji tvořili žáci původem </w:t>
      </w:r>
      <w:r w:rsidRPr="0079466B">
        <w:rPr>
          <w:rFonts w:cs="Arial"/>
          <w:b/>
          <w:szCs w:val="20"/>
        </w:rPr>
        <w:t>z jiných kontinentů</w:t>
      </w:r>
      <w:r w:rsidRPr="004A5668">
        <w:rPr>
          <w:rFonts w:cs="Arial"/>
          <w:szCs w:val="20"/>
        </w:rPr>
        <w:t xml:space="preserve"> </w:t>
      </w:r>
      <w:r>
        <w:rPr>
          <w:rFonts w:cs="Arial"/>
          <w:szCs w:val="20"/>
        </w:rPr>
        <w:t xml:space="preserve">(zejména z Vietnamu) </w:t>
      </w:r>
      <w:r w:rsidRPr="004A5668">
        <w:rPr>
          <w:rFonts w:cs="Arial"/>
          <w:szCs w:val="20"/>
        </w:rPr>
        <w:t>mezi žáky</w:t>
      </w:r>
      <w:r>
        <w:rPr>
          <w:rFonts w:cs="Arial"/>
          <w:szCs w:val="20"/>
        </w:rPr>
        <w:t xml:space="preserve"> cizí státní příslušnosti jen 15,3</w:t>
      </w:r>
      <w:r w:rsidRPr="004A5668">
        <w:rPr>
          <w:rFonts w:cs="Arial"/>
          <w:szCs w:val="20"/>
        </w:rPr>
        <w:t xml:space="preserve"> %, v kraji </w:t>
      </w:r>
      <w:r>
        <w:rPr>
          <w:rFonts w:cs="Arial"/>
          <w:szCs w:val="20"/>
        </w:rPr>
        <w:t xml:space="preserve">Karlovarském a </w:t>
      </w:r>
      <w:r w:rsidRPr="004A5668">
        <w:rPr>
          <w:rFonts w:cs="Arial"/>
          <w:szCs w:val="20"/>
        </w:rPr>
        <w:t xml:space="preserve">Ústeckém </w:t>
      </w:r>
      <w:r>
        <w:rPr>
          <w:rFonts w:cs="Arial"/>
          <w:szCs w:val="20"/>
        </w:rPr>
        <w:t>zaujímali tito žáci cca polovinu (50,7 %, resp. 47,5</w:t>
      </w:r>
      <w:r w:rsidRPr="004A5668">
        <w:rPr>
          <w:rFonts w:cs="Arial"/>
          <w:szCs w:val="20"/>
        </w:rPr>
        <w:t> %</w:t>
      </w:r>
      <w:r>
        <w:rPr>
          <w:rFonts w:cs="Arial"/>
          <w:szCs w:val="20"/>
        </w:rPr>
        <w:t>, převážně se jedná o žáky vietnamského státního občanství</w:t>
      </w:r>
      <w:r w:rsidRPr="004A5668">
        <w:rPr>
          <w:rFonts w:cs="Arial"/>
          <w:szCs w:val="20"/>
        </w:rPr>
        <w:t xml:space="preserve">). Podíl žáků původem z Evropské unie </w:t>
      </w:r>
      <w:r>
        <w:rPr>
          <w:rFonts w:cs="Arial"/>
          <w:szCs w:val="20"/>
        </w:rPr>
        <w:t xml:space="preserve">celkem </w:t>
      </w:r>
      <w:r w:rsidRPr="004A5668">
        <w:rPr>
          <w:rFonts w:cs="Arial"/>
          <w:szCs w:val="20"/>
        </w:rPr>
        <w:t>byl mezi žáky cizí státní příslušnosti</w:t>
      </w:r>
      <w:r>
        <w:rPr>
          <w:rFonts w:cs="Arial"/>
          <w:szCs w:val="20"/>
        </w:rPr>
        <w:t xml:space="preserve"> nejvyšší v kraji Zlínském (62,7</w:t>
      </w:r>
      <w:r w:rsidRPr="004A5668">
        <w:rPr>
          <w:rFonts w:cs="Arial"/>
          <w:szCs w:val="20"/>
        </w:rPr>
        <w:t> %) a nejnižší v kraji Karlovarské</w:t>
      </w:r>
      <w:r>
        <w:rPr>
          <w:rFonts w:cs="Arial"/>
          <w:szCs w:val="20"/>
        </w:rPr>
        <w:t>m (14,5 %) a Ústeckém (19,5 %). Podíl cizinců původem ze Slovenska byl nejvyšší v kraji Zlínském (58,4 %) a nejnižší v kraji Karlovarském (8,3 %). Nakonec podíl cizinců původem ze států Evropy, které nejsou členy EU (tj. zejména z Ukrajiny), byl nejvyšší v Praze (55,6 %) a nejnižší v Moravskoslezském kraji (13,3 %).</w:t>
      </w:r>
    </w:p>
    <w:p w14:paraId="4330683D" w14:textId="430B55C5" w:rsidR="00FA7769" w:rsidRDefault="00FA7769" w:rsidP="00FA7769">
      <w:pPr>
        <w:spacing w:after="120"/>
        <w:jc w:val="both"/>
      </w:pPr>
      <w:r w:rsidRPr="00C321F3">
        <w:t>Pokud se jedná o vývoj</w:t>
      </w:r>
      <w:r w:rsidR="00692667" w:rsidRPr="00C321F3">
        <w:t xml:space="preserve"> v čase, mezi školními roky 2011/12 a 2021/22</w:t>
      </w:r>
      <w:r w:rsidRPr="004A5668">
        <w:t xml:space="preserve"> se zvýšil podíl žáků cizí státní příslušnosti ve stř</w:t>
      </w:r>
      <w:r w:rsidR="001A4E80">
        <w:t xml:space="preserve">edních školách </w:t>
      </w:r>
      <w:r w:rsidR="00AB070A">
        <w:t>z 1,8</w:t>
      </w:r>
      <w:r w:rsidR="00973AB4">
        <w:t> % na 2,3</w:t>
      </w:r>
      <w:r w:rsidR="00C321F3">
        <w:t> %,</w:t>
      </w:r>
      <w:r w:rsidRPr="004A5668">
        <w:t xml:space="preserve"> viz</w:t>
      </w:r>
      <w:r w:rsidR="004259A4">
        <w:t xml:space="preserve"> graf 3.17</w:t>
      </w:r>
      <w:r w:rsidRPr="004A5668">
        <w:t xml:space="preserve">. </w:t>
      </w:r>
    </w:p>
    <w:p w14:paraId="17507AB5" w14:textId="44B98C61" w:rsidR="00C9124A" w:rsidRDefault="00C321F3" w:rsidP="00C321F3">
      <w:pPr>
        <w:keepNext/>
        <w:spacing w:after="120" w:line="240" w:lineRule="auto"/>
        <w:rPr>
          <w:b/>
        </w:rPr>
      </w:pPr>
      <w:r w:rsidRPr="00180ED8">
        <w:rPr>
          <w:b/>
        </w:rPr>
        <w:lastRenderedPageBreak/>
        <w:t>G</w:t>
      </w:r>
      <w:r>
        <w:rPr>
          <w:b/>
        </w:rPr>
        <w:t>raf</w:t>
      </w:r>
      <w:r w:rsidRPr="00180ED8">
        <w:rPr>
          <w:b/>
        </w:rPr>
        <w:t xml:space="preserve"> </w:t>
      </w:r>
      <w:r>
        <w:rPr>
          <w:b/>
        </w:rPr>
        <w:t>3.17</w:t>
      </w:r>
      <w:r w:rsidRPr="00180ED8">
        <w:rPr>
          <w:b/>
        </w:rPr>
        <w:t xml:space="preserve"> </w:t>
      </w:r>
      <w:r>
        <w:rPr>
          <w:b/>
        </w:rPr>
        <w:t>Střední školy</w:t>
      </w:r>
      <w:r w:rsidRPr="00180ED8">
        <w:rPr>
          <w:b/>
        </w:rPr>
        <w:t xml:space="preserve"> - vývoj podílu žáků cizí </w:t>
      </w:r>
      <w:r>
        <w:rPr>
          <w:b/>
        </w:rPr>
        <w:t>státní příslušnosti v čase (2011/12 až 2021/22</w:t>
      </w:r>
      <w:r w:rsidRPr="00180ED8">
        <w:rPr>
          <w:b/>
        </w:rPr>
        <w:t xml:space="preserve">) </w:t>
      </w:r>
    </w:p>
    <w:p w14:paraId="4B28E3F0" w14:textId="304E02B5" w:rsidR="00FA7769" w:rsidRPr="00184DA9" w:rsidRDefault="00C9124A" w:rsidP="00184DA9">
      <w:pPr>
        <w:keepNext/>
        <w:spacing w:after="120" w:line="240" w:lineRule="auto"/>
        <w:rPr>
          <w:b/>
        </w:rPr>
      </w:pPr>
      <w:r>
        <w:rPr>
          <w:noProof/>
        </w:rPr>
        <w:drawing>
          <wp:inline distT="0" distB="0" distL="0" distR="0" wp14:anchorId="5679C35B" wp14:editId="24A3023A">
            <wp:extent cx="5760720" cy="4486275"/>
            <wp:effectExtent l="0" t="0" r="11430" b="9525"/>
            <wp:docPr id="98" name="Graf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7ABD5C7B" w14:textId="77777777" w:rsidR="00FA7769" w:rsidRPr="00B410D9" w:rsidRDefault="00FA7769" w:rsidP="00AB0787">
      <w:pPr>
        <w:spacing w:after="120" w:line="276" w:lineRule="auto"/>
        <w:jc w:val="right"/>
        <w:rPr>
          <w:rFonts w:asciiTheme="minorHAnsi" w:hAnsiTheme="minorHAnsi"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621C012E" w14:textId="76F31A08" w:rsidR="00165363" w:rsidRDefault="00FA7769" w:rsidP="00FA7769">
      <w:pPr>
        <w:spacing w:after="120"/>
        <w:jc w:val="both"/>
      </w:pPr>
      <w:r w:rsidRPr="004A5668">
        <w:t>Kromě</w:t>
      </w:r>
      <w:r w:rsidRPr="004A5668">
        <w:rPr>
          <w:b/>
          <w:szCs w:val="28"/>
        </w:rPr>
        <w:t xml:space="preserve"> </w:t>
      </w:r>
      <w:r w:rsidRPr="004A5668">
        <w:t>celkového podílu žáků cizí státní p</w:t>
      </w:r>
      <w:r w:rsidR="00FA5C16">
        <w:t>říslušnosti znázorňuje graf 3.17</w:t>
      </w:r>
      <w:r w:rsidRPr="004A5668">
        <w:t xml:space="preserve"> také </w:t>
      </w:r>
      <w:r w:rsidRPr="004A5668">
        <w:rPr>
          <w:b/>
        </w:rPr>
        <w:t xml:space="preserve">podíl žáků původem ze Slovenska, Ukrajiny </w:t>
      </w:r>
      <w:r w:rsidR="00C321F3">
        <w:rPr>
          <w:b/>
        </w:rPr>
        <w:t>Vietnamu</w:t>
      </w:r>
      <w:r w:rsidR="00C321F3" w:rsidRPr="004A5668">
        <w:rPr>
          <w:b/>
        </w:rPr>
        <w:t xml:space="preserve"> </w:t>
      </w:r>
      <w:r w:rsidRPr="004A5668">
        <w:rPr>
          <w:b/>
        </w:rPr>
        <w:t>a Ruska</w:t>
      </w:r>
      <w:r w:rsidRPr="004A5668">
        <w:t xml:space="preserve">. </w:t>
      </w:r>
      <w:r w:rsidR="007B4B2D">
        <w:t xml:space="preserve">Tito žáci v čase </w:t>
      </w:r>
      <w:r w:rsidR="00BE0761">
        <w:t>stabilně tvořili</w:t>
      </w:r>
      <w:r w:rsidR="007B4B2D">
        <w:t xml:space="preserve"> cca téměř čtyři pětiny všech cizinců na středních školách</w:t>
      </w:r>
      <w:r w:rsidR="00C529FE" w:rsidRPr="00C529FE">
        <w:t xml:space="preserve">. </w:t>
      </w:r>
      <w:r w:rsidR="00257D71">
        <w:t>Lze konstatovat</w:t>
      </w:r>
      <w:r w:rsidR="00165363">
        <w:t xml:space="preserve">, </w:t>
      </w:r>
      <w:r w:rsidR="00257D71">
        <w:t xml:space="preserve">že </w:t>
      </w:r>
      <w:r w:rsidR="008A2DFF">
        <w:t>počet</w:t>
      </w:r>
      <w:r w:rsidR="00165363">
        <w:t xml:space="preserve"> cizinců původem z Ukrajiny </w:t>
      </w:r>
      <w:r w:rsidR="008A2DFF">
        <w:t xml:space="preserve">v uplynulých deseti letech </w:t>
      </w:r>
      <w:r w:rsidR="00165363">
        <w:t>soustavně rostl, pouze s výjimkou období mezi školními roky 201</w:t>
      </w:r>
      <w:r w:rsidR="008A2DFF">
        <w:t>3/14 a 2014/15, kdy se snížil z 2 201 na 2 126</w:t>
      </w:r>
      <w:r w:rsidR="00165363">
        <w:t>.</w:t>
      </w:r>
      <w:r w:rsidR="008A2DFF">
        <w:t xml:space="preserve"> Celkově se jejich počet za 10 let</w:t>
      </w:r>
      <w:r w:rsidR="00257D71">
        <w:t xml:space="preserve"> zvýšil</w:t>
      </w:r>
      <w:r w:rsidR="008A2DFF">
        <w:t xml:space="preserve"> o 45,5 %. Podíl Ukrajinců ze všech žáků středních škol stoupl </w:t>
      </w:r>
      <w:r w:rsidR="00257D71">
        <w:t>z 0,4 % na 0,7 %</w:t>
      </w:r>
      <w:r w:rsidR="008A2DFF">
        <w:t xml:space="preserve"> a jejich podíl ze žáků cizí státní příslušnosti se zvýšil ze čtvrtiny</w:t>
      </w:r>
      <w:r w:rsidR="00C321F3">
        <w:t xml:space="preserve"> (24,2 %) na téměř třetinu (31</w:t>
      </w:r>
      <w:r w:rsidR="00257D71">
        <w:t> %</w:t>
      </w:r>
      <w:r w:rsidR="008A2DFF">
        <w:t>), což je ze všech zemí nejvyšší podíl</w:t>
      </w:r>
      <w:r w:rsidR="00C529FE">
        <w:t xml:space="preserve">. </w:t>
      </w:r>
      <w:r w:rsidR="007B4B2D">
        <w:t>Data jsou přitom vykazována k 30. 9., tedy v nich ještě není zohledněna integrace ukrajinských uprchlíků do škol</w:t>
      </w:r>
      <w:r w:rsidR="004D2910">
        <w:t xml:space="preserve"> v České republice</w:t>
      </w:r>
      <w:r w:rsidR="007B4B2D">
        <w:t>. V následujícím roce lze očekávat skokový nárůst počtu ukraji</w:t>
      </w:r>
      <w:r w:rsidR="004D2910">
        <w:t>nských žáků u nás</w:t>
      </w:r>
      <w:r w:rsidR="007B4B2D">
        <w:t>. V porovnání s tím lze říci, že podíl žáků původem z Vietnamu a Ruska byl v čase poměrně stabilní, počet žáků původem z jiných zemí EU, než je Slovensko, rok od roku nepatrně narůstal</w:t>
      </w:r>
      <w:r w:rsidR="00BE0761">
        <w:t xml:space="preserve"> a podíl žáků původem z ostatních zemí světa osciloval kolem 0,3 %.</w:t>
      </w:r>
    </w:p>
    <w:p w14:paraId="4D91C2E9" w14:textId="53B984BA" w:rsidR="00FA7769" w:rsidRPr="004A5668" w:rsidRDefault="00FA7769" w:rsidP="00FA7769">
      <w:pPr>
        <w:spacing w:after="120"/>
        <w:jc w:val="both"/>
      </w:pPr>
      <w:r w:rsidRPr="000031F2">
        <w:t xml:space="preserve">Absolutní počty žáků </w:t>
      </w:r>
      <w:r w:rsidR="00BE0761" w:rsidRPr="000031F2">
        <w:t xml:space="preserve">cizí státní příslušnosti </w:t>
      </w:r>
      <w:r w:rsidRPr="000031F2">
        <w:t>ve</w:t>
      </w:r>
      <w:r w:rsidRPr="00691399">
        <w:t xml:space="preserve"> škol</w:t>
      </w:r>
      <w:r w:rsidR="00691399" w:rsidRPr="00691399">
        <w:t>ním roce 2021/22</w:t>
      </w:r>
      <w:r w:rsidR="00A019D7" w:rsidRPr="00691399">
        <w:t xml:space="preserve"> uvádí tabulka 3</w:t>
      </w:r>
      <w:r w:rsidR="00E3792E" w:rsidRPr="00691399">
        <w:t>.3</w:t>
      </w:r>
      <w:r w:rsidRPr="00691399">
        <w:t>, ve</w:t>
      </w:r>
      <w:r w:rsidRPr="004A5668">
        <w:t xml:space="preserve"> které je výčet zemí, které jsou původem více než 100 žáků středních škol. Jak je patrné, z cizi</w:t>
      </w:r>
      <w:r w:rsidR="00C529FE">
        <w:t>nců tvořili ve</w:t>
      </w:r>
      <w:r w:rsidR="00691399">
        <w:t xml:space="preserve"> školním roce 2021/22</w:t>
      </w:r>
      <w:r w:rsidRPr="004A5668">
        <w:t xml:space="preserve"> nejv</w:t>
      </w:r>
      <w:r w:rsidR="00691399">
        <w:t>yšší podíl žáci z Ukrajiny (31</w:t>
      </w:r>
      <w:r w:rsidRPr="004A5668">
        <w:t xml:space="preserve"> %) a dále ze Slovenska a Vietnamu (obě tyto skupiny cizinců zaujímají </w:t>
      </w:r>
      <w:r w:rsidR="00691399">
        <w:t>cca</w:t>
      </w:r>
      <w:r w:rsidRPr="004A5668">
        <w:t xml:space="preserve"> pětinový podíl). Podíl žáků cizin</w:t>
      </w:r>
      <w:r w:rsidR="00C529FE">
        <w:t>ců</w:t>
      </w:r>
      <w:r w:rsidR="00691399">
        <w:t xml:space="preserve"> původem z Ruska tvoří dále 9,6</w:t>
      </w:r>
      <w:r w:rsidR="00F8241E">
        <w:t xml:space="preserve"> %. </w:t>
      </w:r>
      <w:r w:rsidRPr="004A5668">
        <w:t xml:space="preserve">Ostatní země zaujímají </w:t>
      </w:r>
      <w:r w:rsidR="00C529FE">
        <w:t>jedno až dvě procenta</w:t>
      </w:r>
      <w:r w:rsidRPr="004A5668">
        <w:t xml:space="preserve"> z celkového počtu cizinců.    </w:t>
      </w:r>
    </w:p>
    <w:p w14:paraId="6BEF3198" w14:textId="080AA8C0" w:rsidR="00FA7769" w:rsidRDefault="00E3792E" w:rsidP="00C0347C">
      <w:pPr>
        <w:keepNext/>
        <w:spacing w:after="120" w:line="240" w:lineRule="auto"/>
        <w:jc w:val="both"/>
        <w:rPr>
          <w:b/>
        </w:rPr>
      </w:pPr>
      <w:r>
        <w:rPr>
          <w:b/>
        </w:rPr>
        <w:lastRenderedPageBreak/>
        <w:t xml:space="preserve">Tabulka 3.3 </w:t>
      </w:r>
      <w:r w:rsidR="00FA7769" w:rsidRPr="00D316CC">
        <w:rPr>
          <w:b/>
        </w:rPr>
        <w:t xml:space="preserve">Střední školy – počet žáků cizí státní příslušnosti dle státního občanství (pouze státy, které jsou </w:t>
      </w:r>
      <w:r w:rsidR="00691399">
        <w:rPr>
          <w:b/>
        </w:rPr>
        <w:t>původem více než 100 žáků); 2021/22</w:t>
      </w:r>
    </w:p>
    <w:tbl>
      <w:tblPr>
        <w:tblW w:w="4460" w:type="dxa"/>
        <w:tblInd w:w="-10" w:type="dxa"/>
        <w:tblCellMar>
          <w:left w:w="70" w:type="dxa"/>
          <w:right w:w="70" w:type="dxa"/>
        </w:tblCellMar>
        <w:tblLook w:val="04A0" w:firstRow="1" w:lastRow="0" w:firstColumn="1" w:lastColumn="0" w:noHBand="0" w:noVBand="1"/>
      </w:tblPr>
      <w:tblGrid>
        <w:gridCol w:w="1420"/>
        <w:gridCol w:w="1360"/>
        <w:gridCol w:w="1680"/>
      </w:tblGrid>
      <w:tr w:rsidR="00691399" w:rsidRPr="00691399" w14:paraId="1CCD438A" w14:textId="77777777" w:rsidTr="00691399">
        <w:trPr>
          <w:trHeight w:val="690"/>
        </w:trPr>
        <w:tc>
          <w:tcPr>
            <w:tcW w:w="1420" w:type="dxa"/>
            <w:tcBorders>
              <w:top w:val="single" w:sz="8" w:space="0" w:color="auto"/>
              <w:left w:val="single" w:sz="8" w:space="0" w:color="auto"/>
              <w:bottom w:val="single" w:sz="8" w:space="0" w:color="auto"/>
              <w:right w:val="single" w:sz="8" w:space="0" w:color="auto"/>
            </w:tcBorders>
            <w:shd w:val="clear" w:color="000000" w:fill="C00000"/>
            <w:noWrap/>
            <w:vAlign w:val="center"/>
            <w:hideMark/>
          </w:tcPr>
          <w:p w14:paraId="297182EE" w14:textId="77777777" w:rsidR="00691399" w:rsidRPr="00691399" w:rsidRDefault="00691399" w:rsidP="00C0347C">
            <w:pPr>
              <w:keepNext/>
              <w:spacing w:after="0" w:line="240" w:lineRule="auto"/>
              <w:rPr>
                <w:rFonts w:cs="Arial"/>
                <w:b/>
                <w:bCs/>
                <w:color w:val="FFFFFF"/>
                <w:sz w:val="16"/>
                <w:szCs w:val="16"/>
              </w:rPr>
            </w:pPr>
            <w:r w:rsidRPr="00691399">
              <w:rPr>
                <w:rFonts w:cs="Arial"/>
                <w:b/>
                <w:bCs/>
                <w:color w:val="FFFFFF" w:themeColor="background1"/>
                <w:sz w:val="16"/>
                <w:szCs w:val="16"/>
              </w:rPr>
              <w:t>země původu</w:t>
            </w:r>
          </w:p>
        </w:tc>
        <w:tc>
          <w:tcPr>
            <w:tcW w:w="1360" w:type="dxa"/>
            <w:tcBorders>
              <w:top w:val="single" w:sz="8" w:space="0" w:color="auto"/>
              <w:left w:val="nil"/>
              <w:bottom w:val="single" w:sz="8" w:space="0" w:color="auto"/>
              <w:right w:val="single" w:sz="8" w:space="0" w:color="auto"/>
            </w:tcBorders>
            <w:shd w:val="clear" w:color="000000" w:fill="C00000"/>
            <w:noWrap/>
            <w:vAlign w:val="center"/>
            <w:hideMark/>
          </w:tcPr>
          <w:p w14:paraId="02B8BD7B" w14:textId="77777777" w:rsidR="00691399" w:rsidRPr="00691399" w:rsidRDefault="00691399" w:rsidP="00C0347C">
            <w:pPr>
              <w:keepNext/>
              <w:spacing w:after="0" w:line="240" w:lineRule="auto"/>
              <w:rPr>
                <w:rFonts w:cs="Arial"/>
                <w:b/>
                <w:bCs/>
                <w:color w:val="FFFFFF"/>
                <w:sz w:val="16"/>
                <w:szCs w:val="16"/>
              </w:rPr>
            </w:pPr>
            <w:r w:rsidRPr="00691399">
              <w:rPr>
                <w:rFonts w:cs="Arial"/>
                <w:b/>
                <w:bCs/>
                <w:color w:val="FFFFFF" w:themeColor="background1"/>
                <w:sz w:val="16"/>
                <w:szCs w:val="16"/>
              </w:rPr>
              <w:t>počet žáků</w:t>
            </w:r>
          </w:p>
        </w:tc>
        <w:tc>
          <w:tcPr>
            <w:tcW w:w="1680" w:type="dxa"/>
            <w:tcBorders>
              <w:top w:val="single" w:sz="8" w:space="0" w:color="auto"/>
              <w:left w:val="nil"/>
              <w:bottom w:val="single" w:sz="8" w:space="0" w:color="auto"/>
              <w:right w:val="single" w:sz="8" w:space="0" w:color="auto"/>
            </w:tcBorders>
            <w:shd w:val="clear" w:color="000000" w:fill="C00000"/>
            <w:vAlign w:val="center"/>
            <w:hideMark/>
          </w:tcPr>
          <w:p w14:paraId="0449C312" w14:textId="77777777" w:rsidR="00691399" w:rsidRPr="00691399" w:rsidRDefault="00691399" w:rsidP="00C0347C">
            <w:pPr>
              <w:keepNext/>
              <w:spacing w:after="0" w:line="240" w:lineRule="auto"/>
              <w:jc w:val="center"/>
              <w:rPr>
                <w:rFonts w:cs="Arial"/>
                <w:b/>
                <w:bCs/>
                <w:color w:val="FFFFFF"/>
                <w:sz w:val="16"/>
                <w:szCs w:val="16"/>
              </w:rPr>
            </w:pPr>
            <w:r w:rsidRPr="00691399">
              <w:rPr>
                <w:rFonts w:cs="Arial"/>
                <w:b/>
                <w:bCs/>
                <w:color w:val="FFFFFF" w:themeColor="background1"/>
                <w:sz w:val="16"/>
                <w:szCs w:val="16"/>
              </w:rPr>
              <w:t>podíl ze všech žáků cizí státní příslušnosti</w:t>
            </w:r>
          </w:p>
        </w:tc>
      </w:tr>
      <w:tr w:rsidR="00691399" w:rsidRPr="00691399" w14:paraId="2C7C5D87" w14:textId="77777777" w:rsidTr="00691399">
        <w:trPr>
          <w:trHeight w:val="300"/>
        </w:trPr>
        <w:tc>
          <w:tcPr>
            <w:tcW w:w="1420" w:type="dxa"/>
            <w:tcBorders>
              <w:top w:val="nil"/>
              <w:left w:val="single" w:sz="8" w:space="0" w:color="auto"/>
              <w:bottom w:val="nil"/>
              <w:right w:val="single" w:sz="8" w:space="0" w:color="auto"/>
            </w:tcBorders>
            <w:shd w:val="clear" w:color="auto" w:fill="auto"/>
            <w:vAlign w:val="center"/>
            <w:hideMark/>
          </w:tcPr>
          <w:p w14:paraId="09A4BFDF" w14:textId="77777777" w:rsidR="00691399" w:rsidRPr="00691399" w:rsidRDefault="00691399" w:rsidP="00C0347C">
            <w:pPr>
              <w:keepNext/>
              <w:spacing w:after="0" w:line="240" w:lineRule="auto"/>
              <w:rPr>
                <w:rFonts w:cs="Arial"/>
                <w:color w:val="000000"/>
                <w:sz w:val="16"/>
                <w:szCs w:val="16"/>
              </w:rPr>
            </w:pPr>
            <w:r w:rsidRPr="00691399">
              <w:rPr>
                <w:rFonts w:cs="Arial"/>
                <w:color w:val="000000"/>
                <w:sz w:val="16"/>
                <w:szCs w:val="16"/>
              </w:rPr>
              <w:t>Ukrajina</w:t>
            </w:r>
          </w:p>
        </w:tc>
        <w:tc>
          <w:tcPr>
            <w:tcW w:w="1360" w:type="dxa"/>
            <w:tcBorders>
              <w:top w:val="nil"/>
              <w:left w:val="nil"/>
              <w:bottom w:val="nil"/>
              <w:right w:val="single" w:sz="8" w:space="0" w:color="auto"/>
            </w:tcBorders>
            <w:shd w:val="clear" w:color="auto" w:fill="auto"/>
            <w:vAlign w:val="center"/>
            <w:hideMark/>
          </w:tcPr>
          <w:p w14:paraId="106181D4" w14:textId="77777777" w:rsidR="00691399" w:rsidRPr="00691399" w:rsidRDefault="00691399" w:rsidP="00C0347C">
            <w:pPr>
              <w:keepNext/>
              <w:spacing w:after="0" w:line="240" w:lineRule="auto"/>
              <w:jc w:val="right"/>
              <w:rPr>
                <w:rFonts w:cs="Arial"/>
                <w:color w:val="000000"/>
                <w:sz w:val="16"/>
                <w:szCs w:val="16"/>
              </w:rPr>
            </w:pPr>
            <w:r w:rsidRPr="00691399">
              <w:rPr>
                <w:rFonts w:cs="Arial"/>
                <w:color w:val="000000"/>
                <w:sz w:val="16"/>
                <w:szCs w:val="16"/>
              </w:rPr>
              <w:t>3 112</w:t>
            </w:r>
          </w:p>
        </w:tc>
        <w:tc>
          <w:tcPr>
            <w:tcW w:w="1680" w:type="dxa"/>
            <w:tcBorders>
              <w:top w:val="nil"/>
              <w:left w:val="nil"/>
              <w:bottom w:val="nil"/>
              <w:right w:val="single" w:sz="8" w:space="0" w:color="auto"/>
            </w:tcBorders>
            <w:shd w:val="clear" w:color="auto" w:fill="auto"/>
            <w:noWrap/>
            <w:vAlign w:val="center"/>
            <w:hideMark/>
          </w:tcPr>
          <w:p w14:paraId="07BE5981" w14:textId="77777777" w:rsidR="00691399" w:rsidRPr="00691399" w:rsidRDefault="00691399" w:rsidP="00C0347C">
            <w:pPr>
              <w:keepNext/>
              <w:spacing w:after="0" w:line="240" w:lineRule="auto"/>
              <w:jc w:val="right"/>
              <w:rPr>
                <w:rFonts w:cs="Arial"/>
                <w:color w:val="000000"/>
                <w:sz w:val="16"/>
                <w:szCs w:val="16"/>
              </w:rPr>
            </w:pPr>
            <w:r w:rsidRPr="00691399">
              <w:rPr>
                <w:rFonts w:cs="Arial"/>
                <w:color w:val="000000"/>
                <w:sz w:val="16"/>
                <w:szCs w:val="16"/>
              </w:rPr>
              <w:t>31,0%</w:t>
            </w:r>
          </w:p>
        </w:tc>
      </w:tr>
      <w:tr w:rsidR="00691399" w:rsidRPr="00691399" w14:paraId="0A5B2E37" w14:textId="77777777" w:rsidTr="00691399">
        <w:trPr>
          <w:trHeight w:val="300"/>
        </w:trPr>
        <w:tc>
          <w:tcPr>
            <w:tcW w:w="1420" w:type="dxa"/>
            <w:tcBorders>
              <w:top w:val="nil"/>
              <w:left w:val="single" w:sz="8" w:space="0" w:color="auto"/>
              <w:bottom w:val="nil"/>
              <w:right w:val="single" w:sz="8" w:space="0" w:color="auto"/>
            </w:tcBorders>
            <w:shd w:val="clear" w:color="auto" w:fill="auto"/>
            <w:vAlign w:val="center"/>
            <w:hideMark/>
          </w:tcPr>
          <w:p w14:paraId="3A1CD3F4" w14:textId="77777777" w:rsidR="00691399" w:rsidRPr="00691399" w:rsidRDefault="00691399" w:rsidP="00C0347C">
            <w:pPr>
              <w:keepNext/>
              <w:spacing w:after="0" w:line="240" w:lineRule="auto"/>
              <w:rPr>
                <w:rFonts w:cs="Arial"/>
                <w:color w:val="000000"/>
                <w:sz w:val="16"/>
                <w:szCs w:val="16"/>
              </w:rPr>
            </w:pPr>
            <w:r w:rsidRPr="00691399">
              <w:rPr>
                <w:rFonts w:cs="Arial"/>
                <w:color w:val="000000"/>
                <w:sz w:val="16"/>
                <w:szCs w:val="16"/>
              </w:rPr>
              <w:t>Slovensko</w:t>
            </w:r>
          </w:p>
        </w:tc>
        <w:tc>
          <w:tcPr>
            <w:tcW w:w="1360" w:type="dxa"/>
            <w:tcBorders>
              <w:top w:val="nil"/>
              <w:left w:val="nil"/>
              <w:bottom w:val="nil"/>
              <w:right w:val="single" w:sz="8" w:space="0" w:color="auto"/>
            </w:tcBorders>
            <w:shd w:val="clear" w:color="auto" w:fill="auto"/>
            <w:vAlign w:val="center"/>
            <w:hideMark/>
          </w:tcPr>
          <w:p w14:paraId="7EFC19E8" w14:textId="77777777" w:rsidR="00691399" w:rsidRPr="00691399" w:rsidRDefault="00691399" w:rsidP="00C0347C">
            <w:pPr>
              <w:keepNext/>
              <w:spacing w:after="0" w:line="240" w:lineRule="auto"/>
              <w:jc w:val="right"/>
              <w:rPr>
                <w:rFonts w:cs="Arial"/>
                <w:color w:val="000000"/>
                <w:sz w:val="16"/>
                <w:szCs w:val="16"/>
              </w:rPr>
            </w:pPr>
            <w:r w:rsidRPr="00691399">
              <w:rPr>
                <w:rFonts w:cs="Arial"/>
                <w:color w:val="000000"/>
                <w:sz w:val="16"/>
                <w:szCs w:val="16"/>
              </w:rPr>
              <w:t>2 003</w:t>
            </w:r>
          </w:p>
        </w:tc>
        <w:tc>
          <w:tcPr>
            <w:tcW w:w="1680" w:type="dxa"/>
            <w:tcBorders>
              <w:top w:val="nil"/>
              <w:left w:val="nil"/>
              <w:bottom w:val="nil"/>
              <w:right w:val="single" w:sz="8" w:space="0" w:color="auto"/>
            </w:tcBorders>
            <w:shd w:val="clear" w:color="auto" w:fill="auto"/>
            <w:noWrap/>
            <w:vAlign w:val="center"/>
            <w:hideMark/>
          </w:tcPr>
          <w:p w14:paraId="287ACEC5" w14:textId="77777777" w:rsidR="00691399" w:rsidRPr="00691399" w:rsidRDefault="00691399" w:rsidP="00C0347C">
            <w:pPr>
              <w:keepNext/>
              <w:spacing w:after="0" w:line="240" w:lineRule="auto"/>
              <w:jc w:val="right"/>
              <w:rPr>
                <w:rFonts w:cs="Arial"/>
                <w:color w:val="000000"/>
                <w:sz w:val="16"/>
                <w:szCs w:val="16"/>
              </w:rPr>
            </w:pPr>
            <w:r w:rsidRPr="00691399">
              <w:rPr>
                <w:rFonts w:cs="Arial"/>
                <w:color w:val="000000"/>
                <w:sz w:val="16"/>
                <w:szCs w:val="16"/>
              </w:rPr>
              <w:t>19,9%</w:t>
            </w:r>
          </w:p>
        </w:tc>
      </w:tr>
      <w:tr w:rsidR="00691399" w:rsidRPr="00691399" w14:paraId="6BF6FD2E" w14:textId="77777777" w:rsidTr="00691399">
        <w:trPr>
          <w:trHeight w:val="300"/>
        </w:trPr>
        <w:tc>
          <w:tcPr>
            <w:tcW w:w="1420" w:type="dxa"/>
            <w:tcBorders>
              <w:top w:val="nil"/>
              <w:left w:val="single" w:sz="8" w:space="0" w:color="auto"/>
              <w:bottom w:val="nil"/>
              <w:right w:val="single" w:sz="8" w:space="0" w:color="auto"/>
            </w:tcBorders>
            <w:shd w:val="clear" w:color="auto" w:fill="auto"/>
            <w:vAlign w:val="center"/>
            <w:hideMark/>
          </w:tcPr>
          <w:p w14:paraId="6708B4DE" w14:textId="77777777" w:rsidR="00691399" w:rsidRPr="00691399" w:rsidRDefault="00691399" w:rsidP="00C0347C">
            <w:pPr>
              <w:keepNext/>
              <w:spacing w:after="0" w:line="240" w:lineRule="auto"/>
              <w:rPr>
                <w:rFonts w:cs="Arial"/>
                <w:color w:val="000000"/>
                <w:sz w:val="16"/>
                <w:szCs w:val="16"/>
              </w:rPr>
            </w:pPr>
            <w:r w:rsidRPr="00691399">
              <w:rPr>
                <w:rFonts w:cs="Arial"/>
                <w:color w:val="000000"/>
                <w:sz w:val="16"/>
                <w:szCs w:val="16"/>
              </w:rPr>
              <w:t>Vietnam</w:t>
            </w:r>
          </w:p>
        </w:tc>
        <w:tc>
          <w:tcPr>
            <w:tcW w:w="1360" w:type="dxa"/>
            <w:tcBorders>
              <w:top w:val="nil"/>
              <w:left w:val="nil"/>
              <w:bottom w:val="nil"/>
              <w:right w:val="single" w:sz="8" w:space="0" w:color="auto"/>
            </w:tcBorders>
            <w:shd w:val="clear" w:color="auto" w:fill="auto"/>
            <w:vAlign w:val="center"/>
            <w:hideMark/>
          </w:tcPr>
          <w:p w14:paraId="540F8E07" w14:textId="77777777" w:rsidR="00691399" w:rsidRPr="00691399" w:rsidRDefault="00691399" w:rsidP="00C0347C">
            <w:pPr>
              <w:keepNext/>
              <w:spacing w:after="0" w:line="240" w:lineRule="auto"/>
              <w:jc w:val="right"/>
              <w:rPr>
                <w:rFonts w:cs="Arial"/>
                <w:color w:val="000000"/>
                <w:sz w:val="16"/>
                <w:szCs w:val="16"/>
              </w:rPr>
            </w:pPr>
            <w:r w:rsidRPr="00691399">
              <w:rPr>
                <w:rFonts w:cs="Arial"/>
                <w:color w:val="000000"/>
                <w:sz w:val="16"/>
                <w:szCs w:val="16"/>
              </w:rPr>
              <w:t>1 836</w:t>
            </w:r>
          </w:p>
        </w:tc>
        <w:tc>
          <w:tcPr>
            <w:tcW w:w="1680" w:type="dxa"/>
            <w:tcBorders>
              <w:top w:val="nil"/>
              <w:left w:val="nil"/>
              <w:bottom w:val="nil"/>
              <w:right w:val="single" w:sz="8" w:space="0" w:color="auto"/>
            </w:tcBorders>
            <w:shd w:val="clear" w:color="auto" w:fill="auto"/>
            <w:noWrap/>
            <w:vAlign w:val="center"/>
            <w:hideMark/>
          </w:tcPr>
          <w:p w14:paraId="73C8732A" w14:textId="77777777" w:rsidR="00691399" w:rsidRPr="00691399" w:rsidRDefault="00691399" w:rsidP="00C0347C">
            <w:pPr>
              <w:keepNext/>
              <w:spacing w:after="0" w:line="240" w:lineRule="auto"/>
              <w:jc w:val="right"/>
              <w:rPr>
                <w:rFonts w:cs="Arial"/>
                <w:color w:val="000000"/>
                <w:sz w:val="16"/>
                <w:szCs w:val="16"/>
              </w:rPr>
            </w:pPr>
            <w:r w:rsidRPr="00691399">
              <w:rPr>
                <w:rFonts w:cs="Arial"/>
                <w:color w:val="000000"/>
                <w:sz w:val="16"/>
                <w:szCs w:val="16"/>
              </w:rPr>
              <w:t>18,3%</w:t>
            </w:r>
          </w:p>
        </w:tc>
      </w:tr>
      <w:tr w:rsidR="00691399" w:rsidRPr="00691399" w14:paraId="5E5E8834" w14:textId="77777777" w:rsidTr="00691399">
        <w:trPr>
          <w:trHeight w:val="300"/>
        </w:trPr>
        <w:tc>
          <w:tcPr>
            <w:tcW w:w="1420" w:type="dxa"/>
            <w:tcBorders>
              <w:top w:val="nil"/>
              <w:left w:val="single" w:sz="8" w:space="0" w:color="auto"/>
              <w:bottom w:val="nil"/>
              <w:right w:val="single" w:sz="8" w:space="0" w:color="auto"/>
            </w:tcBorders>
            <w:shd w:val="clear" w:color="auto" w:fill="auto"/>
            <w:vAlign w:val="center"/>
            <w:hideMark/>
          </w:tcPr>
          <w:p w14:paraId="7D5BAF57" w14:textId="77777777" w:rsidR="00691399" w:rsidRPr="00691399" w:rsidRDefault="00691399" w:rsidP="00691399">
            <w:pPr>
              <w:spacing w:after="0" w:line="240" w:lineRule="auto"/>
              <w:rPr>
                <w:rFonts w:cs="Arial"/>
                <w:color w:val="000000"/>
                <w:sz w:val="16"/>
                <w:szCs w:val="16"/>
              </w:rPr>
            </w:pPr>
            <w:r w:rsidRPr="00691399">
              <w:rPr>
                <w:rFonts w:cs="Arial"/>
                <w:color w:val="000000"/>
                <w:sz w:val="16"/>
                <w:szCs w:val="16"/>
              </w:rPr>
              <w:t>Rusko</w:t>
            </w:r>
          </w:p>
        </w:tc>
        <w:tc>
          <w:tcPr>
            <w:tcW w:w="1360" w:type="dxa"/>
            <w:tcBorders>
              <w:top w:val="nil"/>
              <w:left w:val="nil"/>
              <w:bottom w:val="nil"/>
              <w:right w:val="single" w:sz="8" w:space="0" w:color="auto"/>
            </w:tcBorders>
            <w:shd w:val="clear" w:color="auto" w:fill="auto"/>
            <w:vAlign w:val="center"/>
            <w:hideMark/>
          </w:tcPr>
          <w:p w14:paraId="41629085"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968</w:t>
            </w:r>
          </w:p>
        </w:tc>
        <w:tc>
          <w:tcPr>
            <w:tcW w:w="1680" w:type="dxa"/>
            <w:tcBorders>
              <w:top w:val="nil"/>
              <w:left w:val="nil"/>
              <w:bottom w:val="nil"/>
              <w:right w:val="single" w:sz="8" w:space="0" w:color="auto"/>
            </w:tcBorders>
            <w:shd w:val="clear" w:color="auto" w:fill="auto"/>
            <w:noWrap/>
            <w:vAlign w:val="center"/>
            <w:hideMark/>
          </w:tcPr>
          <w:p w14:paraId="7D4F1827"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9,6%</w:t>
            </w:r>
          </w:p>
        </w:tc>
      </w:tr>
      <w:tr w:rsidR="00691399" w:rsidRPr="00691399" w14:paraId="0F211230" w14:textId="77777777" w:rsidTr="00691399">
        <w:trPr>
          <w:trHeight w:val="300"/>
        </w:trPr>
        <w:tc>
          <w:tcPr>
            <w:tcW w:w="1420" w:type="dxa"/>
            <w:tcBorders>
              <w:top w:val="nil"/>
              <w:left w:val="single" w:sz="8" w:space="0" w:color="auto"/>
              <w:bottom w:val="nil"/>
              <w:right w:val="single" w:sz="8" w:space="0" w:color="auto"/>
            </w:tcBorders>
            <w:shd w:val="clear" w:color="auto" w:fill="auto"/>
            <w:vAlign w:val="center"/>
            <w:hideMark/>
          </w:tcPr>
          <w:p w14:paraId="6B9C0C6D" w14:textId="77777777" w:rsidR="00691399" w:rsidRPr="00691399" w:rsidRDefault="00691399" w:rsidP="00691399">
            <w:pPr>
              <w:spacing w:after="0" w:line="240" w:lineRule="auto"/>
              <w:rPr>
                <w:rFonts w:cs="Arial"/>
                <w:color w:val="000000"/>
                <w:sz w:val="16"/>
                <w:szCs w:val="16"/>
              </w:rPr>
            </w:pPr>
            <w:r w:rsidRPr="00691399">
              <w:rPr>
                <w:rFonts w:cs="Arial"/>
                <w:color w:val="000000"/>
                <w:sz w:val="16"/>
                <w:szCs w:val="16"/>
              </w:rPr>
              <w:t>Mongolsko</w:t>
            </w:r>
          </w:p>
        </w:tc>
        <w:tc>
          <w:tcPr>
            <w:tcW w:w="1360" w:type="dxa"/>
            <w:tcBorders>
              <w:top w:val="nil"/>
              <w:left w:val="nil"/>
              <w:bottom w:val="nil"/>
              <w:right w:val="single" w:sz="8" w:space="0" w:color="auto"/>
            </w:tcBorders>
            <w:shd w:val="clear" w:color="auto" w:fill="auto"/>
            <w:vAlign w:val="center"/>
            <w:hideMark/>
          </w:tcPr>
          <w:p w14:paraId="5C95B41F"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194</w:t>
            </w:r>
          </w:p>
        </w:tc>
        <w:tc>
          <w:tcPr>
            <w:tcW w:w="1680" w:type="dxa"/>
            <w:tcBorders>
              <w:top w:val="nil"/>
              <w:left w:val="nil"/>
              <w:bottom w:val="nil"/>
              <w:right w:val="single" w:sz="8" w:space="0" w:color="auto"/>
            </w:tcBorders>
            <w:shd w:val="clear" w:color="auto" w:fill="auto"/>
            <w:noWrap/>
            <w:vAlign w:val="center"/>
            <w:hideMark/>
          </w:tcPr>
          <w:p w14:paraId="762BF348"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1,9%</w:t>
            </w:r>
          </w:p>
        </w:tc>
      </w:tr>
      <w:tr w:rsidR="00691399" w:rsidRPr="00691399" w14:paraId="11517747" w14:textId="77777777" w:rsidTr="00691399">
        <w:trPr>
          <w:trHeight w:val="300"/>
        </w:trPr>
        <w:tc>
          <w:tcPr>
            <w:tcW w:w="1420" w:type="dxa"/>
            <w:tcBorders>
              <w:top w:val="nil"/>
              <w:left w:val="single" w:sz="8" w:space="0" w:color="auto"/>
              <w:bottom w:val="nil"/>
              <w:right w:val="single" w:sz="8" w:space="0" w:color="auto"/>
            </w:tcBorders>
            <w:shd w:val="clear" w:color="auto" w:fill="auto"/>
            <w:vAlign w:val="center"/>
            <w:hideMark/>
          </w:tcPr>
          <w:p w14:paraId="02C366D3" w14:textId="77777777" w:rsidR="00691399" w:rsidRPr="00691399" w:rsidRDefault="00691399" w:rsidP="00691399">
            <w:pPr>
              <w:spacing w:after="0" w:line="240" w:lineRule="auto"/>
              <w:rPr>
                <w:rFonts w:cs="Arial"/>
                <w:color w:val="000000"/>
                <w:sz w:val="16"/>
                <w:szCs w:val="16"/>
              </w:rPr>
            </w:pPr>
            <w:r w:rsidRPr="00691399">
              <w:rPr>
                <w:rFonts w:cs="Arial"/>
                <w:color w:val="000000"/>
                <w:sz w:val="16"/>
                <w:szCs w:val="16"/>
              </w:rPr>
              <w:t>Bulharsko</w:t>
            </w:r>
          </w:p>
        </w:tc>
        <w:tc>
          <w:tcPr>
            <w:tcW w:w="1360" w:type="dxa"/>
            <w:tcBorders>
              <w:top w:val="nil"/>
              <w:left w:val="nil"/>
              <w:bottom w:val="nil"/>
              <w:right w:val="single" w:sz="8" w:space="0" w:color="auto"/>
            </w:tcBorders>
            <w:shd w:val="clear" w:color="auto" w:fill="auto"/>
            <w:vAlign w:val="center"/>
            <w:hideMark/>
          </w:tcPr>
          <w:p w14:paraId="1D4C66A6"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188</w:t>
            </w:r>
          </w:p>
        </w:tc>
        <w:tc>
          <w:tcPr>
            <w:tcW w:w="1680" w:type="dxa"/>
            <w:tcBorders>
              <w:top w:val="nil"/>
              <w:left w:val="nil"/>
              <w:bottom w:val="nil"/>
              <w:right w:val="single" w:sz="8" w:space="0" w:color="auto"/>
            </w:tcBorders>
            <w:shd w:val="clear" w:color="auto" w:fill="auto"/>
            <w:noWrap/>
            <w:vAlign w:val="center"/>
            <w:hideMark/>
          </w:tcPr>
          <w:p w14:paraId="170AB86A"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1,9%</w:t>
            </w:r>
          </w:p>
        </w:tc>
      </w:tr>
      <w:tr w:rsidR="00691399" w:rsidRPr="00691399" w14:paraId="1A7AAF23" w14:textId="77777777" w:rsidTr="00691399">
        <w:trPr>
          <w:trHeight w:val="300"/>
        </w:trPr>
        <w:tc>
          <w:tcPr>
            <w:tcW w:w="1420" w:type="dxa"/>
            <w:tcBorders>
              <w:top w:val="nil"/>
              <w:left w:val="single" w:sz="8" w:space="0" w:color="auto"/>
              <w:bottom w:val="nil"/>
              <w:right w:val="single" w:sz="8" w:space="0" w:color="auto"/>
            </w:tcBorders>
            <w:shd w:val="clear" w:color="auto" w:fill="auto"/>
            <w:vAlign w:val="center"/>
            <w:hideMark/>
          </w:tcPr>
          <w:p w14:paraId="7D599E2E" w14:textId="77777777" w:rsidR="00691399" w:rsidRPr="00691399" w:rsidRDefault="00691399" w:rsidP="00691399">
            <w:pPr>
              <w:spacing w:after="0" w:line="240" w:lineRule="auto"/>
              <w:rPr>
                <w:rFonts w:cs="Arial"/>
                <w:color w:val="000000"/>
                <w:sz w:val="16"/>
                <w:szCs w:val="16"/>
              </w:rPr>
            </w:pPr>
            <w:r w:rsidRPr="00691399">
              <w:rPr>
                <w:rFonts w:cs="Arial"/>
                <w:color w:val="000000"/>
                <w:sz w:val="16"/>
                <w:szCs w:val="16"/>
              </w:rPr>
              <w:t>Moldavsko</w:t>
            </w:r>
          </w:p>
        </w:tc>
        <w:tc>
          <w:tcPr>
            <w:tcW w:w="1360" w:type="dxa"/>
            <w:tcBorders>
              <w:top w:val="nil"/>
              <w:left w:val="nil"/>
              <w:bottom w:val="nil"/>
              <w:right w:val="single" w:sz="8" w:space="0" w:color="auto"/>
            </w:tcBorders>
            <w:shd w:val="clear" w:color="auto" w:fill="auto"/>
            <w:vAlign w:val="center"/>
            <w:hideMark/>
          </w:tcPr>
          <w:p w14:paraId="72163E2C"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163</w:t>
            </w:r>
          </w:p>
        </w:tc>
        <w:tc>
          <w:tcPr>
            <w:tcW w:w="1680" w:type="dxa"/>
            <w:tcBorders>
              <w:top w:val="nil"/>
              <w:left w:val="nil"/>
              <w:bottom w:val="nil"/>
              <w:right w:val="single" w:sz="8" w:space="0" w:color="auto"/>
            </w:tcBorders>
            <w:shd w:val="clear" w:color="auto" w:fill="auto"/>
            <w:noWrap/>
            <w:vAlign w:val="center"/>
            <w:hideMark/>
          </w:tcPr>
          <w:p w14:paraId="5A5C1ABD"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1,6%</w:t>
            </w:r>
          </w:p>
        </w:tc>
      </w:tr>
      <w:tr w:rsidR="00691399" w:rsidRPr="00691399" w14:paraId="63B2D8FC" w14:textId="77777777" w:rsidTr="00691399">
        <w:trPr>
          <w:trHeight w:val="300"/>
        </w:trPr>
        <w:tc>
          <w:tcPr>
            <w:tcW w:w="1420" w:type="dxa"/>
            <w:tcBorders>
              <w:top w:val="nil"/>
              <w:left w:val="single" w:sz="8" w:space="0" w:color="auto"/>
              <w:bottom w:val="nil"/>
              <w:right w:val="single" w:sz="8" w:space="0" w:color="auto"/>
            </w:tcBorders>
            <w:shd w:val="clear" w:color="auto" w:fill="auto"/>
            <w:vAlign w:val="center"/>
            <w:hideMark/>
          </w:tcPr>
          <w:p w14:paraId="6F9D8975" w14:textId="77777777" w:rsidR="00691399" w:rsidRPr="00691399" w:rsidRDefault="00691399" w:rsidP="00691399">
            <w:pPr>
              <w:spacing w:after="0" w:line="240" w:lineRule="auto"/>
              <w:rPr>
                <w:rFonts w:cs="Arial"/>
                <w:color w:val="000000"/>
                <w:sz w:val="16"/>
                <w:szCs w:val="16"/>
              </w:rPr>
            </w:pPr>
            <w:r w:rsidRPr="00691399">
              <w:rPr>
                <w:rFonts w:cs="Arial"/>
                <w:color w:val="000000"/>
                <w:sz w:val="16"/>
                <w:szCs w:val="16"/>
              </w:rPr>
              <w:t>Rumunsko</w:t>
            </w:r>
          </w:p>
        </w:tc>
        <w:tc>
          <w:tcPr>
            <w:tcW w:w="1360" w:type="dxa"/>
            <w:tcBorders>
              <w:top w:val="nil"/>
              <w:left w:val="nil"/>
              <w:bottom w:val="nil"/>
              <w:right w:val="single" w:sz="8" w:space="0" w:color="auto"/>
            </w:tcBorders>
            <w:shd w:val="clear" w:color="auto" w:fill="auto"/>
            <w:vAlign w:val="center"/>
            <w:hideMark/>
          </w:tcPr>
          <w:p w14:paraId="09AF531B"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153</w:t>
            </w:r>
          </w:p>
        </w:tc>
        <w:tc>
          <w:tcPr>
            <w:tcW w:w="1680" w:type="dxa"/>
            <w:tcBorders>
              <w:top w:val="nil"/>
              <w:left w:val="nil"/>
              <w:bottom w:val="nil"/>
              <w:right w:val="single" w:sz="8" w:space="0" w:color="auto"/>
            </w:tcBorders>
            <w:shd w:val="clear" w:color="auto" w:fill="auto"/>
            <w:noWrap/>
            <w:vAlign w:val="center"/>
            <w:hideMark/>
          </w:tcPr>
          <w:p w14:paraId="2613E131"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1,5%</w:t>
            </w:r>
          </w:p>
        </w:tc>
      </w:tr>
      <w:tr w:rsidR="00691399" w:rsidRPr="00691399" w14:paraId="0E59FD07" w14:textId="77777777" w:rsidTr="00691399">
        <w:trPr>
          <w:trHeight w:val="300"/>
        </w:trPr>
        <w:tc>
          <w:tcPr>
            <w:tcW w:w="1420" w:type="dxa"/>
            <w:tcBorders>
              <w:top w:val="nil"/>
              <w:left w:val="single" w:sz="8" w:space="0" w:color="auto"/>
              <w:bottom w:val="nil"/>
              <w:right w:val="single" w:sz="8" w:space="0" w:color="auto"/>
            </w:tcBorders>
            <w:shd w:val="clear" w:color="auto" w:fill="auto"/>
            <w:vAlign w:val="center"/>
            <w:hideMark/>
          </w:tcPr>
          <w:p w14:paraId="5F3B20A0" w14:textId="77777777" w:rsidR="00691399" w:rsidRPr="00691399" w:rsidRDefault="00691399" w:rsidP="00691399">
            <w:pPr>
              <w:spacing w:after="0" w:line="240" w:lineRule="auto"/>
              <w:rPr>
                <w:rFonts w:cs="Arial"/>
                <w:color w:val="000000"/>
                <w:sz w:val="16"/>
                <w:szCs w:val="16"/>
              </w:rPr>
            </w:pPr>
            <w:r w:rsidRPr="00691399">
              <w:rPr>
                <w:rFonts w:cs="Arial"/>
                <w:color w:val="000000"/>
                <w:sz w:val="16"/>
                <w:szCs w:val="16"/>
              </w:rPr>
              <w:t>Kazachstán</w:t>
            </w:r>
          </w:p>
        </w:tc>
        <w:tc>
          <w:tcPr>
            <w:tcW w:w="1360" w:type="dxa"/>
            <w:tcBorders>
              <w:top w:val="nil"/>
              <w:left w:val="nil"/>
              <w:bottom w:val="nil"/>
              <w:right w:val="single" w:sz="8" w:space="0" w:color="auto"/>
            </w:tcBorders>
            <w:shd w:val="clear" w:color="auto" w:fill="auto"/>
            <w:vAlign w:val="center"/>
            <w:hideMark/>
          </w:tcPr>
          <w:p w14:paraId="7A5F753C"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148</w:t>
            </w:r>
          </w:p>
        </w:tc>
        <w:tc>
          <w:tcPr>
            <w:tcW w:w="1680" w:type="dxa"/>
            <w:tcBorders>
              <w:top w:val="nil"/>
              <w:left w:val="nil"/>
              <w:bottom w:val="nil"/>
              <w:right w:val="single" w:sz="8" w:space="0" w:color="auto"/>
            </w:tcBorders>
            <w:shd w:val="clear" w:color="auto" w:fill="auto"/>
            <w:noWrap/>
            <w:vAlign w:val="center"/>
            <w:hideMark/>
          </w:tcPr>
          <w:p w14:paraId="3B217A34"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1,5%</w:t>
            </w:r>
          </w:p>
        </w:tc>
      </w:tr>
      <w:tr w:rsidR="00691399" w:rsidRPr="00691399" w14:paraId="73B2A55C" w14:textId="77777777" w:rsidTr="00691399">
        <w:trPr>
          <w:trHeight w:val="300"/>
        </w:trPr>
        <w:tc>
          <w:tcPr>
            <w:tcW w:w="1420" w:type="dxa"/>
            <w:tcBorders>
              <w:top w:val="nil"/>
              <w:left w:val="single" w:sz="8" w:space="0" w:color="auto"/>
              <w:bottom w:val="nil"/>
              <w:right w:val="single" w:sz="8" w:space="0" w:color="auto"/>
            </w:tcBorders>
            <w:shd w:val="clear" w:color="auto" w:fill="auto"/>
            <w:vAlign w:val="center"/>
            <w:hideMark/>
          </w:tcPr>
          <w:p w14:paraId="2D4CAABE" w14:textId="77777777" w:rsidR="00691399" w:rsidRPr="00691399" w:rsidRDefault="00691399" w:rsidP="00691399">
            <w:pPr>
              <w:spacing w:after="0" w:line="240" w:lineRule="auto"/>
              <w:rPr>
                <w:rFonts w:cs="Arial"/>
                <w:color w:val="000000"/>
                <w:sz w:val="16"/>
                <w:szCs w:val="16"/>
              </w:rPr>
            </w:pPr>
            <w:r w:rsidRPr="00691399">
              <w:rPr>
                <w:rFonts w:cs="Arial"/>
                <w:color w:val="000000"/>
                <w:sz w:val="16"/>
                <w:szCs w:val="16"/>
              </w:rPr>
              <w:t>Polsko</w:t>
            </w:r>
          </w:p>
        </w:tc>
        <w:tc>
          <w:tcPr>
            <w:tcW w:w="1360" w:type="dxa"/>
            <w:tcBorders>
              <w:top w:val="nil"/>
              <w:left w:val="nil"/>
              <w:bottom w:val="nil"/>
              <w:right w:val="single" w:sz="8" w:space="0" w:color="auto"/>
            </w:tcBorders>
            <w:shd w:val="clear" w:color="auto" w:fill="auto"/>
            <w:vAlign w:val="center"/>
            <w:hideMark/>
          </w:tcPr>
          <w:p w14:paraId="713F1383"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125</w:t>
            </w:r>
          </w:p>
        </w:tc>
        <w:tc>
          <w:tcPr>
            <w:tcW w:w="1680" w:type="dxa"/>
            <w:tcBorders>
              <w:top w:val="nil"/>
              <w:left w:val="nil"/>
              <w:bottom w:val="nil"/>
              <w:right w:val="single" w:sz="8" w:space="0" w:color="auto"/>
            </w:tcBorders>
            <w:shd w:val="clear" w:color="auto" w:fill="auto"/>
            <w:noWrap/>
            <w:vAlign w:val="center"/>
            <w:hideMark/>
          </w:tcPr>
          <w:p w14:paraId="1BDC764A"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1,2%</w:t>
            </w:r>
          </w:p>
        </w:tc>
      </w:tr>
      <w:tr w:rsidR="00691399" w:rsidRPr="00691399" w14:paraId="23D7F2D5" w14:textId="77777777" w:rsidTr="00691399">
        <w:trPr>
          <w:trHeight w:val="300"/>
        </w:trPr>
        <w:tc>
          <w:tcPr>
            <w:tcW w:w="1420" w:type="dxa"/>
            <w:tcBorders>
              <w:top w:val="nil"/>
              <w:left w:val="single" w:sz="8" w:space="0" w:color="auto"/>
              <w:bottom w:val="nil"/>
              <w:right w:val="single" w:sz="8" w:space="0" w:color="auto"/>
            </w:tcBorders>
            <w:shd w:val="clear" w:color="auto" w:fill="auto"/>
            <w:vAlign w:val="center"/>
            <w:hideMark/>
          </w:tcPr>
          <w:p w14:paraId="277EA845" w14:textId="77777777" w:rsidR="00691399" w:rsidRPr="00691399" w:rsidRDefault="00691399" w:rsidP="00691399">
            <w:pPr>
              <w:spacing w:after="0" w:line="240" w:lineRule="auto"/>
              <w:rPr>
                <w:rFonts w:cs="Arial"/>
                <w:color w:val="000000"/>
                <w:sz w:val="16"/>
                <w:szCs w:val="16"/>
              </w:rPr>
            </w:pPr>
            <w:r w:rsidRPr="00691399">
              <w:rPr>
                <w:rFonts w:cs="Arial"/>
                <w:color w:val="000000"/>
                <w:sz w:val="16"/>
                <w:szCs w:val="16"/>
              </w:rPr>
              <w:t>Maďarsko</w:t>
            </w:r>
          </w:p>
        </w:tc>
        <w:tc>
          <w:tcPr>
            <w:tcW w:w="1360" w:type="dxa"/>
            <w:tcBorders>
              <w:top w:val="nil"/>
              <w:left w:val="nil"/>
              <w:bottom w:val="nil"/>
              <w:right w:val="single" w:sz="8" w:space="0" w:color="auto"/>
            </w:tcBorders>
            <w:shd w:val="clear" w:color="auto" w:fill="auto"/>
            <w:vAlign w:val="center"/>
            <w:hideMark/>
          </w:tcPr>
          <w:p w14:paraId="410A1DA2"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121</w:t>
            </w:r>
          </w:p>
        </w:tc>
        <w:tc>
          <w:tcPr>
            <w:tcW w:w="1680" w:type="dxa"/>
            <w:tcBorders>
              <w:top w:val="nil"/>
              <w:left w:val="nil"/>
              <w:bottom w:val="nil"/>
              <w:right w:val="single" w:sz="8" w:space="0" w:color="auto"/>
            </w:tcBorders>
            <w:shd w:val="clear" w:color="auto" w:fill="auto"/>
            <w:noWrap/>
            <w:vAlign w:val="center"/>
            <w:hideMark/>
          </w:tcPr>
          <w:p w14:paraId="3C1F9D07"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1,2%</w:t>
            </w:r>
          </w:p>
        </w:tc>
      </w:tr>
      <w:tr w:rsidR="00691399" w:rsidRPr="00691399" w14:paraId="4315DEAE" w14:textId="77777777" w:rsidTr="00691399">
        <w:trPr>
          <w:trHeight w:val="315"/>
        </w:trPr>
        <w:tc>
          <w:tcPr>
            <w:tcW w:w="1420" w:type="dxa"/>
            <w:tcBorders>
              <w:top w:val="nil"/>
              <w:left w:val="single" w:sz="8" w:space="0" w:color="auto"/>
              <w:bottom w:val="single" w:sz="8" w:space="0" w:color="auto"/>
              <w:right w:val="single" w:sz="8" w:space="0" w:color="auto"/>
            </w:tcBorders>
            <w:shd w:val="clear" w:color="auto" w:fill="auto"/>
            <w:vAlign w:val="center"/>
            <w:hideMark/>
          </w:tcPr>
          <w:p w14:paraId="2E8B8E53" w14:textId="77777777" w:rsidR="00691399" w:rsidRPr="00691399" w:rsidRDefault="00691399" w:rsidP="00691399">
            <w:pPr>
              <w:spacing w:after="0" w:line="240" w:lineRule="auto"/>
              <w:rPr>
                <w:rFonts w:cs="Arial"/>
                <w:color w:val="000000"/>
                <w:sz w:val="16"/>
                <w:szCs w:val="16"/>
              </w:rPr>
            </w:pPr>
            <w:r w:rsidRPr="00691399">
              <w:rPr>
                <w:rFonts w:cs="Arial"/>
                <w:color w:val="000000"/>
                <w:sz w:val="16"/>
                <w:szCs w:val="16"/>
              </w:rPr>
              <w:t>Čína</w:t>
            </w:r>
          </w:p>
        </w:tc>
        <w:tc>
          <w:tcPr>
            <w:tcW w:w="1360" w:type="dxa"/>
            <w:tcBorders>
              <w:top w:val="nil"/>
              <w:left w:val="nil"/>
              <w:bottom w:val="single" w:sz="8" w:space="0" w:color="auto"/>
              <w:right w:val="single" w:sz="8" w:space="0" w:color="auto"/>
            </w:tcBorders>
            <w:shd w:val="clear" w:color="auto" w:fill="auto"/>
            <w:vAlign w:val="center"/>
            <w:hideMark/>
          </w:tcPr>
          <w:p w14:paraId="3ADFE1CA"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114</w:t>
            </w:r>
          </w:p>
        </w:tc>
        <w:tc>
          <w:tcPr>
            <w:tcW w:w="1680" w:type="dxa"/>
            <w:tcBorders>
              <w:top w:val="nil"/>
              <w:left w:val="nil"/>
              <w:bottom w:val="single" w:sz="8" w:space="0" w:color="auto"/>
              <w:right w:val="single" w:sz="8" w:space="0" w:color="auto"/>
            </w:tcBorders>
            <w:shd w:val="clear" w:color="auto" w:fill="auto"/>
            <w:noWrap/>
            <w:vAlign w:val="center"/>
            <w:hideMark/>
          </w:tcPr>
          <w:p w14:paraId="39E5E1D8" w14:textId="77777777" w:rsidR="00691399" w:rsidRPr="00691399" w:rsidRDefault="00691399" w:rsidP="00691399">
            <w:pPr>
              <w:spacing w:after="0" w:line="240" w:lineRule="auto"/>
              <w:jc w:val="right"/>
              <w:rPr>
                <w:rFonts w:cs="Arial"/>
                <w:color w:val="000000"/>
                <w:sz w:val="16"/>
                <w:szCs w:val="16"/>
              </w:rPr>
            </w:pPr>
            <w:r w:rsidRPr="00691399">
              <w:rPr>
                <w:rFonts w:cs="Arial"/>
                <w:color w:val="000000"/>
                <w:sz w:val="16"/>
                <w:szCs w:val="16"/>
              </w:rPr>
              <w:t>1,1%</w:t>
            </w:r>
          </w:p>
        </w:tc>
      </w:tr>
    </w:tbl>
    <w:p w14:paraId="50F84867" w14:textId="15594D06" w:rsidR="00FA7769" w:rsidRDefault="00691399" w:rsidP="00691399">
      <w:pPr>
        <w:spacing w:before="120" w:after="120"/>
        <w:jc w:val="both"/>
        <w:rPr>
          <w:rFonts w:cs="Arial"/>
          <w:sz w:val="18"/>
        </w:rPr>
      </w:pPr>
      <w:r>
        <w:rPr>
          <w:b/>
        </w:rPr>
        <w:t xml:space="preserve">                                     </w:t>
      </w:r>
      <w:r w:rsidR="00FA7769" w:rsidRPr="00F94849">
        <w:rPr>
          <w:rFonts w:cs="Arial"/>
          <w:sz w:val="18"/>
        </w:rPr>
        <w:t>Zdroj: ČSÚ</w:t>
      </w:r>
      <w:r w:rsidR="00FA7769" w:rsidRPr="00F94849">
        <w:rPr>
          <w:rFonts w:cs="Arial"/>
          <w:noProof/>
        </w:rPr>
        <w:t xml:space="preserve"> </w:t>
      </w:r>
      <w:r w:rsidR="00FA7769" w:rsidRPr="00307699">
        <w:rPr>
          <w:rFonts w:cs="Arial"/>
          <w:sz w:val="18"/>
        </w:rPr>
        <w:t>podle údajů MŠMT</w:t>
      </w:r>
    </w:p>
    <w:p w14:paraId="5FFE71C8" w14:textId="77777777" w:rsidR="00FA7769" w:rsidRDefault="00FA7769" w:rsidP="00FA7769">
      <w:pPr>
        <w:keepNext/>
        <w:spacing w:after="120" w:line="240" w:lineRule="auto"/>
        <w:jc w:val="both"/>
        <w:rPr>
          <w:sz w:val="18"/>
          <w:szCs w:val="18"/>
        </w:rPr>
      </w:pPr>
    </w:p>
    <w:p w14:paraId="393F2F55" w14:textId="77777777" w:rsidR="00FA7769" w:rsidRPr="00D01DAC" w:rsidRDefault="00FA7769" w:rsidP="00386026">
      <w:pPr>
        <w:pStyle w:val="Nadpis1"/>
      </w:pPr>
      <w:bookmarkStart w:id="25" w:name="_Toc112069089"/>
      <w:r w:rsidRPr="0009074B">
        <w:t>4. Konzervatoře</w:t>
      </w:r>
      <w:bookmarkEnd w:id="25"/>
    </w:p>
    <w:p w14:paraId="4807A9DE" w14:textId="77777777" w:rsidR="00FA7769" w:rsidRPr="001D1AB1" w:rsidRDefault="00FA7769" w:rsidP="00FA7769">
      <w:pPr>
        <w:tabs>
          <w:tab w:val="left" w:pos="0"/>
          <w:tab w:val="left" w:pos="540"/>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120"/>
        <w:jc w:val="both"/>
      </w:pPr>
      <w:r w:rsidRPr="001D1AB1">
        <w:t xml:space="preserve">Jak již bylo v kapitole o středních školách zmíněno, konzervatoře jsou školy, kde se uskutečňuje jak střední vzdělávání s maturitní zkouškou, tak i vyšší odborné vzdělávání. Střední vzdělání s maturitní zkouškou lze získat nejdříve po čtyřech letech v denní formě šestiletého vzdělávacího programu (určeného pro absolventy základních škol), nebo po osmi letech v denní formě vzdělávání v osmiletém vzdělávacím programu v oboru tanec (určeném pro žáky po ukončeném 5. ročníku základních škol, kteří v prvních čtyřech ročnících konzervatoře plní povinnou školní docházku). Pokud žák absolvuje všechny ročníky konzervatoře a vykoná závěrečné absolutorium, získává vyšší odborné vzdělání v konzervatoři a je mu přiznán titul diplomovaný specialista (DiS.). </w:t>
      </w:r>
    </w:p>
    <w:p w14:paraId="1422F2FB" w14:textId="797D0BE2" w:rsidR="00D96D3A" w:rsidRDefault="00FA7769" w:rsidP="00FA7769">
      <w:pPr>
        <w:spacing w:after="120"/>
        <w:jc w:val="both"/>
      </w:pPr>
      <w:r w:rsidRPr="001D1AB1">
        <w:t>V konzer</w:t>
      </w:r>
      <w:r w:rsidR="0042049A">
        <w:t>vatořích se ve školním roce 2021/22</w:t>
      </w:r>
      <w:r w:rsidRPr="001D1AB1">
        <w:t xml:space="preserve"> vzdělávalo celkem 3 </w:t>
      </w:r>
      <w:r w:rsidR="0042049A">
        <w:t>880</w:t>
      </w:r>
      <w:r w:rsidRPr="001D1AB1">
        <w:t xml:space="preserve"> </w:t>
      </w:r>
      <w:r w:rsidRPr="001D1AB1">
        <w:rPr>
          <w:b/>
        </w:rPr>
        <w:t>žáků</w:t>
      </w:r>
      <w:r w:rsidRPr="001D1AB1">
        <w:t>, a sice na 18 škol</w:t>
      </w:r>
      <w:r w:rsidR="00A019D7">
        <w:t>ách</w:t>
      </w:r>
      <w:r w:rsidR="00BF4B10">
        <w:rPr>
          <w:rStyle w:val="Znakapoznpodarou"/>
        </w:rPr>
        <w:footnoteReference w:id="48"/>
      </w:r>
      <w:r w:rsidR="00A019D7">
        <w:t>. Téměř čtyři</w:t>
      </w:r>
      <w:r w:rsidRPr="001D1AB1">
        <w:t xml:space="preserve"> pětiny</w:t>
      </w:r>
      <w:r w:rsidR="00843E2C">
        <w:t xml:space="preserve"> žáků</w:t>
      </w:r>
      <w:r w:rsidRPr="001D1AB1">
        <w:t xml:space="preserve"> se vzdělávaly ve ško</w:t>
      </w:r>
      <w:r w:rsidR="0037628A">
        <w:t>lách veřejného zřizovatele (</w:t>
      </w:r>
      <w:r w:rsidR="0042049A">
        <w:t>3</w:t>
      </w:r>
      <w:r w:rsidR="00F8241E">
        <w:t> </w:t>
      </w:r>
      <w:r w:rsidR="0042049A">
        <w:t xml:space="preserve">079, tj. </w:t>
      </w:r>
      <w:r w:rsidR="0037628A">
        <w:t>79,</w:t>
      </w:r>
      <w:r w:rsidR="0042049A">
        <w:t>4</w:t>
      </w:r>
      <w:r w:rsidRPr="001D1AB1">
        <w:t> %), zb</w:t>
      </w:r>
      <w:r w:rsidR="0042049A">
        <w:t>ytek ve školách soukromých (559, tj. 14,4</w:t>
      </w:r>
      <w:r w:rsidR="0037628A">
        <w:t> %) a církevních (</w:t>
      </w:r>
      <w:r w:rsidR="0042049A">
        <w:t xml:space="preserve">242, tj. </w:t>
      </w:r>
      <w:r w:rsidR="0037628A">
        <w:t>6,2</w:t>
      </w:r>
      <w:r w:rsidRPr="001D1AB1">
        <w:t> %) - viz t</w:t>
      </w:r>
      <w:r>
        <w:t>abulku</w:t>
      </w:r>
      <w:r w:rsidRPr="001D1AB1">
        <w:t xml:space="preserve"> </w:t>
      </w:r>
      <w:r>
        <w:t>4.1</w:t>
      </w:r>
      <w:r w:rsidRPr="001D1AB1">
        <w:t xml:space="preserve">.  </w:t>
      </w:r>
      <w:r w:rsidR="00D96D3A">
        <w:t>C</w:t>
      </w:r>
      <w:r w:rsidR="0042049A">
        <w:t>elkem 3</w:t>
      </w:r>
      <w:r w:rsidR="000031F2">
        <w:t> </w:t>
      </w:r>
      <w:r w:rsidR="0042049A">
        <w:t xml:space="preserve">281 žáků (tj. </w:t>
      </w:r>
      <w:r w:rsidR="00843E2C">
        <w:t>84,6</w:t>
      </w:r>
      <w:r w:rsidRPr="001D1AB1">
        <w:t> %</w:t>
      </w:r>
      <w:r w:rsidR="0042049A">
        <w:t>)</w:t>
      </w:r>
      <w:r w:rsidRPr="001D1AB1">
        <w:t xml:space="preserve"> </w:t>
      </w:r>
      <w:r w:rsidR="00D96D3A">
        <w:t xml:space="preserve">se pak </w:t>
      </w:r>
      <w:r w:rsidRPr="001D1AB1">
        <w:t>vzděl</w:t>
      </w:r>
      <w:r w:rsidR="00843E2C">
        <w:t xml:space="preserve">ávalo v šestiletém programu a </w:t>
      </w:r>
      <w:r w:rsidR="0042049A">
        <w:t xml:space="preserve">599 žáků (tj. </w:t>
      </w:r>
      <w:r w:rsidR="00843E2C">
        <w:t>15,4</w:t>
      </w:r>
      <w:r w:rsidRPr="001D1AB1">
        <w:t> %</w:t>
      </w:r>
      <w:r w:rsidR="0042049A">
        <w:t>)</w:t>
      </w:r>
      <w:r w:rsidRPr="001D1AB1">
        <w:t xml:space="preserve"> v programu osmiletém.</w:t>
      </w:r>
    </w:p>
    <w:p w14:paraId="75A5D906" w14:textId="65564CAC" w:rsidR="00D96D3A" w:rsidRDefault="00D96D3A" w:rsidP="00D96D3A">
      <w:pPr>
        <w:keepNext/>
        <w:spacing w:after="120" w:line="240" w:lineRule="auto"/>
        <w:rPr>
          <w:b/>
        </w:rPr>
      </w:pPr>
      <w:r w:rsidRPr="000B58F9">
        <w:rPr>
          <w:b/>
        </w:rPr>
        <w:t>T</w:t>
      </w:r>
      <w:r>
        <w:rPr>
          <w:b/>
        </w:rPr>
        <w:t>ab. 4</w:t>
      </w:r>
      <w:r w:rsidRPr="000B58F9">
        <w:rPr>
          <w:b/>
        </w:rPr>
        <w:t>.1</w:t>
      </w:r>
      <w:r w:rsidRPr="000B58F9">
        <w:t xml:space="preserve"> </w:t>
      </w:r>
      <w:r w:rsidR="00F8241E">
        <w:rPr>
          <w:b/>
        </w:rPr>
        <w:t xml:space="preserve">Konzervatoře </w:t>
      </w:r>
      <w:r w:rsidRPr="000B58F9">
        <w:rPr>
          <w:b/>
        </w:rPr>
        <w:t>- počet škol, žáků a učitelů celk</w:t>
      </w:r>
      <w:r>
        <w:rPr>
          <w:b/>
        </w:rPr>
        <w:t>em a dle zřizovatele školy (2021/22</w:t>
      </w:r>
      <w:r w:rsidRPr="000B58F9">
        <w:rPr>
          <w:b/>
        </w:rPr>
        <w:t>)</w:t>
      </w:r>
    </w:p>
    <w:tbl>
      <w:tblPr>
        <w:tblW w:w="9072" w:type="dxa"/>
        <w:tblCellMar>
          <w:left w:w="70" w:type="dxa"/>
          <w:right w:w="70" w:type="dxa"/>
        </w:tblCellMar>
        <w:tblLook w:val="04A0" w:firstRow="1" w:lastRow="0" w:firstColumn="1" w:lastColumn="0" w:noHBand="0" w:noVBand="1"/>
      </w:tblPr>
      <w:tblGrid>
        <w:gridCol w:w="2410"/>
        <w:gridCol w:w="750"/>
        <w:gridCol w:w="101"/>
        <w:gridCol w:w="992"/>
        <w:gridCol w:w="850"/>
        <w:gridCol w:w="1134"/>
        <w:gridCol w:w="1083"/>
        <w:gridCol w:w="902"/>
        <w:gridCol w:w="850"/>
      </w:tblGrid>
      <w:tr w:rsidR="00D96D3A" w:rsidRPr="002B7648" w14:paraId="2CFDF6B4" w14:textId="77777777" w:rsidTr="000031F2">
        <w:trPr>
          <w:trHeight w:val="300"/>
        </w:trPr>
        <w:tc>
          <w:tcPr>
            <w:tcW w:w="2410" w:type="dxa"/>
            <w:vMerge w:val="restart"/>
            <w:tcBorders>
              <w:top w:val="single" w:sz="4" w:space="0" w:color="auto"/>
              <w:left w:val="single" w:sz="4" w:space="0" w:color="auto"/>
              <w:bottom w:val="single" w:sz="4" w:space="0" w:color="000000"/>
              <w:right w:val="single" w:sz="8" w:space="0" w:color="auto"/>
            </w:tcBorders>
            <w:shd w:val="clear" w:color="000000" w:fill="C00000"/>
            <w:noWrap/>
            <w:vAlign w:val="center"/>
            <w:hideMark/>
          </w:tcPr>
          <w:p w14:paraId="7683C4AC" w14:textId="77777777" w:rsidR="00D96D3A" w:rsidRPr="002B7648" w:rsidRDefault="00D96D3A" w:rsidP="00D96D3A">
            <w:pPr>
              <w:keepNext/>
              <w:spacing w:after="0" w:line="240" w:lineRule="auto"/>
              <w:jc w:val="center"/>
              <w:rPr>
                <w:rFonts w:cs="Arial"/>
                <w:b/>
                <w:bCs/>
                <w:color w:val="FFFFFF"/>
                <w:sz w:val="16"/>
                <w:szCs w:val="16"/>
              </w:rPr>
            </w:pPr>
            <w:r w:rsidRPr="002B7648">
              <w:rPr>
                <w:rFonts w:cs="Arial"/>
                <w:b/>
                <w:bCs/>
                <w:color w:val="FFFFFF" w:themeColor="background1"/>
                <w:sz w:val="16"/>
                <w:szCs w:val="16"/>
              </w:rPr>
              <w:t>zřizovatel</w:t>
            </w:r>
          </w:p>
        </w:tc>
        <w:tc>
          <w:tcPr>
            <w:tcW w:w="1843" w:type="dxa"/>
            <w:gridSpan w:val="3"/>
            <w:tcBorders>
              <w:top w:val="single" w:sz="4" w:space="0" w:color="auto"/>
              <w:left w:val="nil"/>
              <w:bottom w:val="nil"/>
              <w:right w:val="single" w:sz="8" w:space="0" w:color="000000"/>
            </w:tcBorders>
            <w:shd w:val="clear" w:color="000000" w:fill="C00000"/>
            <w:noWrap/>
            <w:vAlign w:val="center"/>
            <w:hideMark/>
          </w:tcPr>
          <w:p w14:paraId="381CE050" w14:textId="77777777" w:rsidR="00D96D3A" w:rsidRPr="002B7648" w:rsidRDefault="00D96D3A" w:rsidP="00D96D3A">
            <w:pPr>
              <w:keepNext/>
              <w:spacing w:after="0" w:line="240" w:lineRule="auto"/>
              <w:jc w:val="center"/>
              <w:rPr>
                <w:rFonts w:cs="Arial"/>
                <w:b/>
                <w:bCs/>
                <w:color w:val="FFFFFF"/>
                <w:sz w:val="16"/>
                <w:szCs w:val="16"/>
              </w:rPr>
            </w:pPr>
            <w:r w:rsidRPr="002B7648">
              <w:rPr>
                <w:rFonts w:cs="Arial"/>
                <w:b/>
                <w:bCs/>
                <w:color w:val="FFFFFF" w:themeColor="background1"/>
                <w:sz w:val="16"/>
                <w:szCs w:val="16"/>
              </w:rPr>
              <w:t>školy</w:t>
            </w:r>
          </w:p>
        </w:tc>
        <w:tc>
          <w:tcPr>
            <w:tcW w:w="1984" w:type="dxa"/>
            <w:gridSpan w:val="2"/>
            <w:tcBorders>
              <w:top w:val="single" w:sz="4" w:space="0" w:color="auto"/>
              <w:left w:val="nil"/>
              <w:bottom w:val="nil"/>
              <w:right w:val="single" w:sz="8" w:space="0" w:color="000000"/>
            </w:tcBorders>
            <w:shd w:val="clear" w:color="000000" w:fill="C00000"/>
            <w:noWrap/>
            <w:vAlign w:val="center"/>
            <w:hideMark/>
          </w:tcPr>
          <w:p w14:paraId="46D63135" w14:textId="77777777" w:rsidR="00D96D3A" w:rsidRPr="002B7648" w:rsidRDefault="00D96D3A" w:rsidP="00D96D3A">
            <w:pPr>
              <w:keepNext/>
              <w:spacing w:after="0" w:line="240" w:lineRule="auto"/>
              <w:jc w:val="center"/>
              <w:rPr>
                <w:rFonts w:cs="Arial"/>
                <w:b/>
                <w:bCs/>
                <w:color w:val="FFFFFF"/>
                <w:sz w:val="16"/>
                <w:szCs w:val="16"/>
              </w:rPr>
            </w:pPr>
            <w:r w:rsidRPr="002B7648">
              <w:rPr>
                <w:rFonts w:cs="Arial"/>
                <w:b/>
                <w:bCs/>
                <w:color w:val="FFFFFF" w:themeColor="background1"/>
                <w:sz w:val="16"/>
                <w:szCs w:val="16"/>
              </w:rPr>
              <w:t>žáci</w:t>
            </w:r>
          </w:p>
        </w:tc>
        <w:tc>
          <w:tcPr>
            <w:tcW w:w="1985" w:type="dxa"/>
            <w:gridSpan w:val="2"/>
            <w:tcBorders>
              <w:top w:val="single" w:sz="4" w:space="0" w:color="auto"/>
              <w:left w:val="nil"/>
              <w:bottom w:val="nil"/>
              <w:right w:val="single" w:sz="8" w:space="0" w:color="000000"/>
            </w:tcBorders>
            <w:shd w:val="clear" w:color="000000" w:fill="C00000"/>
            <w:noWrap/>
            <w:vAlign w:val="center"/>
            <w:hideMark/>
          </w:tcPr>
          <w:p w14:paraId="222A976C" w14:textId="77777777" w:rsidR="00D96D3A" w:rsidRPr="002B7648" w:rsidRDefault="00D96D3A" w:rsidP="00D96D3A">
            <w:pPr>
              <w:keepNext/>
              <w:spacing w:after="0" w:line="240" w:lineRule="auto"/>
              <w:jc w:val="center"/>
              <w:rPr>
                <w:rFonts w:cs="Arial"/>
                <w:b/>
                <w:bCs/>
                <w:color w:val="FFFFFF"/>
                <w:sz w:val="16"/>
                <w:szCs w:val="16"/>
              </w:rPr>
            </w:pPr>
            <w:r w:rsidRPr="002B7648">
              <w:rPr>
                <w:rFonts w:cs="Arial"/>
                <w:b/>
                <w:bCs/>
                <w:color w:val="FFFFFF" w:themeColor="background1"/>
                <w:sz w:val="16"/>
                <w:szCs w:val="16"/>
              </w:rPr>
              <w:t>učitelé</w:t>
            </w:r>
            <w:r w:rsidRPr="002B7648">
              <w:rPr>
                <w:rFonts w:cs="Arial"/>
                <w:color w:val="FFFFFF"/>
                <w:sz w:val="16"/>
                <w:szCs w:val="16"/>
                <w:vertAlign w:val="superscript"/>
              </w:rPr>
              <w:t>*)</w:t>
            </w:r>
          </w:p>
        </w:tc>
        <w:tc>
          <w:tcPr>
            <w:tcW w:w="850" w:type="dxa"/>
            <w:vMerge w:val="restart"/>
            <w:tcBorders>
              <w:top w:val="single" w:sz="4" w:space="0" w:color="auto"/>
              <w:left w:val="single" w:sz="8" w:space="0" w:color="auto"/>
              <w:bottom w:val="single" w:sz="4" w:space="0" w:color="000000"/>
              <w:right w:val="single" w:sz="4" w:space="0" w:color="auto"/>
            </w:tcBorders>
            <w:shd w:val="clear" w:color="000000" w:fill="C00000"/>
            <w:vAlign w:val="center"/>
            <w:hideMark/>
          </w:tcPr>
          <w:p w14:paraId="56FFC38E" w14:textId="77777777" w:rsidR="00D96D3A" w:rsidRPr="002B7648" w:rsidRDefault="00D96D3A" w:rsidP="00D96D3A">
            <w:pPr>
              <w:keepNext/>
              <w:spacing w:after="0" w:line="240" w:lineRule="auto"/>
              <w:jc w:val="center"/>
              <w:rPr>
                <w:rFonts w:cs="Arial"/>
                <w:b/>
                <w:bCs/>
                <w:color w:val="FFFFFF"/>
                <w:sz w:val="16"/>
                <w:szCs w:val="16"/>
              </w:rPr>
            </w:pPr>
            <w:r w:rsidRPr="002B7648">
              <w:rPr>
                <w:rFonts w:cs="Arial"/>
                <w:b/>
                <w:bCs/>
                <w:color w:val="FFFFFF" w:themeColor="background1"/>
                <w:sz w:val="16"/>
                <w:szCs w:val="16"/>
              </w:rPr>
              <w:t>žáků na 1 učitele</w:t>
            </w:r>
          </w:p>
        </w:tc>
      </w:tr>
      <w:tr w:rsidR="00D96D3A" w:rsidRPr="002B7648" w14:paraId="7F9D4B2A" w14:textId="77777777" w:rsidTr="000031F2">
        <w:trPr>
          <w:trHeight w:val="300"/>
        </w:trPr>
        <w:tc>
          <w:tcPr>
            <w:tcW w:w="2410" w:type="dxa"/>
            <w:vMerge/>
            <w:tcBorders>
              <w:top w:val="single" w:sz="4" w:space="0" w:color="auto"/>
              <w:left w:val="single" w:sz="4" w:space="0" w:color="auto"/>
              <w:bottom w:val="single" w:sz="4" w:space="0" w:color="000000"/>
              <w:right w:val="single" w:sz="8" w:space="0" w:color="auto"/>
            </w:tcBorders>
            <w:vAlign w:val="center"/>
            <w:hideMark/>
          </w:tcPr>
          <w:p w14:paraId="25EE223F" w14:textId="77777777" w:rsidR="00D96D3A" w:rsidRPr="002B7648" w:rsidRDefault="00D96D3A" w:rsidP="00D96D3A">
            <w:pPr>
              <w:keepNext/>
              <w:spacing w:after="0" w:line="240" w:lineRule="auto"/>
              <w:rPr>
                <w:rFonts w:cs="Arial"/>
                <w:b/>
                <w:bCs/>
                <w:color w:val="FFFFFF"/>
                <w:sz w:val="16"/>
                <w:szCs w:val="16"/>
              </w:rPr>
            </w:pPr>
          </w:p>
        </w:tc>
        <w:tc>
          <w:tcPr>
            <w:tcW w:w="851" w:type="dxa"/>
            <w:gridSpan w:val="2"/>
            <w:tcBorders>
              <w:top w:val="nil"/>
              <w:left w:val="nil"/>
              <w:bottom w:val="single" w:sz="4" w:space="0" w:color="auto"/>
              <w:right w:val="single" w:sz="8" w:space="0" w:color="auto"/>
            </w:tcBorders>
            <w:shd w:val="clear" w:color="000000" w:fill="FABA86"/>
            <w:noWrap/>
            <w:vAlign w:val="center"/>
            <w:hideMark/>
          </w:tcPr>
          <w:p w14:paraId="3BA48FF9" w14:textId="77777777" w:rsidR="00D96D3A" w:rsidRPr="002B7648" w:rsidRDefault="00D96D3A" w:rsidP="00D96D3A">
            <w:pPr>
              <w:keepNext/>
              <w:spacing w:after="0" w:line="240" w:lineRule="auto"/>
              <w:jc w:val="center"/>
              <w:rPr>
                <w:rFonts w:cs="Arial"/>
                <w:b/>
                <w:bCs/>
                <w:color w:val="000000"/>
                <w:sz w:val="16"/>
                <w:szCs w:val="16"/>
              </w:rPr>
            </w:pPr>
            <w:r w:rsidRPr="002B7648">
              <w:rPr>
                <w:rFonts w:cs="Arial"/>
                <w:b/>
                <w:bCs/>
                <w:color w:val="000000"/>
                <w:sz w:val="16"/>
                <w:szCs w:val="16"/>
              </w:rPr>
              <w:t>Abs.</w:t>
            </w:r>
          </w:p>
        </w:tc>
        <w:tc>
          <w:tcPr>
            <w:tcW w:w="992" w:type="dxa"/>
            <w:tcBorders>
              <w:top w:val="nil"/>
              <w:left w:val="nil"/>
              <w:bottom w:val="single" w:sz="4" w:space="0" w:color="auto"/>
              <w:right w:val="single" w:sz="8" w:space="0" w:color="auto"/>
            </w:tcBorders>
            <w:shd w:val="clear" w:color="000000" w:fill="FABA86"/>
            <w:noWrap/>
            <w:vAlign w:val="center"/>
            <w:hideMark/>
          </w:tcPr>
          <w:p w14:paraId="33340911" w14:textId="77777777" w:rsidR="00D96D3A" w:rsidRPr="002B7648" w:rsidRDefault="00D96D3A" w:rsidP="00D96D3A">
            <w:pPr>
              <w:keepNext/>
              <w:spacing w:after="0" w:line="240" w:lineRule="auto"/>
              <w:jc w:val="center"/>
              <w:rPr>
                <w:rFonts w:cs="Arial"/>
                <w:b/>
                <w:bCs/>
                <w:i/>
                <w:iCs/>
                <w:color w:val="000000"/>
                <w:sz w:val="16"/>
                <w:szCs w:val="16"/>
              </w:rPr>
            </w:pPr>
            <w:r w:rsidRPr="002B7648">
              <w:rPr>
                <w:rFonts w:cs="Arial"/>
                <w:b/>
                <w:bCs/>
                <w:i/>
                <w:iCs/>
                <w:color w:val="000000"/>
                <w:sz w:val="16"/>
                <w:szCs w:val="16"/>
              </w:rPr>
              <w:t>%</w:t>
            </w:r>
          </w:p>
        </w:tc>
        <w:tc>
          <w:tcPr>
            <w:tcW w:w="850" w:type="dxa"/>
            <w:tcBorders>
              <w:top w:val="nil"/>
              <w:left w:val="nil"/>
              <w:bottom w:val="single" w:sz="4" w:space="0" w:color="auto"/>
              <w:right w:val="single" w:sz="8" w:space="0" w:color="auto"/>
            </w:tcBorders>
            <w:shd w:val="clear" w:color="000000" w:fill="FABA86"/>
            <w:noWrap/>
            <w:vAlign w:val="center"/>
            <w:hideMark/>
          </w:tcPr>
          <w:p w14:paraId="6E4CA132" w14:textId="77777777" w:rsidR="00D96D3A" w:rsidRPr="002B7648" w:rsidRDefault="00D96D3A" w:rsidP="00D96D3A">
            <w:pPr>
              <w:keepNext/>
              <w:spacing w:after="0" w:line="240" w:lineRule="auto"/>
              <w:jc w:val="center"/>
              <w:rPr>
                <w:rFonts w:cs="Arial"/>
                <w:b/>
                <w:bCs/>
                <w:color w:val="000000"/>
                <w:sz w:val="16"/>
                <w:szCs w:val="16"/>
              </w:rPr>
            </w:pPr>
            <w:r w:rsidRPr="002B7648">
              <w:rPr>
                <w:rFonts w:cs="Arial"/>
                <w:b/>
                <w:bCs/>
                <w:color w:val="000000"/>
                <w:sz w:val="16"/>
                <w:szCs w:val="16"/>
              </w:rPr>
              <w:t>Abs.</w:t>
            </w:r>
          </w:p>
        </w:tc>
        <w:tc>
          <w:tcPr>
            <w:tcW w:w="1134" w:type="dxa"/>
            <w:tcBorders>
              <w:top w:val="nil"/>
              <w:left w:val="nil"/>
              <w:bottom w:val="single" w:sz="4" w:space="0" w:color="auto"/>
              <w:right w:val="single" w:sz="8" w:space="0" w:color="auto"/>
            </w:tcBorders>
            <w:shd w:val="clear" w:color="000000" w:fill="FABA86"/>
            <w:noWrap/>
            <w:vAlign w:val="center"/>
            <w:hideMark/>
          </w:tcPr>
          <w:p w14:paraId="0CD0FB12" w14:textId="77777777" w:rsidR="00D96D3A" w:rsidRPr="002B7648" w:rsidRDefault="00D96D3A" w:rsidP="00D96D3A">
            <w:pPr>
              <w:keepNext/>
              <w:spacing w:after="0" w:line="240" w:lineRule="auto"/>
              <w:jc w:val="center"/>
              <w:rPr>
                <w:rFonts w:cs="Arial"/>
                <w:b/>
                <w:bCs/>
                <w:i/>
                <w:iCs/>
                <w:color w:val="000000"/>
                <w:sz w:val="16"/>
                <w:szCs w:val="16"/>
              </w:rPr>
            </w:pPr>
            <w:r w:rsidRPr="002B7648">
              <w:rPr>
                <w:rFonts w:cs="Arial"/>
                <w:b/>
                <w:bCs/>
                <w:i/>
                <w:iCs/>
                <w:color w:val="000000"/>
                <w:sz w:val="16"/>
                <w:szCs w:val="16"/>
              </w:rPr>
              <w:t>%</w:t>
            </w:r>
          </w:p>
        </w:tc>
        <w:tc>
          <w:tcPr>
            <w:tcW w:w="1083" w:type="dxa"/>
            <w:tcBorders>
              <w:top w:val="nil"/>
              <w:left w:val="nil"/>
              <w:bottom w:val="single" w:sz="4" w:space="0" w:color="auto"/>
              <w:right w:val="single" w:sz="8" w:space="0" w:color="auto"/>
            </w:tcBorders>
            <w:shd w:val="clear" w:color="000000" w:fill="FABA86"/>
            <w:noWrap/>
            <w:vAlign w:val="center"/>
            <w:hideMark/>
          </w:tcPr>
          <w:p w14:paraId="483C976A" w14:textId="77777777" w:rsidR="00D96D3A" w:rsidRPr="002B7648" w:rsidRDefault="00D96D3A" w:rsidP="00D96D3A">
            <w:pPr>
              <w:keepNext/>
              <w:spacing w:after="0" w:line="240" w:lineRule="auto"/>
              <w:jc w:val="center"/>
              <w:rPr>
                <w:rFonts w:cs="Arial"/>
                <w:b/>
                <w:bCs/>
                <w:color w:val="000000"/>
                <w:sz w:val="16"/>
                <w:szCs w:val="16"/>
              </w:rPr>
            </w:pPr>
            <w:r w:rsidRPr="002B7648">
              <w:rPr>
                <w:rFonts w:cs="Arial"/>
                <w:b/>
                <w:bCs/>
                <w:color w:val="000000"/>
                <w:sz w:val="16"/>
                <w:szCs w:val="16"/>
              </w:rPr>
              <w:t>Abs.</w:t>
            </w:r>
          </w:p>
        </w:tc>
        <w:tc>
          <w:tcPr>
            <w:tcW w:w="902" w:type="dxa"/>
            <w:tcBorders>
              <w:top w:val="nil"/>
              <w:left w:val="nil"/>
              <w:bottom w:val="single" w:sz="4" w:space="0" w:color="auto"/>
              <w:right w:val="single" w:sz="8" w:space="0" w:color="auto"/>
            </w:tcBorders>
            <w:shd w:val="clear" w:color="000000" w:fill="FABA86"/>
            <w:noWrap/>
            <w:vAlign w:val="center"/>
            <w:hideMark/>
          </w:tcPr>
          <w:p w14:paraId="578987FC" w14:textId="77777777" w:rsidR="00D96D3A" w:rsidRPr="002B7648" w:rsidRDefault="00D96D3A" w:rsidP="00D96D3A">
            <w:pPr>
              <w:keepNext/>
              <w:spacing w:after="0" w:line="240" w:lineRule="auto"/>
              <w:jc w:val="center"/>
              <w:rPr>
                <w:rFonts w:cs="Arial"/>
                <w:b/>
                <w:bCs/>
                <w:i/>
                <w:iCs/>
                <w:color w:val="000000"/>
                <w:sz w:val="16"/>
                <w:szCs w:val="16"/>
              </w:rPr>
            </w:pPr>
            <w:r w:rsidRPr="002B7648">
              <w:rPr>
                <w:rFonts w:cs="Arial"/>
                <w:b/>
                <w:bCs/>
                <w:i/>
                <w:iCs/>
                <w:color w:val="000000"/>
                <w:sz w:val="16"/>
                <w:szCs w:val="16"/>
              </w:rPr>
              <w:t>%</w:t>
            </w:r>
          </w:p>
        </w:tc>
        <w:tc>
          <w:tcPr>
            <w:tcW w:w="850" w:type="dxa"/>
            <w:vMerge/>
            <w:tcBorders>
              <w:top w:val="single" w:sz="4" w:space="0" w:color="auto"/>
              <w:left w:val="single" w:sz="8" w:space="0" w:color="auto"/>
              <w:bottom w:val="single" w:sz="4" w:space="0" w:color="000000"/>
              <w:right w:val="single" w:sz="4" w:space="0" w:color="auto"/>
            </w:tcBorders>
            <w:vAlign w:val="center"/>
            <w:hideMark/>
          </w:tcPr>
          <w:p w14:paraId="5232BD84" w14:textId="77777777" w:rsidR="00D96D3A" w:rsidRPr="002B7648" w:rsidRDefault="00D96D3A" w:rsidP="00D96D3A">
            <w:pPr>
              <w:keepNext/>
              <w:spacing w:after="0" w:line="240" w:lineRule="auto"/>
              <w:rPr>
                <w:rFonts w:cs="Arial"/>
                <w:b/>
                <w:bCs/>
                <w:color w:val="FFFFFF"/>
                <w:sz w:val="16"/>
                <w:szCs w:val="16"/>
              </w:rPr>
            </w:pPr>
          </w:p>
        </w:tc>
      </w:tr>
      <w:tr w:rsidR="00D96D3A" w:rsidRPr="002B7648" w14:paraId="6C9534BE" w14:textId="77777777" w:rsidTr="000031F2">
        <w:trPr>
          <w:trHeight w:val="300"/>
        </w:trPr>
        <w:tc>
          <w:tcPr>
            <w:tcW w:w="2410" w:type="dxa"/>
            <w:tcBorders>
              <w:top w:val="nil"/>
              <w:left w:val="single" w:sz="4" w:space="0" w:color="auto"/>
              <w:bottom w:val="nil"/>
              <w:right w:val="single" w:sz="8" w:space="0" w:color="auto"/>
            </w:tcBorders>
            <w:shd w:val="clear" w:color="auto" w:fill="auto"/>
            <w:noWrap/>
            <w:vAlign w:val="center"/>
            <w:hideMark/>
          </w:tcPr>
          <w:p w14:paraId="50597EC5" w14:textId="77777777" w:rsidR="00D96D3A" w:rsidRPr="002B7648" w:rsidRDefault="00D96D3A" w:rsidP="00D96D3A">
            <w:pPr>
              <w:keepNext/>
              <w:spacing w:after="0" w:line="240" w:lineRule="auto"/>
              <w:rPr>
                <w:rFonts w:cs="Arial"/>
                <w:color w:val="000000"/>
                <w:sz w:val="16"/>
                <w:szCs w:val="16"/>
              </w:rPr>
            </w:pPr>
            <w:r w:rsidRPr="002B7648">
              <w:rPr>
                <w:rFonts w:cs="Arial"/>
                <w:color w:val="000000"/>
                <w:sz w:val="16"/>
                <w:szCs w:val="16"/>
              </w:rPr>
              <w:t>veřejný</w:t>
            </w:r>
          </w:p>
        </w:tc>
        <w:tc>
          <w:tcPr>
            <w:tcW w:w="750" w:type="dxa"/>
            <w:tcBorders>
              <w:top w:val="nil"/>
              <w:left w:val="nil"/>
              <w:bottom w:val="nil"/>
              <w:right w:val="nil"/>
            </w:tcBorders>
            <w:shd w:val="clear" w:color="auto" w:fill="auto"/>
            <w:noWrap/>
            <w:vAlign w:val="center"/>
            <w:hideMark/>
          </w:tcPr>
          <w:p w14:paraId="146136CB" w14:textId="77777777" w:rsidR="00D96D3A" w:rsidRPr="002B7648" w:rsidRDefault="00D96D3A" w:rsidP="00D96D3A">
            <w:pPr>
              <w:keepNext/>
              <w:spacing w:after="0" w:line="240" w:lineRule="auto"/>
              <w:jc w:val="right"/>
              <w:rPr>
                <w:rFonts w:cs="Arial"/>
                <w:color w:val="000000"/>
                <w:sz w:val="16"/>
                <w:szCs w:val="16"/>
              </w:rPr>
            </w:pPr>
            <w:r w:rsidRPr="002B7648">
              <w:rPr>
                <w:rFonts w:cs="Arial"/>
                <w:color w:val="000000"/>
                <w:sz w:val="16"/>
                <w:szCs w:val="16"/>
              </w:rPr>
              <w:t>13</w:t>
            </w:r>
          </w:p>
        </w:tc>
        <w:tc>
          <w:tcPr>
            <w:tcW w:w="1093" w:type="dxa"/>
            <w:gridSpan w:val="2"/>
            <w:tcBorders>
              <w:top w:val="nil"/>
              <w:left w:val="nil"/>
              <w:bottom w:val="nil"/>
              <w:right w:val="single" w:sz="8" w:space="0" w:color="auto"/>
            </w:tcBorders>
            <w:shd w:val="clear" w:color="auto" w:fill="auto"/>
            <w:noWrap/>
            <w:vAlign w:val="center"/>
            <w:hideMark/>
          </w:tcPr>
          <w:p w14:paraId="707FBA72" w14:textId="77777777" w:rsidR="00D96D3A" w:rsidRPr="002B7648" w:rsidRDefault="00D96D3A" w:rsidP="00D96D3A">
            <w:pPr>
              <w:keepNext/>
              <w:spacing w:after="0" w:line="240" w:lineRule="auto"/>
              <w:jc w:val="right"/>
              <w:rPr>
                <w:rFonts w:cs="Arial"/>
                <w:i/>
                <w:iCs/>
                <w:color w:val="000000"/>
                <w:sz w:val="16"/>
                <w:szCs w:val="16"/>
              </w:rPr>
            </w:pPr>
            <w:r w:rsidRPr="002B7648">
              <w:rPr>
                <w:rFonts w:cs="Arial"/>
                <w:i/>
                <w:iCs/>
                <w:color w:val="000000"/>
                <w:sz w:val="16"/>
                <w:szCs w:val="16"/>
              </w:rPr>
              <w:t>72,2</w:t>
            </w:r>
          </w:p>
        </w:tc>
        <w:tc>
          <w:tcPr>
            <w:tcW w:w="850" w:type="dxa"/>
            <w:tcBorders>
              <w:top w:val="nil"/>
              <w:left w:val="nil"/>
              <w:bottom w:val="nil"/>
              <w:right w:val="nil"/>
            </w:tcBorders>
            <w:shd w:val="clear" w:color="auto" w:fill="auto"/>
            <w:noWrap/>
            <w:vAlign w:val="center"/>
            <w:hideMark/>
          </w:tcPr>
          <w:p w14:paraId="6F20AA29" w14:textId="2C89FF98" w:rsidR="00D96D3A" w:rsidRPr="0042049A" w:rsidRDefault="00D96D3A" w:rsidP="00D96D3A">
            <w:pPr>
              <w:keepNext/>
              <w:spacing w:after="0" w:line="240" w:lineRule="auto"/>
              <w:jc w:val="right"/>
              <w:rPr>
                <w:rFonts w:cs="Arial"/>
                <w:color w:val="000000"/>
                <w:sz w:val="16"/>
                <w:szCs w:val="16"/>
              </w:rPr>
            </w:pPr>
            <w:r w:rsidRPr="0042049A">
              <w:rPr>
                <w:sz w:val="16"/>
                <w:szCs w:val="16"/>
              </w:rPr>
              <w:t>3</w:t>
            </w:r>
            <w:r w:rsidR="000031F2">
              <w:rPr>
                <w:sz w:val="16"/>
                <w:szCs w:val="16"/>
              </w:rPr>
              <w:t> </w:t>
            </w:r>
            <w:r w:rsidRPr="0042049A">
              <w:rPr>
                <w:sz w:val="16"/>
                <w:szCs w:val="16"/>
              </w:rPr>
              <w:t>079</w:t>
            </w:r>
          </w:p>
        </w:tc>
        <w:tc>
          <w:tcPr>
            <w:tcW w:w="1134" w:type="dxa"/>
            <w:tcBorders>
              <w:top w:val="nil"/>
              <w:left w:val="nil"/>
              <w:bottom w:val="nil"/>
              <w:right w:val="single" w:sz="8" w:space="0" w:color="auto"/>
            </w:tcBorders>
            <w:shd w:val="clear" w:color="auto" w:fill="auto"/>
            <w:noWrap/>
            <w:vAlign w:val="center"/>
            <w:hideMark/>
          </w:tcPr>
          <w:p w14:paraId="532CE5BF" w14:textId="77777777" w:rsidR="00D96D3A" w:rsidRPr="0042049A" w:rsidRDefault="00D96D3A" w:rsidP="00D96D3A">
            <w:pPr>
              <w:keepNext/>
              <w:spacing w:after="0" w:line="240" w:lineRule="auto"/>
              <w:jc w:val="right"/>
              <w:rPr>
                <w:rFonts w:cs="Arial"/>
                <w:i/>
                <w:iCs/>
                <w:color w:val="000000"/>
                <w:sz w:val="16"/>
                <w:szCs w:val="16"/>
              </w:rPr>
            </w:pPr>
            <w:r w:rsidRPr="0042049A">
              <w:rPr>
                <w:rFonts w:cs="Arial"/>
                <w:i/>
                <w:iCs/>
                <w:color w:val="000000"/>
                <w:sz w:val="16"/>
                <w:szCs w:val="16"/>
              </w:rPr>
              <w:t>79,4</w:t>
            </w:r>
          </w:p>
        </w:tc>
        <w:tc>
          <w:tcPr>
            <w:tcW w:w="1083" w:type="dxa"/>
            <w:tcBorders>
              <w:top w:val="nil"/>
              <w:left w:val="nil"/>
              <w:bottom w:val="nil"/>
              <w:right w:val="nil"/>
            </w:tcBorders>
            <w:shd w:val="clear" w:color="auto" w:fill="auto"/>
            <w:noWrap/>
            <w:vAlign w:val="center"/>
            <w:hideMark/>
          </w:tcPr>
          <w:p w14:paraId="7C76BE27" w14:textId="77777777" w:rsidR="00D96D3A" w:rsidRPr="002B7648" w:rsidRDefault="00D96D3A" w:rsidP="00D96D3A">
            <w:pPr>
              <w:keepNext/>
              <w:spacing w:after="0" w:line="240" w:lineRule="auto"/>
              <w:jc w:val="right"/>
              <w:rPr>
                <w:rFonts w:cs="Arial"/>
                <w:color w:val="000000"/>
                <w:sz w:val="16"/>
                <w:szCs w:val="16"/>
              </w:rPr>
            </w:pPr>
            <w:r>
              <w:rPr>
                <w:rFonts w:cs="Arial"/>
                <w:color w:val="000000"/>
                <w:sz w:val="16"/>
                <w:szCs w:val="16"/>
              </w:rPr>
              <w:t>927,6</w:t>
            </w:r>
          </w:p>
        </w:tc>
        <w:tc>
          <w:tcPr>
            <w:tcW w:w="902" w:type="dxa"/>
            <w:tcBorders>
              <w:top w:val="nil"/>
              <w:left w:val="nil"/>
              <w:bottom w:val="nil"/>
              <w:right w:val="single" w:sz="8" w:space="0" w:color="auto"/>
            </w:tcBorders>
            <w:shd w:val="clear" w:color="auto" w:fill="auto"/>
            <w:noWrap/>
            <w:vAlign w:val="center"/>
            <w:hideMark/>
          </w:tcPr>
          <w:p w14:paraId="7269E257" w14:textId="77777777" w:rsidR="00D96D3A" w:rsidRPr="002B7648" w:rsidRDefault="00D96D3A" w:rsidP="00D96D3A">
            <w:pPr>
              <w:keepNext/>
              <w:spacing w:after="0" w:line="240" w:lineRule="auto"/>
              <w:jc w:val="right"/>
              <w:rPr>
                <w:rFonts w:cs="Arial"/>
                <w:i/>
                <w:iCs/>
                <w:color w:val="000000"/>
                <w:sz w:val="16"/>
                <w:szCs w:val="16"/>
              </w:rPr>
            </w:pPr>
            <w:r>
              <w:rPr>
                <w:rFonts w:cs="Arial"/>
                <w:i/>
                <w:iCs/>
                <w:color w:val="000000"/>
                <w:sz w:val="16"/>
                <w:szCs w:val="16"/>
              </w:rPr>
              <w:t>84,5</w:t>
            </w:r>
          </w:p>
        </w:tc>
        <w:tc>
          <w:tcPr>
            <w:tcW w:w="850" w:type="dxa"/>
            <w:tcBorders>
              <w:top w:val="nil"/>
              <w:left w:val="nil"/>
              <w:bottom w:val="nil"/>
              <w:right w:val="single" w:sz="4" w:space="0" w:color="auto"/>
            </w:tcBorders>
            <w:shd w:val="clear" w:color="auto" w:fill="auto"/>
            <w:noWrap/>
            <w:vAlign w:val="center"/>
            <w:hideMark/>
          </w:tcPr>
          <w:p w14:paraId="631D0D54" w14:textId="77777777" w:rsidR="00D96D3A" w:rsidRPr="002B7648" w:rsidRDefault="00D96D3A" w:rsidP="00D96D3A">
            <w:pPr>
              <w:keepNext/>
              <w:spacing w:after="0" w:line="240" w:lineRule="auto"/>
              <w:jc w:val="right"/>
              <w:rPr>
                <w:rFonts w:cs="Arial"/>
                <w:color w:val="000000"/>
                <w:sz w:val="16"/>
                <w:szCs w:val="16"/>
              </w:rPr>
            </w:pPr>
            <w:r w:rsidRPr="002B7648">
              <w:rPr>
                <w:rFonts w:cs="Arial"/>
                <w:color w:val="000000"/>
                <w:sz w:val="16"/>
                <w:szCs w:val="16"/>
              </w:rPr>
              <w:t>3,</w:t>
            </w:r>
            <w:r>
              <w:rPr>
                <w:rFonts w:cs="Arial"/>
                <w:color w:val="000000"/>
                <w:sz w:val="16"/>
                <w:szCs w:val="16"/>
              </w:rPr>
              <w:t>3</w:t>
            </w:r>
          </w:p>
        </w:tc>
      </w:tr>
      <w:tr w:rsidR="00D96D3A" w:rsidRPr="002B7648" w14:paraId="324B5038" w14:textId="77777777" w:rsidTr="000031F2">
        <w:trPr>
          <w:trHeight w:val="300"/>
        </w:trPr>
        <w:tc>
          <w:tcPr>
            <w:tcW w:w="2410" w:type="dxa"/>
            <w:tcBorders>
              <w:top w:val="nil"/>
              <w:left w:val="single" w:sz="4" w:space="0" w:color="auto"/>
              <w:bottom w:val="nil"/>
              <w:right w:val="single" w:sz="8" w:space="0" w:color="auto"/>
            </w:tcBorders>
            <w:shd w:val="clear" w:color="auto" w:fill="auto"/>
            <w:noWrap/>
            <w:vAlign w:val="center"/>
            <w:hideMark/>
          </w:tcPr>
          <w:p w14:paraId="33154613" w14:textId="77777777" w:rsidR="00D96D3A" w:rsidRPr="002B7648" w:rsidRDefault="00D96D3A" w:rsidP="00D96D3A">
            <w:pPr>
              <w:keepNext/>
              <w:spacing w:after="0" w:line="240" w:lineRule="auto"/>
              <w:rPr>
                <w:rFonts w:cs="Arial"/>
                <w:color w:val="000000"/>
                <w:sz w:val="16"/>
                <w:szCs w:val="16"/>
              </w:rPr>
            </w:pPr>
            <w:r w:rsidRPr="002B7648">
              <w:rPr>
                <w:rFonts w:cs="Arial"/>
                <w:color w:val="000000"/>
                <w:sz w:val="16"/>
                <w:szCs w:val="16"/>
              </w:rPr>
              <w:t>soukromý</w:t>
            </w:r>
          </w:p>
        </w:tc>
        <w:tc>
          <w:tcPr>
            <w:tcW w:w="750" w:type="dxa"/>
            <w:tcBorders>
              <w:top w:val="nil"/>
              <w:left w:val="nil"/>
              <w:bottom w:val="nil"/>
              <w:right w:val="nil"/>
            </w:tcBorders>
            <w:shd w:val="clear" w:color="auto" w:fill="auto"/>
            <w:noWrap/>
            <w:vAlign w:val="center"/>
            <w:hideMark/>
          </w:tcPr>
          <w:p w14:paraId="522E13DA" w14:textId="77777777" w:rsidR="00D96D3A" w:rsidRPr="002B7648" w:rsidRDefault="00D96D3A" w:rsidP="00D96D3A">
            <w:pPr>
              <w:keepNext/>
              <w:spacing w:after="0" w:line="240" w:lineRule="auto"/>
              <w:jc w:val="right"/>
              <w:rPr>
                <w:rFonts w:cs="Arial"/>
                <w:color w:val="000000"/>
                <w:sz w:val="16"/>
                <w:szCs w:val="16"/>
              </w:rPr>
            </w:pPr>
            <w:r w:rsidRPr="002B7648">
              <w:rPr>
                <w:rFonts w:cs="Arial"/>
                <w:color w:val="000000"/>
                <w:sz w:val="16"/>
                <w:szCs w:val="16"/>
              </w:rPr>
              <w:t>3</w:t>
            </w:r>
          </w:p>
        </w:tc>
        <w:tc>
          <w:tcPr>
            <w:tcW w:w="1093" w:type="dxa"/>
            <w:gridSpan w:val="2"/>
            <w:tcBorders>
              <w:top w:val="nil"/>
              <w:left w:val="nil"/>
              <w:bottom w:val="nil"/>
              <w:right w:val="single" w:sz="8" w:space="0" w:color="auto"/>
            </w:tcBorders>
            <w:shd w:val="clear" w:color="auto" w:fill="auto"/>
            <w:noWrap/>
            <w:vAlign w:val="center"/>
            <w:hideMark/>
          </w:tcPr>
          <w:p w14:paraId="4CBC80F0" w14:textId="77777777" w:rsidR="00D96D3A" w:rsidRPr="002B7648" w:rsidRDefault="00D96D3A" w:rsidP="00D96D3A">
            <w:pPr>
              <w:keepNext/>
              <w:spacing w:after="0" w:line="240" w:lineRule="auto"/>
              <w:jc w:val="right"/>
              <w:rPr>
                <w:rFonts w:cs="Arial"/>
                <w:i/>
                <w:iCs/>
                <w:color w:val="000000"/>
                <w:sz w:val="16"/>
                <w:szCs w:val="16"/>
              </w:rPr>
            </w:pPr>
            <w:r w:rsidRPr="002B7648">
              <w:rPr>
                <w:rFonts w:cs="Arial"/>
                <w:i/>
                <w:iCs/>
                <w:color w:val="000000"/>
                <w:sz w:val="16"/>
                <w:szCs w:val="16"/>
              </w:rPr>
              <w:t>16,7</w:t>
            </w:r>
          </w:p>
        </w:tc>
        <w:tc>
          <w:tcPr>
            <w:tcW w:w="850" w:type="dxa"/>
            <w:tcBorders>
              <w:top w:val="nil"/>
              <w:left w:val="nil"/>
              <w:bottom w:val="nil"/>
              <w:right w:val="nil"/>
            </w:tcBorders>
            <w:shd w:val="clear" w:color="auto" w:fill="auto"/>
            <w:noWrap/>
            <w:vAlign w:val="center"/>
            <w:hideMark/>
          </w:tcPr>
          <w:p w14:paraId="76AB62DB" w14:textId="77777777" w:rsidR="00D96D3A" w:rsidRPr="0042049A" w:rsidRDefault="00D96D3A" w:rsidP="00D96D3A">
            <w:pPr>
              <w:keepNext/>
              <w:spacing w:after="0" w:line="240" w:lineRule="auto"/>
              <w:jc w:val="right"/>
              <w:rPr>
                <w:rFonts w:cs="Arial"/>
                <w:color w:val="000000"/>
                <w:sz w:val="16"/>
                <w:szCs w:val="16"/>
              </w:rPr>
            </w:pPr>
            <w:r w:rsidRPr="0042049A">
              <w:rPr>
                <w:sz w:val="16"/>
                <w:szCs w:val="16"/>
              </w:rPr>
              <w:t>559</w:t>
            </w:r>
          </w:p>
        </w:tc>
        <w:tc>
          <w:tcPr>
            <w:tcW w:w="1134" w:type="dxa"/>
            <w:tcBorders>
              <w:top w:val="nil"/>
              <w:left w:val="nil"/>
              <w:bottom w:val="nil"/>
              <w:right w:val="single" w:sz="8" w:space="0" w:color="auto"/>
            </w:tcBorders>
            <w:shd w:val="clear" w:color="auto" w:fill="auto"/>
            <w:noWrap/>
            <w:vAlign w:val="center"/>
            <w:hideMark/>
          </w:tcPr>
          <w:p w14:paraId="27FC6C70" w14:textId="77777777" w:rsidR="00D96D3A" w:rsidRPr="0042049A" w:rsidRDefault="00D96D3A" w:rsidP="00D96D3A">
            <w:pPr>
              <w:keepNext/>
              <w:spacing w:after="0" w:line="240" w:lineRule="auto"/>
              <w:jc w:val="right"/>
              <w:rPr>
                <w:rFonts w:cs="Arial"/>
                <w:i/>
                <w:iCs/>
                <w:color w:val="000000"/>
                <w:sz w:val="16"/>
                <w:szCs w:val="16"/>
              </w:rPr>
            </w:pPr>
            <w:r w:rsidRPr="0042049A">
              <w:rPr>
                <w:rFonts w:cs="Arial"/>
                <w:i/>
                <w:iCs/>
                <w:color w:val="000000"/>
                <w:sz w:val="16"/>
                <w:szCs w:val="16"/>
              </w:rPr>
              <w:t>14,4</w:t>
            </w:r>
          </w:p>
        </w:tc>
        <w:tc>
          <w:tcPr>
            <w:tcW w:w="1083" w:type="dxa"/>
            <w:tcBorders>
              <w:top w:val="nil"/>
              <w:left w:val="nil"/>
              <w:bottom w:val="nil"/>
              <w:right w:val="nil"/>
            </w:tcBorders>
            <w:shd w:val="clear" w:color="auto" w:fill="auto"/>
            <w:noWrap/>
            <w:vAlign w:val="center"/>
            <w:hideMark/>
          </w:tcPr>
          <w:p w14:paraId="19D8C85A" w14:textId="77777777" w:rsidR="00D96D3A" w:rsidRPr="002B7648" w:rsidRDefault="00D96D3A" w:rsidP="00D96D3A">
            <w:pPr>
              <w:keepNext/>
              <w:spacing w:after="0" w:line="240" w:lineRule="auto"/>
              <w:jc w:val="right"/>
              <w:rPr>
                <w:rFonts w:cs="Arial"/>
                <w:color w:val="000000"/>
                <w:sz w:val="16"/>
                <w:szCs w:val="16"/>
              </w:rPr>
            </w:pPr>
            <w:r>
              <w:rPr>
                <w:rFonts w:cs="Arial"/>
                <w:color w:val="000000"/>
                <w:sz w:val="16"/>
                <w:szCs w:val="16"/>
              </w:rPr>
              <w:t>108,8</w:t>
            </w:r>
          </w:p>
        </w:tc>
        <w:tc>
          <w:tcPr>
            <w:tcW w:w="902" w:type="dxa"/>
            <w:tcBorders>
              <w:top w:val="nil"/>
              <w:left w:val="nil"/>
              <w:bottom w:val="nil"/>
              <w:right w:val="single" w:sz="8" w:space="0" w:color="auto"/>
            </w:tcBorders>
            <w:shd w:val="clear" w:color="auto" w:fill="auto"/>
            <w:noWrap/>
            <w:vAlign w:val="center"/>
            <w:hideMark/>
          </w:tcPr>
          <w:p w14:paraId="2C8AD8FF" w14:textId="77777777" w:rsidR="00D96D3A" w:rsidRPr="002B7648" w:rsidRDefault="00D96D3A" w:rsidP="00D96D3A">
            <w:pPr>
              <w:keepNext/>
              <w:spacing w:after="0" w:line="240" w:lineRule="auto"/>
              <w:jc w:val="right"/>
              <w:rPr>
                <w:rFonts w:cs="Arial"/>
                <w:i/>
                <w:iCs/>
                <w:color w:val="000000"/>
                <w:sz w:val="16"/>
                <w:szCs w:val="16"/>
              </w:rPr>
            </w:pPr>
            <w:r>
              <w:rPr>
                <w:rFonts w:cs="Arial"/>
                <w:i/>
                <w:iCs/>
                <w:color w:val="000000"/>
                <w:sz w:val="16"/>
                <w:szCs w:val="16"/>
              </w:rPr>
              <w:t>9</w:t>
            </w:r>
            <w:r w:rsidRPr="002B7648">
              <w:rPr>
                <w:rFonts w:cs="Arial"/>
                <w:i/>
                <w:iCs/>
                <w:color w:val="000000"/>
                <w:sz w:val="16"/>
                <w:szCs w:val="16"/>
              </w:rPr>
              <w:t>,9</w:t>
            </w:r>
          </w:p>
        </w:tc>
        <w:tc>
          <w:tcPr>
            <w:tcW w:w="850" w:type="dxa"/>
            <w:tcBorders>
              <w:top w:val="nil"/>
              <w:left w:val="nil"/>
              <w:bottom w:val="nil"/>
              <w:right w:val="single" w:sz="4" w:space="0" w:color="auto"/>
            </w:tcBorders>
            <w:shd w:val="clear" w:color="auto" w:fill="auto"/>
            <w:noWrap/>
            <w:vAlign w:val="center"/>
            <w:hideMark/>
          </w:tcPr>
          <w:p w14:paraId="65B3803B" w14:textId="77777777" w:rsidR="00D96D3A" w:rsidRPr="002B7648" w:rsidRDefault="00D96D3A" w:rsidP="00D96D3A">
            <w:pPr>
              <w:keepNext/>
              <w:spacing w:after="0" w:line="240" w:lineRule="auto"/>
              <w:jc w:val="right"/>
              <w:rPr>
                <w:rFonts w:cs="Arial"/>
                <w:color w:val="000000"/>
                <w:sz w:val="16"/>
                <w:szCs w:val="16"/>
              </w:rPr>
            </w:pPr>
            <w:r>
              <w:rPr>
                <w:rFonts w:cs="Arial"/>
                <w:color w:val="000000"/>
                <w:sz w:val="16"/>
                <w:szCs w:val="16"/>
              </w:rPr>
              <w:t>5,1</w:t>
            </w:r>
          </w:p>
        </w:tc>
      </w:tr>
      <w:tr w:rsidR="00D96D3A" w:rsidRPr="002B7648" w14:paraId="677E2467" w14:textId="77777777" w:rsidTr="000031F2">
        <w:trPr>
          <w:trHeight w:val="300"/>
        </w:trPr>
        <w:tc>
          <w:tcPr>
            <w:tcW w:w="2410" w:type="dxa"/>
            <w:tcBorders>
              <w:top w:val="nil"/>
              <w:left w:val="single" w:sz="4" w:space="0" w:color="auto"/>
              <w:bottom w:val="nil"/>
              <w:right w:val="single" w:sz="8" w:space="0" w:color="auto"/>
            </w:tcBorders>
            <w:shd w:val="clear" w:color="auto" w:fill="auto"/>
            <w:noWrap/>
            <w:vAlign w:val="center"/>
            <w:hideMark/>
          </w:tcPr>
          <w:p w14:paraId="0E5146B1" w14:textId="77777777" w:rsidR="00D96D3A" w:rsidRPr="002B7648" w:rsidRDefault="00D96D3A" w:rsidP="00D96D3A">
            <w:pPr>
              <w:keepNext/>
              <w:spacing w:after="0" w:line="240" w:lineRule="auto"/>
              <w:rPr>
                <w:rFonts w:cs="Arial"/>
                <w:color w:val="000000"/>
                <w:sz w:val="16"/>
                <w:szCs w:val="16"/>
              </w:rPr>
            </w:pPr>
            <w:r w:rsidRPr="002B7648">
              <w:rPr>
                <w:rFonts w:cs="Arial"/>
                <w:color w:val="000000"/>
                <w:sz w:val="16"/>
                <w:szCs w:val="16"/>
              </w:rPr>
              <w:t>církevní</w:t>
            </w:r>
          </w:p>
        </w:tc>
        <w:tc>
          <w:tcPr>
            <w:tcW w:w="750" w:type="dxa"/>
            <w:tcBorders>
              <w:top w:val="nil"/>
              <w:left w:val="nil"/>
              <w:bottom w:val="nil"/>
              <w:right w:val="nil"/>
            </w:tcBorders>
            <w:shd w:val="clear" w:color="auto" w:fill="auto"/>
            <w:noWrap/>
            <w:vAlign w:val="center"/>
            <w:hideMark/>
          </w:tcPr>
          <w:p w14:paraId="5F11BFAD" w14:textId="77777777" w:rsidR="00D96D3A" w:rsidRPr="002B7648" w:rsidRDefault="00D96D3A" w:rsidP="00D96D3A">
            <w:pPr>
              <w:keepNext/>
              <w:spacing w:after="0" w:line="240" w:lineRule="auto"/>
              <w:jc w:val="right"/>
              <w:rPr>
                <w:rFonts w:cs="Arial"/>
                <w:color w:val="000000"/>
                <w:sz w:val="16"/>
                <w:szCs w:val="16"/>
              </w:rPr>
            </w:pPr>
            <w:r w:rsidRPr="002B7648">
              <w:rPr>
                <w:rFonts w:cs="Arial"/>
                <w:color w:val="000000"/>
                <w:sz w:val="16"/>
                <w:szCs w:val="16"/>
              </w:rPr>
              <w:t>2</w:t>
            </w:r>
          </w:p>
        </w:tc>
        <w:tc>
          <w:tcPr>
            <w:tcW w:w="1093" w:type="dxa"/>
            <w:gridSpan w:val="2"/>
            <w:tcBorders>
              <w:top w:val="nil"/>
              <w:left w:val="nil"/>
              <w:bottom w:val="nil"/>
              <w:right w:val="single" w:sz="8" w:space="0" w:color="auto"/>
            </w:tcBorders>
            <w:shd w:val="clear" w:color="auto" w:fill="auto"/>
            <w:noWrap/>
            <w:vAlign w:val="center"/>
            <w:hideMark/>
          </w:tcPr>
          <w:p w14:paraId="46F345B6" w14:textId="77777777" w:rsidR="00D96D3A" w:rsidRPr="002B7648" w:rsidRDefault="00D96D3A" w:rsidP="00D96D3A">
            <w:pPr>
              <w:keepNext/>
              <w:spacing w:after="0" w:line="240" w:lineRule="auto"/>
              <w:jc w:val="right"/>
              <w:rPr>
                <w:rFonts w:cs="Arial"/>
                <w:i/>
                <w:iCs/>
                <w:color w:val="000000"/>
                <w:sz w:val="16"/>
                <w:szCs w:val="16"/>
              </w:rPr>
            </w:pPr>
            <w:r w:rsidRPr="002B7648">
              <w:rPr>
                <w:rFonts w:cs="Arial"/>
                <w:i/>
                <w:iCs/>
                <w:color w:val="000000"/>
                <w:sz w:val="16"/>
                <w:szCs w:val="16"/>
              </w:rPr>
              <w:t>11,1</w:t>
            </w:r>
          </w:p>
        </w:tc>
        <w:tc>
          <w:tcPr>
            <w:tcW w:w="850" w:type="dxa"/>
            <w:tcBorders>
              <w:top w:val="nil"/>
              <w:left w:val="nil"/>
              <w:bottom w:val="nil"/>
              <w:right w:val="nil"/>
            </w:tcBorders>
            <w:shd w:val="clear" w:color="auto" w:fill="auto"/>
            <w:noWrap/>
            <w:vAlign w:val="center"/>
            <w:hideMark/>
          </w:tcPr>
          <w:p w14:paraId="7DC6263D" w14:textId="77777777" w:rsidR="00D96D3A" w:rsidRPr="0042049A" w:rsidRDefault="00D96D3A" w:rsidP="00D96D3A">
            <w:pPr>
              <w:keepNext/>
              <w:spacing w:after="0" w:line="240" w:lineRule="auto"/>
              <w:jc w:val="right"/>
              <w:rPr>
                <w:rFonts w:cs="Arial"/>
                <w:color w:val="000000"/>
                <w:sz w:val="16"/>
                <w:szCs w:val="16"/>
              </w:rPr>
            </w:pPr>
            <w:r w:rsidRPr="0042049A">
              <w:rPr>
                <w:sz w:val="16"/>
                <w:szCs w:val="16"/>
              </w:rPr>
              <w:t>242</w:t>
            </w:r>
          </w:p>
        </w:tc>
        <w:tc>
          <w:tcPr>
            <w:tcW w:w="1134" w:type="dxa"/>
            <w:tcBorders>
              <w:top w:val="nil"/>
              <w:left w:val="nil"/>
              <w:bottom w:val="nil"/>
              <w:right w:val="single" w:sz="8" w:space="0" w:color="auto"/>
            </w:tcBorders>
            <w:shd w:val="clear" w:color="auto" w:fill="auto"/>
            <w:noWrap/>
            <w:vAlign w:val="center"/>
            <w:hideMark/>
          </w:tcPr>
          <w:p w14:paraId="35B5EB2C" w14:textId="77777777" w:rsidR="00D96D3A" w:rsidRPr="0042049A" w:rsidRDefault="00D96D3A" w:rsidP="00D96D3A">
            <w:pPr>
              <w:keepNext/>
              <w:spacing w:after="0" w:line="240" w:lineRule="auto"/>
              <w:jc w:val="right"/>
              <w:rPr>
                <w:rFonts w:cs="Arial"/>
                <w:i/>
                <w:iCs/>
                <w:color w:val="000000"/>
                <w:sz w:val="16"/>
                <w:szCs w:val="16"/>
              </w:rPr>
            </w:pPr>
            <w:r w:rsidRPr="0042049A">
              <w:rPr>
                <w:rFonts w:cs="Arial"/>
                <w:i/>
                <w:iCs/>
                <w:color w:val="000000"/>
                <w:sz w:val="16"/>
                <w:szCs w:val="16"/>
              </w:rPr>
              <w:t>6,2</w:t>
            </w:r>
          </w:p>
        </w:tc>
        <w:tc>
          <w:tcPr>
            <w:tcW w:w="1083" w:type="dxa"/>
            <w:tcBorders>
              <w:top w:val="nil"/>
              <w:left w:val="nil"/>
              <w:bottom w:val="nil"/>
              <w:right w:val="nil"/>
            </w:tcBorders>
            <w:shd w:val="clear" w:color="auto" w:fill="auto"/>
            <w:noWrap/>
            <w:vAlign w:val="center"/>
            <w:hideMark/>
          </w:tcPr>
          <w:p w14:paraId="1F0BB7F3" w14:textId="77777777" w:rsidR="00D96D3A" w:rsidRPr="002B7648" w:rsidRDefault="00D96D3A" w:rsidP="00D96D3A">
            <w:pPr>
              <w:keepNext/>
              <w:spacing w:after="0" w:line="240" w:lineRule="auto"/>
              <w:jc w:val="right"/>
              <w:rPr>
                <w:rFonts w:cs="Arial"/>
                <w:color w:val="000000"/>
                <w:sz w:val="16"/>
                <w:szCs w:val="16"/>
              </w:rPr>
            </w:pPr>
            <w:r>
              <w:rPr>
                <w:rFonts w:cs="Arial"/>
                <w:color w:val="000000"/>
                <w:sz w:val="16"/>
                <w:szCs w:val="16"/>
              </w:rPr>
              <w:t>61,4</w:t>
            </w:r>
          </w:p>
        </w:tc>
        <w:tc>
          <w:tcPr>
            <w:tcW w:w="902" w:type="dxa"/>
            <w:tcBorders>
              <w:top w:val="nil"/>
              <w:left w:val="nil"/>
              <w:bottom w:val="nil"/>
              <w:right w:val="single" w:sz="8" w:space="0" w:color="auto"/>
            </w:tcBorders>
            <w:shd w:val="clear" w:color="auto" w:fill="auto"/>
            <w:noWrap/>
            <w:vAlign w:val="center"/>
            <w:hideMark/>
          </w:tcPr>
          <w:p w14:paraId="1F9CAB43" w14:textId="77777777" w:rsidR="00D96D3A" w:rsidRPr="002B7648" w:rsidRDefault="00D96D3A" w:rsidP="00D96D3A">
            <w:pPr>
              <w:keepNext/>
              <w:spacing w:after="0" w:line="240" w:lineRule="auto"/>
              <w:jc w:val="right"/>
              <w:rPr>
                <w:rFonts w:cs="Arial"/>
                <w:i/>
                <w:iCs/>
                <w:color w:val="000000"/>
                <w:sz w:val="16"/>
                <w:szCs w:val="16"/>
              </w:rPr>
            </w:pPr>
            <w:r>
              <w:rPr>
                <w:rFonts w:cs="Arial"/>
                <w:i/>
                <w:iCs/>
                <w:color w:val="000000"/>
                <w:sz w:val="16"/>
                <w:szCs w:val="16"/>
              </w:rPr>
              <w:t>5,6</w:t>
            </w:r>
          </w:p>
        </w:tc>
        <w:tc>
          <w:tcPr>
            <w:tcW w:w="850" w:type="dxa"/>
            <w:tcBorders>
              <w:top w:val="nil"/>
              <w:left w:val="nil"/>
              <w:bottom w:val="nil"/>
              <w:right w:val="single" w:sz="4" w:space="0" w:color="auto"/>
            </w:tcBorders>
            <w:shd w:val="clear" w:color="auto" w:fill="auto"/>
            <w:noWrap/>
            <w:vAlign w:val="center"/>
            <w:hideMark/>
          </w:tcPr>
          <w:p w14:paraId="5862F5D7" w14:textId="77777777" w:rsidR="00D96D3A" w:rsidRPr="002B7648" w:rsidRDefault="00D96D3A" w:rsidP="00D96D3A">
            <w:pPr>
              <w:keepNext/>
              <w:spacing w:after="0" w:line="240" w:lineRule="auto"/>
              <w:jc w:val="right"/>
              <w:rPr>
                <w:rFonts w:cs="Arial"/>
                <w:color w:val="000000"/>
                <w:sz w:val="16"/>
                <w:szCs w:val="16"/>
              </w:rPr>
            </w:pPr>
            <w:r>
              <w:rPr>
                <w:rFonts w:cs="Arial"/>
                <w:color w:val="000000"/>
                <w:sz w:val="16"/>
                <w:szCs w:val="16"/>
              </w:rPr>
              <w:t>3,9</w:t>
            </w:r>
          </w:p>
        </w:tc>
      </w:tr>
      <w:tr w:rsidR="00D96D3A" w:rsidRPr="002B7648" w14:paraId="130CBFCB" w14:textId="77777777" w:rsidTr="000031F2">
        <w:trPr>
          <w:trHeight w:val="300"/>
        </w:trPr>
        <w:tc>
          <w:tcPr>
            <w:tcW w:w="2410" w:type="dxa"/>
            <w:tcBorders>
              <w:top w:val="nil"/>
              <w:left w:val="single" w:sz="4" w:space="0" w:color="auto"/>
              <w:bottom w:val="single" w:sz="4" w:space="0" w:color="auto"/>
              <w:right w:val="single" w:sz="8" w:space="0" w:color="auto"/>
            </w:tcBorders>
            <w:shd w:val="clear" w:color="auto" w:fill="auto"/>
            <w:noWrap/>
            <w:vAlign w:val="center"/>
            <w:hideMark/>
          </w:tcPr>
          <w:p w14:paraId="6D476173" w14:textId="77777777" w:rsidR="00D96D3A" w:rsidRPr="002B7648" w:rsidRDefault="00D96D3A" w:rsidP="00D96D3A">
            <w:pPr>
              <w:keepNext/>
              <w:spacing w:after="0" w:line="240" w:lineRule="auto"/>
              <w:rPr>
                <w:rFonts w:cs="Arial"/>
                <w:b/>
                <w:bCs/>
                <w:color w:val="000000"/>
                <w:sz w:val="16"/>
                <w:szCs w:val="16"/>
              </w:rPr>
            </w:pPr>
            <w:r w:rsidRPr="002B7648">
              <w:rPr>
                <w:rFonts w:cs="Arial"/>
                <w:b/>
                <w:bCs/>
                <w:color w:val="000000"/>
                <w:sz w:val="16"/>
                <w:szCs w:val="16"/>
              </w:rPr>
              <w:t>celkem</w:t>
            </w:r>
          </w:p>
        </w:tc>
        <w:tc>
          <w:tcPr>
            <w:tcW w:w="750" w:type="dxa"/>
            <w:tcBorders>
              <w:top w:val="nil"/>
              <w:left w:val="nil"/>
              <w:bottom w:val="single" w:sz="4" w:space="0" w:color="auto"/>
              <w:right w:val="nil"/>
            </w:tcBorders>
            <w:shd w:val="clear" w:color="auto" w:fill="auto"/>
            <w:noWrap/>
            <w:vAlign w:val="center"/>
            <w:hideMark/>
          </w:tcPr>
          <w:p w14:paraId="66727767" w14:textId="77777777" w:rsidR="00D96D3A" w:rsidRPr="002B7648" w:rsidRDefault="00D96D3A" w:rsidP="00D96D3A">
            <w:pPr>
              <w:keepNext/>
              <w:spacing w:after="0" w:line="240" w:lineRule="auto"/>
              <w:jc w:val="right"/>
              <w:rPr>
                <w:rFonts w:cs="Arial"/>
                <w:b/>
                <w:bCs/>
                <w:color w:val="000000"/>
                <w:sz w:val="16"/>
                <w:szCs w:val="16"/>
              </w:rPr>
            </w:pPr>
            <w:r w:rsidRPr="002B7648">
              <w:rPr>
                <w:rFonts w:cs="Arial"/>
                <w:b/>
                <w:bCs/>
                <w:color w:val="000000"/>
                <w:sz w:val="16"/>
                <w:szCs w:val="16"/>
              </w:rPr>
              <w:t>18</w:t>
            </w:r>
          </w:p>
        </w:tc>
        <w:tc>
          <w:tcPr>
            <w:tcW w:w="1093" w:type="dxa"/>
            <w:gridSpan w:val="2"/>
            <w:tcBorders>
              <w:top w:val="nil"/>
              <w:left w:val="nil"/>
              <w:bottom w:val="single" w:sz="4" w:space="0" w:color="auto"/>
              <w:right w:val="single" w:sz="8" w:space="0" w:color="auto"/>
            </w:tcBorders>
            <w:shd w:val="clear" w:color="auto" w:fill="auto"/>
            <w:noWrap/>
            <w:vAlign w:val="center"/>
            <w:hideMark/>
          </w:tcPr>
          <w:p w14:paraId="505BA9B8" w14:textId="77777777" w:rsidR="00D96D3A" w:rsidRPr="00F8241E" w:rsidRDefault="00D96D3A" w:rsidP="00D96D3A">
            <w:pPr>
              <w:keepNext/>
              <w:spacing w:after="0" w:line="240" w:lineRule="auto"/>
              <w:jc w:val="right"/>
              <w:rPr>
                <w:rFonts w:cs="Arial"/>
                <w:b/>
                <w:i/>
                <w:iCs/>
                <w:color w:val="000000"/>
                <w:sz w:val="16"/>
                <w:szCs w:val="16"/>
              </w:rPr>
            </w:pPr>
            <w:r w:rsidRPr="00F8241E">
              <w:rPr>
                <w:rFonts w:cs="Arial"/>
                <w:b/>
                <w:i/>
                <w:iCs/>
                <w:color w:val="000000"/>
                <w:sz w:val="16"/>
                <w:szCs w:val="16"/>
              </w:rPr>
              <w:t>100</w:t>
            </w:r>
          </w:p>
        </w:tc>
        <w:tc>
          <w:tcPr>
            <w:tcW w:w="850" w:type="dxa"/>
            <w:tcBorders>
              <w:top w:val="nil"/>
              <w:left w:val="nil"/>
              <w:bottom w:val="single" w:sz="4" w:space="0" w:color="auto"/>
              <w:right w:val="nil"/>
            </w:tcBorders>
            <w:shd w:val="clear" w:color="auto" w:fill="auto"/>
            <w:noWrap/>
            <w:vAlign w:val="center"/>
            <w:hideMark/>
          </w:tcPr>
          <w:p w14:paraId="678AE8FC" w14:textId="335B4102" w:rsidR="00D96D3A" w:rsidRPr="00F8241E" w:rsidRDefault="00D96D3A" w:rsidP="00D96D3A">
            <w:pPr>
              <w:keepNext/>
              <w:spacing w:after="0" w:line="240" w:lineRule="auto"/>
              <w:jc w:val="right"/>
              <w:rPr>
                <w:rFonts w:cs="Arial"/>
                <w:b/>
                <w:bCs/>
                <w:color w:val="000000"/>
                <w:sz w:val="16"/>
                <w:szCs w:val="16"/>
              </w:rPr>
            </w:pPr>
            <w:r w:rsidRPr="00F8241E">
              <w:rPr>
                <w:b/>
                <w:sz w:val="16"/>
                <w:szCs w:val="16"/>
              </w:rPr>
              <w:t>3</w:t>
            </w:r>
            <w:r w:rsidR="000031F2" w:rsidRPr="00F8241E">
              <w:rPr>
                <w:b/>
                <w:sz w:val="16"/>
                <w:szCs w:val="16"/>
              </w:rPr>
              <w:t> </w:t>
            </w:r>
            <w:r w:rsidRPr="00F8241E">
              <w:rPr>
                <w:b/>
                <w:sz w:val="16"/>
                <w:szCs w:val="16"/>
              </w:rPr>
              <w:t>880</w:t>
            </w:r>
          </w:p>
        </w:tc>
        <w:tc>
          <w:tcPr>
            <w:tcW w:w="1134" w:type="dxa"/>
            <w:tcBorders>
              <w:top w:val="nil"/>
              <w:left w:val="nil"/>
              <w:bottom w:val="single" w:sz="4" w:space="0" w:color="auto"/>
              <w:right w:val="single" w:sz="8" w:space="0" w:color="auto"/>
            </w:tcBorders>
            <w:shd w:val="clear" w:color="auto" w:fill="auto"/>
            <w:noWrap/>
            <w:vAlign w:val="center"/>
            <w:hideMark/>
          </w:tcPr>
          <w:p w14:paraId="5718F006" w14:textId="77777777" w:rsidR="00D96D3A" w:rsidRPr="00F8241E" w:rsidRDefault="00D96D3A" w:rsidP="00D96D3A">
            <w:pPr>
              <w:keepNext/>
              <w:spacing w:after="0" w:line="240" w:lineRule="auto"/>
              <w:jc w:val="right"/>
              <w:rPr>
                <w:rFonts w:cs="Arial"/>
                <w:b/>
                <w:i/>
                <w:iCs/>
                <w:color w:val="000000"/>
                <w:sz w:val="16"/>
                <w:szCs w:val="16"/>
              </w:rPr>
            </w:pPr>
            <w:r w:rsidRPr="00F8241E">
              <w:rPr>
                <w:rFonts w:cs="Arial"/>
                <w:b/>
                <w:i/>
                <w:iCs/>
                <w:color w:val="000000"/>
                <w:sz w:val="16"/>
                <w:szCs w:val="16"/>
              </w:rPr>
              <w:t>100</w:t>
            </w:r>
          </w:p>
        </w:tc>
        <w:tc>
          <w:tcPr>
            <w:tcW w:w="1083" w:type="dxa"/>
            <w:tcBorders>
              <w:top w:val="nil"/>
              <w:left w:val="nil"/>
              <w:bottom w:val="single" w:sz="4" w:space="0" w:color="auto"/>
              <w:right w:val="nil"/>
            </w:tcBorders>
            <w:shd w:val="clear" w:color="auto" w:fill="auto"/>
            <w:noWrap/>
            <w:vAlign w:val="center"/>
            <w:hideMark/>
          </w:tcPr>
          <w:p w14:paraId="72BD0645" w14:textId="312681BE" w:rsidR="00D96D3A" w:rsidRPr="00F8241E" w:rsidRDefault="00D96D3A" w:rsidP="00D96D3A">
            <w:pPr>
              <w:keepNext/>
              <w:spacing w:after="0" w:line="240" w:lineRule="auto"/>
              <w:jc w:val="right"/>
              <w:rPr>
                <w:rFonts w:cs="Arial"/>
                <w:b/>
                <w:bCs/>
                <w:color w:val="000000"/>
                <w:sz w:val="16"/>
                <w:szCs w:val="16"/>
              </w:rPr>
            </w:pPr>
            <w:r w:rsidRPr="00F8241E">
              <w:rPr>
                <w:rFonts w:cs="Arial"/>
                <w:b/>
                <w:bCs/>
                <w:color w:val="000000"/>
                <w:sz w:val="16"/>
                <w:szCs w:val="16"/>
              </w:rPr>
              <w:t>1</w:t>
            </w:r>
            <w:r w:rsidR="000031F2" w:rsidRPr="00F8241E">
              <w:rPr>
                <w:rFonts w:cs="Arial"/>
                <w:b/>
                <w:bCs/>
                <w:color w:val="000000"/>
                <w:sz w:val="16"/>
                <w:szCs w:val="16"/>
              </w:rPr>
              <w:t> </w:t>
            </w:r>
            <w:r w:rsidRPr="00F8241E">
              <w:rPr>
                <w:rFonts w:cs="Arial"/>
                <w:b/>
                <w:bCs/>
                <w:color w:val="000000"/>
                <w:sz w:val="16"/>
                <w:szCs w:val="16"/>
              </w:rPr>
              <w:t>097,8</w:t>
            </w:r>
          </w:p>
        </w:tc>
        <w:tc>
          <w:tcPr>
            <w:tcW w:w="902" w:type="dxa"/>
            <w:tcBorders>
              <w:top w:val="nil"/>
              <w:left w:val="nil"/>
              <w:bottom w:val="single" w:sz="4" w:space="0" w:color="auto"/>
              <w:right w:val="single" w:sz="8" w:space="0" w:color="auto"/>
            </w:tcBorders>
            <w:shd w:val="clear" w:color="auto" w:fill="auto"/>
            <w:noWrap/>
            <w:vAlign w:val="center"/>
            <w:hideMark/>
          </w:tcPr>
          <w:p w14:paraId="58A67B14" w14:textId="77777777" w:rsidR="00D96D3A" w:rsidRPr="00F8241E" w:rsidRDefault="00D96D3A" w:rsidP="00D96D3A">
            <w:pPr>
              <w:keepNext/>
              <w:spacing w:after="0" w:line="240" w:lineRule="auto"/>
              <w:jc w:val="right"/>
              <w:rPr>
                <w:rFonts w:cs="Arial"/>
                <w:b/>
                <w:i/>
                <w:iCs/>
                <w:color w:val="000000"/>
                <w:sz w:val="16"/>
                <w:szCs w:val="16"/>
              </w:rPr>
            </w:pPr>
            <w:r w:rsidRPr="00F8241E">
              <w:rPr>
                <w:rFonts w:cs="Arial"/>
                <w:b/>
                <w:i/>
                <w:iCs/>
                <w:color w:val="000000"/>
                <w:sz w:val="16"/>
                <w:szCs w:val="16"/>
              </w:rPr>
              <w:t>100,0</w:t>
            </w:r>
          </w:p>
        </w:tc>
        <w:tc>
          <w:tcPr>
            <w:tcW w:w="850" w:type="dxa"/>
            <w:tcBorders>
              <w:top w:val="nil"/>
              <w:left w:val="nil"/>
              <w:bottom w:val="single" w:sz="4" w:space="0" w:color="auto"/>
              <w:right w:val="single" w:sz="4" w:space="0" w:color="auto"/>
            </w:tcBorders>
            <w:shd w:val="clear" w:color="auto" w:fill="auto"/>
            <w:noWrap/>
            <w:vAlign w:val="center"/>
            <w:hideMark/>
          </w:tcPr>
          <w:p w14:paraId="05CC8B68" w14:textId="77777777" w:rsidR="00D96D3A" w:rsidRPr="00F8241E" w:rsidRDefault="00D96D3A" w:rsidP="00D96D3A">
            <w:pPr>
              <w:keepNext/>
              <w:spacing w:after="0" w:line="240" w:lineRule="auto"/>
              <w:jc w:val="right"/>
              <w:rPr>
                <w:rFonts w:cs="Arial"/>
                <w:b/>
                <w:bCs/>
                <w:color w:val="000000"/>
                <w:sz w:val="16"/>
                <w:szCs w:val="16"/>
              </w:rPr>
            </w:pPr>
            <w:r w:rsidRPr="00F8241E">
              <w:rPr>
                <w:rFonts w:cs="Arial"/>
                <w:b/>
                <w:bCs/>
                <w:color w:val="000000"/>
                <w:sz w:val="16"/>
                <w:szCs w:val="16"/>
              </w:rPr>
              <w:t>3,5</w:t>
            </w:r>
          </w:p>
        </w:tc>
      </w:tr>
    </w:tbl>
    <w:p w14:paraId="6B268C43" w14:textId="77777777" w:rsidR="00D96D3A" w:rsidRPr="000B58F9" w:rsidRDefault="00D96D3A" w:rsidP="00D96D3A">
      <w:pPr>
        <w:keepNext/>
        <w:spacing w:after="0" w:line="240" w:lineRule="auto"/>
        <w:rPr>
          <w:b/>
        </w:rPr>
      </w:pPr>
    </w:p>
    <w:p w14:paraId="40DFC50D" w14:textId="77777777" w:rsidR="00D96D3A" w:rsidRPr="00BA2972" w:rsidRDefault="00D96D3A" w:rsidP="00D96D3A">
      <w:pPr>
        <w:keepNext/>
        <w:spacing w:after="0" w:line="240" w:lineRule="auto"/>
        <w:rPr>
          <w:sz w:val="18"/>
          <w:szCs w:val="18"/>
        </w:rPr>
      </w:pPr>
      <w:r w:rsidRPr="00BA2972">
        <w:rPr>
          <w:sz w:val="18"/>
          <w:szCs w:val="18"/>
          <w:vertAlign w:val="superscript"/>
        </w:rPr>
        <w:t>*)</w:t>
      </w:r>
      <w:r w:rsidRPr="00BA2972">
        <w:rPr>
          <w:sz w:val="18"/>
          <w:szCs w:val="18"/>
        </w:rPr>
        <w:t xml:space="preserve"> přepočteni na počet plných úvazků, neboli plně zaměstnané učitele</w:t>
      </w:r>
    </w:p>
    <w:p w14:paraId="7666FCBF" w14:textId="1EA7C38C" w:rsidR="00D96D3A" w:rsidRPr="00D96D3A" w:rsidRDefault="00D96D3A" w:rsidP="00D96D3A">
      <w:pPr>
        <w:spacing w:after="120" w:line="276" w:lineRule="auto"/>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1AA9B1C2" w14:textId="3BDDEFF5" w:rsidR="00D96D3A" w:rsidRDefault="00FA7769" w:rsidP="00FA7769">
      <w:pPr>
        <w:spacing w:after="120"/>
        <w:jc w:val="both"/>
      </w:pPr>
      <w:r w:rsidRPr="001D1AB1">
        <w:lastRenderedPageBreak/>
        <w:t xml:space="preserve">Na jednoho </w:t>
      </w:r>
      <w:r w:rsidRPr="001D1AB1">
        <w:rPr>
          <w:b/>
        </w:rPr>
        <w:t xml:space="preserve">učitele </w:t>
      </w:r>
      <w:r w:rsidRPr="001D1AB1">
        <w:t xml:space="preserve">(resp. na jeden plný úvazek </w:t>
      </w:r>
      <w:r w:rsidR="002B7648">
        <w:t>učitele) př</w:t>
      </w:r>
      <w:r w:rsidR="00780F58">
        <w:t>ipadalo v průměru 3,5</w:t>
      </w:r>
      <w:r w:rsidRPr="001D1AB1">
        <w:t xml:space="preserve"> žáka. Přitom ve školách s veřejným zřizovatelem při</w:t>
      </w:r>
      <w:r w:rsidR="007B7EF6">
        <w:t>padalo na jednoho učitele</w:t>
      </w:r>
      <w:r w:rsidR="00780F58">
        <w:t xml:space="preserve"> méně žáků (3,3</w:t>
      </w:r>
      <w:r w:rsidRPr="001D1AB1">
        <w:t>), než jak tomu bylo ve školách se soukro</w:t>
      </w:r>
      <w:r w:rsidR="009A0F7E">
        <w:t>mým či církevn</w:t>
      </w:r>
      <w:r w:rsidR="00780F58">
        <w:t>ím zřizovatelem (5,1, resp. 3,9</w:t>
      </w:r>
      <w:r w:rsidRPr="001D1AB1">
        <w:t xml:space="preserve"> žáka)</w:t>
      </w:r>
      <w:r w:rsidR="00B01436">
        <w:t xml:space="preserve">. </w:t>
      </w:r>
      <w:r w:rsidR="00780F58">
        <w:t xml:space="preserve">Ač </w:t>
      </w:r>
      <w:r w:rsidR="00D96D3A">
        <w:t>byl</w:t>
      </w:r>
      <w:r w:rsidR="00780F58">
        <w:t xml:space="preserve"> stále po</w:t>
      </w:r>
      <w:r w:rsidR="00E1747A">
        <w:t>čet žáků na plný úvazek učitele</w:t>
      </w:r>
      <w:r w:rsidR="00D96D3A">
        <w:t xml:space="preserve"> ve školním roce 2021/22 </w:t>
      </w:r>
      <w:r w:rsidR="00780F58">
        <w:t xml:space="preserve">nejvyšší v soukromých školách, oproti </w:t>
      </w:r>
      <w:r w:rsidR="00D96D3A">
        <w:t>školnímu</w:t>
      </w:r>
      <w:r w:rsidR="00780F58">
        <w:t xml:space="preserve"> roku </w:t>
      </w:r>
      <w:r w:rsidR="00D96D3A">
        <w:t>2020/21 kles</w:t>
      </w:r>
      <w:r w:rsidR="00780F58">
        <w:t>l ze</w:t>
      </w:r>
      <w:r w:rsidR="00D96D3A">
        <w:t xml:space="preserve"> 13,9 žáka na úvazek učitele na 5,1 žáka na učitele. Lze však poznamenat, že školní rok 2020/21 byl co se poč</w:t>
      </w:r>
      <w:r w:rsidR="009A0F7E">
        <w:t>t</w:t>
      </w:r>
      <w:r w:rsidR="00D96D3A">
        <w:t>u</w:t>
      </w:r>
      <w:r w:rsidR="009A0F7E">
        <w:t xml:space="preserve"> úvazků učitelů v soukromých školách </w:t>
      </w:r>
      <w:r w:rsidR="00D96D3A">
        <w:t>výjimečný - o</w:t>
      </w:r>
      <w:r w:rsidR="009A0F7E">
        <w:t xml:space="preserve">proti školnímu roku 2019/20 </w:t>
      </w:r>
      <w:r w:rsidR="00E317EF">
        <w:t xml:space="preserve">se </w:t>
      </w:r>
      <w:r w:rsidR="00D96D3A">
        <w:t xml:space="preserve">jejich počet </w:t>
      </w:r>
      <w:r w:rsidR="00E317EF">
        <w:t>snížil</w:t>
      </w:r>
      <w:r w:rsidR="009A0F7E">
        <w:t xml:space="preserve"> o 85,6 % (ze 124,8 plných úvazků</w:t>
      </w:r>
      <w:r w:rsidR="00D96D3A">
        <w:t xml:space="preserve"> na 40,2 úvazku</w:t>
      </w:r>
      <w:r w:rsidR="009A0F7E">
        <w:t xml:space="preserve">). Nabízí se </w:t>
      </w:r>
      <w:r w:rsidR="001D4165">
        <w:t xml:space="preserve">tedy </w:t>
      </w:r>
      <w:r w:rsidR="009A0F7E">
        <w:t>hypotéza, že během pandemie on</w:t>
      </w:r>
      <w:r w:rsidR="007B7EF6">
        <w:t xml:space="preserve">emocnění </w:t>
      </w:r>
      <w:r w:rsidR="00E27CE6">
        <w:t>covid</w:t>
      </w:r>
      <w:r w:rsidR="007B7EF6">
        <w:t>-19</w:t>
      </w:r>
      <w:r w:rsidR="00D96D3A">
        <w:t>, kdy se zavíraly školy a vyučovalo se z velké části dálkově,</w:t>
      </w:r>
      <w:r w:rsidR="007B7EF6">
        <w:t xml:space="preserve"> soukromé konzervatoře</w:t>
      </w:r>
      <w:r w:rsidR="009A0F7E">
        <w:t xml:space="preserve"> </w:t>
      </w:r>
      <w:r w:rsidR="00D96D3A">
        <w:t>dočasně z</w:t>
      </w:r>
      <w:r w:rsidR="009A0F7E">
        <w:t xml:space="preserve">redukovaly počet úvazků učitelů. </w:t>
      </w:r>
    </w:p>
    <w:p w14:paraId="0E1C2131" w14:textId="056846AF" w:rsidR="009A0F7E" w:rsidRPr="001D1AB1" w:rsidRDefault="00B01436" w:rsidP="00FA7769">
      <w:pPr>
        <w:spacing w:after="120"/>
        <w:jc w:val="both"/>
      </w:pPr>
      <w:r>
        <w:t>Pokud se jedná o </w:t>
      </w:r>
      <w:r w:rsidR="00FA7769" w:rsidRPr="001D1AB1">
        <w:t>genderové složení, v kapitole věnované středním školám bylo řečeno, že tři pětiny všech středoškolských učitelů přepočtených na plně zaměstn</w:t>
      </w:r>
      <w:r w:rsidR="006E63F2">
        <w:t>ané tvořily ženy. Oproti tomu v </w:t>
      </w:r>
      <w:r w:rsidR="00FA7769" w:rsidRPr="001D1AB1">
        <w:t xml:space="preserve">konzervatořích byl podíl žen a mužů mezi pedagogy </w:t>
      </w:r>
      <w:r w:rsidR="00D96D3A">
        <w:t xml:space="preserve">poměrně </w:t>
      </w:r>
      <w:r w:rsidR="00FA7769" w:rsidRPr="001D1AB1">
        <w:t>vyrovnaný. Ve škol</w:t>
      </w:r>
      <w:r w:rsidR="00D96D3A">
        <w:t>ním roce 2021/22</w:t>
      </w:r>
      <w:r w:rsidR="006E63F2">
        <w:t xml:space="preserve"> tvořily</w:t>
      </w:r>
      <w:r w:rsidR="00D96D3A">
        <w:t xml:space="preserve"> ženy 53</w:t>
      </w:r>
      <w:r w:rsidR="006E63F2">
        <w:t>,1</w:t>
      </w:r>
      <w:r w:rsidR="00FA7769" w:rsidRPr="001D1AB1">
        <w:t> % všech učitelů.</w:t>
      </w:r>
    </w:p>
    <w:p w14:paraId="34145A96" w14:textId="2DF1962B" w:rsidR="00FA7769" w:rsidRPr="00FA42B4" w:rsidRDefault="00FA7769" w:rsidP="00FA7769">
      <w:pPr>
        <w:spacing w:after="120"/>
        <w:jc w:val="both"/>
        <w:rPr>
          <w:rFonts w:cs="Arial"/>
          <w:szCs w:val="20"/>
        </w:rPr>
      </w:pPr>
      <w:r w:rsidRPr="00FA42B4">
        <w:rPr>
          <w:rFonts w:cs="Arial"/>
          <w:szCs w:val="20"/>
        </w:rPr>
        <w:t xml:space="preserve">Věnujme nyní pozornost </w:t>
      </w:r>
      <w:r w:rsidRPr="00FA42B4">
        <w:rPr>
          <w:rFonts w:cs="Arial"/>
          <w:b/>
          <w:szCs w:val="20"/>
        </w:rPr>
        <w:t>vývoji počtu žáků v čase</w:t>
      </w:r>
      <w:r w:rsidRPr="00FA42B4">
        <w:rPr>
          <w:rFonts w:cs="Arial"/>
          <w:szCs w:val="20"/>
        </w:rPr>
        <w:t xml:space="preserve">. </w:t>
      </w:r>
      <w:r w:rsidRPr="00B50212">
        <w:rPr>
          <w:rFonts w:cs="Arial"/>
          <w:szCs w:val="20"/>
        </w:rPr>
        <w:t xml:space="preserve">Výše bylo uvedeno, že počet </w:t>
      </w:r>
      <w:r w:rsidR="0072483C" w:rsidRPr="00B50212">
        <w:rPr>
          <w:rFonts w:cs="Arial"/>
          <w:szCs w:val="20"/>
        </w:rPr>
        <w:t>žáků</w:t>
      </w:r>
      <w:r w:rsidR="00B50212" w:rsidRPr="00B50212">
        <w:rPr>
          <w:rFonts w:cs="Arial"/>
          <w:szCs w:val="20"/>
        </w:rPr>
        <w:t xml:space="preserve"> v </w:t>
      </w:r>
      <w:r w:rsidRPr="00B50212">
        <w:rPr>
          <w:rFonts w:cs="Arial"/>
          <w:szCs w:val="20"/>
        </w:rPr>
        <w:t>základních školách měl v posledních deseti lete</w:t>
      </w:r>
      <w:r w:rsidR="006E63F2" w:rsidRPr="00B50212">
        <w:rPr>
          <w:rFonts w:cs="Arial"/>
          <w:szCs w:val="20"/>
        </w:rPr>
        <w:t>ch vzestupnou tendenci. P</w:t>
      </w:r>
      <w:r w:rsidR="00B50212" w:rsidRPr="00B50212">
        <w:rPr>
          <w:rFonts w:cs="Arial"/>
          <w:szCs w:val="20"/>
        </w:rPr>
        <w:t>očet žáků</w:t>
      </w:r>
      <w:r w:rsidRPr="00B50212">
        <w:rPr>
          <w:rFonts w:cs="Arial"/>
          <w:szCs w:val="20"/>
        </w:rPr>
        <w:t xml:space="preserve"> ve středních školách naopak klesal</w:t>
      </w:r>
      <w:r w:rsidR="006E63F2" w:rsidRPr="00B50212">
        <w:rPr>
          <w:rFonts w:cs="Arial"/>
          <w:szCs w:val="20"/>
        </w:rPr>
        <w:t xml:space="preserve"> a teprve v posledních </w:t>
      </w:r>
      <w:r w:rsidR="00B50212" w:rsidRPr="00B50212">
        <w:rPr>
          <w:rFonts w:cs="Arial"/>
          <w:szCs w:val="20"/>
        </w:rPr>
        <w:t>třech</w:t>
      </w:r>
      <w:r w:rsidR="006E63F2" w:rsidRPr="00B50212">
        <w:rPr>
          <w:rFonts w:cs="Arial"/>
          <w:szCs w:val="20"/>
        </w:rPr>
        <w:t xml:space="preserve"> školních rocích začal stoupat</w:t>
      </w:r>
      <w:r w:rsidRPr="00B50212">
        <w:rPr>
          <w:rFonts w:cs="Arial"/>
          <w:szCs w:val="20"/>
        </w:rPr>
        <w:t>.</w:t>
      </w:r>
      <w:r w:rsidRPr="00FA42B4">
        <w:rPr>
          <w:rFonts w:cs="Arial"/>
          <w:szCs w:val="20"/>
        </w:rPr>
        <w:t xml:space="preserve"> Pokud se jedná o konzervatoře, počet žáků se v desetileté časové řadě zvýšil z 3 </w:t>
      </w:r>
      <w:r w:rsidR="00B50212">
        <w:rPr>
          <w:rFonts w:cs="Arial"/>
          <w:szCs w:val="20"/>
        </w:rPr>
        <w:t>557 žáků ve školním roce 2011/12</w:t>
      </w:r>
      <w:r w:rsidRPr="00FA42B4">
        <w:rPr>
          <w:rFonts w:cs="Arial"/>
          <w:szCs w:val="20"/>
        </w:rPr>
        <w:t xml:space="preserve"> na 3 </w:t>
      </w:r>
      <w:r w:rsidR="00443055">
        <w:rPr>
          <w:rFonts w:cs="Arial"/>
          <w:szCs w:val="20"/>
        </w:rPr>
        <w:t>902 žáků ve školním roce 2020/21</w:t>
      </w:r>
      <w:r w:rsidR="00B50212">
        <w:rPr>
          <w:rFonts w:cs="Arial"/>
          <w:szCs w:val="20"/>
        </w:rPr>
        <w:t>, v posledním roce však mírně poklesl na 3 880 žáků</w:t>
      </w:r>
      <w:r w:rsidRPr="00FA42B4">
        <w:rPr>
          <w:rFonts w:cs="Arial"/>
          <w:szCs w:val="20"/>
        </w:rPr>
        <w:t xml:space="preserve">. Podíl dívek z těchto žáků se ve sledovaných školních rocích pohyboval mezi 61 % ve školním roce 2011/12 a 64,3 % ve školním roce 2017/18 – viz graf </w:t>
      </w:r>
      <w:r>
        <w:rPr>
          <w:rFonts w:cs="Arial"/>
          <w:szCs w:val="20"/>
        </w:rPr>
        <w:t>4.1</w:t>
      </w:r>
      <w:r w:rsidRPr="00FA42B4">
        <w:rPr>
          <w:rFonts w:cs="Arial"/>
          <w:szCs w:val="20"/>
        </w:rPr>
        <w:t xml:space="preserve">. Doplňme, že za posledních </w:t>
      </w:r>
      <w:r w:rsidR="00B50212">
        <w:rPr>
          <w:rFonts w:cs="Arial"/>
          <w:szCs w:val="20"/>
        </w:rPr>
        <w:t>deset</w:t>
      </w:r>
      <w:r w:rsidRPr="00FA42B4">
        <w:rPr>
          <w:rFonts w:cs="Arial"/>
          <w:szCs w:val="20"/>
        </w:rPr>
        <w:t xml:space="preserve"> let zůstal počet konzervatoří celkem, jakož i počet konzervatoří</w:t>
      </w:r>
      <w:r>
        <w:rPr>
          <w:rFonts w:cs="Arial"/>
          <w:szCs w:val="20"/>
        </w:rPr>
        <w:t xml:space="preserve"> poskytujících šestileté a</w:t>
      </w:r>
      <w:r w:rsidRPr="00FA42B4">
        <w:rPr>
          <w:rFonts w:cs="Arial"/>
          <w:szCs w:val="20"/>
        </w:rPr>
        <w:t xml:space="preserve"> osmileté vzdělávání neměnný.</w:t>
      </w:r>
    </w:p>
    <w:p w14:paraId="0BE3F480" w14:textId="4A9CCB2B" w:rsidR="00FA7769" w:rsidRDefault="00FA7769" w:rsidP="00FA7769">
      <w:pPr>
        <w:keepNext/>
        <w:spacing w:after="120" w:line="240" w:lineRule="auto"/>
        <w:rPr>
          <w:b/>
        </w:rPr>
      </w:pPr>
      <w:r w:rsidRPr="00B828FF">
        <w:rPr>
          <w:b/>
        </w:rPr>
        <w:t>G</w:t>
      </w:r>
      <w:r>
        <w:rPr>
          <w:b/>
        </w:rPr>
        <w:t>raf</w:t>
      </w:r>
      <w:r w:rsidRPr="00B828FF">
        <w:rPr>
          <w:b/>
        </w:rPr>
        <w:t xml:space="preserve"> </w:t>
      </w:r>
      <w:r>
        <w:rPr>
          <w:b/>
        </w:rPr>
        <w:t>4.1</w:t>
      </w:r>
      <w:r w:rsidRPr="00B828FF">
        <w:rPr>
          <w:b/>
        </w:rPr>
        <w:t xml:space="preserve"> Konzervatoře – </w:t>
      </w:r>
      <w:r w:rsidR="00443055">
        <w:rPr>
          <w:b/>
        </w:rPr>
        <w:t>vývoj počtu žáků a podílu dívek</w:t>
      </w:r>
    </w:p>
    <w:p w14:paraId="43279B55" w14:textId="103C6DA5" w:rsidR="00FA7769" w:rsidRPr="00443055" w:rsidRDefault="003D2891" w:rsidP="00443055">
      <w:pPr>
        <w:keepNext/>
        <w:spacing w:after="120" w:line="240" w:lineRule="auto"/>
        <w:rPr>
          <w:b/>
        </w:rPr>
      </w:pPr>
      <w:r>
        <w:rPr>
          <w:noProof/>
        </w:rPr>
        <w:drawing>
          <wp:inline distT="0" distB="0" distL="0" distR="0" wp14:anchorId="10B8C27D" wp14:editId="3CF0DF5F">
            <wp:extent cx="5781675" cy="2724150"/>
            <wp:effectExtent l="0" t="0" r="9525" b="0"/>
            <wp:docPr id="2"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617ED4A2" w14:textId="77777777" w:rsidR="00FA7769" w:rsidRPr="00FC423B" w:rsidRDefault="00FA7769" w:rsidP="00AB0787">
      <w:pPr>
        <w:spacing w:after="120" w:line="276" w:lineRule="auto"/>
        <w:jc w:val="right"/>
        <w:rPr>
          <w:rFonts w:asciiTheme="minorHAnsi" w:hAnsiTheme="minorHAnsi"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59B03300" w14:textId="2B1C0854" w:rsidR="00FA7769" w:rsidRPr="00FA42B4" w:rsidRDefault="00FA7769" w:rsidP="00FA7769">
      <w:pPr>
        <w:spacing w:after="120"/>
        <w:jc w:val="both"/>
      </w:pPr>
      <w:r w:rsidRPr="00FA42B4">
        <w:t xml:space="preserve">Podíváme-li se na </w:t>
      </w:r>
      <w:r w:rsidRPr="00FA42B4">
        <w:rPr>
          <w:b/>
        </w:rPr>
        <w:t>rozložení konzervatoří do krajů v České republice</w:t>
      </w:r>
      <w:r w:rsidRPr="00FA42B4">
        <w:t>, pak osm z celkem osmnácti konz</w:t>
      </w:r>
      <w:r w:rsidR="009334D3">
        <w:t>ervatoř</w:t>
      </w:r>
      <w:r w:rsidR="00054851">
        <w:t>í se ve školním roce 2021/22</w:t>
      </w:r>
      <w:r w:rsidRPr="00FA42B4">
        <w:t xml:space="preserve"> nacházelo v Praze, po dvou v Jihomoravském a Moravskoslezském kraji a po jedné konzervatoři v kraji Jihočeském, Plzeňském, Ústeckém, Pardubickém, Olomouckém a Zlínském. Ve všech těchto krajích konzervatoře nabízely vzdělávání v šestiletém programu. Kromě toho v Praze tři konzervatoře nabízely vzdělávání v osmiletém programu a jedn</w:t>
      </w:r>
      <w:r w:rsidR="00C0105C">
        <w:t>u takovou konzervatoř najdeme i </w:t>
      </w:r>
      <w:r w:rsidRPr="00FA42B4">
        <w:t>v kraji Jihomoravském</w:t>
      </w:r>
      <w:r w:rsidR="009334D3">
        <w:t xml:space="preserve"> a Moravskoslezském</w:t>
      </w:r>
      <w:r w:rsidRPr="00FA42B4">
        <w:t xml:space="preserve">. </w:t>
      </w:r>
    </w:p>
    <w:p w14:paraId="57A17345" w14:textId="53D26DE5" w:rsidR="00FA7769" w:rsidRPr="00FA42B4" w:rsidRDefault="00FA7769" w:rsidP="00FA7769">
      <w:pPr>
        <w:spacing w:after="120"/>
        <w:jc w:val="both"/>
      </w:pPr>
      <w:r w:rsidRPr="00FA42B4">
        <w:t xml:space="preserve">Graf </w:t>
      </w:r>
      <w:r>
        <w:t>4.</w:t>
      </w:r>
      <w:r w:rsidRPr="00FA42B4">
        <w:t xml:space="preserve">2 znázorňuje, jaký </w:t>
      </w:r>
      <w:r w:rsidRPr="00FA42B4">
        <w:rPr>
          <w:b/>
        </w:rPr>
        <w:t>podíl žáků</w:t>
      </w:r>
      <w:r w:rsidRPr="00FA42B4">
        <w:t xml:space="preserve"> konzervatoří se </w:t>
      </w:r>
      <w:r w:rsidR="00986E0F">
        <w:t>ve školním roce 2021/22 vzdělával</w:t>
      </w:r>
      <w:r w:rsidRPr="00FA42B4">
        <w:t xml:space="preserve"> </w:t>
      </w:r>
      <w:r w:rsidRPr="00FA42B4">
        <w:rPr>
          <w:b/>
        </w:rPr>
        <w:t>v jednotlivých</w:t>
      </w:r>
      <w:r w:rsidRPr="00FA42B4">
        <w:t xml:space="preserve"> </w:t>
      </w:r>
      <w:r w:rsidRPr="00FA42B4">
        <w:rPr>
          <w:b/>
        </w:rPr>
        <w:t>krajích České republiky</w:t>
      </w:r>
      <w:r w:rsidRPr="00FA42B4">
        <w:t>. Jak lze z počtu konzervatoří v jednotlivých krajích odvodit, velká č</w:t>
      </w:r>
      <w:r w:rsidR="003B7A27">
        <w:t>ást žáků se ve školním roce 2021/22</w:t>
      </w:r>
      <w:r w:rsidRPr="00FA42B4">
        <w:t xml:space="preserve"> vzdělávala n</w:t>
      </w:r>
      <w:r w:rsidR="003B7A27">
        <w:t>a pražských konzervatořích (44,9</w:t>
      </w:r>
      <w:r w:rsidRPr="00FA42B4">
        <w:t> %; celkem 1 7</w:t>
      </w:r>
      <w:r w:rsidR="003B7A27">
        <w:t>43</w:t>
      </w:r>
      <w:r w:rsidRPr="00FA42B4">
        <w:t xml:space="preserve"> žáků) a větší než desetinový podíl žáků najdeme též v konzervatořích v Jihomoravs</w:t>
      </w:r>
      <w:r w:rsidR="00C778C6">
        <w:t>ké</w:t>
      </w:r>
      <w:r w:rsidR="003B7A27">
        <w:t>m a Moravskoslezském kraji (13,4 %, resp. 12,2</w:t>
      </w:r>
      <w:r w:rsidRPr="00FA42B4">
        <w:t xml:space="preserve"> %). V kraji Pardubickém, Ústeckém </w:t>
      </w:r>
      <w:r w:rsidR="00C778C6">
        <w:t xml:space="preserve">i Plzeňském </w:t>
      </w:r>
      <w:r w:rsidRPr="00FA42B4">
        <w:t>se vzdělávalo více než 5 % ze všech žák</w:t>
      </w:r>
      <w:r w:rsidR="003B7A27">
        <w:t xml:space="preserve">ů </w:t>
      </w:r>
      <w:r w:rsidR="003B7A27">
        <w:lastRenderedPageBreak/>
        <w:t>konzervatoří (6,2 %, resp. 5,5</w:t>
      </w:r>
      <w:r w:rsidRPr="00FA42B4">
        <w:t> %). Menší než pětiprocentní podíly pak</w:t>
      </w:r>
      <w:r w:rsidR="00C778C6">
        <w:t xml:space="preserve"> najdeme v krajích Zlí</w:t>
      </w:r>
      <w:r w:rsidR="003B7A27">
        <w:t>nském (4,8 %), Jihočeském (4,2 %) a Olomouckém (3,3</w:t>
      </w:r>
      <w:r w:rsidRPr="00FA42B4">
        <w:t> %), kde se vzdělávalo již méně než 200 žáků (nejméně v</w:t>
      </w:r>
      <w:r w:rsidR="003B7A27">
        <w:t> Olomouckém kraji, konkrétně 129</w:t>
      </w:r>
      <w:r w:rsidRPr="00FA42B4">
        <w:t xml:space="preserve"> žáků). </w:t>
      </w:r>
    </w:p>
    <w:p w14:paraId="67D009F6" w14:textId="7E2F340F" w:rsidR="00FA7769" w:rsidRDefault="00FA7769" w:rsidP="00B4167E">
      <w:pPr>
        <w:keepNext/>
        <w:spacing w:after="120" w:line="240" w:lineRule="auto"/>
        <w:jc w:val="both"/>
        <w:rPr>
          <w:b/>
        </w:rPr>
      </w:pPr>
      <w:r w:rsidRPr="004A4787">
        <w:rPr>
          <w:b/>
        </w:rPr>
        <w:t>G</w:t>
      </w:r>
      <w:r>
        <w:rPr>
          <w:b/>
        </w:rPr>
        <w:t>raf</w:t>
      </w:r>
      <w:r w:rsidRPr="004A4787">
        <w:rPr>
          <w:b/>
        </w:rPr>
        <w:t xml:space="preserve"> </w:t>
      </w:r>
      <w:r>
        <w:rPr>
          <w:b/>
        </w:rPr>
        <w:t>4.</w:t>
      </w:r>
      <w:r w:rsidRPr="004A4787">
        <w:rPr>
          <w:b/>
        </w:rPr>
        <w:t>2 Konzervatoře – podíly žáků vzdělávajících se v jednotlivých krajích</w:t>
      </w:r>
      <w:r>
        <w:rPr>
          <w:b/>
        </w:rPr>
        <w:t xml:space="preserve"> </w:t>
      </w:r>
      <w:r w:rsidR="003B7A27">
        <w:rPr>
          <w:b/>
        </w:rPr>
        <w:t>(2021/22</w:t>
      </w:r>
      <w:r w:rsidRPr="004A4787">
        <w:rPr>
          <w:b/>
        </w:rPr>
        <w:t>)</w:t>
      </w:r>
    </w:p>
    <w:p w14:paraId="331B11C9" w14:textId="425DF3A7" w:rsidR="00FA7769" w:rsidRDefault="003B7A27" w:rsidP="00933A78">
      <w:pPr>
        <w:spacing w:after="120" w:line="240" w:lineRule="auto"/>
        <w:jc w:val="both"/>
        <w:rPr>
          <w:b/>
        </w:rPr>
      </w:pPr>
      <w:r>
        <w:rPr>
          <w:noProof/>
        </w:rPr>
        <w:drawing>
          <wp:inline distT="0" distB="0" distL="0" distR="0" wp14:anchorId="1FEB4B36" wp14:editId="15E99915">
            <wp:extent cx="6048375" cy="2571750"/>
            <wp:effectExtent l="0" t="0" r="9525" b="0"/>
            <wp:docPr id="3"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308629AE" w14:textId="77777777" w:rsidR="00FA7769" w:rsidRPr="00FC423B" w:rsidRDefault="00FA7769" w:rsidP="00AB0787">
      <w:pPr>
        <w:spacing w:after="120" w:line="276" w:lineRule="auto"/>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25F9D400" w14:textId="17F71DBD" w:rsidR="00FA7769" w:rsidRPr="00FA42B4" w:rsidRDefault="00933A78" w:rsidP="00FA7769">
      <w:pPr>
        <w:spacing w:after="120"/>
        <w:jc w:val="both"/>
        <w:rPr>
          <w:rFonts w:cs="Arial"/>
          <w:szCs w:val="20"/>
        </w:rPr>
      </w:pPr>
      <w:r>
        <w:rPr>
          <w:rFonts w:cs="Arial"/>
          <w:szCs w:val="20"/>
        </w:rPr>
        <w:t>Ve školním roce 2021/22</w:t>
      </w:r>
      <w:r w:rsidR="00FA7769" w:rsidRPr="00933A78">
        <w:rPr>
          <w:rFonts w:cs="Arial"/>
          <w:szCs w:val="20"/>
        </w:rPr>
        <w:t xml:space="preserve"> </w:t>
      </w:r>
      <w:r w:rsidR="00E317EF">
        <w:rPr>
          <w:rFonts w:cs="Arial"/>
          <w:szCs w:val="20"/>
        </w:rPr>
        <w:t>navštěvovalo konzervatoře</w:t>
      </w:r>
      <w:r w:rsidR="00FA7769" w:rsidRPr="00933A78">
        <w:rPr>
          <w:rFonts w:cs="Arial"/>
          <w:szCs w:val="20"/>
        </w:rPr>
        <w:t xml:space="preserve"> v České</w:t>
      </w:r>
      <w:r w:rsidR="00471995" w:rsidRPr="00933A78">
        <w:rPr>
          <w:rFonts w:cs="Arial"/>
          <w:szCs w:val="20"/>
        </w:rPr>
        <w:t xml:space="preserve"> republice celkem 210</w:t>
      </w:r>
      <w:r w:rsidR="00FA7769" w:rsidRPr="00933A78">
        <w:rPr>
          <w:rFonts w:cs="Arial"/>
          <w:szCs w:val="20"/>
        </w:rPr>
        <w:t xml:space="preserve"> </w:t>
      </w:r>
      <w:r w:rsidR="00FA7769" w:rsidRPr="00933A78">
        <w:rPr>
          <w:rFonts w:cs="Arial"/>
          <w:b/>
          <w:szCs w:val="20"/>
        </w:rPr>
        <w:t>žáků cizí státní příslušnosti</w:t>
      </w:r>
      <w:r w:rsidR="00FB74A7">
        <w:rPr>
          <w:rFonts w:cs="Arial"/>
          <w:szCs w:val="20"/>
        </w:rPr>
        <w:t>, což jsou</w:t>
      </w:r>
      <w:r w:rsidR="00471995" w:rsidRPr="00933A78">
        <w:rPr>
          <w:rFonts w:cs="Arial"/>
          <w:szCs w:val="20"/>
        </w:rPr>
        <w:t xml:space="preserve"> 5,4 %</w:t>
      </w:r>
      <w:r w:rsidR="00471995">
        <w:rPr>
          <w:rFonts w:cs="Arial"/>
          <w:szCs w:val="20"/>
        </w:rPr>
        <w:t xml:space="preserve"> z celk</w:t>
      </w:r>
      <w:r>
        <w:rPr>
          <w:rFonts w:cs="Arial"/>
          <w:szCs w:val="20"/>
        </w:rPr>
        <w:t>ového počtu žáků. Z toho bylo 73</w:t>
      </w:r>
      <w:r w:rsidR="00471995">
        <w:rPr>
          <w:rFonts w:cs="Arial"/>
          <w:szCs w:val="20"/>
        </w:rPr>
        <w:t xml:space="preserve"> žáků ze Slovenska, 42 z</w:t>
      </w:r>
      <w:r w:rsidR="004859DF">
        <w:rPr>
          <w:rFonts w:cs="Arial"/>
          <w:szCs w:val="20"/>
        </w:rPr>
        <w:t> Ukrajiny,</w:t>
      </w:r>
      <w:r>
        <w:rPr>
          <w:rFonts w:cs="Arial"/>
          <w:szCs w:val="20"/>
        </w:rPr>
        <w:t xml:space="preserve"> 36</w:t>
      </w:r>
      <w:r w:rsidR="00FA7769" w:rsidRPr="00FA42B4">
        <w:rPr>
          <w:rFonts w:cs="Arial"/>
          <w:szCs w:val="20"/>
        </w:rPr>
        <w:t xml:space="preserve"> z</w:t>
      </w:r>
      <w:r>
        <w:rPr>
          <w:rFonts w:cs="Arial"/>
          <w:szCs w:val="20"/>
        </w:rPr>
        <w:t> Ruska a devět z Běloruska</w:t>
      </w:r>
      <w:r w:rsidR="00FA7769" w:rsidRPr="00FA42B4">
        <w:rPr>
          <w:rFonts w:cs="Arial"/>
          <w:szCs w:val="20"/>
        </w:rPr>
        <w:t xml:space="preserve">. </w:t>
      </w:r>
      <w:r w:rsidR="00471995">
        <w:rPr>
          <w:rFonts w:cs="Arial"/>
          <w:szCs w:val="20"/>
        </w:rPr>
        <w:t>Z</w:t>
      </w:r>
      <w:r w:rsidR="00FA7769" w:rsidRPr="00FA42B4">
        <w:rPr>
          <w:rFonts w:cs="Arial"/>
          <w:szCs w:val="20"/>
        </w:rPr>
        <w:t xml:space="preserve"> ostatních jednotlivých cizích zemí již bylo v našich konzervatořích zaznamenáno </w:t>
      </w:r>
      <w:r>
        <w:rPr>
          <w:rFonts w:cs="Arial"/>
          <w:szCs w:val="20"/>
        </w:rPr>
        <w:t xml:space="preserve">6 a méně </w:t>
      </w:r>
      <w:r w:rsidR="00FA7769" w:rsidRPr="00FA42B4">
        <w:rPr>
          <w:rFonts w:cs="Arial"/>
          <w:szCs w:val="20"/>
        </w:rPr>
        <w:t xml:space="preserve">žáků.  </w:t>
      </w:r>
    </w:p>
    <w:p w14:paraId="7C46CB07" w14:textId="5B5C9F00" w:rsidR="00FA7769" w:rsidRDefault="00FA7769" w:rsidP="00FA7769">
      <w:pPr>
        <w:spacing w:after="120"/>
        <w:jc w:val="both"/>
      </w:pPr>
      <w:r w:rsidRPr="00FA42B4">
        <w:rPr>
          <w:rFonts w:cs="Arial"/>
          <w:szCs w:val="20"/>
        </w:rPr>
        <w:t xml:space="preserve">Graf </w:t>
      </w:r>
      <w:r>
        <w:rPr>
          <w:rFonts w:cs="Arial"/>
          <w:szCs w:val="20"/>
        </w:rPr>
        <w:t>4.</w:t>
      </w:r>
      <w:r w:rsidRPr="00FA42B4">
        <w:rPr>
          <w:rFonts w:cs="Arial"/>
          <w:szCs w:val="20"/>
        </w:rPr>
        <w:t xml:space="preserve">3 uvádí podíly </w:t>
      </w:r>
      <w:r w:rsidRPr="00FA42B4">
        <w:rPr>
          <w:rFonts w:cs="Arial"/>
          <w:b/>
          <w:szCs w:val="20"/>
        </w:rPr>
        <w:t>žáků cizí státní příslušnosti</w:t>
      </w:r>
      <w:r w:rsidRPr="00FA42B4">
        <w:rPr>
          <w:rFonts w:cs="Arial"/>
          <w:szCs w:val="20"/>
        </w:rPr>
        <w:t xml:space="preserve"> vzdělávajících se v konzervatořích</w:t>
      </w:r>
      <w:bookmarkStart w:id="26" w:name="_GoBack"/>
      <w:bookmarkEnd w:id="26"/>
      <w:r w:rsidRPr="00FA42B4">
        <w:rPr>
          <w:rFonts w:cs="Arial"/>
          <w:szCs w:val="20"/>
        </w:rPr>
        <w:t xml:space="preserve"> v jednotliv</w:t>
      </w:r>
      <w:r w:rsidR="00077BD2">
        <w:rPr>
          <w:rFonts w:cs="Arial"/>
          <w:szCs w:val="20"/>
        </w:rPr>
        <w:t>ých krajích ve školním roce 2021/22</w:t>
      </w:r>
      <w:r w:rsidRPr="00FA42B4">
        <w:rPr>
          <w:rFonts w:cs="Arial"/>
          <w:szCs w:val="20"/>
        </w:rPr>
        <w:t>. Není překvapivé, že nejvyšší podíl žáků cizí státní příslušnosti najdeme</w:t>
      </w:r>
      <w:r w:rsidR="00846BFD">
        <w:rPr>
          <w:rFonts w:cs="Arial"/>
          <w:szCs w:val="20"/>
        </w:rPr>
        <w:t xml:space="preserve"> v pražských konzervatořích (8,4</w:t>
      </w:r>
      <w:r w:rsidRPr="00FA42B4">
        <w:rPr>
          <w:rFonts w:cs="Arial"/>
          <w:szCs w:val="20"/>
        </w:rPr>
        <w:t xml:space="preserve"> %). </w:t>
      </w:r>
      <w:r w:rsidR="00846BFD">
        <w:rPr>
          <w:rFonts w:cs="Arial"/>
          <w:szCs w:val="20"/>
        </w:rPr>
        <w:t>Nadprůměrného podílu cizi</w:t>
      </w:r>
      <w:r w:rsidR="00077BD2">
        <w:rPr>
          <w:rFonts w:cs="Arial"/>
          <w:szCs w:val="20"/>
        </w:rPr>
        <w:t>nců dosáhl také Plzeňský kraj (5,6</w:t>
      </w:r>
      <w:r w:rsidR="00846BFD">
        <w:rPr>
          <w:rFonts w:cs="Arial"/>
          <w:szCs w:val="20"/>
        </w:rPr>
        <w:t> %)</w:t>
      </w:r>
      <w:r w:rsidR="00077BD2">
        <w:rPr>
          <w:rFonts w:cs="Arial"/>
          <w:szCs w:val="20"/>
        </w:rPr>
        <w:t>.</w:t>
      </w:r>
      <w:r w:rsidR="00846BFD">
        <w:rPr>
          <w:rFonts w:cs="Arial"/>
          <w:szCs w:val="20"/>
        </w:rPr>
        <w:t xml:space="preserve"> </w:t>
      </w:r>
      <w:r w:rsidR="00077BD2">
        <w:rPr>
          <w:rFonts w:cs="Arial"/>
          <w:szCs w:val="20"/>
        </w:rPr>
        <w:t>Celorepublikovému průměru se vyrovnal kraj Jihomoravský (5,4</w:t>
      </w:r>
      <w:r w:rsidR="00846BFD">
        <w:rPr>
          <w:rFonts w:cs="Arial"/>
          <w:szCs w:val="20"/>
        </w:rPr>
        <w:t xml:space="preserve"> %).  </w:t>
      </w:r>
      <w:r w:rsidRPr="00FA42B4">
        <w:rPr>
          <w:rFonts w:cs="Arial"/>
          <w:szCs w:val="20"/>
        </w:rPr>
        <w:t>Naopak nejmenší podíl cizinců zaznamenaly konzervatoře v</w:t>
      </w:r>
      <w:r w:rsidR="00C0105C">
        <w:rPr>
          <w:rFonts w:cs="Arial"/>
          <w:szCs w:val="20"/>
        </w:rPr>
        <w:t xml:space="preserve"> kraji </w:t>
      </w:r>
      <w:r w:rsidRPr="00FA42B4">
        <w:rPr>
          <w:rFonts w:cs="Arial"/>
          <w:szCs w:val="20"/>
        </w:rPr>
        <w:t>Pardubickém (</w:t>
      </w:r>
      <w:r w:rsidR="00846BFD">
        <w:rPr>
          <w:rFonts w:cs="Arial"/>
          <w:szCs w:val="20"/>
        </w:rPr>
        <w:t>0,8</w:t>
      </w:r>
      <w:r w:rsidRPr="00FA42B4">
        <w:rPr>
          <w:rFonts w:cs="Arial"/>
          <w:szCs w:val="20"/>
        </w:rPr>
        <w:t> %)</w:t>
      </w:r>
      <w:r w:rsidR="00077BD2">
        <w:rPr>
          <w:rFonts w:cs="Arial"/>
          <w:szCs w:val="20"/>
        </w:rPr>
        <w:t>. V ostatních krajích bylo v konzervatořích od 1,3 % do 3,7 % cizinců.</w:t>
      </w:r>
    </w:p>
    <w:p w14:paraId="42E7D33D" w14:textId="7AF577EB" w:rsidR="00FA7769" w:rsidRDefault="00FA7769" w:rsidP="00FA7769">
      <w:pPr>
        <w:spacing w:after="120" w:line="240" w:lineRule="auto"/>
        <w:jc w:val="both"/>
        <w:rPr>
          <w:b/>
        </w:rPr>
      </w:pPr>
      <w:r w:rsidRPr="005A7DA4">
        <w:rPr>
          <w:b/>
        </w:rPr>
        <w:t>G</w:t>
      </w:r>
      <w:r>
        <w:rPr>
          <w:b/>
        </w:rPr>
        <w:t>raf</w:t>
      </w:r>
      <w:r w:rsidRPr="005A7DA4">
        <w:rPr>
          <w:b/>
        </w:rPr>
        <w:t xml:space="preserve"> </w:t>
      </w:r>
      <w:r>
        <w:rPr>
          <w:b/>
        </w:rPr>
        <w:t>4.</w:t>
      </w:r>
      <w:r w:rsidRPr="005A7DA4">
        <w:rPr>
          <w:b/>
        </w:rPr>
        <w:t>3</w:t>
      </w:r>
      <w:r>
        <w:t xml:space="preserve"> </w:t>
      </w:r>
      <w:r w:rsidRPr="004A4787">
        <w:rPr>
          <w:b/>
        </w:rPr>
        <w:t xml:space="preserve">Konzervatoře – podíly žáků </w:t>
      </w:r>
      <w:r>
        <w:rPr>
          <w:b/>
        </w:rPr>
        <w:t xml:space="preserve">cizí státní příslušnosti </w:t>
      </w:r>
      <w:r w:rsidRPr="004A4787">
        <w:rPr>
          <w:b/>
        </w:rPr>
        <w:t>vzdělávajících se v jednotlivých krajích</w:t>
      </w:r>
      <w:r w:rsidR="005A4DB5">
        <w:rPr>
          <w:b/>
        </w:rPr>
        <w:t xml:space="preserve"> (2021/22</w:t>
      </w:r>
      <w:r>
        <w:rPr>
          <w:b/>
        </w:rPr>
        <w:t>)</w:t>
      </w:r>
    </w:p>
    <w:p w14:paraId="529FA333" w14:textId="54FBEB9A" w:rsidR="00FA7769" w:rsidRPr="00846BFD" w:rsidRDefault="00933A78" w:rsidP="00FA7769">
      <w:pPr>
        <w:spacing w:after="120" w:line="240" w:lineRule="auto"/>
        <w:jc w:val="both"/>
        <w:rPr>
          <w:b/>
        </w:rPr>
      </w:pPr>
      <w:r>
        <w:rPr>
          <w:noProof/>
        </w:rPr>
        <w:drawing>
          <wp:inline distT="0" distB="0" distL="0" distR="0" wp14:anchorId="6DDAFCDA" wp14:editId="14FF322B">
            <wp:extent cx="6120130" cy="2924175"/>
            <wp:effectExtent l="0" t="0" r="13970" b="9525"/>
            <wp:docPr id="24" name="Graf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5144C5C6" w14:textId="77777777" w:rsidR="00FA7769" w:rsidRDefault="00FA7769" w:rsidP="00AB0787">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56642C7F" w14:textId="0326DED3" w:rsidR="00FA7769" w:rsidRPr="00FA42B4" w:rsidRDefault="00FA7769" w:rsidP="00FA7769">
      <w:pPr>
        <w:spacing w:after="120"/>
        <w:jc w:val="both"/>
        <w:rPr>
          <w:rFonts w:cs="Arial"/>
          <w:szCs w:val="20"/>
        </w:rPr>
      </w:pPr>
      <w:r w:rsidRPr="00FA42B4">
        <w:rPr>
          <w:rFonts w:cs="Arial"/>
          <w:szCs w:val="20"/>
        </w:rPr>
        <w:lastRenderedPageBreak/>
        <w:t>Můžeme doplnit, že v konzervatořích v České republice se ve školn</w:t>
      </w:r>
      <w:r w:rsidR="00846BFD">
        <w:rPr>
          <w:rFonts w:cs="Arial"/>
          <w:szCs w:val="20"/>
        </w:rPr>
        <w:t xml:space="preserve">ím roce </w:t>
      </w:r>
      <w:r w:rsidR="00FA3371">
        <w:rPr>
          <w:rFonts w:cs="Arial"/>
          <w:szCs w:val="20"/>
        </w:rPr>
        <w:t>2021/22</w:t>
      </w:r>
      <w:r w:rsidRPr="00FA42B4">
        <w:rPr>
          <w:rFonts w:cs="Arial"/>
          <w:szCs w:val="20"/>
        </w:rPr>
        <w:t xml:space="preserve"> vzdělávalo celkem </w:t>
      </w:r>
      <w:r w:rsidR="00FA3371">
        <w:rPr>
          <w:rFonts w:cs="Arial"/>
          <w:szCs w:val="20"/>
        </w:rPr>
        <w:t>89</w:t>
      </w:r>
      <w:r w:rsidRPr="005D213D">
        <w:rPr>
          <w:rFonts w:cs="Arial"/>
          <w:szCs w:val="20"/>
        </w:rPr>
        <w:t xml:space="preserve"> žáků </w:t>
      </w:r>
      <w:r w:rsidRPr="005D213D">
        <w:rPr>
          <w:rFonts w:cs="Arial"/>
          <w:b/>
          <w:szCs w:val="20"/>
        </w:rPr>
        <w:t>se zdravotním postižením</w:t>
      </w:r>
      <w:r w:rsidR="005D213D" w:rsidRPr="005D213D">
        <w:rPr>
          <w:rFonts w:cs="Arial"/>
          <w:szCs w:val="20"/>
        </w:rPr>
        <w:t>,</w:t>
      </w:r>
      <w:r w:rsidR="00FA3371">
        <w:rPr>
          <w:rFonts w:cs="Arial"/>
          <w:szCs w:val="20"/>
        </w:rPr>
        <w:t xml:space="preserve"> z čehož 34</w:t>
      </w:r>
      <w:r w:rsidR="005D213D">
        <w:rPr>
          <w:rFonts w:cs="Arial"/>
          <w:szCs w:val="20"/>
        </w:rPr>
        <w:t xml:space="preserve"> žáků </w:t>
      </w:r>
      <w:r w:rsidR="00FA3371">
        <w:rPr>
          <w:rFonts w:cs="Arial"/>
          <w:szCs w:val="20"/>
        </w:rPr>
        <w:t>tvořily</w:t>
      </w:r>
      <w:r w:rsidR="005D213D">
        <w:rPr>
          <w:rFonts w:cs="Arial"/>
          <w:szCs w:val="20"/>
        </w:rPr>
        <w:t xml:space="preserve"> dívky. Téměř</w:t>
      </w:r>
      <w:r w:rsidR="00FA3371">
        <w:rPr>
          <w:rFonts w:cs="Arial"/>
          <w:szCs w:val="20"/>
        </w:rPr>
        <w:t xml:space="preserve"> polovina těchto žáků (celkem 42</w:t>
      </w:r>
      <w:r w:rsidRPr="00FA42B4">
        <w:rPr>
          <w:rFonts w:cs="Arial"/>
          <w:szCs w:val="20"/>
        </w:rPr>
        <w:t>) se vzdělávala v praž</w:t>
      </w:r>
      <w:r w:rsidR="00FA3371">
        <w:rPr>
          <w:rFonts w:cs="Arial"/>
          <w:szCs w:val="20"/>
        </w:rPr>
        <w:t>ských konzervatořích, dalších 20</w:t>
      </w:r>
      <w:r w:rsidRPr="00FA42B4">
        <w:rPr>
          <w:rFonts w:cs="Arial"/>
          <w:szCs w:val="20"/>
        </w:rPr>
        <w:t xml:space="preserve"> žáků v konzervatořích v Moravskoslezském kraji</w:t>
      </w:r>
      <w:r w:rsidR="00FA3371">
        <w:rPr>
          <w:rFonts w:cs="Arial"/>
          <w:szCs w:val="20"/>
        </w:rPr>
        <w:t>. Již méně než deset jich bylo v konzervatořích v kraji Jihomoravském (8), Olomouckém (7), Ústeckém (6) Pardubickém (5) a Zlínském (1).</w:t>
      </w:r>
      <w:r w:rsidRPr="00FA42B4">
        <w:rPr>
          <w:rFonts w:cs="Arial"/>
          <w:szCs w:val="20"/>
        </w:rPr>
        <w:t xml:space="preserve"> </w:t>
      </w:r>
    </w:p>
    <w:p w14:paraId="6BBC0E9B" w14:textId="52D95902" w:rsidR="00E1747A" w:rsidRDefault="003107F5" w:rsidP="003107F5">
      <w:pPr>
        <w:spacing w:after="120"/>
        <w:jc w:val="both"/>
        <w:rPr>
          <w:rFonts w:cs="Arial"/>
          <w:szCs w:val="20"/>
        </w:rPr>
      </w:pPr>
      <w:r>
        <w:rPr>
          <w:rFonts w:cs="Arial"/>
          <w:szCs w:val="20"/>
        </w:rPr>
        <w:t>V</w:t>
      </w:r>
      <w:r w:rsidR="00FA3371">
        <w:rPr>
          <w:rFonts w:cs="Arial"/>
          <w:szCs w:val="20"/>
        </w:rPr>
        <w:t>e školním roce 2021/22</w:t>
      </w:r>
      <w:r>
        <w:rPr>
          <w:rFonts w:cs="Arial"/>
          <w:szCs w:val="20"/>
        </w:rPr>
        <w:t xml:space="preserve"> se na konzervato</w:t>
      </w:r>
      <w:r w:rsidR="00FA3371">
        <w:rPr>
          <w:rFonts w:cs="Arial"/>
          <w:szCs w:val="20"/>
        </w:rPr>
        <w:t>řích vzdělávalo 94,7</w:t>
      </w:r>
      <w:r>
        <w:rPr>
          <w:rFonts w:cs="Arial"/>
          <w:szCs w:val="20"/>
        </w:rPr>
        <w:t xml:space="preserve"> </w:t>
      </w:r>
      <w:r w:rsidR="00E3175A">
        <w:rPr>
          <w:rFonts w:cs="Arial"/>
          <w:szCs w:val="20"/>
        </w:rPr>
        <w:t xml:space="preserve">% žáků </w:t>
      </w:r>
      <w:r w:rsidR="00E3175A" w:rsidRPr="008E7B8B">
        <w:rPr>
          <w:rFonts w:cs="Arial"/>
          <w:b/>
          <w:szCs w:val="20"/>
        </w:rPr>
        <w:t>denní formou studia</w:t>
      </w:r>
      <w:r w:rsidR="00FA3371">
        <w:rPr>
          <w:rFonts w:cs="Arial"/>
          <w:szCs w:val="20"/>
        </w:rPr>
        <w:t xml:space="preserve"> a 5,3</w:t>
      </w:r>
      <w:r>
        <w:rPr>
          <w:rFonts w:cs="Arial"/>
          <w:szCs w:val="20"/>
        </w:rPr>
        <w:t xml:space="preserve"> % </w:t>
      </w:r>
      <w:r w:rsidR="007D61D5" w:rsidRPr="008E7B8B">
        <w:rPr>
          <w:rFonts w:cs="Arial"/>
          <w:b/>
          <w:szCs w:val="20"/>
        </w:rPr>
        <w:t>jinou formou</w:t>
      </w:r>
      <w:r w:rsidR="00FA3371">
        <w:rPr>
          <w:rFonts w:cs="Arial"/>
          <w:szCs w:val="20"/>
        </w:rPr>
        <w:t>. Celkem 8,2</w:t>
      </w:r>
      <w:r w:rsidR="004859DF">
        <w:rPr>
          <w:rFonts w:cs="Arial"/>
          <w:szCs w:val="20"/>
        </w:rPr>
        <w:t xml:space="preserve"> % žáků navštěvovaly</w:t>
      </w:r>
      <w:r w:rsidR="007D61D5">
        <w:rPr>
          <w:rFonts w:cs="Arial"/>
          <w:szCs w:val="20"/>
        </w:rPr>
        <w:t xml:space="preserve"> </w:t>
      </w:r>
      <w:r w:rsidR="007D61D5" w:rsidRPr="008E7B8B">
        <w:rPr>
          <w:rFonts w:cs="Arial"/>
          <w:b/>
          <w:szCs w:val="20"/>
        </w:rPr>
        <w:t>nižší ročníky</w:t>
      </w:r>
      <w:r w:rsidR="007D61D5">
        <w:rPr>
          <w:rFonts w:cs="Arial"/>
          <w:szCs w:val="20"/>
        </w:rPr>
        <w:t xml:space="preserve"> osmiletých konzervatoří spadající do povinné</w:t>
      </w:r>
      <w:r w:rsidR="00FA3371">
        <w:rPr>
          <w:rFonts w:cs="Arial"/>
          <w:szCs w:val="20"/>
        </w:rPr>
        <w:t xml:space="preserve"> školní docházky a 91,8</w:t>
      </w:r>
      <w:r w:rsidR="007D61D5">
        <w:rPr>
          <w:rFonts w:cs="Arial"/>
          <w:szCs w:val="20"/>
        </w:rPr>
        <w:t> % pak vyšší ročníky osmiletých konzervatoří a š</w:t>
      </w:r>
      <w:r w:rsidR="00B30FF3">
        <w:rPr>
          <w:rFonts w:cs="Arial"/>
          <w:szCs w:val="20"/>
        </w:rPr>
        <w:t xml:space="preserve">estileté konzervatoře. </w:t>
      </w:r>
    </w:p>
    <w:p w14:paraId="1F7EB169" w14:textId="5D48505A" w:rsidR="007B2325" w:rsidRDefault="00A918A5" w:rsidP="003107F5">
      <w:pPr>
        <w:spacing w:after="120"/>
        <w:jc w:val="both"/>
        <w:rPr>
          <w:rFonts w:cs="Arial"/>
          <w:szCs w:val="20"/>
        </w:rPr>
      </w:pPr>
      <w:r>
        <w:rPr>
          <w:rFonts w:cs="Arial"/>
          <w:szCs w:val="20"/>
        </w:rPr>
        <w:t>Z délky vzdělávání na konzervatořích a možnosti vzdělávat se i v pozdějším věku (např. při zaměstnání) je</w:t>
      </w:r>
      <w:r w:rsidR="007D61D5">
        <w:rPr>
          <w:rFonts w:cs="Arial"/>
          <w:szCs w:val="20"/>
        </w:rPr>
        <w:t xml:space="preserve"> zřejmé, že v konzervatořích najdeme žáky spadající do </w:t>
      </w:r>
      <w:r w:rsidR="007D61D5" w:rsidRPr="008E7B8B">
        <w:rPr>
          <w:rFonts w:cs="Arial"/>
          <w:b/>
          <w:szCs w:val="20"/>
        </w:rPr>
        <w:t>širokého věkového rozpětí</w:t>
      </w:r>
      <w:r w:rsidR="007D61D5">
        <w:rPr>
          <w:rFonts w:cs="Arial"/>
          <w:szCs w:val="20"/>
        </w:rPr>
        <w:t xml:space="preserve">. </w:t>
      </w:r>
      <w:r w:rsidR="00FA7769" w:rsidRPr="00AB7E90">
        <w:rPr>
          <w:rFonts w:cs="Arial"/>
          <w:szCs w:val="20"/>
        </w:rPr>
        <w:t>Graf 4.4 ukazuje rozložení žák</w:t>
      </w:r>
      <w:r w:rsidR="007B2325" w:rsidRPr="00AB7E90">
        <w:rPr>
          <w:rFonts w:cs="Arial"/>
          <w:szCs w:val="20"/>
        </w:rPr>
        <w:t>ů konzervatoří dle věku celkem,</w:t>
      </w:r>
      <w:r w:rsidR="00FA7769" w:rsidRPr="00AB7E90">
        <w:rPr>
          <w:rFonts w:cs="Arial"/>
          <w:szCs w:val="20"/>
        </w:rPr>
        <w:t xml:space="preserve"> v dělení na denní a ostatní formy vzdělávání</w:t>
      </w:r>
      <w:r w:rsidR="007B2325" w:rsidRPr="00AB7E90">
        <w:rPr>
          <w:rFonts w:cs="Arial"/>
          <w:szCs w:val="20"/>
        </w:rPr>
        <w:t xml:space="preserve"> a na nižší ročníky</w:t>
      </w:r>
      <w:r w:rsidR="007B2325">
        <w:rPr>
          <w:rFonts w:cs="Arial"/>
          <w:szCs w:val="20"/>
        </w:rPr>
        <w:t xml:space="preserve"> konzervatoře spadající do povinné školní docházky a vyšší ročníky</w:t>
      </w:r>
      <w:r w:rsidR="00FA7769" w:rsidRPr="00FA42B4">
        <w:rPr>
          <w:rFonts w:cs="Arial"/>
          <w:szCs w:val="20"/>
        </w:rPr>
        <w:t xml:space="preserve">. </w:t>
      </w:r>
      <w:r w:rsidR="007B2325">
        <w:rPr>
          <w:rFonts w:cs="Arial"/>
          <w:szCs w:val="20"/>
        </w:rPr>
        <w:t>Jak je patrné,</w:t>
      </w:r>
      <w:r w:rsidR="0087080F">
        <w:rPr>
          <w:rFonts w:cs="Arial"/>
          <w:szCs w:val="20"/>
        </w:rPr>
        <w:t xml:space="preserve"> </w:t>
      </w:r>
      <w:r w:rsidR="009E34DE">
        <w:rPr>
          <w:rFonts w:cs="Arial"/>
          <w:szCs w:val="20"/>
        </w:rPr>
        <w:t>více než</w:t>
      </w:r>
      <w:r w:rsidR="00AB7E90">
        <w:rPr>
          <w:rFonts w:cs="Arial"/>
          <w:szCs w:val="20"/>
        </w:rPr>
        <w:t xml:space="preserve"> desetina</w:t>
      </w:r>
      <w:r w:rsidR="0087080F">
        <w:rPr>
          <w:rFonts w:cs="Arial"/>
          <w:szCs w:val="20"/>
        </w:rPr>
        <w:t xml:space="preserve"> žáků navštěvujících </w:t>
      </w:r>
      <w:r w:rsidR="007B2325">
        <w:rPr>
          <w:rFonts w:cs="Arial"/>
          <w:szCs w:val="20"/>
        </w:rPr>
        <w:t>vyšší ročníky osmileté konzervatoře nebo šestiletou konzervato</w:t>
      </w:r>
      <w:r w:rsidR="009E34DE">
        <w:rPr>
          <w:rFonts w:cs="Arial"/>
          <w:szCs w:val="20"/>
        </w:rPr>
        <w:t>ř byla ve věku 25 let a více (11</w:t>
      </w:r>
      <w:r w:rsidR="00AB7E90">
        <w:rPr>
          <w:rFonts w:cs="Arial"/>
          <w:szCs w:val="20"/>
        </w:rPr>
        <w:t>,5</w:t>
      </w:r>
      <w:r w:rsidR="007B2325">
        <w:rPr>
          <w:rFonts w:cs="Arial"/>
          <w:szCs w:val="20"/>
        </w:rPr>
        <w:t> %). Mezi žáky, kteří se vzdělávali ji</w:t>
      </w:r>
      <w:r w:rsidR="00E1747A">
        <w:rPr>
          <w:rFonts w:cs="Arial"/>
          <w:szCs w:val="20"/>
        </w:rPr>
        <w:t>nou než denní formou,  zaujímali žáci ve věku 25 let a více</w:t>
      </w:r>
      <w:r w:rsidR="007B2325">
        <w:rPr>
          <w:rFonts w:cs="Arial"/>
          <w:szCs w:val="20"/>
        </w:rPr>
        <w:t xml:space="preserve"> dokonce </w:t>
      </w:r>
      <w:r w:rsidR="00AB7E90">
        <w:rPr>
          <w:rFonts w:cs="Arial"/>
          <w:szCs w:val="20"/>
        </w:rPr>
        <w:t>55,4 %</w:t>
      </w:r>
      <w:r w:rsidR="007B2325">
        <w:rPr>
          <w:rFonts w:cs="Arial"/>
          <w:szCs w:val="20"/>
        </w:rPr>
        <w:t xml:space="preserve">. </w:t>
      </w:r>
      <w:r w:rsidR="007B2325" w:rsidRPr="00FA42B4">
        <w:rPr>
          <w:rFonts w:cs="Arial"/>
          <w:szCs w:val="20"/>
        </w:rPr>
        <w:t>Z jiného úhlu pohledu lze doplnit, že ze žáků</w:t>
      </w:r>
      <w:r w:rsidR="007B2325">
        <w:rPr>
          <w:rFonts w:cs="Arial"/>
          <w:szCs w:val="20"/>
        </w:rPr>
        <w:t xml:space="preserve"> </w:t>
      </w:r>
      <w:r w:rsidR="00AB7E90">
        <w:rPr>
          <w:rFonts w:cs="Arial"/>
          <w:szCs w:val="20"/>
        </w:rPr>
        <w:t>ve věku 25 let a více se jich 72,2</w:t>
      </w:r>
      <w:r w:rsidR="007B2325" w:rsidRPr="00FA42B4">
        <w:rPr>
          <w:rFonts w:cs="Arial"/>
          <w:szCs w:val="20"/>
        </w:rPr>
        <w:t> %</w:t>
      </w:r>
      <w:r w:rsidR="007B2325">
        <w:rPr>
          <w:rFonts w:cs="Arial"/>
          <w:szCs w:val="20"/>
        </w:rPr>
        <w:t xml:space="preserve"> vzdělávalo denní </w:t>
      </w:r>
      <w:r w:rsidR="00AB7E90">
        <w:rPr>
          <w:rFonts w:cs="Arial"/>
          <w:szCs w:val="20"/>
        </w:rPr>
        <w:t>formou studia a 27,8</w:t>
      </w:r>
      <w:r w:rsidR="007B2325">
        <w:rPr>
          <w:rFonts w:cs="Arial"/>
          <w:szCs w:val="20"/>
        </w:rPr>
        <w:t> % jinou formou.</w:t>
      </w:r>
    </w:p>
    <w:p w14:paraId="50F8D2D7" w14:textId="78A9F2D8" w:rsidR="00FA7769" w:rsidRDefault="00FA7769" w:rsidP="00FA7769">
      <w:pPr>
        <w:keepNext/>
        <w:spacing w:after="120" w:line="240" w:lineRule="auto"/>
        <w:jc w:val="both"/>
        <w:rPr>
          <w:b/>
        </w:rPr>
      </w:pPr>
      <w:r>
        <w:rPr>
          <w:b/>
        </w:rPr>
        <w:t>Graf 4.4</w:t>
      </w:r>
      <w:r w:rsidRPr="00C02F92">
        <w:rPr>
          <w:b/>
        </w:rPr>
        <w:t xml:space="preserve"> Konzervatoře – rozdělení žáků dle věku ce</w:t>
      </w:r>
      <w:r w:rsidR="007B2325">
        <w:rPr>
          <w:b/>
        </w:rPr>
        <w:t>lkem a</w:t>
      </w:r>
      <w:r w:rsidRPr="00C02F92">
        <w:rPr>
          <w:b/>
        </w:rPr>
        <w:t xml:space="preserve"> </w:t>
      </w:r>
      <w:r w:rsidR="007B2325">
        <w:rPr>
          <w:b/>
        </w:rPr>
        <w:t>dle formy</w:t>
      </w:r>
      <w:r w:rsidRPr="00C02F92">
        <w:rPr>
          <w:b/>
        </w:rPr>
        <w:t xml:space="preserve"> </w:t>
      </w:r>
      <w:r w:rsidR="007B2325">
        <w:rPr>
          <w:b/>
        </w:rPr>
        <w:t xml:space="preserve">a úrovně </w:t>
      </w:r>
      <w:r w:rsidRPr="00C02F92">
        <w:rPr>
          <w:b/>
        </w:rPr>
        <w:t xml:space="preserve">vzdělávání </w:t>
      </w:r>
      <w:r w:rsidR="00AB7E90">
        <w:rPr>
          <w:b/>
        </w:rPr>
        <w:t>(2021/22</w:t>
      </w:r>
      <w:r w:rsidRPr="00C02F92">
        <w:rPr>
          <w:b/>
        </w:rPr>
        <w:t>)</w:t>
      </w:r>
    </w:p>
    <w:p w14:paraId="0338DC31" w14:textId="7E96284E" w:rsidR="005D213D" w:rsidRPr="00C02F92" w:rsidRDefault="00AB7E90" w:rsidP="00FA7769">
      <w:pPr>
        <w:keepNext/>
        <w:spacing w:after="120" w:line="240" w:lineRule="auto"/>
        <w:jc w:val="both"/>
        <w:rPr>
          <w:b/>
        </w:rPr>
      </w:pPr>
      <w:r>
        <w:rPr>
          <w:noProof/>
        </w:rPr>
        <w:drawing>
          <wp:inline distT="0" distB="0" distL="0" distR="0" wp14:anchorId="4B36AC00" wp14:editId="164CF702">
            <wp:extent cx="5838825" cy="3133725"/>
            <wp:effectExtent l="0" t="0" r="9525" b="9525"/>
            <wp:docPr id="28" name="Graf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2288218A" w14:textId="023B3730" w:rsidR="00FA7769" w:rsidRDefault="00FA7769" w:rsidP="00B30FF3">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5B7B8053" w14:textId="1986F620" w:rsidR="00FA7769" w:rsidRPr="00FA42B4" w:rsidRDefault="00FA7769" w:rsidP="00FA7769">
      <w:pPr>
        <w:spacing w:after="120"/>
        <w:jc w:val="both"/>
        <w:rPr>
          <w:rFonts w:cs="Arial"/>
          <w:szCs w:val="20"/>
        </w:rPr>
      </w:pPr>
      <w:r w:rsidRPr="00FA42B4">
        <w:rPr>
          <w:rFonts w:cs="Arial"/>
          <w:szCs w:val="20"/>
        </w:rPr>
        <w:t xml:space="preserve">Graf </w:t>
      </w:r>
      <w:r>
        <w:rPr>
          <w:rFonts w:cs="Arial"/>
          <w:szCs w:val="20"/>
        </w:rPr>
        <w:t>4.</w:t>
      </w:r>
      <w:r w:rsidRPr="00FA42B4">
        <w:rPr>
          <w:rFonts w:cs="Arial"/>
          <w:szCs w:val="20"/>
        </w:rPr>
        <w:t xml:space="preserve">5 dále ukazuje, jaký podíl žáků konzervatoří studoval ten který </w:t>
      </w:r>
      <w:r w:rsidRPr="00FA42B4">
        <w:rPr>
          <w:rFonts w:cs="Arial"/>
          <w:b/>
          <w:szCs w:val="20"/>
        </w:rPr>
        <w:t>obor</w:t>
      </w:r>
      <w:r w:rsidR="00AB7E90">
        <w:rPr>
          <w:rFonts w:cs="Arial"/>
          <w:szCs w:val="20"/>
        </w:rPr>
        <w:t xml:space="preserve"> v letech 2011/12 až 2021/22</w:t>
      </w:r>
      <w:r w:rsidRPr="00FA42B4">
        <w:rPr>
          <w:rFonts w:cs="Arial"/>
          <w:szCs w:val="20"/>
        </w:rPr>
        <w:t>. Jak je patrné, nejvyšší podíl žáků se ve všech uvedených letech vzdělával ve hře na hudební nástroj, dirigování či skladbě (tj. v ob</w:t>
      </w:r>
      <w:r w:rsidR="008544AB">
        <w:rPr>
          <w:rFonts w:cs="Arial"/>
          <w:szCs w:val="20"/>
        </w:rPr>
        <w:t>oru hudba). Ve školním roce 2011/12</w:t>
      </w:r>
      <w:r w:rsidRPr="00FA42B4">
        <w:rPr>
          <w:rFonts w:cs="Arial"/>
          <w:szCs w:val="20"/>
        </w:rPr>
        <w:t xml:space="preserve"> činil pod</w:t>
      </w:r>
      <w:r w:rsidR="003D1D17">
        <w:rPr>
          <w:rFonts w:cs="Arial"/>
          <w:szCs w:val="20"/>
        </w:rPr>
        <w:t xml:space="preserve">íl takových žáků 62,3 %, pak se </w:t>
      </w:r>
      <w:r w:rsidRPr="00FA42B4">
        <w:rPr>
          <w:rFonts w:cs="Arial"/>
          <w:szCs w:val="20"/>
        </w:rPr>
        <w:t xml:space="preserve">pozvolna snižoval až na </w:t>
      </w:r>
      <w:r w:rsidR="006F4DCF">
        <w:rPr>
          <w:rFonts w:cs="Arial"/>
          <w:szCs w:val="20"/>
        </w:rPr>
        <w:t xml:space="preserve">55,2 % ve školním roce 2017/18. </w:t>
      </w:r>
      <w:r w:rsidR="008544AB">
        <w:rPr>
          <w:rFonts w:cs="Arial"/>
          <w:szCs w:val="20"/>
        </w:rPr>
        <w:t xml:space="preserve">V následujících školních rocích pak kolísal mezi 55,2 % a 55,7 %. </w:t>
      </w:r>
      <w:r w:rsidRPr="00FA42B4">
        <w:rPr>
          <w:rFonts w:cs="Arial"/>
          <w:szCs w:val="20"/>
        </w:rPr>
        <w:t xml:space="preserve">Téměř trvalý růst podílu žáků zaznamenal </w:t>
      </w:r>
      <w:r w:rsidR="008544AB">
        <w:rPr>
          <w:rFonts w:cs="Arial"/>
          <w:szCs w:val="20"/>
        </w:rPr>
        <w:t>ve školních rocích 2011/12 až 2019/20 obor zpěv. Ve školním roce 2011/12</w:t>
      </w:r>
      <w:r w:rsidRPr="00FA42B4">
        <w:rPr>
          <w:rFonts w:cs="Arial"/>
          <w:szCs w:val="20"/>
        </w:rPr>
        <w:t xml:space="preserve"> jej studovalo 13</w:t>
      </w:r>
      <w:r w:rsidR="008544AB">
        <w:rPr>
          <w:rFonts w:cs="Arial"/>
          <w:szCs w:val="20"/>
        </w:rPr>
        <w:t>,9</w:t>
      </w:r>
      <w:r w:rsidRPr="00FA42B4">
        <w:rPr>
          <w:rFonts w:cs="Arial"/>
          <w:szCs w:val="20"/>
        </w:rPr>
        <w:t> % žáků konzervatoří, ve školním roce 2019/20 pak 18,2 % žáků</w:t>
      </w:r>
      <w:r w:rsidR="008544AB">
        <w:rPr>
          <w:rFonts w:cs="Arial"/>
          <w:szCs w:val="20"/>
        </w:rPr>
        <w:t>. V</w:t>
      </w:r>
      <w:r w:rsidR="006F4DCF">
        <w:rPr>
          <w:rFonts w:cs="Arial"/>
          <w:szCs w:val="20"/>
        </w:rPr>
        <w:t>e školním roce 2020/21 se však snížil na 17,6 %</w:t>
      </w:r>
      <w:r w:rsidR="00441212">
        <w:rPr>
          <w:rFonts w:cs="Arial"/>
          <w:szCs w:val="20"/>
        </w:rPr>
        <w:t xml:space="preserve"> a v</w:t>
      </w:r>
      <w:r w:rsidR="008544AB">
        <w:rPr>
          <w:rFonts w:cs="Arial"/>
          <w:szCs w:val="20"/>
        </w:rPr>
        <w:t xml:space="preserve"> uplynulém školním roce činil 17,8 %</w:t>
      </w:r>
      <w:r w:rsidRPr="00FA42B4">
        <w:rPr>
          <w:rFonts w:cs="Arial"/>
          <w:szCs w:val="20"/>
        </w:rPr>
        <w:t xml:space="preserve">. Od roku 2012/13 </w:t>
      </w:r>
      <w:r w:rsidR="008544AB">
        <w:rPr>
          <w:rFonts w:cs="Arial"/>
          <w:szCs w:val="20"/>
        </w:rPr>
        <w:t>do roku 2017/18</w:t>
      </w:r>
      <w:r w:rsidR="006F4DCF">
        <w:rPr>
          <w:rFonts w:cs="Arial"/>
          <w:szCs w:val="20"/>
        </w:rPr>
        <w:t xml:space="preserve"> </w:t>
      </w:r>
      <w:r w:rsidRPr="00FA42B4">
        <w:rPr>
          <w:rFonts w:cs="Arial"/>
          <w:szCs w:val="20"/>
        </w:rPr>
        <w:t xml:space="preserve">také rostl podíl žáků vzdělávajících </w:t>
      </w:r>
      <w:r w:rsidR="006F4DCF">
        <w:rPr>
          <w:rFonts w:cs="Arial"/>
          <w:szCs w:val="20"/>
        </w:rPr>
        <w:t>se</w:t>
      </w:r>
      <w:r w:rsidR="008544AB">
        <w:rPr>
          <w:rFonts w:cs="Arial"/>
          <w:szCs w:val="20"/>
        </w:rPr>
        <w:t xml:space="preserve"> v oboru tanec (z 14,1 % na 18,6</w:t>
      </w:r>
      <w:r w:rsidR="006F4DCF">
        <w:rPr>
          <w:rFonts w:cs="Arial"/>
          <w:szCs w:val="20"/>
        </w:rPr>
        <w:t> %</w:t>
      </w:r>
      <w:r w:rsidR="008544AB">
        <w:rPr>
          <w:rFonts w:cs="Arial"/>
          <w:szCs w:val="20"/>
        </w:rPr>
        <w:t>)</w:t>
      </w:r>
      <w:r w:rsidRPr="00FA42B4">
        <w:rPr>
          <w:rFonts w:cs="Arial"/>
          <w:szCs w:val="20"/>
        </w:rPr>
        <w:t>.</w:t>
      </w:r>
      <w:r w:rsidR="008544AB">
        <w:rPr>
          <w:rFonts w:cs="Arial"/>
          <w:szCs w:val="20"/>
        </w:rPr>
        <w:t xml:space="preserve">  V následujících dvou školních </w:t>
      </w:r>
      <w:r w:rsidR="00441212">
        <w:rPr>
          <w:rFonts w:cs="Arial"/>
          <w:szCs w:val="20"/>
        </w:rPr>
        <w:t xml:space="preserve">rocích </w:t>
      </w:r>
      <w:r w:rsidR="009E34DE">
        <w:rPr>
          <w:rFonts w:cs="Arial"/>
          <w:szCs w:val="20"/>
        </w:rPr>
        <w:t>o necelý procentní bod</w:t>
      </w:r>
      <w:r w:rsidR="008544AB">
        <w:rPr>
          <w:rFonts w:cs="Arial"/>
          <w:szCs w:val="20"/>
        </w:rPr>
        <w:t xml:space="preserve"> poklesl, v uplynulém školn</w:t>
      </w:r>
      <w:r w:rsidR="00F8241E">
        <w:rPr>
          <w:rFonts w:cs="Arial"/>
          <w:szCs w:val="20"/>
        </w:rPr>
        <w:t>ím roce však činil opět 18,5 %.</w:t>
      </w:r>
      <w:r w:rsidRPr="00FA42B4">
        <w:rPr>
          <w:rFonts w:cs="Arial"/>
          <w:szCs w:val="20"/>
        </w:rPr>
        <w:t xml:space="preserve"> Nakonec</w:t>
      </w:r>
      <w:r w:rsidR="00F8241E">
        <w:rPr>
          <w:rFonts w:cs="Arial"/>
          <w:szCs w:val="20"/>
        </w:rPr>
        <w:t>,</w:t>
      </w:r>
      <w:r w:rsidRPr="00FA42B4">
        <w:rPr>
          <w:rFonts w:cs="Arial"/>
          <w:szCs w:val="20"/>
        </w:rPr>
        <w:t xml:space="preserve"> podíl žáků vzdělávajících se v oboru dramatické umění</w:t>
      </w:r>
      <w:r w:rsidR="008544AB">
        <w:rPr>
          <w:rFonts w:cs="Arial"/>
          <w:szCs w:val="20"/>
        </w:rPr>
        <w:t xml:space="preserve"> v čase kolísal, a sice mezi 8,1</w:t>
      </w:r>
      <w:r w:rsidRPr="00FA42B4">
        <w:rPr>
          <w:rFonts w:cs="Arial"/>
          <w:szCs w:val="20"/>
        </w:rPr>
        <w:t xml:space="preserve"> % </w:t>
      </w:r>
      <w:r w:rsidR="008544AB">
        <w:rPr>
          <w:rFonts w:cs="Arial"/>
          <w:szCs w:val="20"/>
        </w:rPr>
        <w:t>(ve školním roce 2021/22</w:t>
      </w:r>
      <w:r w:rsidR="006F4DCF">
        <w:rPr>
          <w:rFonts w:cs="Arial"/>
          <w:szCs w:val="20"/>
        </w:rPr>
        <w:t xml:space="preserve">) </w:t>
      </w:r>
      <w:r w:rsidRPr="00FA42B4">
        <w:rPr>
          <w:rFonts w:cs="Arial"/>
          <w:szCs w:val="20"/>
        </w:rPr>
        <w:t>a 9,7 %</w:t>
      </w:r>
      <w:r w:rsidR="006F4DCF">
        <w:rPr>
          <w:rFonts w:cs="Arial"/>
          <w:szCs w:val="20"/>
        </w:rPr>
        <w:t xml:space="preserve"> (ve školním roce 2012/13)</w:t>
      </w:r>
      <w:r w:rsidRPr="00FA42B4">
        <w:rPr>
          <w:rFonts w:cs="Arial"/>
          <w:szCs w:val="20"/>
        </w:rPr>
        <w:t xml:space="preserve">. </w:t>
      </w:r>
    </w:p>
    <w:p w14:paraId="2BF6DE26" w14:textId="4B9D482C" w:rsidR="00FA7769" w:rsidRDefault="00FA7769" w:rsidP="00FA7769">
      <w:pPr>
        <w:keepNext/>
        <w:spacing w:after="120" w:line="240" w:lineRule="auto"/>
        <w:jc w:val="both"/>
        <w:rPr>
          <w:b/>
        </w:rPr>
      </w:pPr>
      <w:r w:rsidRPr="00B92895">
        <w:rPr>
          <w:b/>
        </w:rPr>
        <w:lastRenderedPageBreak/>
        <w:t>G</w:t>
      </w:r>
      <w:r>
        <w:rPr>
          <w:b/>
        </w:rPr>
        <w:t>raf</w:t>
      </w:r>
      <w:r w:rsidRPr="00B92895">
        <w:rPr>
          <w:b/>
        </w:rPr>
        <w:t xml:space="preserve"> </w:t>
      </w:r>
      <w:r>
        <w:rPr>
          <w:b/>
        </w:rPr>
        <w:t>4.5</w:t>
      </w:r>
      <w:r w:rsidRPr="00B92895">
        <w:rPr>
          <w:b/>
        </w:rPr>
        <w:t xml:space="preserve"> Konzervatoře – podíly žáků vzdělá</w:t>
      </w:r>
      <w:r>
        <w:rPr>
          <w:b/>
        </w:rPr>
        <w:t>vajících se v různých oborech (2</w:t>
      </w:r>
      <w:r w:rsidRPr="00B92895">
        <w:rPr>
          <w:b/>
        </w:rPr>
        <w:t>0</w:t>
      </w:r>
      <w:r w:rsidR="008544AB">
        <w:rPr>
          <w:b/>
        </w:rPr>
        <w:t>11/12 až 2021</w:t>
      </w:r>
      <w:r w:rsidR="006F4DCF">
        <w:rPr>
          <w:b/>
        </w:rPr>
        <w:t>/</w:t>
      </w:r>
      <w:r w:rsidR="008544AB">
        <w:rPr>
          <w:b/>
        </w:rPr>
        <w:t>22</w:t>
      </w:r>
      <w:r w:rsidRPr="00B92895">
        <w:rPr>
          <w:b/>
        </w:rPr>
        <w:t>)</w:t>
      </w:r>
    </w:p>
    <w:p w14:paraId="38B52428" w14:textId="7AD9909F" w:rsidR="00FA7769" w:rsidRPr="006F4DCF" w:rsidRDefault="009E34DE" w:rsidP="006F4DCF">
      <w:pPr>
        <w:keepNext/>
        <w:spacing w:after="120" w:line="240" w:lineRule="auto"/>
        <w:jc w:val="both"/>
        <w:rPr>
          <w:b/>
        </w:rPr>
      </w:pPr>
      <w:r>
        <w:rPr>
          <w:noProof/>
        </w:rPr>
        <w:drawing>
          <wp:inline distT="0" distB="0" distL="0" distR="0" wp14:anchorId="25643753" wp14:editId="6CD63EE4">
            <wp:extent cx="6105525" cy="3333750"/>
            <wp:effectExtent l="0" t="0" r="9525" b="0"/>
            <wp:docPr id="20" name="Graf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1838EFE5" w14:textId="77777777" w:rsidR="00FA7769" w:rsidRDefault="00FA7769" w:rsidP="00B30FF3">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5B57E41B" w14:textId="77777777" w:rsidR="00FA7769" w:rsidRPr="00012731" w:rsidRDefault="00FA7769" w:rsidP="00FA7769">
      <w:pPr>
        <w:spacing w:after="120" w:line="240" w:lineRule="auto"/>
        <w:rPr>
          <w:highlight w:val="yellow"/>
        </w:rPr>
      </w:pPr>
    </w:p>
    <w:p w14:paraId="55D6B753" w14:textId="77777777" w:rsidR="00FA7769" w:rsidRPr="00D01DAC" w:rsidRDefault="00FA7769" w:rsidP="002D23AB">
      <w:pPr>
        <w:pStyle w:val="Nadpis1"/>
      </w:pPr>
      <w:bookmarkStart w:id="27" w:name="_Toc112069090"/>
      <w:r>
        <w:t>5.</w:t>
      </w:r>
      <w:r w:rsidRPr="00D01DAC">
        <w:t xml:space="preserve"> </w:t>
      </w:r>
      <w:r w:rsidRPr="008B57CF">
        <w:t>Vyšší odborné školy</w:t>
      </w:r>
      <w:bookmarkEnd w:id="27"/>
    </w:p>
    <w:p w14:paraId="2943CAFD" w14:textId="77777777" w:rsidR="00FA7769" w:rsidRPr="00BB5AA1" w:rsidRDefault="00FA7769" w:rsidP="00FA7769">
      <w:pPr>
        <w:tabs>
          <w:tab w:val="left" w:pos="0"/>
          <w:tab w:val="left" w:pos="540"/>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120"/>
        <w:jc w:val="both"/>
        <w:rPr>
          <w:rFonts w:cs="Arial"/>
          <w:szCs w:val="20"/>
        </w:rPr>
      </w:pPr>
      <w:r w:rsidRPr="00BB5AA1">
        <w:rPr>
          <w:rFonts w:cs="Arial"/>
          <w:szCs w:val="20"/>
        </w:rPr>
        <w:t>Vyšší odborné školy patří spolu s vysokými školami do tzv. terciárního vzdělávání a v mezinárodní klasifikaci ISCED 2011 spadají do úrovně 6 (bakalářská a jí odpovídající úroveň)</w:t>
      </w:r>
      <w:r w:rsidRPr="00BB5AA1">
        <w:rPr>
          <w:rStyle w:val="Znakapoznpodarou"/>
          <w:rFonts w:cs="Arial"/>
          <w:szCs w:val="20"/>
        </w:rPr>
        <w:footnoteReference w:id="49"/>
      </w:r>
      <w:r w:rsidRPr="00BB5AA1">
        <w:rPr>
          <w:rFonts w:cs="Arial"/>
          <w:szCs w:val="20"/>
        </w:rPr>
        <w:t>. Předpokladem pro vstup do terciárního vzdělávání je úspěšné složení maturitní zkoušky na střední škole. Absolventi vyššího odborného vzdělávání získávají titul diplomovaný specialista (DiS.)</w:t>
      </w:r>
    </w:p>
    <w:p w14:paraId="28CF0B9A" w14:textId="67F0BF15" w:rsidR="00FA7769" w:rsidRPr="00BB5AA1" w:rsidRDefault="00FA7769" w:rsidP="00FA7769">
      <w:pPr>
        <w:spacing w:after="120"/>
        <w:jc w:val="both"/>
        <w:rPr>
          <w:rFonts w:cs="Arial"/>
          <w:szCs w:val="20"/>
        </w:rPr>
      </w:pPr>
      <w:r w:rsidRPr="00BB5AA1">
        <w:rPr>
          <w:rFonts w:cs="Arial"/>
          <w:szCs w:val="20"/>
        </w:rPr>
        <w:t>Ve vyšších odborných</w:t>
      </w:r>
      <w:r w:rsidR="00BC5BC4">
        <w:rPr>
          <w:rFonts w:cs="Arial"/>
          <w:szCs w:val="20"/>
        </w:rPr>
        <w:t xml:space="preserve"> školách se ve školním roce 2021/22</w:t>
      </w:r>
      <w:r w:rsidRPr="00BB5AA1">
        <w:rPr>
          <w:rFonts w:cs="Arial"/>
          <w:szCs w:val="20"/>
        </w:rPr>
        <w:t xml:space="preserve"> vzdělávalo celkem </w:t>
      </w:r>
      <w:r w:rsidR="00BC5BC4" w:rsidRPr="00BC5BC4">
        <w:rPr>
          <w:rFonts w:cs="Arial"/>
          <w:szCs w:val="20"/>
        </w:rPr>
        <w:t>20</w:t>
      </w:r>
      <w:r w:rsidR="00BC5BC4">
        <w:rPr>
          <w:rFonts w:cs="Arial"/>
          <w:szCs w:val="20"/>
        </w:rPr>
        <w:t> </w:t>
      </w:r>
      <w:r w:rsidR="00BC5BC4" w:rsidRPr="00BC5BC4">
        <w:rPr>
          <w:rFonts w:cs="Arial"/>
          <w:szCs w:val="20"/>
        </w:rPr>
        <w:t>096</w:t>
      </w:r>
      <w:r w:rsidR="00BC5BC4">
        <w:rPr>
          <w:rFonts w:cs="Arial"/>
          <w:szCs w:val="20"/>
        </w:rPr>
        <w:t xml:space="preserve"> </w:t>
      </w:r>
      <w:r w:rsidR="007078E1">
        <w:rPr>
          <w:rFonts w:cs="Arial"/>
          <w:szCs w:val="20"/>
        </w:rPr>
        <w:t>s</w:t>
      </w:r>
      <w:r w:rsidR="00BC5BC4">
        <w:rPr>
          <w:rFonts w:cs="Arial"/>
          <w:szCs w:val="20"/>
        </w:rPr>
        <w:t>tudentů, a sice ve 151 školách</w:t>
      </w:r>
      <w:r w:rsidR="00BF4B10">
        <w:rPr>
          <w:rStyle w:val="Znakapoznpodarou"/>
          <w:rFonts w:cs="Arial"/>
          <w:szCs w:val="20"/>
        </w:rPr>
        <w:footnoteReference w:id="50"/>
      </w:r>
      <w:r w:rsidR="00BC5BC4">
        <w:rPr>
          <w:rFonts w:cs="Arial"/>
          <w:szCs w:val="20"/>
        </w:rPr>
        <w:t>. Téměř dvě třetiny (63,1</w:t>
      </w:r>
      <w:r w:rsidRPr="00BB5AA1">
        <w:rPr>
          <w:rFonts w:cs="Arial"/>
          <w:szCs w:val="20"/>
        </w:rPr>
        <w:t> %</w:t>
      </w:r>
      <w:r w:rsidR="002A411C">
        <w:rPr>
          <w:rFonts w:cs="Arial"/>
          <w:szCs w:val="20"/>
        </w:rPr>
        <w:t>) se jich vzdělávaly</w:t>
      </w:r>
      <w:r w:rsidRPr="00BB5AA1">
        <w:rPr>
          <w:rFonts w:cs="Arial"/>
          <w:szCs w:val="20"/>
        </w:rPr>
        <w:t xml:space="preserve"> ve školách veřejného zřizovatele, </w:t>
      </w:r>
      <w:r w:rsidR="002A411C">
        <w:rPr>
          <w:rFonts w:cs="Arial"/>
          <w:szCs w:val="20"/>
        </w:rPr>
        <w:t xml:space="preserve">více než </w:t>
      </w:r>
      <w:r w:rsidRPr="00BB5AA1">
        <w:rPr>
          <w:rFonts w:cs="Arial"/>
          <w:szCs w:val="20"/>
        </w:rPr>
        <w:t xml:space="preserve">čtvrtina ve školách soukromých </w:t>
      </w:r>
      <w:r w:rsidR="00BC5BC4">
        <w:rPr>
          <w:rFonts w:cs="Arial"/>
          <w:szCs w:val="20"/>
        </w:rPr>
        <w:t>(28,9 %) a 8</w:t>
      </w:r>
      <w:r w:rsidR="00631A36">
        <w:rPr>
          <w:rFonts w:cs="Arial"/>
          <w:szCs w:val="20"/>
        </w:rPr>
        <w:t xml:space="preserve"> % ve školách církevních. </w:t>
      </w:r>
      <w:r w:rsidR="002A411C">
        <w:rPr>
          <w:rFonts w:cs="Arial"/>
          <w:szCs w:val="20"/>
        </w:rPr>
        <w:t>Zhruba tři pětiny studentů (61,</w:t>
      </w:r>
      <w:r w:rsidR="00D91B71">
        <w:rPr>
          <w:rFonts w:cs="Arial"/>
          <w:szCs w:val="20"/>
        </w:rPr>
        <w:t>8</w:t>
      </w:r>
      <w:r w:rsidR="00D91B71" w:rsidRPr="00BB5AA1">
        <w:rPr>
          <w:rFonts w:cs="Arial"/>
          <w:szCs w:val="20"/>
        </w:rPr>
        <w:t xml:space="preserve"> </w:t>
      </w:r>
      <w:r w:rsidRPr="00BB5AA1">
        <w:rPr>
          <w:rFonts w:cs="Arial"/>
          <w:szCs w:val="20"/>
        </w:rPr>
        <w:t xml:space="preserve">%) se vzdělávaly denní formou vzdělávání a dvě pětiny jinou formou </w:t>
      </w:r>
      <w:r w:rsidR="00D91B71">
        <w:rPr>
          <w:rFonts w:cs="Arial"/>
          <w:szCs w:val="20"/>
        </w:rPr>
        <w:t>(38,2</w:t>
      </w:r>
      <w:r w:rsidRPr="00BB5AA1">
        <w:rPr>
          <w:rFonts w:cs="Arial"/>
          <w:szCs w:val="20"/>
        </w:rPr>
        <w:t xml:space="preserve"> %). </w:t>
      </w:r>
    </w:p>
    <w:p w14:paraId="29FCD58F" w14:textId="2199A10E" w:rsidR="00FA7769" w:rsidRPr="008B57CF" w:rsidRDefault="00FA7769" w:rsidP="00FA7769">
      <w:pPr>
        <w:spacing w:after="120"/>
        <w:jc w:val="both"/>
      </w:pPr>
      <w:r w:rsidRPr="00BB5AA1">
        <w:rPr>
          <w:rFonts w:cs="Arial"/>
          <w:szCs w:val="20"/>
        </w:rPr>
        <w:t>Na jeden plný úvazek učitele připadalo ve ško</w:t>
      </w:r>
      <w:r w:rsidR="00BC650D">
        <w:rPr>
          <w:rFonts w:cs="Arial"/>
          <w:szCs w:val="20"/>
        </w:rPr>
        <w:t>lním roce 2021/22 v průměru 16,2</w:t>
      </w:r>
      <w:r w:rsidRPr="00BB5AA1">
        <w:rPr>
          <w:rFonts w:cs="Arial"/>
          <w:szCs w:val="20"/>
        </w:rPr>
        <w:t xml:space="preserve"> studenta. Přitom ve školách s veřejným zřizovatelem připadalo na jednoho uč</w:t>
      </w:r>
      <w:r w:rsidR="004C048E">
        <w:rPr>
          <w:rFonts w:cs="Arial"/>
          <w:szCs w:val="20"/>
        </w:rPr>
        <w:t xml:space="preserve">itele </w:t>
      </w:r>
      <w:r w:rsidR="008B57CF">
        <w:rPr>
          <w:rFonts w:cs="Arial"/>
          <w:szCs w:val="20"/>
        </w:rPr>
        <w:t>méně</w:t>
      </w:r>
      <w:r w:rsidR="00BC650D">
        <w:rPr>
          <w:rFonts w:cs="Arial"/>
          <w:szCs w:val="20"/>
        </w:rPr>
        <w:t xml:space="preserve"> studentů (v průměru 15</w:t>
      </w:r>
      <w:r w:rsidRPr="00BB5AA1">
        <w:rPr>
          <w:rFonts w:cs="Arial"/>
          <w:szCs w:val="20"/>
        </w:rPr>
        <w:t xml:space="preserve">), než jak tomu bylo ve školách </w:t>
      </w:r>
      <w:r w:rsidR="004C048E">
        <w:rPr>
          <w:rFonts w:cs="Arial"/>
          <w:szCs w:val="20"/>
        </w:rPr>
        <w:t>s</w:t>
      </w:r>
      <w:r w:rsidRPr="00BB5AA1">
        <w:rPr>
          <w:rFonts w:cs="Arial"/>
          <w:szCs w:val="20"/>
        </w:rPr>
        <w:t xml:space="preserve"> církevním zřizovatelem (</w:t>
      </w:r>
      <w:r w:rsidR="00BC650D">
        <w:rPr>
          <w:rFonts w:cs="Arial"/>
          <w:szCs w:val="20"/>
        </w:rPr>
        <w:t>20,2</w:t>
      </w:r>
      <w:r w:rsidRPr="00BB5AA1">
        <w:rPr>
          <w:rFonts w:cs="Arial"/>
          <w:szCs w:val="20"/>
        </w:rPr>
        <w:t xml:space="preserve"> studenta)</w:t>
      </w:r>
      <w:r w:rsidR="00BC650D">
        <w:rPr>
          <w:rFonts w:cs="Arial"/>
          <w:szCs w:val="20"/>
        </w:rPr>
        <w:t xml:space="preserve"> i ve školách se soukromým zřizov</w:t>
      </w:r>
      <w:r w:rsidR="00F557C6">
        <w:rPr>
          <w:rFonts w:cs="Arial"/>
          <w:szCs w:val="20"/>
        </w:rPr>
        <w:t>atelem (18,1</w:t>
      </w:r>
      <w:r w:rsidR="00BC650D">
        <w:rPr>
          <w:rFonts w:cs="Arial"/>
          <w:szCs w:val="20"/>
        </w:rPr>
        <w:t xml:space="preserve">) </w:t>
      </w:r>
      <w:r w:rsidRPr="00BB5AA1">
        <w:rPr>
          <w:rFonts w:cs="Arial"/>
          <w:szCs w:val="20"/>
        </w:rPr>
        <w:t xml:space="preserve">– viz tabulku </w:t>
      </w:r>
      <w:r>
        <w:rPr>
          <w:rFonts w:cs="Arial"/>
          <w:szCs w:val="20"/>
        </w:rPr>
        <w:t>5.</w:t>
      </w:r>
      <w:r w:rsidRPr="00BB5AA1">
        <w:rPr>
          <w:rFonts w:cs="Arial"/>
          <w:szCs w:val="20"/>
        </w:rPr>
        <w:t xml:space="preserve">1. </w:t>
      </w:r>
      <w:r w:rsidRPr="00CD067E">
        <w:rPr>
          <w:rFonts w:cs="Arial"/>
          <w:szCs w:val="20"/>
        </w:rPr>
        <w:t>Pokud se</w:t>
      </w:r>
      <w:r w:rsidR="004C048E" w:rsidRPr="00CD067E">
        <w:rPr>
          <w:rFonts w:cs="Arial"/>
          <w:szCs w:val="20"/>
        </w:rPr>
        <w:t xml:space="preserve"> jedná o genderové složení, 66</w:t>
      </w:r>
      <w:r w:rsidR="00BF3795" w:rsidRPr="00CD067E">
        <w:rPr>
          <w:rFonts w:cs="Arial"/>
          <w:szCs w:val="20"/>
        </w:rPr>
        <w:t>,1</w:t>
      </w:r>
      <w:r w:rsidRPr="00CD067E">
        <w:rPr>
          <w:rFonts w:cs="Arial"/>
          <w:szCs w:val="20"/>
        </w:rPr>
        <w:t> % ze všech plných úvazků uči</w:t>
      </w:r>
      <w:r w:rsidR="006E32A1">
        <w:rPr>
          <w:rFonts w:cs="Arial"/>
          <w:szCs w:val="20"/>
        </w:rPr>
        <w:t>telů zaujímaly ženy. Jedná se o </w:t>
      </w:r>
      <w:r w:rsidRPr="00CD067E">
        <w:rPr>
          <w:rFonts w:cs="Arial"/>
          <w:szCs w:val="20"/>
        </w:rPr>
        <w:t xml:space="preserve">vyšší podíl, než jaký </w:t>
      </w:r>
      <w:r w:rsidR="00CD067E" w:rsidRPr="00CD067E">
        <w:rPr>
          <w:rFonts w:cs="Arial"/>
          <w:szCs w:val="20"/>
        </w:rPr>
        <w:t>byl zjištěn u konzervatoří</w:t>
      </w:r>
      <w:r w:rsidR="00CD067E">
        <w:rPr>
          <w:rFonts w:cs="Arial"/>
          <w:szCs w:val="20"/>
        </w:rPr>
        <w:t xml:space="preserve"> (53,1 %) i středních škol (60</w:t>
      </w:r>
      <w:r w:rsidRPr="00BB5AA1">
        <w:rPr>
          <w:rFonts w:cs="Arial"/>
          <w:szCs w:val="20"/>
        </w:rPr>
        <w:t xml:space="preserve"> %). </w:t>
      </w:r>
      <w:r w:rsidR="00F21AE9">
        <w:rPr>
          <w:rFonts w:cs="Arial"/>
          <w:szCs w:val="20"/>
        </w:rPr>
        <w:t>V základních a mateřských škol</w:t>
      </w:r>
      <w:r w:rsidR="00441212">
        <w:rPr>
          <w:rFonts w:cs="Arial"/>
          <w:szCs w:val="20"/>
        </w:rPr>
        <w:t>ách</w:t>
      </w:r>
      <w:r w:rsidR="00F21AE9">
        <w:rPr>
          <w:rFonts w:cs="Arial"/>
          <w:szCs w:val="20"/>
        </w:rPr>
        <w:t xml:space="preserve"> byl však ještě vyšší.</w:t>
      </w:r>
    </w:p>
    <w:p w14:paraId="72398AA4" w14:textId="4DE97F11" w:rsidR="00CD067E" w:rsidRDefault="00FA7769" w:rsidP="004122AC">
      <w:pPr>
        <w:keepNext/>
        <w:spacing w:after="120" w:line="240" w:lineRule="auto"/>
        <w:rPr>
          <w:b/>
        </w:rPr>
      </w:pPr>
      <w:r w:rsidRPr="006E32A1">
        <w:rPr>
          <w:b/>
        </w:rPr>
        <w:lastRenderedPageBreak/>
        <w:t>Tab. 5.1</w:t>
      </w:r>
      <w:r w:rsidRPr="006E32A1">
        <w:t xml:space="preserve"> </w:t>
      </w:r>
      <w:r w:rsidR="00631A36">
        <w:rPr>
          <w:b/>
        </w:rPr>
        <w:t xml:space="preserve">Vyšší odborné školy </w:t>
      </w:r>
      <w:r w:rsidRPr="006E32A1">
        <w:rPr>
          <w:b/>
        </w:rPr>
        <w:t>- počet škol, studentů a učitelů celk</w:t>
      </w:r>
      <w:r w:rsidR="006E32A1">
        <w:rPr>
          <w:b/>
        </w:rPr>
        <w:t>em a dle zřizovatele školy (2021/22</w:t>
      </w:r>
      <w:r w:rsidRPr="006E32A1">
        <w:rPr>
          <w:b/>
        </w:rPr>
        <w:t>)</w:t>
      </w:r>
    </w:p>
    <w:tbl>
      <w:tblPr>
        <w:tblW w:w="9120" w:type="dxa"/>
        <w:tblInd w:w="-10" w:type="dxa"/>
        <w:tblCellMar>
          <w:left w:w="70" w:type="dxa"/>
          <w:right w:w="70" w:type="dxa"/>
        </w:tblCellMar>
        <w:tblLook w:val="04A0" w:firstRow="1" w:lastRow="0" w:firstColumn="1" w:lastColumn="0" w:noHBand="0" w:noVBand="1"/>
      </w:tblPr>
      <w:tblGrid>
        <w:gridCol w:w="960"/>
        <w:gridCol w:w="1167"/>
        <w:gridCol w:w="1233"/>
        <w:gridCol w:w="1318"/>
        <w:gridCol w:w="1082"/>
        <w:gridCol w:w="1186"/>
        <w:gridCol w:w="1214"/>
        <w:gridCol w:w="960"/>
      </w:tblGrid>
      <w:tr w:rsidR="006E32A1" w:rsidRPr="006E32A1" w14:paraId="25DF3B0E" w14:textId="77777777" w:rsidTr="006E32A1">
        <w:trPr>
          <w:trHeight w:val="360"/>
        </w:trPr>
        <w:tc>
          <w:tcPr>
            <w:tcW w:w="960" w:type="dxa"/>
            <w:vMerge w:val="restart"/>
            <w:tcBorders>
              <w:top w:val="single" w:sz="8" w:space="0" w:color="auto"/>
              <w:left w:val="single" w:sz="8" w:space="0" w:color="auto"/>
              <w:bottom w:val="single" w:sz="8" w:space="0" w:color="000000"/>
              <w:right w:val="single" w:sz="8" w:space="0" w:color="auto"/>
            </w:tcBorders>
            <w:shd w:val="clear" w:color="000000" w:fill="C00000"/>
            <w:noWrap/>
            <w:vAlign w:val="center"/>
            <w:hideMark/>
          </w:tcPr>
          <w:p w14:paraId="3016CA0E" w14:textId="77777777" w:rsidR="006E32A1" w:rsidRPr="006E32A1" w:rsidRDefault="006E32A1" w:rsidP="004122AC">
            <w:pPr>
              <w:keepNext/>
              <w:spacing w:after="0" w:line="240" w:lineRule="auto"/>
              <w:jc w:val="center"/>
              <w:rPr>
                <w:rFonts w:cs="Arial"/>
                <w:b/>
                <w:bCs/>
                <w:color w:val="FFFFFF"/>
                <w:sz w:val="16"/>
                <w:szCs w:val="16"/>
              </w:rPr>
            </w:pPr>
            <w:r w:rsidRPr="006E32A1">
              <w:rPr>
                <w:rFonts w:cs="Arial"/>
                <w:b/>
                <w:bCs/>
                <w:color w:val="FFFFFF" w:themeColor="background1"/>
                <w:sz w:val="16"/>
                <w:szCs w:val="16"/>
              </w:rPr>
              <w:t>zřizovatel</w:t>
            </w:r>
          </w:p>
        </w:tc>
        <w:tc>
          <w:tcPr>
            <w:tcW w:w="2400" w:type="dxa"/>
            <w:gridSpan w:val="2"/>
            <w:tcBorders>
              <w:top w:val="single" w:sz="8" w:space="0" w:color="auto"/>
              <w:left w:val="nil"/>
              <w:bottom w:val="single" w:sz="8" w:space="0" w:color="auto"/>
              <w:right w:val="single" w:sz="8" w:space="0" w:color="000000"/>
            </w:tcBorders>
            <w:shd w:val="clear" w:color="000000" w:fill="C00000"/>
            <w:noWrap/>
            <w:vAlign w:val="center"/>
            <w:hideMark/>
          </w:tcPr>
          <w:p w14:paraId="755238E6" w14:textId="77777777" w:rsidR="006E32A1" w:rsidRPr="006E32A1" w:rsidRDefault="006E32A1" w:rsidP="004122AC">
            <w:pPr>
              <w:keepNext/>
              <w:spacing w:after="0" w:line="240" w:lineRule="auto"/>
              <w:jc w:val="center"/>
              <w:rPr>
                <w:rFonts w:cs="Arial"/>
                <w:b/>
                <w:bCs/>
                <w:color w:val="FFFFFF"/>
                <w:sz w:val="16"/>
                <w:szCs w:val="16"/>
              </w:rPr>
            </w:pPr>
            <w:r w:rsidRPr="006E32A1">
              <w:rPr>
                <w:rFonts w:cs="Arial"/>
                <w:b/>
                <w:bCs/>
                <w:color w:val="FFFFFF" w:themeColor="background1"/>
                <w:sz w:val="16"/>
                <w:szCs w:val="16"/>
              </w:rPr>
              <w:t>školy</w:t>
            </w:r>
          </w:p>
        </w:tc>
        <w:tc>
          <w:tcPr>
            <w:tcW w:w="2400" w:type="dxa"/>
            <w:gridSpan w:val="2"/>
            <w:tcBorders>
              <w:top w:val="single" w:sz="8" w:space="0" w:color="auto"/>
              <w:left w:val="nil"/>
              <w:bottom w:val="single" w:sz="8" w:space="0" w:color="auto"/>
              <w:right w:val="single" w:sz="8" w:space="0" w:color="000000"/>
            </w:tcBorders>
            <w:shd w:val="clear" w:color="000000" w:fill="C00000"/>
            <w:noWrap/>
            <w:vAlign w:val="center"/>
            <w:hideMark/>
          </w:tcPr>
          <w:p w14:paraId="6E5DCA23" w14:textId="77777777" w:rsidR="006E32A1" w:rsidRPr="006E32A1" w:rsidRDefault="006E32A1" w:rsidP="004122AC">
            <w:pPr>
              <w:keepNext/>
              <w:spacing w:after="0" w:line="240" w:lineRule="auto"/>
              <w:jc w:val="center"/>
              <w:rPr>
                <w:rFonts w:cs="Arial"/>
                <w:b/>
                <w:bCs/>
                <w:color w:val="FFFFFF"/>
                <w:sz w:val="16"/>
                <w:szCs w:val="16"/>
              </w:rPr>
            </w:pPr>
            <w:r w:rsidRPr="006E32A1">
              <w:rPr>
                <w:rFonts w:cs="Arial"/>
                <w:b/>
                <w:bCs/>
                <w:color w:val="FFFFFF" w:themeColor="background1"/>
                <w:sz w:val="16"/>
                <w:szCs w:val="16"/>
              </w:rPr>
              <w:t>studenti</w:t>
            </w:r>
          </w:p>
        </w:tc>
        <w:tc>
          <w:tcPr>
            <w:tcW w:w="2400" w:type="dxa"/>
            <w:gridSpan w:val="2"/>
            <w:tcBorders>
              <w:top w:val="single" w:sz="8" w:space="0" w:color="auto"/>
              <w:left w:val="nil"/>
              <w:bottom w:val="single" w:sz="8" w:space="0" w:color="auto"/>
              <w:right w:val="single" w:sz="8" w:space="0" w:color="000000"/>
            </w:tcBorders>
            <w:shd w:val="clear" w:color="000000" w:fill="C00000"/>
            <w:noWrap/>
            <w:vAlign w:val="center"/>
            <w:hideMark/>
          </w:tcPr>
          <w:p w14:paraId="1F2080DA" w14:textId="77777777" w:rsidR="006E32A1" w:rsidRPr="006E32A1" w:rsidRDefault="006E32A1" w:rsidP="004122AC">
            <w:pPr>
              <w:keepNext/>
              <w:spacing w:after="0" w:line="240" w:lineRule="auto"/>
              <w:jc w:val="center"/>
              <w:rPr>
                <w:rFonts w:cs="Arial"/>
                <w:b/>
                <w:bCs/>
                <w:color w:val="FFFFFF"/>
                <w:sz w:val="16"/>
                <w:szCs w:val="16"/>
              </w:rPr>
            </w:pPr>
            <w:r w:rsidRPr="006E32A1">
              <w:rPr>
                <w:rFonts w:cs="Arial"/>
                <w:b/>
                <w:bCs/>
                <w:color w:val="FFFFFF" w:themeColor="background1"/>
                <w:sz w:val="16"/>
                <w:szCs w:val="16"/>
              </w:rPr>
              <w:t>učitelé</w:t>
            </w:r>
            <w:r w:rsidRPr="006E32A1">
              <w:rPr>
                <w:rFonts w:cs="Arial"/>
                <w:color w:val="FFFFFF"/>
                <w:sz w:val="16"/>
                <w:szCs w:val="16"/>
                <w:vertAlign w:val="superscript"/>
              </w:rPr>
              <w:t>*)</w:t>
            </w:r>
          </w:p>
        </w:tc>
        <w:tc>
          <w:tcPr>
            <w:tcW w:w="960" w:type="dxa"/>
            <w:vMerge w:val="restart"/>
            <w:tcBorders>
              <w:top w:val="single" w:sz="8" w:space="0" w:color="auto"/>
              <w:left w:val="nil"/>
              <w:bottom w:val="single" w:sz="8" w:space="0" w:color="000000"/>
              <w:right w:val="single" w:sz="8" w:space="0" w:color="auto"/>
            </w:tcBorders>
            <w:shd w:val="clear" w:color="000000" w:fill="C00000"/>
            <w:vAlign w:val="center"/>
            <w:hideMark/>
          </w:tcPr>
          <w:p w14:paraId="3CFBE078" w14:textId="77777777" w:rsidR="006E32A1" w:rsidRPr="006E32A1" w:rsidRDefault="006E32A1" w:rsidP="004122AC">
            <w:pPr>
              <w:keepNext/>
              <w:spacing w:after="0" w:line="240" w:lineRule="auto"/>
              <w:jc w:val="center"/>
              <w:rPr>
                <w:rFonts w:cs="Arial"/>
                <w:b/>
                <w:bCs/>
                <w:color w:val="FFFFFF"/>
                <w:sz w:val="16"/>
                <w:szCs w:val="16"/>
              </w:rPr>
            </w:pPr>
            <w:r w:rsidRPr="006E32A1">
              <w:rPr>
                <w:rFonts w:cs="Arial"/>
                <w:b/>
                <w:bCs/>
                <w:color w:val="FFFFFF" w:themeColor="background1"/>
                <w:sz w:val="16"/>
                <w:szCs w:val="16"/>
              </w:rPr>
              <w:t>studentů na 1 učitele</w:t>
            </w:r>
          </w:p>
        </w:tc>
      </w:tr>
      <w:tr w:rsidR="006E32A1" w:rsidRPr="006E32A1" w14:paraId="4B421B67" w14:textId="77777777" w:rsidTr="006E32A1">
        <w:trPr>
          <w:trHeight w:val="315"/>
        </w:trPr>
        <w:tc>
          <w:tcPr>
            <w:tcW w:w="960" w:type="dxa"/>
            <w:vMerge/>
            <w:tcBorders>
              <w:top w:val="single" w:sz="8" w:space="0" w:color="auto"/>
              <w:left w:val="single" w:sz="8" w:space="0" w:color="auto"/>
              <w:bottom w:val="single" w:sz="8" w:space="0" w:color="000000"/>
              <w:right w:val="single" w:sz="8" w:space="0" w:color="auto"/>
            </w:tcBorders>
            <w:vAlign w:val="center"/>
            <w:hideMark/>
          </w:tcPr>
          <w:p w14:paraId="7FE94B4B" w14:textId="77777777" w:rsidR="006E32A1" w:rsidRPr="006E32A1" w:rsidRDefault="006E32A1" w:rsidP="004122AC">
            <w:pPr>
              <w:keepNext/>
              <w:spacing w:after="0" w:line="240" w:lineRule="auto"/>
              <w:rPr>
                <w:rFonts w:cs="Arial"/>
                <w:b/>
                <w:bCs/>
                <w:color w:val="FFFFFF"/>
                <w:sz w:val="16"/>
                <w:szCs w:val="16"/>
              </w:rPr>
            </w:pPr>
          </w:p>
        </w:tc>
        <w:tc>
          <w:tcPr>
            <w:tcW w:w="1167" w:type="dxa"/>
            <w:tcBorders>
              <w:top w:val="nil"/>
              <w:left w:val="nil"/>
              <w:bottom w:val="single" w:sz="8" w:space="0" w:color="auto"/>
              <w:right w:val="single" w:sz="8" w:space="0" w:color="auto"/>
            </w:tcBorders>
            <w:shd w:val="clear" w:color="000000" w:fill="F4B084"/>
            <w:noWrap/>
            <w:vAlign w:val="center"/>
            <w:hideMark/>
          </w:tcPr>
          <w:p w14:paraId="33FA79D4" w14:textId="77777777" w:rsidR="006E32A1" w:rsidRPr="006E32A1" w:rsidRDefault="006E32A1" w:rsidP="004122AC">
            <w:pPr>
              <w:keepNext/>
              <w:spacing w:after="0" w:line="240" w:lineRule="auto"/>
              <w:jc w:val="center"/>
              <w:rPr>
                <w:rFonts w:cs="Arial"/>
                <w:b/>
                <w:bCs/>
                <w:color w:val="000000"/>
                <w:sz w:val="16"/>
                <w:szCs w:val="16"/>
              </w:rPr>
            </w:pPr>
            <w:r w:rsidRPr="006E32A1">
              <w:rPr>
                <w:rFonts w:cs="Arial"/>
                <w:b/>
                <w:bCs/>
                <w:color w:val="000000"/>
                <w:sz w:val="16"/>
                <w:szCs w:val="16"/>
              </w:rPr>
              <w:t>Abs.</w:t>
            </w:r>
          </w:p>
        </w:tc>
        <w:tc>
          <w:tcPr>
            <w:tcW w:w="1233" w:type="dxa"/>
            <w:tcBorders>
              <w:top w:val="nil"/>
              <w:left w:val="nil"/>
              <w:bottom w:val="single" w:sz="8" w:space="0" w:color="auto"/>
              <w:right w:val="single" w:sz="8" w:space="0" w:color="auto"/>
            </w:tcBorders>
            <w:shd w:val="clear" w:color="000000" w:fill="F4B084"/>
            <w:noWrap/>
            <w:vAlign w:val="center"/>
            <w:hideMark/>
          </w:tcPr>
          <w:p w14:paraId="2B207DFA" w14:textId="77777777" w:rsidR="006E32A1" w:rsidRPr="006E32A1" w:rsidRDefault="006E32A1" w:rsidP="004122AC">
            <w:pPr>
              <w:keepNext/>
              <w:spacing w:after="0" w:line="240" w:lineRule="auto"/>
              <w:jc w:val="center"/>
              <w:rPr>
                <w:rFonts w:cs="Arial"/>
                <w:b/>
                <w:bCs/>
                <w:i/>
                <w:iCs/>
                <w:color w:val="000000"/>
                <w:sz w:val="16"/>
                <w:szCs w:val="16"/>
              </w:rPr>
            </w:pPr>
            <w:r w:rsidRPr="006E32A1">
              <w:rPr>
                <w:rFonts w:cs="Arial"/>
                <w:b/>
                <w:bCs/>
                <w:i/>
                <w:iCs/>
                <w:color w:val="000000"/>
                <w:sz w:val="16"/>
                <w:szCs w:val="16"/>
              </w:rPr>
              <w:t>%</w:t>
            </w:r>
          </w:p>
        </w:tc>
        <w:tc>
          <w:tcPr>
            <w:tcW w:w="1318" w:type="dxa"/>
            <w:tcBorders>
              <w:top w:val="nil"/>
              <w:left w:val="nil"/>
              <w:bottom w:val="single" w:sz="8" w:space="0" w:color="auto"/>
              <w:right w:val="single" w:sz="8" w:space="0" w:color="auto"/>
            </w:tcBorders>
            <w:shd w:val="clear" w:color="000000" w:fill="F4B084"/>
            <w:noWrap/>
            <w:vAlign w:val="center"/>
            <w:hideMark/>
          </w:tcPr>
          <w:p w14:paraId="188DAFFF" w14:textId="77777777" w:rsidR="006E32A1" w:rsidRPr="006E32A1" w:rsidRDefault="006E32A1" w:rsidP="004122AC">
            <w:pPr>
              <w:keepNext/>
              <w:spacing w:after="0" w:line="240" w:lineRule="auto"/>
              <w:jc w:val="center"/>
              <w:rPr>
                <w:rFonts w:cs="Arial"/>
                <w:b/>
                <w:bCs/>
                <w:color w:val="000000"/>
                <w:sz w:val="16"/>
                <w:szCs w:val="16"/>
              </w:rPr>
            </w:pPr>
            <w:r w:rsidRPr="006E32A1">
              <w:rPr>
                <w:rFonts w:cs="Arial"/>
                <w:b/>
                <w:bCs/>
                <w:color w:val="000000"/>
                <w:sz w:val="16"/>
                <w:szCs w:val="16"/>
              </w:rPr>
              <w:t>Abs.</w:t>
            </w:r>
          </w:p>
        </w:tc>
        <w:tc>
          <w:tcPr>
            <w:tcW w:w="1082" w:type="dxa"/>
            <w:tcBorders>
              <w:top w:val="nil"/>
              <w:left w:val="nil"/>
              <w:bottom w:val="single" w:sz="8" w:space="0" w:color="auto"/>
              <w:right w:val="single" w:sz="8" w:space="0" w:color="auto"/>
            </w:tcBorders>
            <w:shd w:val="clear" w:color="000000" w:fill="F4B084"/>
            <w:noWrap/>
            <w:vAlign w:val="center"/>
            <w:hideMark/>
          </w:tcPr>
          <w:p w14:paraId="0EA58AC1" w14:textId="77777777" w:rsidR="006E32A1" w:rsidRPr="006E32A1" w:rsidRDefault="006E32A1" w:rsidP="004122AC">
            <w:pPr>
              <w:keepNext/>
              <w:spacing w:after="0" w:line="240" w:lineRule="auto"/>
              <w:jc w:val="center"/>
              <w:rPr>
                <w:rFonts w:cs="Arial"/>
                <w:b/>
                <w:bCs/>
                <w:i/>
                <w:iCs/>
                <w:color w:val="000000"/>
                <w:sz w:val="16"/>
                <w:szCs w:val="16"/>
              </w:rPr>
            </w:pPr>
            <w:r w:rsidRPr="006E32A1">
              <w:rPr>
                <w:rFonts w:cs="Arial"/>
                <w:b/>
                <w:bCs/>
                <w:i/>
                <w:iCs/>
                <w:color w:val="000000"/>
                <w:sz w:val="16"/>
                <w:szCs w:val="16"/>
              </w:rPr>
              <w:t>%</w:t>
            </w:r>
          </w:p>
        </w:tc>
        <w:tc>
          <w:tcPr>
            <w:tcW w:w="1186" w:type="dxa"/>
            <w:tcBorders>
              <w:top w:val="nil"/>
              <w:left w:val="nil"/>
              <w:bottom w:val="single" w:sz="8" w:space="0" w:color="auto"/>
              <w:right w:val="single" w:sz="8" w:space="0" w:color="auto"/>
            </w:tcBorders>
            <w:shd w:val="clear" w:color="000000" w:fill="F4B084"/>
            <w:noWrap/>
            <w:vAlign w:val="center"/>
            <w:hideMark/>
          </w:tcPr>
          <w:p w14:paraId="7FC8BBAB" w14:textId="77777777" w:rsidR="006E32A1" w:rsidRPr="006E32A1" w:rsidRDefault="006E32A1" w:rsidP="004122AC">
            <w:pPr>
              <w:keepNext/>
              <w:spacing w:after="0" w:line="240" w:lineRule="auto"/>
              <w:jc w:val="center"/>
              <w:rPr>
                <w:rFonts w:cs="Arial"/>
                <w:b/>
                <w:bCs/>
                <w:color w:val="000000"/>
                <w:sz w:val="16"/>
                <w:szCs w:val="16"/>
              </w:rPr>
            </w:pPr>
            <w:r w:rsidRPr="006E32A1">
              <w:rPr>
                <w:rFonts w:cs="Arial"/>
                <w:b/>
                <w:bCs/>
                <w:color w:val="000000"/>
                <w:sz w:val="16"/>
                <w:szCs w:val="16"/>
              </w:rPr>
              <w:t>Abs.</w:t>
            </w:r>
          </w:p>
        </w:tc>
        <w:tc>
          <w:tcPr>
            <w:tcW w:w="1214" w:type="dxa"/>
            <w:tcBorders>
              <w:top w:val="nil"/>
              <w:left w:val="nil"/>
              <w:bottom w:val="single" w:sz="8" w:space="0" w:color="auto"/>
              <w:right w:val="single" w:sz="8" w:space="0" w:color="auto"/>
            </w:tcBorders>
            <w:shd w:val="clear" w:color="000000" w:fill="F4B084"/>
            <w:noWrap/>
            <w:vAlign w:val="center"/>
            <w:hideMark/>
          </w:tcPr>
          <w:p w14:paraId="52D479BE" w14:textId="77777777" w:rsidR="006E32A1" w:rsidRPr="006E32A1" w:rsidRDefault="006E32A1" w:rsidP="004122AC">
            <w:pPr>
              <w:keepNext/>
              <w:spacing w:after="0" w:line="240" w:lineRule="auto"/>
              <w:jc w:val="center"/>
              <w:rPr>
                <w:rFonts w:cs="Arial"/>
                <w:b/>
                <w:bCs/>
                <w:i/>
                <w:iCs/>
                <w:color w:val="000000"/>
                <w:sz w:val="16"/>
                <w:szCs w:val="16"/>
              </w:rPr>
            </w:pPr>
            <w:r w:rsidRPr="006E32A1">
              <w:rPr>
                <w:rFonts w:cs="Arial"/>
                <w:b/>
                <w:bCs/>
                <w:i/>
                <w:iCs/>
                <w:color w:val="000000"/>
                <w:sz w:val="16"/>
                <w:szCs w:val="16"/>
              </w:rPr>
              <w:t>%</w:t>
            </w:r>
          </w:p>
        </w:tc>
        <w:tc>
          <w:tcPr>
            <w:tcW w:w="960" w:type="dxa"/>
            <w:vMerge/>
            <w:tcBorders>
              <w:top w:val="single" w:sz="8" w:space="0" w:color="auto"/>
              <w:left w:val="nil"/>
              <w:bottom w:val="single" w:sz="8" w:space="0" w:color="000000"/>
              <w:right w:val="single" w:sz="8" w:space="0" w:color="auto"/>
            </w:tcBorders>
            <w:vAlign w:val="center"/>
            <w:hideMark/>
          </w:tcPr>
          <w:p w14:paraId="3C4F5A25" w14:textId="77777777" w:rsidR="006E32A1" w:rsidRPr="006E32A1" w:rsidRDefault="006E32A1" w:rsidP="004122AC">
            <w:pPr>
              <w:keepNext/>
              <w:spacing w:after="0" w:line="240" w:lineRule="auto"/>
              <w:rPr>
                <w:rFonts w:cs="Arial"/>
                <w:b/>
                <w:bCs/>
                <w:color w:val="FFFFFF"/>
                <w:sz w:val="16"/>
                <w:szCs w:val="16"/>
              </w:rPr>
            </w:pPr>
          </w:p>
        </w:tc>
      </w:tr>
      <w:tr w:rsidR="006E32A1" w:rsidRPr="006E32A1" w14:paraId="5D8760FA" w14:textId="77777777" w:rsidTr="006E32A1">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42220FB7" w14:textId="77777777" w:rsidR="006E32A1" w:rsidRPr="006E32A1" w:rsidRDefault="006E32A1" w:rsidP="004122AC">
            <w:pPr>
              <w:keepNext/>
              <w:spacing w:after="0" w:line="240" w:lineRule="auto"/>
              <w:rPr>
                <w:rFonts w:cs="Arial"/>
                <w:color w:val="000000"/>
                <w:sz w:val="16"/>
                <w:szCs w:val="16"/>
              </w:rPr>
            </w:pPr>
            <w:r w:rsidRPr="006E32A1">
              <w:rPr>
                <w:rFonts w:cs="Arial"/>
                <w:color w:val="000000"/>
                <w:sz w:val="16"/>
                <w:szCs w:val="16"/>
              </w:rPr>
              <w:t>veřejný</w:t>
            </w:r>
          </w:p>
        </w:tc>
        <w:tc>
          <w:tcPr>
            <w:tcW w:w="1167" w:type="dxa"/>
            <w:tcBorders>
              <w:top w:val="nil"/>
              <w:left w:val="nil"/>
              <w:bottom w:val="nil"/>
              <w:right w:val="nil"/>
            </w:tcBorders>
            <w:shd w:val="clear" w:color="auto" w:fill="auto"/>
            <w:noWrap/>
            <w:vAlign w:val="center"/>
            <w:hideMark/>
          </w:tcPr>
          <w:p w14:paraId="2FC1BC65" w14:textId="77777777" w:rsidR="006E32A1" w:rsidRPr="006E32A1" w:rsidRDefault="006E32A1" w:rsidP="004122AC">
            <w:pPr>
              <w:keepNext/>
              <w:spacing w:after="0" w:line="240" w:lineRule="auto"/>
              <w:jc w:val="right"/>
              <w:rPr>
                <w:rFonts w:cs="Arial"/>
                <w:color w:val="000000"/>
                <w:sz w:val="16"/>
                <w:szCs w:val="16"/>
              </w:rPr>
            </w:pPr>
            <w:r w:rsidRPr="006E32A1">
              <w:rPr>
                <w:rFonts w:cs="Arial"/>
                <w:color w:val="000000"/>
                <w:sz w:val="16"/>
                <w:szCs w:val="16"/>
              </w:rPr>
              <w:t>101</w:t>
            </w:r>
          </w:p>
        </w:tc>
        <w:tc>
          <w:tcPr>
            <w:tcW w:w="1233" w:type="dxa"/>
            <w:tcBorders>
              <w:top w:val="nil"/>
              <w:left w:val="nil"/>
              <w:bottom w:val="nil"/>
              <w:right w:val="single" w:sz="8" w:space="0" w:color="auto"/>
            </w:tcBorders>
            <w:shd w:val="clear" w:color="auto" w:fill="auto"/>
            <w:noWrap/>
            <w:vAlign w:val="center"/>
            <w:hideMark/>
          </w:tcPr>
          <w:p w14:paraId="36652B29" w14:textId="77777777" w:rsidR="006E32A1" w:rsidRPr="006E32A1" w:rsidRDefault="006E32A1" w:rsidP="004122AC">
            <w:pPr>
              <w:keepNext/>
              <w:spacing w:after="0" w:line="240" w:lineRule="auto"/>
              <w:jc w:val="right"/>
              <w:rPr>
                <w:rFonts w:cs="Arial"/>
                <w:i/>
                <w:iCs/>
                <w:color w:val="000000"/>
                <w:sz w:val="16"/>
                <w:szCs w:val="16"/>
              </w:rPr>
            </w:pPr>
            <w:r w:rsidRPr="006E32A1">
              <w:rPr>
                <w:rFonts w:cs="Arial"/>
                <w:i/>
                <w:iCs/>
                <w:color w:val="000000"/>
                <w:sz w:val="16"/>
                <w:szCs w:val="16"/>
              </w:rPr>
              <w:t>66,9</w:t>
            </w:r>
          </w:p>
        </w:tc>
        <w:tc>
          <w:tcPr>
            <w:tcW w:w="1318" w:type="dxa"/>
            <w:tcBorders>
              <w:top w:val="nil"/>
              <w:left w:val="nil"/>
              <w:bottom w:val="nil"/>
              <w:right w:val="nil"/>
            </w:tcBorders>
            <w:shd w:val="clear" w:color="auto" w:fill="auto"/>
            <w:noWrap/>
            <w:vAlign w:val="center"/>
            <w:hideMark/>
          </w:tcPr>
          <w:p w14:paraId="62358DC6" w14:textId="77777777" w:rsidR="006E32A1" w:rsidRPr="006E32A1" w:rsidRDefault="006E32A1" w:rsidP="004122AC">
            <w:pPr>
              <w:keepNext/>
              <w:spacing w:after="0" w:line="240" w:lineRule="auto"/>
              <w:jc w:val="right"/>
              <w:rPr>
                <w:rFonts w:cs="Arial"/>
                <w:color w:val="000000"/>
                <w:sz w:val="16"/>
                <w:szCs w:val="16"/>
              </w:rPr>
            </w:pPr>
            <w:r w:rsidRPr="006E32A1">
              <w:rPr>
                <w:rFonts w:cs="Arial"/>
                <w:color w:val="000000"/>
                <w:sz w:val="16"/>
                <w:szCs w:val="16"/>
              </w:rPr>
              <w:t>12671</w:t>
            </w:r>
          </w:p>
        </w:tc>
        <w:tc>
          <w:tcPr>
            <w:tcW w:w="1082" w:type="dxa"/>
            <w:tcBorders>
              <w:top w:val="nil"/>
              <w:left w:val="nil"/>
              <w:bottom w:val="nil"/>
              <w:right w:val="single" w:sz="8" w:space="0" w:color="auto"/>
            </w:tcBorders>
            <w:shd w:val="clear" w:color="auto" w:fill="auto"/>
            <w:noWrap/>
            <w:vAlign w:val="center"/>
            <w:hideMark/>
          </w:tcPr>
          <w:p w14:paraId="3B8CC284" w14:textId="77777777" w:rsidR="006E32A1" w:rsidRPr="006E32A1" w:rsidRDefault="006E32A1" w:rsidP="004122AC">
            <w:pPr>
              <w:keepNext/>
              <w:spacing w:after="0" w:line="240" w:lineRule="auto"/>
              <w:jc w:val="right"/>
              <w:rPr>
                <w:rFonts w:cs="Arial"/>
                <w:i/>
                <w:iCs/>
                <w:color w:val="000000"/>
                <w:sz w:val="16"/>
                <w:szCs w:val="16"/>
              </w:rPr>
            </w:pPr>
            <w:r w:rsidRPr="006E32A1">
              <w:rPr>
                <w:rFonts w:cs="Arial"/>
                <w:i/>
                <w:iCs/>
                <w:color w:val="000000"/>
                <w:sz w:val="16"/>
                <w:szCs w:val="16"/>
              </w:rPr>
              <w:t>63,1</w:t>
            </w:r>
          </w:p>
        </w:tc>
        <w:tc>
          <w:tcPr>
            <w:tcW w:w="1186" w:type="dxa"/>
            <w:tcBorders>
              <w:top w:val="nil"/>
              <w:left w:val="nil"/>
              <w:bottom w:val="nil"/>
              <w:right w:val="nil"/>
            </w:tcBorders>
            <w:shd w:val="clear" w:color="auto" w:fill="auto"/>
            <w:noWrap/>
            <w:vAlign w:val="center"/>
            <w:hideMark/>
          </w:tcPr>
          <w:p w14:paraId="220F16C6" w14:textId="77777777" w:rsidR="006E32A1" w:rsidRPr="006E32A1" w:rsidRDefault="006E32A1" w:rsidP="004122AC">
            <w:pPr>
              <w:keepNext/>
              <w:spacing w:after="0" w:line="240" w:lineRule="auto"/>
              <w:jc w:val="right"/>
              <w:rPr>
                <w:rFonts w:cs="Arial"/>
                <w:color w:val="000000"/>
                <w:sz w:val="16"/>
                <w:szCs w:val="16"/>
              </w:rPr>
            </w:pPr>
            <w:r w:rsidRPr="006E32A1">
              <w:rPr>
                <w:rFonts w:cs="Arial"/>
                <w:color w:val="000000"/>
                <w:sz w:val="16"/>
                <w:szCs w:val="16"/>
              </w:rPr>
              <w:t>843,1</w:t>
            </w:r>
          </w:p>
        </w:tc>
        <w:tc>
          <w:tcPr>
            <w:tcW w:w="1214" w:type="dxa"/>
            <w:tcBorders>
              <w:top w:val="nil"/>
              <w:left w:val="nil"/>
              <w:bottom w:val="nil"/>
              <w:right w:val="single" w:sz="8" w:space="0" w:color="auto"/>
            </w:tcBorders>
            <w:shd w:val="clear" w:color="auto" w:fill="auto"/>
            <w:noWrap/>
            <w:vAlign w:val="center"/>
            <w:hideMark/>
          </w:tcPr>
          <w:p w14:paraId="37E97515" w14:textId="77777777" w:rsidR="006E32A1" w:rsidRPr="006E32A1" w:rsidRDefault="006E32A1" w:rsidP="004122AC">
            <w:pPr>
              <w:keepNext/>
              <w:spacing w:after="0" w:line="240" w:lineRule="auto"/>
              <w:jc w:val="right"/>
              <w:rPr>
                <w:rFonts w:cs="Arial"/>
                <w:color w:val="000000"/>
                <w:sz w:val="16"/>
                <w:szCs w:val="16"/>
              </w:rPr>
            </w:pPr>
            <w:r w:rsidRPr="006E32A1">
              <w:rPr>
                <w:rFonts w:cs="Arial"/>
                <w:color w:val="000000"/>
                <w:sz w:val="16"/>
                <w:szCs w:val="16"/>
              </w:rPr>
              <w:t>67,8</w:t>
            </w:r>
          </w:p>
        </w:tc>
        <w:tc>
          <w:tcPr>
            <w:tcW w:w="960" w:type="dxa"/>
            <w:tcBorders>
              <w:top w:val="nil"/>
              <w:left w:val="nil"/>
              <w:bottom w:val="nil"/>
              <w:right w:val="single" w:sz="8" w:space="0" w:color="auto"/>
            </w:tcBorders>
            <w:shd w:val="clear" w:color="auto" w:fill="auto"/>
            <w:noWrap/>
            <w:vAlign w:val="center"/>
            <w:hideMark/>
          </w:tcPr>
          <w:p w14:paraId="123D8797" w14:textId="77777777" w:rsidR="006E32A1" w:rsidRPr="006E32A1" w:rsidRDefault="006E32A1" w:rsidP="004122AC">
            <w:pPr>
              <w:keepNext/>
              <w:spacing w:after="0" w:line="240" w:lineRule="auto"/>
              <w:jc w:val="right"/>
              <w:rPr>
                <w:rFonts w:cs="Arial"/>
                <w:color w:val="000000"/>
                <w:sz w:val="16"/>
                <w:szCs w:val="16"/>
              </w:rPr>
            </w:pPr>
            <w:r w:rsidRPr="006E32A1">
              <w:rPr>
                <w:rFonts w:cs="Arial"/>
                <w:color w:val="000000"/>
                <w:sz w:val="16"/>
                <w:szCs w:val="16"/>
              </w:rPr>
              <w:t>15,0</w:t>
            </w:r>
          </w:p>
        </w:tc>
      </w:tr>
      <w:tr w:rsidR="006E32A1" w:rsidRPr="006E32A1" w14:paraId="5332BB36" w14:textId="77777777" w:rsidTr="006E32A1">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2DA04EB5" w14:textId="77777777" w:rsidR="006E32A1" w:rsidRPr="006E32A1" w:rsidRDefault="006E32A1" w:rsidP="004122AC">
            <w:pPr>
              <w:keepNext/>
              <w:spacing w:after="0" w:line="240" w:lineRule="auto"/>
              <w:rPr>
                <w:rFonts w:cs="Arial"/>
                <w:color w:val="000000"/>
                <w:sz w:val="16"/>
                <w:szCs w:val="16"/>
              </w:rPr>
            </w:pPr>
            <w:r w:rsidRPr="006E32A1">
              <w:rPr>
                <w:rFonts w:cs="Arial"/>
                <w:color w:val="000000"/>
                <w:sz w:val="16"/>
                <w:szCs w:val="16"/>
              </w:rPr>
              <w:t>soukromý</w:t>
            </w:r>
          </w:p>
        </w:tc>
        <w:tc>
          <w:tcPr>
            <w:tcW w:w="1167" w:type="dxa"/>
            <w:tcBorders>
              <w:top w:val="nil"/>
              <w:left w:val="nil"/>
              <w:bottom w:val="nil"/>
              <w:right w:val="nil"/>
            </w:tcBorders>
            <w:shd w:val="clear" w:color="auto" w:fill="auto"/>
            <w:noWrap/>
            <w:vAlign w:val="center"/>
            <w:hideMark/>
          </w:tcPr>
          <w:p w14:paraId="79F84134" w14:textId="77777777" w:rsidR="006E32A1" w:rsidRPr="006E32A1" w:rsidRDefault="006E32A1" w:rsidP="004122AC">
            <w:pPr>
              <w:keepNext/>
              <w:spacing w:after="0" w:line="240" w:lineRule="auto"/>
              <w:jc w:val="right"/>
              <w:rPr>
                <w:rFonts w:cs="Arial"/>
                <w:color w:val="000000"/>
                <w:sz w:val="16"/>
                <w:szCs w:val="16"/>
              </w:rPr>
            </w:pPr>
            <w:r w:rsidRPr="006E32A1">
              <w:rPr>
                <w:rFonts w:cs="Arial"/>
                <w:color w:val="000000"/>
                <w:sz w:val="16"/>
                <w:szCs w:val="16"/>
              </w:rPr>
              <w:t>41</w:t>
            </w:r>
          </w:p>
        </w:tc>
        <w:tc>
          <w:tcPr>
            <w:tcW w:w="1233" w:type="dxa"/>
            <w:tcBorders>
              <w:top w:val="nil"/>
              <w:left w:val="nil"/>
              <w:bottom w:val="nil"/>
              <w:right w:val="single" w:sz="8" w:space="0" w:color="auto"/>
            </w:tcBorders>
            <w:shd w:val="clear" w:color="auto" w:fill="auto"/>
            <w:noWrap/>
            <w:vAlign w:val="center"/>
            <w:hideMark/>
          </w:tcPr>
          <w:p w14:paraId="43EA64B9" w14:textId="77777777" w:rsidR="006E32A1" w:rsidRPr="006E32A1" w:rsidRDefault="006E32A1" w:rsidP="004122AC">
            <w:pPr>
              <w:keepNext/>
              <w:spacing w:after="0" w:line="240" w:lineRule="auto"/>
              <w:jc w:val="right"/>
              <w:rPr>
                <w:rFonts w:cs="Arial"/>
                <w:i/>
                <w:iCs/>
                <w:color w:val="000000"/>
                <w:sz w:val="16"/>
                <w:szCs w:val="16"/>
              </w:rPr>
            </w:pPr>
            <w:r w:rsidRPr="006E32A1">
              <w:rPr>
                <w:rFonts w:cs="Arial"/>
                <w:i/>
                <w:iCs/>
                <w:color w:val="000000"/>
                <w:sz w:val="16"/>
                <w:szCs w:val="16"/>
              </w:rPr>
              <w:t>27,2</w:t>
            </w:r>
          </w:p>
        </w:tc>
        <w:tc>
          <w:tcPr>
            <w:tcW w:w="1318" w:type="dxa"/>
            <w:tcBorders>
              <w:top w:val="nil"/>
              <w:left w:val="nil"/>
              <w:bottom w:val="nil"/>
              <w:right w:val="nil"/>
            </w:tcBorders>
            <w:shd w:val="clear" w:color="auto" w:fill="auto"/>
            <w:noWrap/>
            <w:vAlign w:val="center"/>
            <w:hideMark/>
          </w:tcPr>
          <w:p w14:paraId="1226D85D" w14:textId="77777777" w:rsidR="006E32A1" w:rsidRPr="006E32A1" w:rsidRDefault="006E32A1" w:rsidP="004122AC">
            <w:pPr>
              <w:keepNext/>
              <w:spacing w:after="0" w:line="240" w:lineRule="auto"/>
              <w:jc w:val="right"/>
              <w:rPr>
                <w:rFonts w:cs="Arial"/>
                <w:color w:val="000000"/>
                <w:sz w:val="16"/>
                <w:szCs w:val="16"/>
              </w:rPr>
            </w:pPr>
            <w:r w:rsidRPr="006E32A1">
              <w:rPr>
                <w:rFonts w:cs="Arial"/>
                <w:color w:val="000000"/>
                <w:sz w:val="16"/>
                <w:szCs w:val="16"/>
              </w:rPr>
              <w:t>5817</w:t>
            </w:r>
          </w:p>
        </w:tc>
        <w:tc>
          <w:tcPr>
            <w:tcW w:w="1082" w:type="dxa"/>
            <w:tcBorders>
              <w:top w:val="nil"/>
              <w:left w:val="nil"/>
              <w:bottom w:val="nil"/>
              <w:right w:val="single" w:sz="8" w:space="0" w:color="auto"/>
            </w:tcBorders>
            <w:shd w:val="clear" w:color="auto" w:fill="auto"/>
            <w:noWrap/>
            <w:vAlign w:val="center"/>
            <w:hideMark/>
          </w:tcPr>
          <w:p w14:paraId="77472260" w14:textId="77777777" w:rsidR="006E32A1" w:rsidRPr="006E32A1" w:rsidRDefault="006E32A1" w:rsidP="004122AC">
            <w:pPr>
              <w:keepNext/>
              <w:spacing w:after="0" w:line="240" w:lineRule="auto"/>
              <w:jc w:val="right"/>
              <w:rPr>
                <w:rFonts w:cs="Arial"/>
                <w:i/>
                <w:iCs/>
                <w:color w:val="000000"/>
                <w:sz w:val="16"/>
                <w:szCs w:val="16"/>
              </w:rPr>
            </w:pPr>
            <w:r w:rsidRPr="006E32A1">
              <w:rPr>
                <w:rFonts w:cs="Arial"/>
                <w:i/>
                <w:iCs/>
                <w:color w:val="000000"/>
                <w:sz w:val="16"/>
                <w:szCs w:val="16"/>
              </w:rPr>
              <w:t>28,9</w:t>
            </w:r>
          </w:p>
        </w:tc>
        <w:tc>
          <w:tcPr>
            <w:tcW w:w="1186" w:type="dxa"/>
            <w:tcBorders>
              <w:top w:val="nil"/>
              <w:left w:val="nil"/>
              <w:bottom w:val="nil"/>
              <w:right w:val="nil"/>
            </w:tcBorders>
            <w:shd w:val="clear" w:color="auto" w:fill="auto"/>
            <w:noWrap/>
            <w:vAlign w:val="center"/>
            <w:hideMark/>
          </w:tcPr>
          <w:p w14:paraId="7EFEBEB9" w14:textId="77777777" w:rsidR="006E32A1" w:rsidRPr="006E32A1" w:rsidRDefault="006E32A1" w:rsidP="004122AC">
            <w:pPr>
              <w:keepNext/>
              <w:spacing w:after="0" w:line="240" w:lineRule="auto"/>
              <w:jc w:val="right"/>
              <w:rPr>
                <w:rFonts w:cs="Arial"/>
                <w:color w:val="000000"/>
                <w:sz w:val="16"/>
                <w:szCs w:val="16"/>
              </w:rPr>
            </w:pPr>
            <w:r w:rsidRPr="006E32A1">
              <w:rPr>
                <w:rFonts w:cs="Arial"/>
                <w:color w:val="000000"/>
                <w:sz w:val="16"/>
                <w:szCs w:val="16"/>
              </w:rPr>
              <w:t>320,5</w:t>
            </w:r>
          </w:p>
        </w:tc>
        <w:tc>
          <w:tcPr>
            <w:tcW w:w="1214" w:type="dxa"/>
            <w:tcBorders>
              <w:top w:val="nil"/>
              <w:left w:val="nil"/>
              <w:bottom w:val="nil"/>
              <w:right w:val="single" w:sz="8" w:space="0" w:color="auto"/>
            </w:tcBorders>
            <w:shd w:val="clear" w:color="auto" w:fill="auto"/>
            <w:noWrap/>
            <w:vAlign w:val="center"/>
            <w:hideMark/>
          </w:tcPr>
          <w:p w14:paraId="0DE7B72C" w14:textId="77777777" w:rsidR="006E32A1" w:rsidRPr="006E32A1" w:rsidRDefault="006E32A1" w:rsidP="004122AC">
            <w:pPr>
              <w:keepNext/>
              <w:spacing w:after="0" w:line="240" w:lineRule="auto"/>
              <w:jc w:val="right"/>
              <w:rPr>
                <w:rFonts w:cs="Arial"/>
                <w:color w:val="000000"/>
                <w:sz w:val="16"/>
                <w:szCs w:val="16"/>
              </w:rPr>
            </w:pPr>
            <w:r w:rsidRPr="006E32A1">
              <w:rPr>
                <w:rFonts w:cs="Arial"/>
                <w:color w:val="000000"/>
                <w:sz w:val="16"/>
                <w:szCs w:val="16"/>
              </w:rPr>
              <w:t>25,8</w:t>
            </w:r>
          </w:p>
        </w:tc>
        <w:tc>
          <w:tcPr>
            <w:tcW w:w="960" w:type="dxa"/>
            <w:tcBorders>
              <w:top w:val="nil"/>
              <w:left w:val="nil"/>
              <w:bottom w:val="nil"/>
              <w:right w:val="single" w:sz="8" w:space="0" w:color="auto"/>
            </w:tcBorders>
            <w:shd w:val="clear" w:color="auto" w:fill="auto"/>
            <w:noWrap/>
            <w:vAlign w:val="center"/>
            <w:hideMark/>
          </w:tcPr>
          <w:p w14:paraId="0D6ABF1F" w14:textId="77777777" w:rsidR="006E32A1" w:rsidRPr="006E32A1" w:rsidRDefault="006E32A1" w:rsidP="004122AC">
            <w:pPr>
              <w:keepNext/>
              <w:spacing w:after="0" w:line="240" w:lineRule="auto"/>
              <w:jc w:val="right"/>
              <w:rPr>
                <w:rFonts w:cs="Arial"/>
                <w:color w:val="000000"/>
                <w:sz w:val="16"/>
                <w:szCs w:val="16"/>
              </w:rPr>
            </w:pPr>
            <w:r w:rsidRPr="006E32A1">
              <w:rPr>
                <w:rFonts w:cs="Arial"/>
                <w:color w:val="000000"/>
                <w:sz w:val="16"/>
                <w:szCs w:val="16"/>
              </w:rPr>
              <w:t>18,1</w:t>
            </w:r>
          </w:p>
        </w:tc>
      </w:tr>
      <w:tr w:rsidR="006E32A1" w:rsidRPr="006E32A1" w14:paraId="6638A0A2" w14:textId="77777777" w:rsidTr="006E32A1">
        <w:trPr>
          <w:trHeight w:val="300"/>
        </w:trPr>
        <w:tc>
          <w:tcPr>
            <w:tcW w:w="960" w:type="dxa"/>
            <w:tcBorders>
              <w:top w:val="nil"/>
              <w:left w:val="single" w:sz="8" w:space="0" w:color="auto"/>
              <w:bottom w:val="nil"/>
              <w:right w:val="single" w:sz="8" w:space="0" w:color="auto"/>
            </w:tcBorders>
            <w:shd w:val="clear" w:color="auto" w:fill="auto"/>
            <w:noWrap/>
            <w:vAlign w:val="center"/>
            <w:hideMark/>
          </w:tcPr>
          <w:p w14:paraId="5C44F43C" w14:textId="77777777" w:rsidR="006E32A1" w:rsidRPr="006E32A1" w:rsidRDefault="006E32A1" w:rsidP="006E32A1">
            <w:pPr>
              <w:spacing w:after="0" w:line="240" w:lineRule="auto"/>
              <w:rPr>
                <w:rFonts w:cs="Arial"/>
                <w:color w:val="000000"/>
                <w:sz w:val="16"/>
                <w:szCs w:val="16"/>
              </w:rPr>
            </w:pPr>
            <w:r w:rsidRPr="006E32A1">
              <w:rPr>
                <w:rFonts w:cs="Arial"/>
                <w:bCs/>
                <w:color w:val="000000"/>
                <w:sz w:val="16"/>
                <w:szCs w:val="16"/>
              </w:rPr>
              <w:t>církevní</w:t>
            </w:r>
          </w:p>
        </w:tc>
        <w:tc>
          <w:tcPr>
            <w:tcW w:w="1167" w:type="dxa"/>
            <w:tcBorders>
              <w:top w:val="nil"/>
              <w:left w:val="nil"/>
              <w:bottom w:val="nil"/>
              <w:right w:val="nil"/>
            </w:tcBorders>
            <w:shd w:val="clear" w:color="auto" w:fill="auto"/>
            <w:noWrap/>
            <w:vAlign w:val="center"/>
            <w:hideMark/>
          </w:tcPr>
          <w:p w14:paraId="5C5A9808" w14:textId="77777777" w:rsidR="006E32A1" w:rsidRPr="006E32A1" w:rsidRDefault="006E32A1" w:rsidP="006E32A1">
            <w:pPr>
              <w:spacing w:after="0" w:line="240" w:lineRule="auto"/>
              <w:jc w:val="right"/>
              <w:rPr>
                <w:rFonts w:cs="Arial"/>
                <w:color w:val="000000"/>
                <w:sz w:val="16"/>
                <w:szCs w:val="16"/>
              </w:rPr>
            </w:pPr>
            <w:r w:rsidRPr="006E32A1">
              <w:rPr>
                <w:rFonts w:cs="Arial"/>
                <w:color w:val="000000"/>
                <w:sz w:val="16"/>
                <w:szCs w:val="16"/>
              </w:rPr>
              <w:t>9</w:t>
            </w:r>
          </w:p>
        </w:tc>
        <w:tc>
          <w:tcPr>
            <w:tcW w:w="1233" w:type="dxa"/>
            <w:tcBorders>
              <w:top w:val="nil"/>
              <w:left w:val="nil"/>
              <w:bottom w:val="nil"/>
              <w:right w:val="single" w:sz="8" w:space="0" w:color="auto"/>
            </w:tcBorders>
            <w:shd w:val="clear" w:color="auto" w:fill="auto"/>
            <w:noWrap/>
            <w:vAlign w:val="center"/>
            <w:hideMark/>
          </w:tcPr>
          <w:p w14:paraId="1A875CE0" w14:textId="77777777" w:rsidR="006E32A1" w:rsidRPr="006E32A1" w:rsidRDefault="006E32A1" w:rsidP="006E32A1">
            <w:pPr>
              <w:spacing w:after="0" w:line="240" w:lineRule="auto"/>
              <w:jc w:val="right"/>
              <w:rPr>
                <w:rFonts w:cs="Arial"/>
                <w:i/>
                <w:iCs/>
                <w:color w:val="000000"/>
                <w:sz w:val="16"/>
                <w:szCs w:val="16"/>
              </w:rPr>
            </w:pPr>
            <w:r w:rsidRPr="006E32A1">
              <w:rPr>
                <w:rFonts w:cs="Arial"/>
                <w:i/>
                <w:iCs/>
                <w:color w:val="000000"/>
                <w:sz w:val="16"/>
                <w:szCs w:val="16"/>
              </w:rPr>
              <w:t>6,0</w:t>
            </w:r>
          </w:p>
        </w:tc>
        <w:tc>
          <w:tcPr>
            <w:tcW w:w="1318" w:type="dxa"/>
            <w:tcBorders>
              <w:top w:val="nil"/>
              <w:left w:val="nil"/>
              <w:bottom w:val="nil"/>
              <w:right w:val="nil"/>
            </w:tcBorders>
            <w:shd w:val="clear" w:color="auto" w:fill="auto"/>
            <w:noWrap/>
            <w:vAlign w:val="center"/>
            <w:hideMark/>
          </w:tcPr>
          <w:p w14:paraId="5602BB6A" w14:textId="77777777" w:rsidR="006E32A1" w:rsidRPr="006E32A1" w:rsidRDefault="006E32A1" w:rsidP="006E32A1">
            <w:pPr>
              <w:spacing w:after="0" w:line="240" w:lineRule="auto"/>
              <w:jc w:val="right"/>
              <w:rPr>
                <w:rFonts w:cs="Arial"/>
                <w:color w:val="000000"/>
                <w:sz w:val="16"/>
                <w:szCs w:val="16"/>
              </w:rPr>
            </w:pPr>
            <w:r w:rsidRPr="006E32A1">
              <w:rPr>
                <w:rFonts w:cs="Arial"/>
                <w:color w:val="000000"/>
                <w:sz w:val="16"/>
                <w:szCs w:val="16"/>
              </w:rPr>
              <w:t>1608</w:t>
            </w:r>
          </w:p>
        </w:tc>
        <w:tc>
          <w:tcPr>
            <w:tcW w:w="1082" w:type="dxa"/>
            <w:tcBorders>
              <w:top w:val="nil"/>
              <w:left w:val="nil"/>
              <w:bottom w:val="nil"/>
              <w:right w:val="single" w:sz="8" w:space="0" w:color="auto"/>
            </w:tcBorders>
            <w:shd w:val="clear" w:color="auto" w:fill="auto"/>
            <w:noWrap/>
            <w:vAlign w:val="center"/>
            <w:hideMark/>
          </w:tcPr>
          <w:p w14:paraId="41DCBAA2" w14:textId="77777777" w:rsidR="006E32A1" w:rsidRPr="006E32A1" w:rsidRDefault="006E32A1" w:rsidP="006E32A1">
            <w:pPr>
              <w:spacing w:after="0" w:line="240" w:lineRule="auto"/>
              <w:jc w:val="right"/>
              <w:rPr>
                <w:rFonts w:cs="Arial"/>
                <w:i/>
                <w:iCs/>
                <w:color w:val="000000"/>
                <w:sz w:val="16"/>
                <w:szCs w:val="16"/>
              </w:rPr>
            </w:pPr>
            <w:r w:rsidRPr="006E32A1">
              <w:rPr>
                <w:rFonts w:cs="Arial"/>
                <w:i/>
                <w:iCs/>
                <w:color w:val="000000"/>
                <w:sz w:val="16"/>
                <w:szCs w:val="16"/>
              </w:rPr>
              <w:t>8,0</w:t>
            </w:r>
          </w:p>
        </w:tc>
        <w:tc>
          <w:tcPr>
            <w:tcW w:w="1186" w:type="dxa"/>
            <w:tcBorders>
              <w:top w:val="nil"/>
              <w:left w:val="nil"/>
              <w:bottom w:val="nil"/>
              <w:right w:val="nil"/>
            </w:tcBorders>
            <w:shd w:val="clear" w:color="auto" w:fill="auto"/>
            <w:noWrap/>
            <w:vAlign w:val="center"/>
            <w:hideMark/>
          </w:tcPr>
          <w:p w14:paraId="4BF0AC9F" w14:textId="77777777" w:rsidR="006E32A1" w:rsidRPr="006E32A1" w:rsidRDefault="006E32A1" w:rsidP="006E32A1">
            <w:pPr>
              <w:spacing w:after="0" w:line="240" w:lineRule="auto"/>
              <w:jc w:val="right"/>
              <w:rPr>
                <w:rFonts w:cs="Arial"/>
                <w:color w:val="000000"/>
                <w:sz w:val="16"/>
                <w:szCs w:val="16"/>
              </w:rPr>
            </w:pPr>
            <w:r w:rsidRPr="006E32A1">
              <w:rPr>
                <w:rFonts w:cs="Arial"/>
                <w:color w:val="000000"/>
                <w:sz w:val="16"/>
                <w:szCs w:val="16"/>
              </w:rPr>
              <w:t>79,8</w:t>
            </w:r>
          </w:p>
        </w:tc>
        <w:tc>
          <w:tcPr>
            <w:tcW w:w="1214" w:type="dxa"/>
            <w:tcBorders>
              <w:top w:val="nil"/>
              <w:left w:val="nil"/>
              <w:bottom w:val="nil"/>
              <w:right w:val="single" w:sz="8" w:space="0" w:color="auto"/>
            </w:tcBorders>
            <w:shd w:val="clear" w:color="auto" w:fill="auto"/>
            <w:noWrap/>
            <w:vAlign w:val="center"/>
            <w:hideMark/>
          </w:tcPr>
          <w:p w14:paraId="6B1B2C72" w14:textId="77777777" w:rsidR="006E32A1" w:rsidRPr="006E32A1" w:rsidRDefault="006E32A1" w:rsidP="006E32A1">
            <w:pPr>
              <w:spacing w:after="0" w:line="240" w:lineRule="auto"/>
              <w:jc w:val="right"/>
              <w:rPr>
                <w:rFonts w:cs="Arial"/>
                <w:color w:val="000000"/>
                <w:sz w:val="16"/>
                <w:szCs w:val="16"/>
              </w:rPr>
            </w:pPr>
            <w:r w:rsidRPr="006E32A1">
              <w:rPr>
                <w:rFonts w:cs="Arial"/>
                <w:color w:val="000000"/>
                <w:sz w:val="16"/>
                <w:szCs w:val="16"/>
              </w:rPr>
              <w:t>6,4</w:t>
            </w:r>
          </w:p>
        </w:tc>
        <w:tc>
          <w:tcPr>
            <w:tcW w:w="960" w:type="dxa"/>
            <w:tcBorders>
              <w:top w:val="nil"/>
              <w:left w:val="nil"/>
              <w:bottom w:val="nil"/>
              <w:right w:val="single" w:sz="8" w:space="0" w:color="auto"/>
            </w:tcBorders>
            <w:shd w:val="clear" w:color="auto" w:fill="auto"/>
            <w:noWrap/>
            <w:vAlign w:val="center"/>
            <w:hideMark/>
          </w:tcPr>
          <w:p w14:paraId="0C8505B5" w14:textId="77777777" w:rsidR="006E32A1" w:rsidRPr="006E32A1" w:rsidRDefault="006E32A1" w:rsidP="006E32A1">
            <w:pPr>
              <w:spacing w:after="0" w:line="240" w:lineRule="auto"/>
              <w:jc w:val="right"/>
              <w:rPr>
                <w:rFonts w:cs="Arial"/>
                <w:color w:val="000000"/>
                <w:sz w:val="16"/>
                <w:szCs w:val="16"/>
              </w:rPr>
            </w:pPr>
            <w:r w:rsidRPr="006E32A1">
              <w:rPr>
                <w:rFonts w:cs="Arial"/>
                <w:color w:val="000000"/>
                <w:sz w:val="16"/>
                <w:szCs w:val="16"/>
              </w:rPr>
              <w:t>20,2</w:t>
            </w:r>
          </w:p>
        </w:tc>
      </w:tr>
      <w:tr w:rsidR="006E32A1" w:rsidRPr="006E32A1" w14:paraId="5DDC36AA" w14:textId="77777777" w:rsidTr="006E32A1">
        <w:trPr>
          <w:trHeight w:val="315"/>
        </w:trPr>
        <w:tc>
          <w:tcPr>
            <w:tcW w:w="960" w:type="dxa"/>
            <w:tcBorders>
              <w:top w:val="nil"/>
              <w:left w:val="single" w:sz="8" w:space="0" w:color="auto"/>
              <w:bottom w:val="single" w:sz="8" w:space="0" w:color="auto"/>
              <w:right w:val="single" w:sz="8" w:space="0" w:color="auto"/>
            </w:tcBorders>
            <w:shd w:val="clear" w:color="auto" w:fill="auto"/>
            <w:noWrap/>
            <w:vAlign w:val="center"/>
            <w:hideMark/>
          </w:tcPr>
          <w:p w14:paraId="25774351" w14:textId="77777777" w:rsidR="006E32A1" w:rsidRPr="006E32A1" w:rsidRDefault="006E32A1" w:rsidP="006E32A1">
            <w:pPr>
              <w:spacing w:after="0" w:line="240" w:lineRule="auto"/>
              <w:rPr>
                <w:rFonts w:cs="Arial"/>
                <w:b/>
                <w:bCs/>
                <w:color w:val="000000"/>
                <w:sz w:val="16"/>
                <w:szCs w:val="16"/>
              </w:rPr>
            </w:pPr>
            <w:r w:rsidRPr="006E32A1">
              <w:rPr>
                <w:rFonts w:cs="Arial"/>
                <w:b/>
                <w:bCs/>
                <w:color w:val="000000"/>
                <w:sz w:val="16"/>
                <w:szCs w:val="16"/>
              </w:rPr>
              <w:t>celkem</w:t>
            </w:r>
          </w:p>
        </w:tc>
        <w:tc>
          <w:tcPr>
            <w:tcW w:w="1167" w:type="dxa"/>
            <w:tcBorders>
              <w:top w:val="nil"/>
              <w:left w:val="nil"/>
              <w:bottom w:val="single" w:sz="8" w:space="0" w:color="auto"/>
              <w:right w:val="nil"/>
            </w:tcBorders>
            <w:shd w:val="clear" w:color="auto" w:fill="auto"/>
            <w:noWrap/>
            <w:vAlign w:val="center"/>
            <w:hideMark/>
          </w:tcPr>
          <w:p w14:paraId="6B5E3372" w14:textId="77777777" w:rsidR="006E32A1" w:rsidRPr="006E32A1" w:rsidRDefault="006E32A1" w:rsidP="006E32A1">
            <w:pPr>
              <w:spacing w:after="0" w:line="240" w:lineRule="auto"/>
              <w:jc w:val="right"/>
              <w:rPr>
                <w:rFonts w:cs="Arial"/>
                <w:b/>
                <w:bCs/>
                <w:color w:val="000000"/>
                <w:sz w:val="16"/>
                <w:szCs w:val="16"/>
              </w:rPr>
            </w:pPr>
            <w:r w:rsidRPr="006E32A1">
              <w:rPr>
                <w:rFonts w:cs="Arial"/>
                <w:b/>
                <w:bCs/>
                <w:color w:val="000000"/>
                <w:sz w:val="16"/>
                <w:szCs w:val="16"/>
              </w:rPr>
              <w:t>151</w:t>
            </w:r>
          </w:p>
        </w:tc>
        <w:tc>
          <w:tcPr>
            <w:tcW w:w="1233" w:type="dxa"/>
            <w:tcBorders>
              <w:top w:val="nil"/>
              <w:left w:val="nil"/>
              <w:bottom w:val="single" w:sz="8" w:space="0" w:color="auto"/>
              <w:right w:val="single" w:sz="8" w:space="0" w:color="auto"/>
            </w:tcBorders>
            <w:shd w:val="clear" w:color="auto" w:fill="auto"/>
            <w:noWrap/>
            <w:vAlign w:val="center"/>
            <w:hideMark/>
          </w:tcPr>
          <w:p w14:paraId="17E87F06" w14:textId="77777777" w:rsidR="006E32A1" w:rsidRPr="006E32A1" w:rsidRDefault="006E32A1" w:rsidP="006E32A1">
            <w:pPr>
              <w:spacing w:after="0" w:line="240" w:lineRule="auto"/>
              <w:jc w:val="right"/>
              <w:rPr>
                <w:rFonts w:cs="Arial"/>
                <w:b/>
                <w:bCs/>
                <w:i/>
                <w:iCs/>
                <w:color w:val="000000"/>
                <w:sz w:val="16"/>
                <w:szCs w:val="16"/>
              </w:rPr>
            </w:pPr>
            <w:r w:rsidRPr="006E32A1">
              <w:rPr>
                <w:rFonts w:cs="Arial"/>
                <w:b/>
                <w:bCs/>
                <w:i/>
                <w:iCs/>
                <w:color w:val="000000"/>
                <w:sz w:val="16"/>
                <w:szCs w:val="16"/>
              </w:rPr>
              <w:t>100</w:t>
            </w:r>
          </w:p>
        </w:tc>
        <w:tc>
          <w:tcPr>
            <w:tcW w:w="1318" w:type="dxa"/>
            <w:tcBorders>
              <w:top w:val="nil"/>
              <w:left w:val="nil"/>
              <w:bottom w:val="single" w:sz="8" w:space="0" w:color="auto"/>
              <w:right w:val="nil"/>
            </w:tcBorders>
            <w:shd w:val="clear" w:color="auto" w:fill="auto"/>
            <w:noWrap/>
            <w:vAlign w:val="center"/>
            <w:hideMark/>
          </w:tcPr>
          <w:p w14:paraId="4D5DBE27" w14:textId="376259ED" w:rsidR="006E32A1" w:rsidRPr="006E32A1" w:rsidRDefault="006E32A1" w:rsidP="006E32A1">
            <w:pPr>
              <w:spacing w:after="0" w:line="240" w:lineRule="auto"/>
              <w:jc w:val="right"/>
              <w:rPr>
                <w:rFonts w:cs="Arial"/>
                <w:b/>
                <w:bCs/>
                <w:color w:val="000000"/>
                <w:sz w:val="16"/>
                <w:szCs w:val="16"/>
              </w:rPr>
            </w:pPr>
            <w:r w:rsidRPr="006E32A1">
              <w:rPr>
                <w:rFonts w:cs="Arial"/>
                <w:b/>
                <w:bCs/>
                <w:color w:val="000000"/>
                <w:sz w:val="16"/>
                <w:szCs w:val="16"/>
              </w:rPr>
              <w:t>20</w:t>
            </w:r>
            <w:r w:rsidR="00631A36">
              <w:rPr>
                <w:rFonts w:cs="Arial"/>
                <w:b/>
                <w:bCs/>
                <w:color w:val="000000"/>
                <w:sz w:val="16"/>
                <w:szCs w:val="16"/>
              </w:rPr>
              <w:t> </w:t>
            </w:r>
            <w:r w:rsidRPr="006E32A1">
              <w:rPr>
                <w:rFonts w:cs="Arial"/>
                <w:b/>
                <w:bCs/>
                <w:color w:val="000000"/>
                <w:sz w:val="16"/>
                <w:szCs w:val="16"/>
              </w:rPr>
              <w:t>096</w:t>
            </w:r>
          </w:p>
        </w:tc>
        <w:tc>
          <w:tcPr>
            <w:tcW w:w="1082" w:type="dxa"/>
            <w:tcBorders>
              <w:top w:val="nil"/>
              <w:left w:val="nil"/>
              <w:bottom w:val="single" w:sz="8" w:space="0" w:color="auto"/>
              <w:right w:val="single" w:sz="8" w:space="0" w:color="auto"/>
            </w:tcBorders>
            <w:shd w:val="clear" w:color="auto" w:fill="auto"/>
            <w:noWrap/>
            <w:vAlign w:val="center"/>
            <w:hideMark/>
          </w:tcPr>
          <w:p w14:paraId="2054C81E" w14:textId="77777777" w:rsidR="006E32A1" w:rsidRPr="006E32A1" w:rsidRDefault="006E32A1" w:rsidP="006E32A1">
            <w:pPr>
              <w:spacing w:after="0" w:line="240" w:lineRule="auto"/>
              <w:jc w:val="right"/>
              <w:rPr>
                <w:rFonts w:cs="Arial"/>
                <w:b/>
                <w:bCs/>
                <w:i/>
                <w:iCs/>
                <w:color w:val="000000"/>
                <w:sz w:val="16"/>
                <w:szCs w:val="16"/>
              </w:rPr>
            </w:pPr>
            <w:r w:rsidRPr="006E32A1">
              <w:rPr>
                <w:rFonts w:cs="Arial"/>
                <w:b/>
                <w:bCs/>
                <w:i/>
                <w:iCs/>
                <w:color w:val="000000"/>
                <w:sz w:val="16"/>
                <w:szCs w:val="16"/>
              </w:rPr>
              <w:t>100</w:t>
            </w:r>
          </w:p>
        </w:tc>
        <w:tc>
          <w:tcPr>
            <w:tcW w:w="1186" w:type="dxa"/>
            <w:tcBorders>
              <w:top w:val="nil"/>
              <w:left w:val="nil"/>
              <w:bottom w:val="single" w:sz="8" w:space="0" w:color="auto"/>
              <w:right w:val="nil"/>
            </w:tcBorders>
            <w:shd w:val="clear" w:color="auto" w:fill="auto"/>
            <w:noWrap/>
            <w:vAlign w:val="center"/>
            <w:hideMark/>
          </w:tcPr>
          <w:p w14:paraId="6F8DFA97" w14:textId="77777777" w:rsidR="006E32A1" w:rsidRPr="006E32A1" w:rsidRDefault="006E32A1" w:rsidP="006E32A1">
            <w:pPr>
              <w:spacing w:after="0" w:line="240" w:lineRule="auto"/>
              <w:jc w:val="right"/>
              <w:rPr>
                <w:rFonts w:cs="Arial"/>
                <w:b/>
                <w:bCs/>
                <w:color w:val="000000"/>
                <w:sz w:val="16"/>
                <w:szCs w:val="16"/>
              </w:rPr>
            </w:pPr>
            <w:r w:rsidRPr="006E32A1">
              <w:rPr>
                <w:rFonts w:cs="Arial"/>
                <w:b/>
                <w:bCs/>
                <w:color w:val="000000"/>
                <w:sz w:val="16"/>
                <w:szCs w:val="16"/>
              </w:rPr>
              <w:t>1243,4</w:t>
            </w:r>
          </w:p>
        </w:tc>
        <w:tc>
          <w:tcPr>
            <w:tcW w:w="1214" w:type="dxa"/>
            <w:tcBorders>
              <w:top w:val="nil"/>
              <w:left w:val="nil"/>
              <w:bottom w:val="single" w:sz="8" w:space="0" w:color="auto"/>
              <w:right w:val="single" w:sz="8" w:space="0" w:color="auto"/>
            </w:tcBorders>
            <w:shd w:val="clear" w:color="auto" w:fill="auto"/>
            <w:noWrap/>
            <w:vAlign w:val="center"/>
            <w:hideMark/>
          </w:tcPr>
          <w:p w14:paraId="34D36EF0" w14:textId="77777777" w:rsidR="006E32A1" w:rsidRPr="006E32A1" w:rsidRDefault="006E32A1" w:rsidP="006E32A1">
            <w:pPr>
              <w:spacing w:after="0" w:line="240" w:lineRule="auto"/>
              <w:jc w:val="right"/>
              <w:rPr>
                <w:rFonts w:cs="Arial"/>
                <w:b/>
                <w:bCs/>
                <w:i/>
                <w:iCs/>
                <w:color w:val="000000"/>
                <w:sz w:val="16"/>
                <w:szCs w:val="16"/>
              </w:rPr>
            </w:pPr>
            <w:r w:rsidRPr="006E32A1">
              <w:rPr>
                <w:rFonts w:cs="Arial"/>
                <w:b/>
                <w:bCs/>
                <w:i/>
                <w:iCs/>
                <w:color w:val="000000"/>
                <w:sz w:val="16"/>
                <w:szCs w:val="16"/>
              </w:rPr>
              <w:t>100</w:t>
            </w:r>
          </w:p>
        </w:tc>
        <w:tc>
          <w:tcPr>
            <w:tcW w:w="960" w:type="dxa"/>
            <w:tcBorders>
              <w:top w:val="nil"/>
              <w:left w:val="nil"/>
              <w:bottom w:val="single" w:sz="8" w:space="0" w:color="auto"/>
              <w:right w:val="single" w:sz="8" w:space="0" w:color="auto"/>
            </w:tcBorders>
            <w:shd w:val="clear" w:color="auto" w:fill="auto"/>
            <w:noWrap/>
            <w:vAlign w:val="center"/>
            <w:hideMark/>
          </w:tcPr>
          <w:p w14:paraId="2E53BF3C" w14:textId="77777777" w:rsidR="006E32A1" w:rsidRPr="006E32A1" w:rsidRDefault="006E32A1" w:rsidP="006E32A1">
            <w:pPr>
              <w:spacing w:after="0" w:line="240" w:lineRule="auto"/>
              <w:jc w:val="right"/>
              <w:rPr>
                <w:rFonts w:cs="Arial"/>
                <w:b/>
                <w:bCs/>
                <w:color w:val="000000"/>
                <w:sz w:val="16"/>
                <w:szCs w:val="16"/>
              </w:rPr>
            </w:pPr>
            <w:r w:rsidRPr="006E32A1">
              <w:rPr>
                <w:rFonts w:cs="Arial"/>
                <w:b/>
                <w:bCs/>
                <w:color w:val="000000"/>
                <w:sz w:val="16"/>
                <w:szCs w:val="16"/>
              </w:rPr>
              <w:t>16,2</w:t>
            </w:r>
          </w:p>
        </w:tc>
      </w:tr>
    </w:tbl>
    <w:p w14:paraId="4669BAA9" w14:textId="5710F7C5" w:rsidR="00FD5721" w:rsidRDefault="00FD5721" w:rsidP="00FA7769">
      <w:pPr>
        <w:keepNext/>
        <w:spacing w:after="0" w:line="240" w:lineRule="auto"/>
        <w:rPr>
          <w:b/>
        </w:rPr>
      </w:pPr>
    </w:p>
    <w:p w14:paraId="4ADCB2E7" w14:textId="03AE07B1" w:rsidR="00FA7769" w:rsidRPr="00BA2972" w:rsidRDefault="00FA7769" w:rsidP="00FA7769">
      <w:pPr>
        <w:keepNext/>
        <w:spacing w:after="0" w:line="240" w:lineRule="auto"/>
        <w:rPr>
          <w:sz w:val="18"/>
          <w:szCs w:val="18"/>
        </w:rPr>
      </w:pPr>
      <w:r w:rsidRPr="00BA2972">
        <w:rPr>
          <w:sz w:val="18"/>
          <w:szCs w:val="18"/>
          <w:vertAlign w:val="superscript"/>
        </w:rPr>
        <w:t>*)</w:t>
      </w:r>
      <w:r w:rsidRPr="00BA2972">
        <w:rPr>
          <w:sz w:val="18"/>
          <w:szCs w:val="18"/>
        </w:rPr>
        <w:t xml:space="preserve"> přepočteni na počet plných úvazků, neboli plně zaměstnané učitele</w:t>
      </w:r>
    </w:p>
    <w:p w14:paraId="0FC8232F" w14:textId="77777777" w:rsidR="00FA7769" w:rsidRDefault="00FA7769" w:rsidP="00806BB0">
      <w:pPr>
        <w:spacing w:after="120" w:line="240" w:lineRule="auto"/>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0BA96B5A" w14:textId="5707E84D" w:rsidR="008C5E8B" w:rsidRDefault="00E074C6" w:rsidP="006554E1">
      <w:pPr>
        <w:spacing w:after="120"/>
        <w:jc w:val="both"/>
        <w:rPr>
          <w:rFonts w:cs="Arial"/>
          <w:szCs w:val="20"/>
        </w:rPr>
      </w:pPr>
      <w:r w:rsidRPr="00B50212">
        <w:rPr>
          <w:rFonts w:cs="Arial"/>
          <w:szCs w:val="20"/>
        </w:rPr>
        <w:t>Výše bylo uvedeno, že počet žáků v základních školách měl v posledních deseti letech vzestupnou tendenci. Počet žáků ve středních školách naopak klesal a teprve v posledních třech školních rocích začal stoupat.</w:t>
      </w:r>
      <w:r w:rsidRPr="00FA42B4">
        <w:rPr>
          <w:rFonts w:cs="Arial"/>
          <w:szCs w:val="20"/>
        </w:rPr>
        <w:t xml:space="preserve"> </w:t>
      </w:r>
      <w:r w:rsidR="00FA7769" w:rsidRPr="005210E6">
        <w:rPr>
          <w:rFonts w:cs="Arial"/>
          <w:szCs w:val="20"/>
        </w:rPr>
        <w:t xml:space="preserve">Zde lze poznamenat, že ještě výrazněji </w:t>
      </w:r>
      <w:r w:rsidR="00916363">
        <w:rPr>
          <w:rFonts w:cs="Arial"/>
          <w:szCs w:val="20"/>
        </w:rPr>
        <w:t xml:space="preserve">než počet žáků středních škol </w:t>
      </w:r>
      <w:r w:rsidR="00FA7769" w:rsidRPr="008C5E8B">
        <w:rPr>
          <w:rFonts w:cs="Arial"/>
          <w:b/>
          <w:szCs w:val="20"/>
        </w:rPr>
        <w:t>klesal počet studentů vyšších</w:t>
      </w:r>
      <w:r w:rsidRPr="008C5E8B">
        <w:rPr>
          <w:rFonts w:cs="Arial"/>
          <w:b/>
          <w:szCs w:val="20"/>
        </w:rPr>
        <w:t xml:space="preserve"> odborných škol</w:t>
      </w:r>
      <w:r>
        <w:rPr>
          <w:rFonts w:cs="Arial"/>
          <w:szCs w:val="20"/>
        </w:rPr>
        <w:t>, a sice z 29 335 studentů ve školním roce 2011/12</w:t>
      </w:r>
      <w:r w:rsidR="00FA7769" w:rsidRPr="005210E6">
        <w:rPr>
          <w:rFonts w:cs="Arial"/>
          <w:szCs w:val="20"/>
        </w:rPr>
        <w:t xml:space="preserve"> na 17 954 st</w:t>
      </w:r>
      <w:r w:rsidR="00916363">
        <w:rPr>
          <w:rFonts w:cs="Arial"/>
          <w:szCs w:val="20"/>
        </w:rPr>
        <w:t>udentů ve školním roce 2019</w:t>
      </w:r>
      <w:r w:rsidR="006554E1">
        <w:rPr>
          <w:rFonts w:cs="Arial"/>
          <w:szCs w:val="20"/>
        </w:rPr>
        <w:t>/20 a teprve v posledních</w:t>
      </w:r>
      <w:r>
        <w:rPr>
          <w:rFonts w:cs="Arial"/>
          <w:szCs w:val="20"/>
        </w:rPr>
        <w:t xml:space="preserve"> dvou školních rocích</w:t>
      </w:r>
      <w:r w:rsidR="00916363">
        <w:rPr>
          <w:rFonts w:cs="Arial"/>
          <w:szCs w:val="20"/>
        </w:rPr>
        <w:t xml:space="preserve"> byl zaznamenán nárůst</w:t>
      </w:r>
      <w:r>
        <w:rPr>
          <w:rFonts w:cs="Arial"/>
          <w:szCs w:val="20"/>
        </w:rPr>
        <w:t>, celkově o 11,9</w:t>
      </w:r>
      <w:r w:rsidR="00916363">
        <w:rPr>
          <w:rFonts w:cs="Arial"/>
          <w:szCs w:val="20"/>
        </w:rPr>
        <w:t xml:space="preserve"> % studentů. </w:t>
      </w:r>
      <w:r w:rsidR="005556E4">
        <w:rPr>
          <w:rFonts w:cs="Arial"/>
          <w:szCs w:val="20"/>
        </w:rPr>
        <w:t>Doplňme, že samotný počet škol však v posledních deseti letech zaznamenal klesající tendenci. Ve školním roce 2011/12 jich bylo 180, ve školním roce 2016/17 bylo vyšších odborných škol 168 a v uplynulém školním roce 151.</w:t>
      </w:r>
    </w:p>
    <w:p w14:paraId="23DB241E" w14:textId="3BF6F1DC" w:rsidR="00FA7769" w:rsidRPr="005210E6" w:rsidRDefault="00916363" w:rsidP="006554E1">
      <w:pPr>
        <w:spacing w:after="120"/>
        <w:jc w:val="both"/>
        <w:rPr>
          <w:rFonts w:cs="Arial"/>
          <w:szCs w:val="20"/>
        </w:rPr>
      </w:pPr>
      <w:r>
        <w:rPr>
          <w:rFonts w:cs="Arial"/>
          <w:szCs w:val="20"/>
        </w:rPr>
        <w:t xml:space="preserve">Vzhledem k tomu, že vyšší odborné školy nabízejí v prvé řadě obory zdravotnické a pedagogické, jsou mezi studenty stabilně ve vysoké míře zastoupeny </w:t>
      </w:r>
      <w:r w:rsidRPr="008C5E8B">
        <w:rPr>
          <w:rFonts w:cs="Arial"/>
          <w:b/>
          <w:szCs w:val="20"/>
        </w:rPr>
        <w:t>ženy</w:t>
      </w:r>
      <w:r>
        <w:rPr>
          <w:rFonts w:cs="Arial"/>
          <w:szCs w:val="20"/>
        </w:rPr>
        <w:t>. Podíl žen přitom od školního roku 2012/13 téměř soustavně mírně</w:t>
      </w:r>
      <w:r w:rsidR="00E074C6">
        <w:rPr>
          <w:rFonts w:cs="Arial"/>
          <w:szCs w:val="20"/>
        </w:rPr>
        <w:t xml:space="preserve"> stoupal, a sice ze 71,2 % na 76,7 % ve školním roce 2021/22</w:t>
      </w:r>
      <w:r>
        <w:rPr>
          <w:rFonts w:cs="Arial"/>
          <w:szCs w:val="20"/>
        </w:rPr>
        <w:t xml:space="preserve">. </w:t>
      </w:r>
      <w:r w:rsidR="00FA7769" w:rsidRPr="005210E6">
        <w:rPr>
          <w:rFonts w:cs="Arial"/>
          <w:szCs w:val="20"/>
        </w:rPr>
        <w:t xml:space="preserve">Pokud se jedná o podíl </w:t>
      </w:r>
      <w:r w:rsidR="00FA7769" w:rsidRPr="008C5E8B">
        <w:rPr>
          <w:rFonts w:cs="Arial"/>
          <w:b/>
          <w:szCs w:val="20"/>
        </w:rPr>
        <w:t>cizinců</w:t>
      </w:r>
      <w:r w:rsidR="00FA7769" w:rsidRPr="005210E6">
        <w:rPr>
          <w:rFonts w:cs="Arial"/>
          <w:szCs w:val="20"/>
        </w:rPr>
        <w:t xml:space="preserve"> mezi studenty vyšších odbo</w:t>
      </w:r>
      <w:r w:rsidR="00E074C6">
        <w:rPr>
          <w:rFonts w:cs="Arial"/>
          <w:szCs w:val="20"/>
        </w:rPr>
        <w:t>rných škol, v čase stoupal z</w:t>
      </w:r>
      <w:r w:rsidR="00C435E2">
        <w:rPr>
          <w:rFonts w:cs="Arial"/>
          <w:szCs w:val="20"/>
        </w:rPr>
        <w:t>e</w:t>
      </w:r>
      <w:r w:rsidR="00E074C6">
        <w:rPr>
          <w:rFonts w:cs="Arial"/>
          <w:szCs w:val="20"/>
        </w:rPr>
        <w:t> 1,6 % ve školním roce 2011</w:t>
      </w:r>
      <w:r w:rsidR="00FA7769" w:rsidRPr="005210E6">
        <w:rPr>
          <w:rFonts w:cs="Arial"/>
          <w:szCs w:val="20"/>
        </w:rPr>
        <w:t>/</w:t>
      </w:r>
      <w:r w:rsidR="00E074C6">
        <w:rPr>
          <w:rFonts w:cs="Arial"/>
          <w:szCs w:val="20"/>
        </w:rPr>
        <w:t>12</w:t>
      </w:r>
      <w:r w:rsidR="00FA7769" w:rsidRPr="005210E6">
        <w:rPr>
          <w:rFonts w:cs="Arial"/>
          <w:szCs w:val="20"/>
        </w:rPr>
        <w:t xml:space="preserve"> na 4,1 % ve školním roce 2019/20</w:t>
      </w:r>
      <w:r>
        <w:rPr>
          <w:rFonts w:cs="Arial"/>
          <w:szCs w:val="20"/>
        </w:rPr>
        <w:t xml:space="preserve">, </w:t>
      </w:r>
      <w:r w:rsidR="00E074C6">
        <w:rPr>
          <w:rFonts w:cs="Arial"/>
          <w:szCs w:val="20"/>
        </w:rPr>
        <w:t>během dalších dvou školních roků o půl</w:t>
      </w:r>
      <w:r w:rsidR="00783ABF">
        <w:rPr>
          <w:rFonts w:cs="Arial"/>
          <w:szCs w:val="20"/>
        </w:rPr>
        <w:t xml:space="preserve"> procentního bodu</w:t>
      </w:r>
      <w:r>
        <w:rPr>
          <w:rFonts w:cs="Arial"/>
          <w:szCs w:val="20"/>
        </w:rPr>
        <w:t xml:space="preserve"> klesl</w:t>
      </w:r>
      <w:r w:rsidR="00783ABF">
        <w:rPr>
          <w:rFonts w:cs="Arial"/>
          <w:szCs w:val="20"/>
        </w:rPr>
        <w:t>, tedy na 3,6 %</w:t>
      </w:r>
      <w:r w:rsidR="00FA7769" w:rsidRPr="005210E6">
        <w:rPr>
          <w:rFonts w:cs="Arial"/>
          <w:szCs w:val="20"/>
        </w:rPr>
        <w:t xml:space="preserve"> – viz graf </w:t>
      </w:r>
      <w:r w:rsidR="00FA7769">
        <w:rPr>
          <w:rFonts w:cs="Arial"/>
          <w:szCs w:val="20"/>
        </w:rPr>
        <w:t>5.</w:t>
      </w:r>
      <w:r w:rsidR="00FA7769" w:rsidRPr="005210E6">
        <w:rPr>
          <w:rFonts w:cs="Arial"/>
          <w:szCs w:val="20"/>
        </w:rPr>
        <w:t>1.</w:t>
      </w:r>
    </w:p>
    <w:p w14:paraId="2905683E" w14:textId="39480879" w:rsidR="00FA7769" w:rsidRDefault="00FA7769" w:rsidP="00FA7769">
      <w:pPr>
        <w:keepNext/>
        <w:spacing w:after="120" w:line="240" w:lineRule="auto"/>
        <w:rPr>
          <w:b/>
        </w:rPr>
      </w:pPr>
      <w:r>
        <w:rPr>
          <w:b/>
        </w:rPr>
        <w:t>Graf 5.</w:t>
      </w:r>
      <w:r w:rsidRPr="00273D0F">
        <w:rPr>
          <w:b/>
        </w:rPr>
        <w:t xml:space="preserve">1 </w:t>
      </w:r>
      <w:r>
        <w:rPr>
          <w:b/>
        </w:rPr>
        <w:t>Vyšší odborné školy</w:t>
      </w:r>
      <w:r w:rsidRPr="00273D0F">
        <w:rPr>
          <w:b/>
        </w:rPr>
        <w:t xml:space="preserve"> – vývoj</w:t>
      </w:r>
      <w:r w:rsidR="000C2FE5">
        <w:rPr>
          <w:b/>
        </w:rPr>
        <w:t xml:space="preserve"> počtu žáků a z toho</w:t>
      </w:r>
      <w:r w:rsidR="00E074C6">
        <w:rPr>
          <w:b/>
        </w:rPr>
        <w:t xml:space="preserve"> podílu dívek</w:t>
      </w:r>
      <w:r w:rsidR="000C2FE5">
        <w:rPr>
          <w:b/>
        </w:rPr>
        <w:t xml:space="preserve"> a cizinců</w:t>
      </w:r>
      <w:r w:rsidR="00E074C6">
        <w:rPr>
          <w:b/>
        </w:rPr>
        <w:t xml:space="preserve"> (2011/12 – 2021/22</w:t>
      </w:r>
      <w:r w:rsidRPr="00273D0F">
        <w:rPr>
          <w:b/>
        </w:rPr>
        <w:t>)</w:t>
      </w:r>
    </w:p>
    <w:p w14:paraId="4F7CE817" w14:textId="4A9C02A4" w:rsidR="00FA7769" w:rsidRPr="00916363" w:rsidRDefault="00E074C6" w:rsidP="00916363">
      <w:pPr>
        <w:keepNext/>
        <w:spacing w:after="120" w:line="240" w:lineRule="auto"/>
        <w:rPr>
          <w:b/>
        </w:rPr>
      </w:pPr>
      <w:r>
        <w:rPr>
          <w:noProof/>
        </w:rPr>
        <w:drawing>
          <wp:inline distT="0" distB="0" distL="0" distR="0" wp14:anchorId="73183392" wp14:editId="4A2AB37A">
            <wp:extent cx="6120130" cy="3810000"/>
            <wp:effectExtent l="0" t="0" r="13970" b="0"/>
            <wp:docPr id="48" name="Graf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05E0A4D5" w14:textId="77777777" w:rsidR="00FA7769" w:rsidRDefault="00FA7769" w:rsidP="00AB0787">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16203721" w14:textId="198AE362" w:rsidR="00FA7769" w:rsidRPr="005210E6" w:rsidRDefault="00FA7769" w:rsidP="00FA7769">
      <w:pPr>
        <w:spacing w:after="120"/>
        <w:jc w:val="both"/>
        <w:rPr>
          <w:rFonts w:cs="Arial"/>
          <w:szCs w:val="20"/>
        </w:rPr>
      </w:pPr>
      <w:r w:rsidRPr="005210E6">
        <w:rPr>
          <w:rFonts w:cs="Arial"/>
          <w:szCs w:val="20"/>
        </w:rPr>
        <w:lastRenderedPageBreak/>
        <w:t>Vyšší odborné školy je možné studovat ve všech krajích České republiky</w:t>
      </w:r>
      <w:r w:rsidR="00162DAF">
        <w:rPr>
          <w:rStyle w:val="Znakapoznpodarou"/>
          <w:rFonts w:cs="Arial"/>
          <w:szCs w:val="20"/>
        </w:rPr>
        <w:footnoteReference w:id="51"/>
      </w:r>
      <w:r w:rsidRPr="005210E6">
        <w:rPr>
          <w:rFonts w:cs="Arial"/>
          <w:szCs w:val="20"/>
        </w:rPr>
        <w:t>. Nejvíce jich ve ško</w:t>
      </w:r>
      <w:r w:rsidR="001C0B47">
        <w:rPr>
          <w:rFonts w:cs="Arial"/>
          <w:szCs w:val="20"/>
        </w:rPr>
        <w:t>lním roce 2021/22 bylo v Praze (34), dále v kraji Středočeském (16) a Jihočeském (14</w:t>
      </w:r>
      <w:r w:rsidRPr="005210E6">
        <w:rPr>
          <w:rFonts w:cs="Arial"/>
          <w:szCs w:val="20"/>
        </w:rPr>
        <w:t>); nejmén</w:t>
      </w:r>
      <w:r w:rsidR="001C0B47">
        <w:rPr>
          <w:rFonts w:cs="Arial"/>
          <w:szCs w:val="20"/>
        </w:rPr>
        <w:t>ě naopak v kraji Karlovarském (3</w:t>
      </w:r>
      <w:r w:rsidRPr="005210E6">
        <w:rPr>
          <w:rFonts w:cs="Arial"/>
          <w:szCs w:val="20"/>
        </w:rPr>
        <w:t>). V Praze bylo také pochopitelně nejvíce studen</w:t>
      </w:r>
      <w:r w:rsidR="00815862">
        <w:rPr>
          <w:rFonts w:cs="Arial"/>
          <w:szCs w:val="20"/>
        </w:rPr>
        <w:t>tů vyšších odborných škol (</w:t>
      </w:r>
      <w:r w:rsidR="001C0B47" w:rsidRPr="001C0B47">
        <w:rPr>
          <w:rFonts w:cs="Arial"/>
          <w:szCs w:val="20"/>
        </w:rPr>
        <w:t>4</w:t>
      </w:r>
      <w:r w:rsidR="001C0B47">
        <w:rPr>
          <w:rFonts w:cs="Arial"/>
          <w:szCs w:val="20"/>
        </w:rPr>
        <w:t> </w:t>
      </w:r>
      <w:r w:rsidR="001C0B47" w:rsidRPr="001C0B47">
        <w:rPr>
          <w:rFonts w:cs="Arial"/>
          <w:szCs w:val="20"/>
        </w:rPr>
        <w:t>796</w:t>
      </w:r>
      <w:r w:rsidRPr="005210E6">
        <w:rPr>
          <w:rFonts w:cs="Arial"/>
          <w:szCs w:val="20"/>
        </w:rPr>
        <w:t xml:space="preserve">) i nejvyšší podíl cizinců </w:t>
      </w:r>
      <w:r w:rsidR="00815862">
        <w:rPr>
          <w:rFonts w:cs="Arial"/>
          <w:szCs w:val="20"/>
        </w:rPr>
        <w:t xml:space="preserve">z těchto </w:t>
      </w:r>
      <w:r w:rsidR="00815862" w:rsidRPr="00730047">
        <w:rPr>
          <w:rFonts w:cs="Arial"/>
          <w:szCs w:val="20"/>
        </w:rPr>
        <w:t xml:space="preserve">studentů </w:t>
      </w:r>
      <w:r w:rsidR="00730047" w:rsidRPr="00730047">
        <w:rPr>
          <w:rFonts w:cs="Arial"/>
          <w:szCs w:val="20"/>
        </w:rPr>
        <w:t>(7,6</w:t>
      </w:r>
      <w:r w:rsidRPr="00730047">
        <w:rPr>
          <w:rFonts w:cs="Arial"/>
          <w:szCs w:val="20"/>
        </w:rPr>
        <w:t> %). Nejmenší</w:t>
      </w:r>
      <w:r w:rsidRPr="005210E6">
        <w:rPr>
          <w:rFonts w:cs="Arial"/>
          <w:szCs w:val="20"/>
        </w:rPr>
        <w:t xml:space="preserve"> počet studentů vyšších odborných ško</w:t>
      </w:r>
      <w:r w:rsidR="00F31090">
        <w:rPr>
          <w:rFonts w:cs="Arial"/>
          <w:szCs w:val="20"/>
        </w:rPr>
        <w:t xml:space="preserve">l zaznamenal kraj </w:t>
      </w:r>
      <w:r w:rsidR="001C0B47">
        <w:rPr>
          <w:rFonts w:cs="Arial"/>
          <w:szCs w:val="20"/>
        </w:rPr>
        <w:t>Karlovarský (249</w:t>
      </w:r>
      <w:r w:rsidRPr="005210E6">
        <w:rPr>
          <w:rFonts w:cs="Arial"/>
          <w:szCs w:val="20"/>
        </w:rPr>
        <w:t xml:space="preserve">) </w:t>
      </w:r>
      <w:r w:rsidR="001C0B47">
        <w:rPr>
          <w:rFonts w:cs="Arial"/>
          <w:szCs w:val="20"/>
        </w:rPr>
        <w:t xml:space="preserve">a Liberecký (259) </w:t>
      </w:r>
      <w:r w:rsidRPr="005210E6">
        <w:rPr>
          <w:rFonts w:cs="Arial"/>
          <w:szCs w:val="20"/>
        </w:rPr>
        <w:t>a nejnižší podíl cizinců mezi studenty vyšších odborných šk</w:t>
      </w:r>
      <w:r w:rsidR="00F31090">
        <w:rPr>
          <w:rFonts w:cs="Arial"/>
          <w:szCs w:val="20"/>
        </w:rPr>
        <w:t xml:space="preserve">ol pak kraj </w:t>
      </w:r>
      <w:r w:rsidR="004064C7">
        <w:rPr>
          <w:rFonts w:cs="Arial"/>
          <w:szCs w:val="20"/>
        </w:rPr>
        <w:t>Královéhradecký</w:t>
      </w:r>
      <w:r w:rsidR="00F31090">
        <w:rPr>
          <w:rFonts w:cs="Arial"/>
          <w:szCs w:val="20"/>
        </w:rPr>
        <w:t xml:space="preserve"> </w:t>
      </w:r>
      <w:r w:rsidR="004064C7">
        <w:rPr>
          <w:rFonts w:cs="Arial"/>
          <w:szCs w:val="20"/>
        </w:rPr>
        <w:t>(1</w:t>
      </w:r>
      <w:r w:rsidRPr="00730047">
        <w:rPr>
          <w:rFonts w:cs="Arial"/>
          <w:szCs w:val="20"/>
        </w:rPr>
        <w:t> %)</w:t>
      </w:r>
      <w:r w:rsidR="004064C7">
        <w:rPr>
          <w:rFonts w:cs="Arial"/>
          <w:szCs w:val="20"/>
        </w:rPr>
        <w:t xml:space="preserve"> a Moravskoslezský (1,2 %)</w:t>
      </w:r>
      <w:r w:rsidRPr="00730047">
        <w:rPr>
          <w:rFonts w:cs="Arial"/>
          <w:szCs w:val="20"/>
        </w:rPr>
        <w:t>,</w:t>
      </w:r>
      <w:r w:rsidRPr="005210E6">
        <w:rPr>
          <w:rFonts w:cs="Arial"/>
          <w:szCs w:val="20"/>
        </w:rPr>
        <w:t xml:space="preserve"> kde bylo hned po Praze nejvíce studentů vyšších odborných škol </w:t>
      </w:r>
      <w:r w:rsidR="00F31090">
        <w:rPr>
          <w:rFonts w:cs="Arial"/>
          <w:szCs w:val="20"/>
        </w:rPr>
        <w:t>(</w:t>
      </w:r>
      <w:r w:rsidR="001C0B47">
        <w:rPr>
          <w:rFonts w:cs="Arial"/>
          <w:szCs w:val="20"/>
        </w:rPr>
        <w:t>3 169</w:t>
      </w:r>
      <w:r w:rsidR="00F31090">
        <w:rPr>
          <w:rFonts w:cs="Arial"/>
          <w:szCs w:val="20"/>
        </w:rPr>
        <w:t xml:space="preserve">) </w:t>
      </w:r>
      <w:r w:rsidRPr="005210E6">
        <w:rPr>
          <w:rFonts w:cs="Arial"/>
          <w:szCs w:val="20"/>
        </w:rPr>
        <w:t>– viz graf </w:t>
      </w:r>
      <w:r>
        <w:rPr>
          <w:rFonts w:cs="Arial"/>
          <w:szCs w:val="20"/>
        </w:rPr>
        <w:t>5.</w:t>
      </w:r>
      <w:r w:rsidRPr="005210E6">
        <w:rPr>
          <w:rFonts w:cs="Arial"/>
          <w:szCs w:val="20"/>
        </w:rPr>
        <w:t>2. Doplňme, že celkem bylo ve vyšších odborný</w:t>
      </w:r>
      <w:r w:rsidR="00F31090">
        <w:rPr>
          <w:rFonts w:cs="Arial"/>
          <w:szCs w:val="20"/>
        </w:rPr>
        <w:t xml:space="preserve">ch školách v České </w:t>
      </w:r>
      <w:r w:rsidR="00F31090" w:rsidRPr="00DC1D4C">
        <w:rPr>
          <w:rFonts w:cs="Arial"/>
          <w:szCs w:val="20"/>
        </w:rPr>
        <w:t xml:space="preserve">republice </w:t>
      </w:r>
      <w:r w:rsidR="00DC1D4C" w:rsidRPr="00DC1D4C">
        <w:rPr>
          <w:rFonts w:cs="Arial"/>
          <w:szCs w:val="20"/>
        </w:rPr>
        <w:t>721</w:t>
      </w:r>
      <w:r w:rsidRPr="005210E6">
        <w:rPr>
          <w:rFonts w:cs="Arial"/>
          <w:szCs w:val="20"/>
        </w:rPr>
        <w:t xml:space="preserve"> studentů </w:t>
      </w:r>
      <w:r w:rsidR="00F31090">
        <w:rPr>
          <w:rFonts w:cs="Arial"/>
          <w:szCs w:val="20"/>
        </w:rPr>
        <w:t>ci</w:t>
      </w:r>
      <w:r w:rsidR="00DC1D4C">
        <w:rPr>
          <w:rFonts w:cs="Arial"/>
          <w:szCs w:val="20"/>
        </w:rPr>
        <w:t xml:space="preserve">zí státní příslušnosti, což </w:t>
      </w:r>
      <w:r w:rsidR="00DC1D4C" w:rsidRPr="00DC1D4C">
        <w:rPr>
          <w:rFonts w:cs="Arial"/>
          <w:szCs w:val="20"/>
        </w:rPr>
        <w:t>je</w:t>
      </w:r>
      <w:r w:rsidR="00F31090" w:rsidRPr="00DC1D4C">
        <w:rPr>
          <w:rFonts w:cs="Arial"/>
          <w:szCs w:val="20"/>
        </w:rPr>
        <w:t xml:space="preserve"> </w:t>
      </w:r>
      <w:r w:rsidR="00DC1D4C" w:rsidRPr="00DC1D4C">
        <w:rPr>
          <w:rFonts w:cs="Arial"/>
          <w:szCs w:val="20"/>
        </w:rPr>
        <w:t>3,6</w:t>
      </w:r>
      <w:r w:rsidR="001C0B47" w:rsidRPr="00DC1D4C">
        <w:rPr>
          <w:rFonts w:cs="Arial"/>
          <w:szCs w:val="20"/>
        </w:rPr>
        <w:t> </w:t>
      </w:r>
      <w:r w:rsidRPr="00DC1D4C">
        <w:rPr>
          <w:rFonts w:cs="Arial"/>
          <w:szCs w:val="20"/>
        </w:rPr>
        <w:t>%</w:t>
      </w:r>
      <w:r w:rsidRPr="005210E6">
        <w:rPr>
          <w:rFonts w:cs="Arial"/>
          <w:szCs w:val="20"/>
        </w:rPr>
        <w:t xml:space="preserve"> ze všech studentů vyšších odborných škol.</w:t>
      </w:r>
    </w:p>
    <w:p w14:paraId="6CEFA5DB" w14:textId="467F2E3F" w:rsidR="00FA7769" w:rsidRDefault="00FA7769" w:rsidP="00FA7769">
      <w:pPr>
        <w:keepNext/>
        <w:spacing w:after="120" w:line="240" w:lineRule="auto"/>
        <w:rPr>
          <w:b/>
        </w:rPr>
      </w:pPr>
      <w:r w:rsidRPr="001544F9">
        <w:rPr>
          <w:b/>
        </w:rPr>
        <w:t>G</w:t>
      </w:r>
      <w:r>
        <w:rPr>
          <w:b/>
        </w:rPr>
        <w:t>raf</w:t>
      </w:r>
      <w:r w:rsidRPr="001544F9">
        <w:rPr>
          <w:b/>
        </w:rPr>
        <w:t xml:space="preserve"> </w:t>
      </w:r>
      <w:r>
        <w:rPr>
          <w:b/>
        </w:rPr>
        <w:t>5.</w:t>
      </w:r>
      <w:r w:rsidRPr="001544F9">
        <w:rPr>
          <w:b/>
        </w:rPr>
        <w:t>2 Vyšší odborné školy – počet studentů</w:t>
      </w:r>
      <w:r w:rsidR="00F21AE9">
        <w:rPr>
          <w:b/>
        </w:rPr>
        <w:t xml:space="preserve"> a podíl cizinců dle </w:t>
      </w:r>
      <w:r w:rsidR="00752CE6">
        <w:rPr>
          <w:b/>
        </w:rPr>
        <w:t xml:space="preserve">kraje </w:t>
      </w:r>
      <w:r w:rsidR="009F77E6">
        <w:rPr>
          <w:b/>
        </w:rPr>
        <w:t>sídla školy</w:t>
      </w:r>
      <w:r w:rsidR="00730047">
        <w:rPr>
          <w:b/>
        </w:rPr>
        <w:t xml:space="preserve"> (2021/22</w:t>
      </w:r>
      <w:r w:rsidRPr="001544F9">
        <w:rPr>
          <w:b/>
        </w:rPr>
        <w:t>)</w:t>
      </w:r>
    </w:p>
    <w:p w14:paraId="40BABD97" w14:textId="51EE0F4D" w:rsidR="00FA7769" w:rsidRPr="00F31090" w:rsidRDefault="00730047" w:rsidP="00F31090">
      <w:pPr>
        <w:keepNext/>
        <w:spacing w:after="120" w:line="240" w:lineRule="auto"/>
        <w:rPr>
          <w:b/>
        </w:rPr>
      </w:pPr>
      <w:r>
        <w:rPr>
          <w:noProof/>
        </w:rPr>
        <w:drawing>
          <wp:inline distT="0" distB="0" distL="0" distR="0" wp14:anchorId="2A234931" wp14:editId="37350510">
            <wp:extent cx="6057900" cy="4238625"/>
            <wp:effectExtent l="0" t="0" r="0" b="9525"/>
            <wp:docPr id="60" name="Graf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57082D95" w14:textId="77777777" w:rsidR="00FA7769" w:rsidRDefault="00FA7769" w:rsidP="00AB0787">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6FC9A443" w14:textId="77777777" w:rsidR="00FA7769" w:rsidRPr="0030755F" w:rsidRDefault="00FA7769" w:rsidP="00AB0787">
      <w:pPr>
        <w:spacing w:after="0" w:line="240" w:lineRule="auto"/>
        <w:jc w:val="right"/>
        <w:rPr>
          <w:sz w:val="16"/>
          <w:szCs w:val="16"/>
        </w:rPr>
      </w:pPr>
    </w:p>
    <w:p w14:paraId="25AF9733" w14:textId="571A1FE3" w:rsidR="00FA7769" w:rsidRPr="008A014E" w:rsidRDefault="00FA7769" w:rsidP="00FA7769">
      <w:pPr>
        <w:spacing w:after="120"/>
        <w:jc w:val="both"/>
        <w:rPr>
          <w:rFonts w:cs="Arial"/>
          <w:szCs w:val="20"/>
        </w:rPr>
      </w:pPr>
      <w:r w:rsidRPr="008A014E">
        <w:rPr>
          <w:rFonts w:cs="Arial"/>
          <w:szCs w:val="20"/>
        </w:rPr>
        <w:t>Mezi studenty vyšších odborných</w:t>
      </w:r>
      <w:r w:rsidR="007C5AD2">
        <w:rPr>
          <w:rFonts w:cs="Arial"/>
          <w:szCs w:val="20"/>
        </w:rPr>
        <w:t xml:space="preserve"> škol bylo ve školním roce 2021/22 jen 27</w:t>
      </w:r>
      <w:r w:rsidRPr="008A014E">
        <w:rPr>
          <w:rFonts w:cs="Arial"/>
          <w:szCs w:val="20"/>
        </w:rPr>
        <w:t xml:space="preserve"> studentů se </w:t>
      </w:r>
      <w:r w:rsidRPr="008A014E">
        <w:rPr>
          <w:rFonts w:cs="Arial"/>
          <w:b/>
          <w:szCs w:val="20"/>
        </w:rPr>
        <w:t>zdravotním postižením</w:t>
      </w:r>
      <w:r w:rsidRPr="008A014E">
        <w:rPr>
          <w:rFonts w:cs="Arial"/>
          <w:szCs w:val="20"/>
        </w:rPr>
        <w:t xml:space="preserve">. Všichni byli přitom integrováni do běžných vzdělávacích skupin. </w:t>
      </w:r>
    </w:p>
    <w:p w14:paraId="5C4858EA" w14:textId="69599689" w:rsidR="00FA7769" w:rsidRPr="008A014E" w:rsidRDefault="00FA7769" w:rsidP="00FA7769">
      <w:pPr>
        <w:spacing w:after="120"/>
        <w:jc w:val="both"/>
        <w:rPr>
          <w:rFonts w:cs="Arial"/>
          <w:szCs w:val="20"/>
        </w:rPr>
      </w:pPr>
      <w:r w:rsidRPr="00F45E4C">
        <w:rPr>
          <w:rFonts w:cs="Arial"/>
          <w:szCs w:val="20"/>
        </w:rPr>
        <w:t>Graf 5.3 ukazuje rozložení studentů vyšších odborných škol v</w:t>
      </w:r>
      <w:r w:rsidR="007C5AD2">
        <w:rPr>
          <w:rFonts w:cs="Arial"/>
          <w:szCs w:val="20"/>
        </w:rPr>
        <w:t>e školním roce 2021/22</w:t>
      </w:r>
      <w:r w:rsidRPr="00F45E4C">
        <w:rPr>
          <w:rFonts w:cs="Arial"/>
          <w:szCs w:val="20"/>
        </w:rPr>
        <w:t xml:space="preserve"> </w:t>
      </w:r>
      <w:r w:rsidRPr="00F45E4C">
        <w:rPr>
          <w:rFonts w:cs="Arial"/>
          <w:b/>
          <w:szCs w:val="20"/>
        </w:rPr>
        <w:t>dle věku</w:t>
      </w:r>
      <w:r w:rsidRPr="008A014E">
        <w:rPr>
          <w:rFonts w:cs="Arial"/>
          <w:szCs w:val="20"/>
        </w:rPr>
        <w:t xml:space="preserve"> celkem a v dělení na denní a ostatní formy vzdělávání</w:t>
      </w:r>
      <w:r w:rsidRPr="00864BCD">
        <w:rPr>
          <w:rFonts w:cs="Arial"/>
          <w:szCs w:val="20"/>
        </w:rPr>
        <w:t>. Jak je patrné,</w:t>
      </w:r>
      <w:r w:rsidRPr="008A014E">
        <w:rPr>
          <w:rFonts w:cs="Arial"/>
          <w:szCs w:val="20"/>
        </w:rPr>
        <w:t xml:space="preserve"> věkové složení studentů vyšších odborných škol b</w:t>
      </w:r>
      <w:r w:rsidR="00864BCD">
        <w:rPr>
          <w:rFonts w:cs="Arial"/>
          <w:szCs w:val="20"/>
        </w:rPr>
        <w:t>ylo poměrně pestré a zahrnuje sedm</w:t>
      </w:r>
      <w:r w:rsidRPr="008A014E">
        <w:rPr>
          <w:rFonts w:cs="Arial"/>
          <w:szCs w:val="20"/>
        </w:rPr>
        <w:t xml:space="preserve"> studentů, kterým bylo 18 let a méně (tedy ve věku, který není typický pro osoby s ukončeným středoškol</w:t>
      </w:r>
      <w:r w:rsidR="00864BCD">
        <w:rPr>
          <w:rFonts w:cs="Arial"/>
          <w:szCs w:val="20"/>
        </w:rPr>
        <w:t>ským vzděláním) a naopak 33,2</w:t>
      </w:r>
      <w:r w:rsidR="00980E0D">
        <w:rPr>
          <w:rFonts w:cs="Arial"/>
          <w:szCs w:val="20"/>
        </w:rPr>
        <w:t> %</w:t>
      </w:r>
      <w:r w:rsidRPr="008A014E">
        <w:rPr>
          <w:rFonts w:cs="Arial"/>
          <w:szCs w:val="20"/>
        </w:rPr>
        <w:t xml:space="preserve"> studentů ve věkové skupině 25 let a více, která již není pro účast v bakalářské a jí odpovídající úrovni studia </w:t>
      </w:r>
      <w:r w:rsidR="00864BCD">
        <w:rPr>
          <w:rFonts w:cs="Arial"/>
          <w:szCs w:val="20"/>
        </w:rPr>
        <w:t xml:space="preserve">tak </w:t>
      </w:r>
      <w:r w:rsidRPr="008A014E">
        <w:rPr>
          <w:rFonts w:cs="Arial"/>
          <w:szCs w:val="20"/>
        </w:rPr>
        <w:t xml:space="preserve">obvyklá. Desetina studentů byla dokonce ve věku 40 let a více. Lze předpokládat, že starší studenti již pracují a potřebují si dodělat potřebnou kvalifikaci, zejména je-li dána zákonem (např. u učitelek mateřských škol či zdravotních sester). S tím souvisí </w:t>
      </w:r>
      <w:r w:rsidRPr="008A014E">
        <w:rPr>
          <w:rFonts w:cs="Arial"/>
          <w:szCs w:val="20"/>
        </w:rPr>
        <w:lastRenderedPageBreak/>
        <w:t>i zjištění, že zatímco mezi studenty v denní for</w:t>
      </w:r>
      <w:r w:rsidR="00980E0D">
        <w:rPr>
          <w:rFonts w:cs="Arial"/>
          <w:szCs w:val="20"/>
        </w:rPr>
        <w:t>mě vzdělávání bylo zahrnuto 91</w:t>
      </w:r>
      <w:r w:rsidR="00864BCD">
        <w:rPr>
          <w:rFonts w:cs="Arial"/>
          <w:szCs w:val="20"/>
        </w:rPr>
        <w:t>,7</w:t>
      </w:r>
      <w:r w:rsidRPr="008A014E">
        <w:rPr>
          <w:rFonts w:cs="Arial"/>
          <w:szCs w:val="20"/>
        </w:rPr>
        <w:t> % studentů ve věku do 24 let, mezi studujícími jinou formou vzd</w:t>
      </w:r>
      <w:r w:rsidR="00980E0D">
        <w:rPr>
          <w:rFonts w:cs="Arial"/>
          <w:szCs w:val="20"/>
        </w:rPr>
        <w:t>ěl</w:t>
      </w:r>
      <w:r w:rsidR="00864BCD">
        <w:rPr>
          <w:rFonts w:cs="Arial"/>
          <w:szCs w:val="20"/>
        </w:rPr>
        <w:t>ávání činil tento podíl jen 26,6</w:t>
      </w:r>
      <w:r w:rsidRPr="008A014E">
        <w:rPr>
          <w:rFonts w:cs="Arial"/>
          <w:szCs w:val="20"/>
        </w:rPr>
        <w:t xml:space="preserve"> % a téměř tři čtvrtiny </w:t>
      </w:r>
      <w:r w:rsidR="00980E0D">
        <w:rPr>
          <w:rFonts w:cs="Arial"/>
          <w:szCs w:val="20"/>
        </w:rPr>
        <w:t xml:space="preserve">(73,4 %) </w:t>
      </w:r>
      <w:r w:rsidRPr="008A014E">
        <w:rPr>
          <w:rFonts w:cs="Arial"/>
          <w:szCs w:val="20"/>
        </w:rPr>
        <w:t>těchto studentů již byly ve věku 25 let a více.</w:t>
      </w:r>
    </w:p>
    <w:p w14:paraId="5E87FD98" w14:textId="573B82EA" w:rsidR="00FA7769" w:rsidRDefault="00FA7769" w:rsidP="00FA7769">
      <w:pPr>
        <w:keepNext/>
        <w:spacing w:after="120" w:line="240" w:lineRule="auto"/>
        <w:jc w:val="both"/>
        <w:rPr>
          <w:b/>
        </w:rPr>
      </w:pPr>
      <w:r>
        <w:rPr>
          <w:b/>
        </w:rPr>
        <w:t>Graf 5.</w:t>
      </w:r>
      <w:r w:rsidRPr="00C02F92">
        <w:rPr>
          <w:b/>
        </w:rPr>
        <w:t xml:space="preserve">3 </w:t>
      </w:r>
      <w:r>
        <w:rPr>
          <w:b/>
        </w:rPr>
        <w:t>Vyšší odborné školy</w:t>
      </w:r>
      <w:r w:rsidRPr="00C02F92">
        <w:rPr>
          <w:b/>
        </w:rPr>
        <w:t xml:space="preserve"> – rozdělení </w:t>
      </w:r>
      <w:r>
        <w:rPr>
          <w:b/>
        </w:rPr>
        <w:t>studentů</w:t>
      </w:r>
      <w:r w:rsidRPr="00C02F92">
        <w:rPr>
          <w:b/>
        </w:rPr>
        <w:t xml:space="preserve"> dle věku celkem, v denní formě vzdělávání a v os</w:t>
      </w:r>
      <w:r w:rsidR="00864BCD">
        <w:rPr>
          <w:b/>
        </w:rPr>
        <w:t>tatních formách vzdělávání (2021/22</w:t>
      </w:r>
      <w:r w:rsidRPr="00C02F92">
        <w:rPr>
          <w:b/>
        </w:rPr>
        <w:t>)</w:t>
      </w:r>
    </w:p>
    <w:p w14:paraId="26188939" w14:textId="647E3847" w:rsidR="00FA7769" w:rsidRPr="00F45E4C" w:rsidRDefault="00864BCD" w:rsidP="00F45E4C">
      <w:pPr>
        <w:keepNext/>
        <w:spacing w:after="120" w:line="240" w:lineRule="auto"/>
        <w:jc w:val="both"/>
        <w:rPr>
          <w:b/>
        </w:rPr>
      </w:pPr>
      <w:r>
        <w:rPr>
          <w:noProof/>
        </w:rPr>
        <w:drawing>
          <wp:inline distT="0" distB="0" distL="0" distR="0" wp14:anchorId="6EC2ADEB" wp14:editId="38FF059A">
            <wp:extent cx="6096000" cy="4219575"/>
            <wp:effectExtent l="0" t="0" r="0" b="9525"/>
            <wp:docPr id="69" name="Graf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16550A3B" w14:textId="77777777" w:rsidR="00FA7769" w:rsidRDefault="00FA7769" w:rsidP="00AB0787">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69ADD5FD" w14:textId="745B9853" w:rsidR="00821CC7" w:rsidRDefault="00FA7769" w:rsidP="008951EA">
      <w:pPr>
        <w:spacing w:after="0"/>
        <w:jc w:val="both"/>
        <w:rPr>
          <w:rFonts w:cs="Arial"/>
          <w:szCs w:val="20"/>
        </w:rPr>
      </w:pPr>
      <w:r w:rsidRPr="008A014E">
        <w:rPr>
          <w:rFonts w:cs="Arial"/>
          <w:szCs w:val="20"/>
        </w:rPr>
        <w:t xml:space="preserve">Graf </w:t>
      </w:r>
      <w:r>
        <w:rPr>
          <w:rFonts w:cs="Arial"/>
          <w:szCs w:val="20"/>
        </w:rPr>
        <w:t>5.</w:t>
      </w:r>
      <w:r w:rsidRPr="008A014E">
        <w:rPr>
          <w:rFonts w:cs="Arial"/>
          <w:szCs w:val="20"/>
        </w:rPr>
        <w:t>4 uvádí počty studentů vyššího odborného vz</w:t>
      </w:r>
      <w:r w:rsidR="00CE21B0">
        <w:rPr>
          <w:rFonts w:cs="Arial"/>
          <w:szCs w:val="20"/>
        </w:rPr>
        <w:t>dělá</w:t>
      </w:r>
      <w:r w:rsidR="00DA1F73">
        <w:rPr>
          <w:rFonts w:cs="Arial"/>
          <w:szCs w:val="20"/>
        </w:rPr>
        <w:t>vání ve školních rocích 2011/12 a 2021/22</w:t>
      </w:r>
      <w:r w:rsidR="00F21AE9">
        <w:rPr>
          <w:rFonts w:cs="Arial"/>
          <w:szCs w:val="20"/>
        </w:rPr>
        <w:t xml:space="preserve"> dle skupin oborů vzdělávání</w:t>
      </w:r>
      <w:r w:rsidRPr="008A014E">
        <w:rPr>
          <w:rFonts w:cs="Arial"/>
          <w:szCs w:val="20"/>
        </w:rPr>
        <w:t>.</w:t>
      </w:r>
      <w:r w:rsidR="00CE21B0">
        <w:rPr>
          <w:rFonts w:cs="Arial"/>
          <w:szCs w:val="20"/>
        </w:rPr>
        <w:t xml:space="preserve"> </w:t>
      </w:r>
      <w:r w:rsidR="00564AA1">
        <w:rPr>
          <w:rFonts w:cs="Arial"/>
          <w:szCs w:val="20"/>
        </w:rPr>
        <w:t>Zahrn</w:t>
      </w:r>
      <w:r w:rsidR="00CE21B0">
        <w:rPr>
          <w:rFonts w:cs="Arial"/>
          <w:szCs w:val="20"/>
        </w:rPr>
        <w:t>uje pouze obory s více než 100 studentů</w:t>
      </w:r>
      <w:r w:rsidR="00DA1F73">
        <w:rPr>
          <w:rFonts w:cs="Arial"/>
          <w:szCs w:val="20"/>
        </w:rPr>
        <w:t xml:space="preserve"> ve školním roce 2021/22</w:t>
      </w:r>
      <w:r w:rsidR="00CE21B0" w:rsidRPr="00480931">
        <w:rPr>
          <w:rFonts w:cs="Arial"/>
          <w:szCs w:val="20"/>
        </w:rPr>
        <w:t>.</w:t>
      </w:r>
      <w:r w:rsidRPr="00480931">
        <w:rPr>
          <w:rFonts w:cs="Arial"/>
          <w:szCs w:val="20"/>
        </w:rPr>
        <w:t xml:space="preserve"> </w:t>
      </w:r>
      <w:r w:rsidRPr="008951EA">
        <w:rPr>
          <w:rFonts w:cs="Arial"/>
          <w:szCs w:val="20"/>
        </w:rPr>
        <w:t>Jak je patrné,</w:t>
      </w:r>
      <w:r w:rsidRPr="00480931">
        <w:rPr>
          <w:rFonts w:cs="Arial"/>
          <w:szCs w:val="20"/>
        </w:rPr>
        <w:t xml:space="preserve"> v obou školních rocích byl nejvyšší počet studentů vyššího odborného vzdělávání zapsaný ve skupině oborů </w:t>
      </w:r>
      <w:r w:rsidRPr="008951EA">
        <w:rPr>
          <w:rFonts w:cs="Arial"/>
          <w:b/>
          <w:szCs w:val="20"/>
        </w:rPr>
        <w:t xml:space="preserve">zdravotnictví </w:t>
      </w:r>
      <w:r w:rsidRPr="00480931">
        <w:rPr>
          <w:rFonts w:cs="Arial"/>
          <w:szCs w:val="20"/>
        </w:rPr>
        <w:t xml:space="preserve">a dále ve skupině oborů </w:t>
      </w:r>
      <w:r w:rsidRPr="008951EA">
        <w:rPr>
          <w:rFonts w:cs="Arial"/>
          <w:b/>
          <w:szCs w:val="20"/>
        </w:rPr>
        <w:t>pedagogiky, učitelství a sociální péče</w:t>
      </w:r>
      <w:r w:rsidRPr="00480931">
        <w:rPr>
          <w:rFonts w:cs="Arial"/>
          <w:szCs w:val="20"/>
        </w:rPr>
        <w:t xml:space="preserve">. </w:t>
      </w:r>
      <w:r w:rsidR="00F57536" w:rsidRPr="00480931">
        <w:rPr>
          <w:rFonts w:cs="Arial"/>
          <w:szCs w:val="20"/>
        </w:rPr>
        <w:t xml:space="preserve">Lze si všimnout, že </w:t>
      </w:r>
      <w:r w:rsidR="004B5727">
        <w:rPr>
          <w:rFonts w:cs="Arial"/>
          <w:szCs w:val="20"/>
        </w:rPr>
        <w:t>tyto dvě skupiny</w:t>
      </w:r>
      <w:r w:rsidR="00F57536" w:rsidRPr="00480931">
        <w:rPr>
          <w:rFonts w:cs="Arial"/>
          <w:szCs w:val="20"/>
        </w:rPr>
        <w:t xml:space="preserve"> oborů </w:t>
      </w:r>
      <w:r w:rsidR="008951EA">
        <w:rPr>
          <w:rFonts w:cs="Arial"/>
          <w:szCs w:val="20"/>
        </w:rPr>
        <w:t>spolu se skupinou oborů umění a užité umění zaznamenaly zároveň jako jediné</w:t>
      </w:r>
      <w:r w:rsidR="00F57536" w:rsidRPr="00480931">
        <w:rPr>
          <w:rFonts w:cs="Arial"/>
          <w:szCs w:val="20"/>
        </w:rPr>
        <w:t xml:space="preserve"> ze všech ob</w:t>
      </w:r>
      <w:r w:rsidR="008951EA">
        <w:rPr>
          <w:rFonts w:cs="Arial"/>
          <w:szCs w:val="20"/>
        </w:rPr>
        <w:t>orů v grafu ve školním roce 2021/22</w:t>
      </w:r>
      <w:r w:rsidR="00F57536" w:rsidRPr="00480931">
        <w:rPr>
          <w:rFonts w:cs="Arial"/>
          <w:szCs w:val="20"/>
        </w:rPr>
        <w:t xml:space="preserve"> vyšší počet s</w:t>
      </w:r>
      <w:r w:rsidR="008951EA">
        <w:rPr>
          <w:rFonts w:cs="Arial"/>
          <w:szCs w:val="20"/>
        </w:rPr>
        <w:t>tudentů než ve školním roce 2011/12</w:t>
      </w:r>
      <w:r w:rsidR="00F57536" w:rsidRPr="00480931">
        <w:rPr>
          <w:rFonts w:cs="Arial"/>
          <w:szCs w:val="20"/>
        </w:rPr>
        <w:t>. A to</w:t>
      </w:r>
      <w:r w:rsidR="008951EA">
        <w:rPr>
          <w:rFonts w:cs="Arial"/>
          <w:szCs w:val="20"/>
        </w:rPr>
        <w:t xml:space="preserve"> p</w:t>
      </w:r>
      <w:r w:rsidR="00631A36">
        <w:rPr>
          <w:rFonts w:cs="Arial"/>
          <w:szCs w:val="20"/>
        </w:rPr>
        <w:t>řesto, že ve školním roce 2021/2</w:t>
      </w:r>
      <w:r w:rsidR="008951EA">
        <w:rPr>
          <w:rFonts w:cs="Arial"/>
          <w:szCs w:val="20"/>
        </w:rPr>
        <w:t>2</w:t>
      </w:r>
      <w:r w:rsidR="00F57536" w:rsidRPr="00480931">
        <w:rPr>
          <w:rFonts w:cs="Arial"/>
          <w:szCs w:val="20"/>
        </w:rPr>
        <w:t xml:space="preserve"> bylo studentů vyšších o</w:t>
      </w:r>
      <w:r w:rsidR="008951EA">
        <w:rPr>
          <w:rFonts w:cs="Arial"/>
          <w:szCs w:val="20"/>
        </w:rPr>
        <w:t>dborných škol téměř o třetinu méně (o 31,5 %) než ve školním roce 2011/12</w:t>
      </w:r>
      <w:r w:rsidR="00F57536" w:rsidRPr="00480931">
        <w:rPr>
          <w:rFonts w:cs="Arial"/>
          <w:szCs w:val="20"/>
        </w:rPr>
        <w:t xml:space="preserve">. </w:t>
      </w:r>
      <w:r w:rsidR="008951EA">
        <w:rPr>
          <w:rFonts w:cs="Arial"/>
          <w:szCs w:val="20"/>
        </w:rPr>
        <w:t xml:space="preserve">Počet studentů </w:t>
      </w:r>
      <w:r w:rsidR="00D91045">
        <w:rPr>
          <w:rFonts w:cs="Arial"/>
          <w:szCs w:val="20"/>
        </w:rPr>
        <w:t xml:space="preserve">zdravotnických </w:t>
      </w:r>
      <w:r w:rsidR="008951EA">
        <w:rPr>
          <w:rFonts w:cs="Arial"/>
          <w:szCs w:val="20"/>
        </w:rPr>
        <w:t xml:space="preserve">oborů se za deset let zvýšil </w:t>
      </w:r>
      <w:r w:rsidR="00870A7F">
        <w:rPr>
          <w:rFonts w:cs="Arial"/>
          <w:szCs w:val="20"/>
        </w:rPr>
        <w:t>o </w:t>
      </w:r>
      <w:r w:rsidR="008951EA">
        <w:rPr>
          <w:rFonts w:cs="Arial"/>
          <w:szCs w:val="20"/>
        </w:rPr>
        <w:t xml:space="preserve">1,3 %, počet studentů pedagogických oborů a </w:t>
      </w:r>
      <w:r w:rsidR="00D91045">
        <w:rPr>
          <w:rFonts w:cs="Arial"/>
          <w:szCs w:val="20"/>
        </w:rPr>
        <w:t>oborů věnovaných sociální péči</w:t>
      </w:r>
      <w:r w:rsidR="008951EA">
        <w:rPr>
          <w:rFonts w:cs="Arial"/>
          <w:szCs w:val="20"/>
        </w:rPr>
        <w:t xml:space="preserve"> o 1,5 %</w:t>
      </w:r>
      <w:r w:rsidR="00870A7F">
        <w:rPr>
          <w:rFonts w:cs="Arial"/>
          <w:szCs w:val="20"/>
        </w:rPr>
        <w:t>,</w:t>
      </w:r>
      <w:r w:rsidR="008951EA">
        <w:rPr>
          <w:rFonts w:cs="Arial"/>
          <w:szCs w:val="20"/>
        </w:rPr>
        <w:t xml:space="preserve"> a počet studentů uměleckých oborů o 14,1 %. Naopak největší propad zaznamenaly skupiny oborů Stavebnictví, geodézie a kartografie</w:t>
      </w:r>
      <w:r w:rsidR="00D91045">
        <w:rPr>
          <w:rFonts w:cs="Arial"/>
          <w:szCs w:val="20"/>
        </w:rPr>
        <w:t xml:space="preserve"> a E</w:t>
      </w:r>
      <w:r w:rsidR="008951EA">
        <w:rPr>
          <w:rFonts w:cs="Arial"/>
          <w:szCs w:val="20"/>
        </w:rPr>
        <w:t>konomika a administrativa (</w:t>
      </w:r>
      <w:r w:rsidR="00D91045">
        <w:rPr>
          <w:rFonts w:cs="Arial"/>
          <w:szCs w:val="20"/>
        </w:rPr>
        <w:t xml:space="preserve">obojí </w:t>
      </w:r>
      <w:r w:rsidR="008951EA">
        <w:rPr>
          <w:rFonts w:cs="Arial"/>
          <w:szCs w:val="20"/>
        </w:rPr>
        <w:t xml:space="preserve">o tři čtvrtiny). </w:t>
      </w:r>
      <w:r w:rsidR="006C46E7">
        <w:rPr>
          <w:rStyle w:val="Znakapoznpodarou"/>
          <w:rFonts w:cs="Arial"/>
          <w:szCs w:val="20"/>
        </w:rPr>
        <w:footnoteReference w:id="52"/>
      </w:r>
    </w:p>
    <w:p w14:paraId="39948303" w14:textId="77777777" w:rsidR="00821CC7" w:rsidRPr="008A014E" w:rsidRDefault="00821CC7" w:rsidP="00FA7769">
      <w:pPr>
        <w:spacing w:after="0"/>
        <w:jc w:val="both"/>
        <w:rPr>
          <w:rFonts w:cs="Arial"/>
          <w:szCs w:val="20"/>
        </w:rPr>
      </w:pPr>
    </w:p>
    <w:p w14:paraId="3A157694" w14:textId="77777777" w:rsidR="00FA7769" w:rsidRPr="008A014E" w:rsidRDefault="00FA7769" w:rsidP="00FA7769">
      <w:pPr>
        <w:spacing w:after="0"/>
        <w:jc w:val="both"/>
        <w:rPr>
          <w:rFonts w:cs="Arial"/>
          <w:szCs w:val="20"/>
        </w:rPr>
      </w:pPr>
    </w:p>
    <w:p w14:paraId="6472E5E7" w14:textId="3CAB8267" w:rsidR="00FA7769" w:rsidRDefault="00FA7769" w:rsidP="00FA7769">
      <w:pPr>
        <w:keepNext/>
        <w:spacing w:after="120" w:line="240" w:lineRule="auto"/>
        <w:rPr>
          <w:i/>
        </w:rPr>
      </w:pPr>
      <w:r>
        <w:rPr>
          <w:b/>
        </w:rPr>
        <w:lastRenderedPageBreak/>
        <w:t>Graf 5.4</w:t>
      </w:r>
      <w:r w:rsidRPr="00E86076">
        <w:rPr>
          <w:b/>
        </w:rPr>
        <w:t xml:space="preserve"> Vyšší odborné školy – počet studentů dle oboru vzdělávání </w:t>
      </w:r>
      <w:r w:rsidR="00D4645C" w:rsidRPr="00D4645C">
        <w:rPr>
          <w:i/>
        </w:rPr>
        <w:t>(pouze obory s více než 100 žáků)</w:t>
      </w:r>
    </w:p>
    <w:p w14:paraId="26EABC77" w14:textId="73475D36" w:rsidR="00FA7769" w:rsidRPr="00070303" w:rsidRDefault="00070303" w:rsidP="00CE21B0">
      <w:pPr>
        <w:keepNext/>
        <w:spacing w:after="120" w:line="240" w:lineRule="auto"/>
        <w:rPr>
          <w:i/>
        </w:rPr>
      </w:pPr>
      <w:r>
        <w:rPr>
          <w:noProof/>
        </w:rPr>
        <w:drawing>
          <wp:inline distT="0" distB="0" distL="0" distR="0" wp14:anchorId="081C6A86" wp14:editId="3F8BED8B">
            <wp:extent cx="5686425" cy="4476750"/>
            <wp:effectExtent l="0" t="0" r="9525" b="0"/>
            <wp:docPr id="71" name="Graf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164CEA23" w14:textId="77777777" w:rsidR="00FA7769" w:rsidRDefault="00FA7769" w:rsidP="00D8357D">
      <w:pPr>
        <w:spacing w:after="120"/>
        <w:jc w:val="right"/>
        <w:rPr>
          <w:rFonts w:cs="Arial"/>
          <w:sz w:val="18"/>
        </w:rPr>
      </w:pPr>
      <w:r w:rsidRPr="00F94849">
        <w:rPr>
          <w:rFonts w:cs="Arial"/>
          <w:sz w:val="18"/>
        </w:rPr>
        <w:t>Zdroj: ČSÚ</w:t>
      </w:r>
      <w:r w:rsidRPr="00F94849">
        <w:rPr>
          <w:rFonts w:cs="Arial"/>
          <w:noProof/>
        </w:rPr>
        <w:t xml:space="preserve"> </w:t>
      </w:r>
      <w:r w:rsidRPr="00307699">
        <w:rPr>
          <w:rFonts w:cs="Arial"/>
          <w:sz w:val="18"/>
        </w:rPr>
        <w:t>podle údajů MŠMT</w:t>
      </w:r>
    </w:p>
    <w:p w14:paraId="343AFA20" w14:textId="37B57905" w:rsidR="008951EA" w:rsidRDefault="008951EA" w:rsidP="00D8357D">
      <w:pPr>
        <w:spacing w:after="120"/>
        <w:jc w:val="both"/>
        <w:rPr>
          <w:rFonts w:cs="Arial"/>
          <w:szCs w:val="20"/>
        </w:rPr>
      </w:pPr>
      <w:r>
        <w:rPr>
          <w:rFonts w:cs="Arial"/>
          <w:szCs w:val="20"/>
        </w:rPr>
        <w:t xml:space="preserve">Pokud bychom sledovali vývoj v posledních pěti školních rocích, pak </w:t>
      </w:r>
      <w:r w:rsidR="00870A7F">
        <w:rPr>
          <w:rFonts w:cs="Arial"/>
          <w:szCs w:val="20"/>
        </w:rPr>
        <w:t>se p</w:t>
      </w:r>
      <w:r w:rsidR="00870A7F" w:rsidRPr="00870A7F">
        <w:rPr>
          <w:rFonts w:cs="Arial"/>
          <w:szCs w:val="20"/>
        </w:rPr>
        <w:t xml:space="preserve">očet studentů oborů z oblasti zdravotnictví zvýšil o </w:t>
      </w:r>
      <w:r w:rsidR="00870A7F">
        <w:rPr>
          <w:rFonts w:cs="Arial"/>
          <w:szCs w:val="20"/>
        </w:rPr>
        <w:t>6</w:t>
      </w:r>
      <w:r w:rsidR="00870A7F" w:rsidRPr="00870A7F">
        <w:rPr>
          <w:rFonts w:cs="Arial"/>
          <w:szCs w:val="20"/>
        </w:rPr>
        <w:t xml:space="preserve"> %</w:t>
      </w:r>
      <w:r w:rsidR="00870A7F">
        <w:rPr>
          <w:rFonts w:cs="Arial"/>
          <w:szCs w:val="20"/>
        </w:rPr>
        <w:t xml:space="preserve"> (tj. </w:t>
      </w:r>
      <w:r w:rsidR="00133F68">
        <w:rPr>
          <w:rFonts w:cs="Arial"/>
          <w:szCs w:val="20"/>
        </w:rPr>
        <w:t>o </w:t>
      </w:r>
      <w:r w:rsidR="00870A7F">
        <w:rPr>
          <w:rFonts w:cs="Arial"/>
          <w:szCs w:val="20"/>
        </w:rPr>
        <w:t>360 studentů)</w:t>
      </w:r>
      <w:r w:rsidR="00870A7F" w:rsidRPr="00870A7F">
        <w:rPr>
          <w:rFonts w:cs="Arial"/>
          <w:szCs w:val="20"/>
        </w:rPr>
        <w:t xml:space="preserve">, počet studentů pedagogických oborů a sociální péče o </w:t>
      </w:r>
      <w:r w:rsidR="00870A7F">
        <w:rPr>
          <w:rFonts w:cs="Arial"/>
          <w:szCs w:val="20"/>
        </w:rPr>
        <w:t>21,8</w:t>
      </w:r>
      <w:r w:rsidR="00870A7F" w:rsidRPr="00870A7F">
        <w:rPr>
          <w:rFonts w:cs="Arial"/>
          <w:szCs w:val="20"/>
        </w:rPr>
        <w:t xml:space="preserve"> %</w:t>
      </w:r>
      <w:r w:rsidR="00870A7F">
        <w:rPr>
          <w:rFonts w:cs="Arial"/>
          <w:szCs w:val="20"/>
        </w:rPr>
        <w:t xml:space="preserve"> (tj. o 1 028)</w:t>
      </w:r>
      <w:r w:rsidR="00870A7F" w:rsidRPr="00870A7F">
        <w:rPr>
          <w:rFonts w:cs="Arial"/>
          <w:szCs w:val="20"/>
        </w:rPr>
        <w:t>, a poče</w:t>
      </w:r>
      <w:r w:rsidR="00870A7F">
        <w:rPr>
          <w:rFonts w:cs="Arial"/>
          <w:szCs w:val="20"/>
        </w:rPr>
        <w:t>t studentů uměleckých oborů o 27,6</w:t>
      </w:r>
      <w:r w:rsidR="00870A7F" w:rsidRPr="00870A7F">
        <w:rPr>
          <w:rFonts w:cs="Arial"/>
          <w:szCs w:val="20"/>
        </w:rPr>
        <w:t xml:space="preserve"> %</w:t>
      </w:r>
      <w:r w:rsidR="00870A7F">
        <w:rPr>
          <w:rFonts w:cs="Arial"/>
          <w:szCs w:val="20"/>
        </w:rPr>
        <w:t xml:space="preserve"> (tj. o 290 studentů)</w:t>
      </w:r>
      <w:r w:rsidR="00870A7F" w:rsidRPr="00870A7F">
        <w:rPr>
          <w:rFonts w:cs="Arial"/>
          <w:szCs w:val="20"/>
        </w:rPr>
        <w:t xml:space="preserve">. </w:t>
      </w:r>
      <w:r w:rsidR="00870A7F">
        <w:rPr>
          <w:rFonts w:cs="Arial"/>
          <w:szCs w:val="20"/>
        </w:rPr>
        <w:t>V</w:t>
      </w:r>
      <w:r>
        <w:rPr>
          <w:rFonts w:cs="Arial"/>
          <w:szCs w:val="20"/>
        </w:rPr>
        <w:t xml:space="preserve">edle zmíněných </w:t>
      </w:r>
      <w:r w:rsidR="00870A7F">
        <w:rPr>
          <w:rFonts w:cs="Arial"/>
          <w:szCs w:val="20"/>
        </w:rPr>
        <w:t xml:space="preserve">tří </w:t>
      </w:r>
      <w:r>
        <w:rPr>
          <w:rFonts w:cs="Arial"/>
          <w:szCs w:val="20"/>
        </w:rPr>
        <w:t xml:space="preserve">skupin oborů zaznamenaly </w:t>
      </w:r>
      <w:r w:rsidR="00870A7F">
        <w:rPr>
          <w:rFonts w:cs="Arial"/>
          <w:szCs w:val="20"/>
        </w:rPr>
        <w:t xml:space="preserve">za </w:t>
      </w:r>
      <w:r w:rsidR="008A509B">
        <w:rPr>
          <w:rFonts w:cs="Arial"/>
          <w:szCs w:val="20"/>
        </w:rPr>
        <w:t xml:space="preserve">posledních </w:t>
      </w:r>
      <w:r w:rsidR="00870A7F">
        <w:rPr>
          <w:rFonts w:cs="Arial"/>
          <w:szCs w:val="20"/>
        </w:rPr>
        <w:t xml:space="preserve">pět let </w:t>
      </w:r>
      <w:r>
        <w:rPr>
          <w:rFonts w:cs="Arial"/>
          <w:szCs w:val="20"/>
        </w:rPr>
        <w:t xml:space="preserve">nárůst počtu studentů ještě skupiny oborů </w:t>
      </w:r>
      <w:r w:rsidR="00870A7F">
        <w:rPr>
          <w:rFonts w:cs="Arial"/>
          <w:szCs w:val="20"/>
        </w:rPr>
        <w:t>technická chemie, chemie silikátů (ze 17 na 33 studentů), teorie vojenského umění (z 15 na 27 studentů) a filozofie a teologie (ze 137 na 146 studentů).</w:t>
      </w:r>
      <w:r w:rsidR="001B4F24">
        <w:rPr>
          <w:rFonts w:cs="Arial"/>
          <w:szCs w:val="20"/>
        </w:rPr>
        <w:t xml:space="preserve"> Ostatní skupiny oborů zaznamenaly úbytek počtu studentů.</w:t>
      </w:r>
    </w:p>
    <w:p w14:paraId="0215363D" w14:textId="21CC8142" w:rsidR="008951EA" w:rsidRDefault="00D8357D" w:rsidP="00D8357D">
      <w:pPr>
        <w:spacing w:after="120"/>
        <w:jc w:val="both"/>
        <w:rPr>
          <w:rFonts w:cs="Arial"/>
          <w:szCs w:val="20"/>
        </w:rPr>
      </w:pPr>
      <w:r>
        <w:rPr>
          <w:rFonts w:cs="Arial"/>
          <w:szCs w:val="20"/>
        </w:rPr>
        <w:t>Též v pětiletém intervalu patřily skupiny oborů Stavebnictví, geodézie a kartografie</w:t>
      </w:r>
      <w:r w:rsidR="00133F68">
        <w:rPr>
          <w:rFonts w:cs="Arial"/>
          <w:szCs w:val="20"/>
        </w:rPr>
        <w:t xml:space="preserve"> a E</w:t>
      </w:r>
      <w:r>
        <w:rPr>
          <w:rFonts w:cs="Arial"/>
          <w:szCs w:val="20"/>
        </w:rPr>
        <w:t xml:space="preserve">konomika a administrativa ke třem skupinám oborů s největším propadem počtu studentů (o 68,4 %, resp. o 51,7 %), mezi ně se </w:t>
      </w:r>
      <w:r w:rsidR="008A509B">
        <w:rPr>
          <w:rFonts w:cs="Arial"/>
          <w:szCs w:val="20"/>
        </w:rPr>
        <w:t xml:space="preserve">navíc </w:t>
      </w:r>
      <w:r>
        <w:rPr>
          <w:rFonts w:cs="Arial"/>
          <w:szCs w:val="20"/>
        </w:rPr>
        <w:t xml:space="preserve">zařadila skupina </w:t>
      </w:r>
      <w:r w:rsidR="00133F68">
        <w:rPr>
          <w:rFonts w:cs="Arial"/>
          <w:szCs w:val="20"/>
        </w:rPr>
        <w:t>oborů P</w:t>
      </w:r>
      <w:r>
        <w:rPr>
          <w:rFonts w:cs="Arial"/>
          <w:szCs w:val="20"/>
        </w:rPr>
        <w:t xml:space="preserve">ublicistika, knihovnictví a informatika (o 54,9 %). </w:t>
      </w:r>
    </w:p>
    <w:p w14:paraId="39CC6117" w14:textId="111DD57F" w:rsidR="00FF6B7E" w:rsidRPr="00480931" w:rsidRDefault="00FA7769" w:rsidP="00D8357D">
      <w:pPr>
        <w:spacing w:after="120"/>
        <w:jc w:val="both"/>
        <w:rPr>
          <w:rFonts w:cs="Arial"/>
          <w:color w:val="FF0000"/>
          <w:szCs w:val="20"/>
        </w:rPr>
      </w:pPr>
      <w:r w:rsidRPr="008A014E">
        <w:rPr>
          <w:rFonts w:cs="Arial"/>
          <w:szCs w:val="20"/>
        </w:rPr>
        <w:t xml:space="preserve">Vzhledem k převaze studentů oborů ze skupiny zdravotnictví a ze skupiny pedagogiky, učitelství a sociální péče není překvapivé, že celkově mezi studenty vyšších odborných škol </w:t>
      </w:r>
      <w:r w:rsidRPr="00D8357D">
        <w:rPr>
          <w:rFonts w:cs="Arial"/>
          <w:b/>
          <w:szCs w:val="20"/>
        </w:rPr>
        <w:t>převažovaly ženy nad muži</w:t>
      </w:r>
      <w:r w:rsidRPr="008A014E">
        <w:rPr>
          <w:rFonts w:cs="Arial"/>
          <w:szCs w:val="20"/>
        </w:rPr>
        <w:t>. Jak je výše uvedeno, ve školním ro</w:t>
      </w:r>
      <w:r w:rsidR="00D8357D">
        <w:rPr>
          <w:rFonts w:cs="Arial"/>
          <w:szCs w:val="20"/>
        </w:rPr>
        <w:t>ce 2021/22</w:t>
      </w:r>
      <w:r w:rsidRPr="008A014E">
        <w:rPr>
          <w:rFonts w:cs="Arial"/>
          <w:szCs w:val="20"/>
        </w:rPr>
        <w:t xml:space="preserve"> tvořily </w:t>
      </w:r>
      <w:r w:rsidR="00D8357D">
        <w:rPr>
          <w:rFonts w:cs="Arial"/>
          <w:szCs w:val="20"/>
        </w:rPr>
        <w:t xml:space="preserve">více </w:t>
      </w:r>
      <w:r w:rsidRPr="008A014E">
        <w:rPr>
          <w:rFonts w:cs="Arial"/>
          <w:szCs w:val="20"/>
        </w:rPr>
        <w:t>tři čtvrtiny všech studentů</w:t>
      </w:r>
      <w:r w:rsidR="00D8357D">
        <w:rPr>
          <w:rFonts w:cs="Arial"/>
          <w:szCs w:val="20"/>
        </w:rPr>
        <w:t xml:space="preserve"> (76,7 %)</w:t>
      </w:r>
      <w:r w:rsidRPr="008A014E">
        <w:rPr>
          <w:rFonts w:cs="Arial"/>
          <w:szCs w:val="20"/>
        </w:rPr>
        <w:t>. R</w:t>
      </w:r>
      <w:r w:rsidR="001350AD">
        <w:rPr>
          <w:rFonts w:cs="Arial"/>
          <w:szCs w:val="20"/>
        </w:rPr>
        <w:t xml:space="preserve">ovněž </w:t>
      </w:r>
      <w:r w:rsidRPr="00D8357D">
        <w:rPr>
          <w:rFonts w:cs="Arial"/>
          <w:b/>
          <w:szCs w:val="20"/>
        </w:rPr>
        <w:t>mezi učiteli</w:t>
      </w:r>
      <w:r w:rsidRPr="008A014E">
        <w:rPr>
          <w:rFonts w:cs="Arial"/>
          <w:szCs w:val="20"/>
        </w:rPr>
        <w:t xml:space="preserve"> </w:t>
      </w:r>
      <w:r w:rsidR="009A08D1">
        <w:rPr>
          <w:rFonts w:cs="Arial"/>
          <w:szCs w:val="20"/>
        </w:rPr>
        <w:t xml:space="preserve">vyšších odborných škol </w:t>
      </w:r>
      <w:r w:rsidRPr="008A014E">
        <w:rPr>
          <w:rFonts w:cs="Arial"/>
          <w:szCs w:val="20"/>
        </w:rPr>
        <w:t>převažovaly</w:t>
      </w:r>
      <w:r w:rsidR="00480931">
        <w:rPr>
          <w:rFonts w:cs="Arial"/>
          <w:szCs w:val="20"/>
        </w:rPr>
        <w:t xml:space="preserve"> ženy nad muži (tvořily</w:t>
      </w:r>
      <w:r w:rsidRPr="008A014E">
        <w:rPr>
          <w:rFonts w:cs="Arial"/>
          <w:szCs w:val="20"/>
        </w:rPr>
        <w:t xml:space="preserve"> dvě třetiny</w:t>
      </w:r>
      <w:r w:rsidR="00D8357D">
        <w:rPr>
          <w:rFonts w:cs="Arial"/>
          <w:szCs w:val="20"/>
        </w:rPr>
        <w:t>, tedy 66,1 %</w:t>
      </w:r>
      <w:r w:rsidRPr="008A014E">
        <w:rPr>
          <w:rFonts w:cs="Arial"/>
          <w:szCs w:val="20"/>
        </w:rPr>
        <w:t xml:space="preserve">), a to ve větší míře, než jak </w:t>
      </w:r>
      <w:r w:rsidR="001350AD">
        <w:rPr>
          <w:rFonts w:cs="Arial"/>
          <w:szCs w:val="20"/>
        </w:rPr>
        <w:t>tomu bylo u </w:t>
      </w:r>
      <w:r w:rsidRPr="008A014E">
        <w:rPr>
          <w:rFonts w:cs="Arial"/>
          <w:szCs w:val="20"/>
        </w:rPr>
        <w:t>středních škol (zde tvořily tři pětiny). Podíl žen mezi učiteli má přitom se zvyšující se úrovní vzdělávání tendenci spíše klesat.</w:t>
      </w:r>
      <w:r w:rsidR="00FE7756">
        <w:rPr>
          <w:rFonts w:cs="Arial"/>
          <w:szCs w:val="20"/>
        </w:rPr>
        <w:t xml:space="preserve"> Nejen u</w:t>
      </w:r>
      <w:r w:rsidR="0079432E">
        <w:rPr>
          <w:rFonts w:cs="Arial"/>
          <w:szCs w:val="20"/>
        </w:rPr>
        <w:t xml:space="preserve"> </w:t>
      </w:r>
      <w:r w:rsidR="005A1896">
        <w:rPr>
          <w:rFonts w:cs="Arial"/>
          <w:szCs w:val="20"/>
        </w:rPr>
        <w:t xml:space="preserve">genderového složení </w:t>
      </w:r>
      <w:r w:rsidR="008A509B">
        <w:rPr>
          <w:rFonts w:cs="Arial"/>
          <w:szCs w:val="20"/>
        </w:rPr>
        <w:t>studentů</w:t>
      </w:r>
      <w:r w:rsidR="00FE7756">
        <w:rPr>
          <w:rFonts w:cs="Arial"/>
          <w:szCs w:val="20"/>
        </w:rPr>
        <w:t>, ale též</w:t>
      </w:r>
      <w:r w:rsidR="008A509B">
        <w:rPr>
          <w:rFonts w:cs="Arial"/>
          <w:szCs w:val="20"/>
        </w:rPr>
        <w:t xml:space="preserve"> </w:t>
      </w:r>
      <w:r w:rsidR="0079432E">
        <w:rPr>
          <w:rFonts w:cs="Arial"/>
          <w:szCs w:val="20"/>
        </w:rPr>
        <w:t xml:space="preserve">učitelů </w:t>
      </w:r>
      <w:r w:rsidR="00FE7756">
        <w:rPr>
          <w:rFonts w:cs="Arial"/>
          <w:szCs w:val="20"/>
        </w:rPr>
        <w:t xml:space="preserve">tak </w:t>
      </w:r>
      <w:r w:rsidR="005A1896">
        <w:rPr>
          <w:rFonts w:cs="Arial"/>
          <w:szCs w:val="20"/>
        </w:rPr>
        <w:t>pravděpodobně hraje</w:t>
      </w:r>
      <w:r w:rsidR="0079432E">
        <w:rPr>
          <w:rFonts w:cs="Arial"/>
          <w:szCs w:val="20"/>
        </w:rPr>
        <w:t xml:space="preserve"> roli relativně větší zastoupení oborů typických pro ženy ve vyšších odborných školách.</w:t>
      </w:r>
    </w:p>
    <w:sectPr w:rsidR="00FF6B7E" w:rsidRPr="00480931" w:rsidSect="006F5416">
      <w:headerReference w:type="even" r:id="rId112"/>
      <w:headerReference w:type="default" r:id="rId113"/>
      <w:footerReference w:type="even" r:id="rId114"/>
      <w:footerReference w:type="default" r:id="rId115"/>
      <w:headerReference w:type="first" r:id="rId116"/>
      <w:footerReference w:type="first" r:id="rId117"/>
      <w:pgSz w:w="11906" w:h="16838" w:code="9"/>
      <w:pgMar w:top="1134" w:right="1134" w:bottom="1418" w:left="1134"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1CE7D0" w14:textId="77777777" w:rsidR="00A0215E" w:rsidRDefault="00A0215E" w:rsidP="00E71A58">
      <w:r>
        <w:separator/>
      </w:r>
    </w:p>
  </w:endnote>
  <w:endnote w:type="continuationSeparator" w:id="0">
    <w:p w14:paraId="0A7451E3" w14:textId="77777777" w:rsidR="00A0215E" w:rsidRDefault="00A0215E" w:rsidP="00E71A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Minion Pro">
    <w:charset w:val="00"/>
    <w:family w:val="auto"/>
    <w:pitch w:val="variable"/>
    <w:sig w:usb0="00000003" w:usb1="00000000" w:usb2="00000000" w:usb3="00000000" w:csb0="00000001"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58270E" w14:textId="1AA7605D" w:rsidR="00A0215E" w:rsidRPr="00932443" w:rsidRDefault="00A0215E" w:rsidP="00A418BC">
    <w:pPr>
      <w:pStyle w:val="Zpat"/>
      <w:rPr>
        <w:szCs w:val="16"/>
      </w:rPr>
    </w:pPr>
    <w:r>
      <w:rPr>
        <w:szCs w:val="16"/>
        <w:lang w:eastAsia="cs-CZ"/>
      </w:rPr>
      <w:drawing>
        <wp:anchor distT="0" distB="0" distL="114300" distR="114300" simplePos="0" relativeHeight="251659776" behindDoc="0" locked="0" layoutInCell="1" allowOverlap="1" wp14:anchorId="44869E7E" wp14:editId="7B7B3158">
          <wp:simplePos x="0" y="0"/>
          <wp:positionH relativeFrom="column">
            <wp:align>right</wp:align>
          </wp:positionH>
          <wp:positionV relativeFrom="paragraph">
            <wp:posOffset>-64770</wp:posOffset>
          </wp:positionV>
          <wp:extent cx="428625" cy="201295"/>
          <wp:effectExtent l="0" t="0" r="3175" b="1905"/>
          <wp:wrapNone/>
          <wp:docPr id="11" name="Picture 11" descr="CSU RGB CZ log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U RGB CZ logo-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8625" cy="201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2443">
      <w:rPr>
        <w:szCs w:val="16"/>
      </w:rPr>
      <w:fldChar w:fldCharType="begin"/>
    </w:r>
    <w:r w:rsidRPr="00932443">
      <w:rPr>
        <w:szCs w:val="16"/>
      </w:rPr>
      <w:instrText>PAGE   \* MERGEFORMAT</w:instrText>
    </w:r>
    <w:r w:rsidRPr="00932443">
      <w:rPr>
        <w:szCs w:val="16"/>
      </w:rPr>
      <w:fldChar w:fldCharType="separate"/>
    </w:r>
    <w:r w:rsidR="00C719C3">
      <w:rPr>
        <w:szCs w:val="16"/>
      </w:rPr>
      <w:t>80</w:t>
    </w:r>
    <w:r w:rsidRPr="00932443">
      <w:rPr>
        <w:szCs w:val="16"/>
      </w:rPr>
      <w:fldChar w:fldCharType="end"/>
    </w:r>
    <w:r w:rsidRPr="00932443">
      <w:rPr>
        <w:szCs w:val="16"/>
      </w:rPr>
      <w:tab/>
    </w:r>
    <w:r>
      <w:rPr>
        <w:rStyle w:val="ZpatChar"/>
        <w:szCs w:val="16"/>
      </w:rPr>
      <w:t>Školní rok 2021/2022</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77BFAD" w14:textId="082668AB" w:rsidR="00A0215E" w:rsidRPr="00932443" w:rsidRDefault="00A0215E" w:rsidP="00A418BC">
    <w:pPr>
      <w:pStyle w:val="Zpat"/>
      <w:rPr>
        <w:szCs w:val="16"/>
      </w:rPr>
    </w:pPr>
    <w:r>
      <w:rPr>
        <w:szCs w:val="16"/>
        <w:lang w:eastAsia="cs-CZ"/>
      </w:rPr>
      <w:drawing>
        <wp:anchor distT="0" distB="0" distL="114300" distR="114300" simplePos="0" relativeHeight="251657728" behindDoc="0" locked="0" layoutInCell="1" allowOverlap="1" wp14:anchorId="4020FA8D" wp14:editId="4C38B72F">
          <wp:simplePos x="0" y="0"/>
          <wp:positionH relativeFrom="column">
            <wp:align>left</wp:align>
          </wp:positionH>
          <wp:positionV relativeFrom="paragraph">
            <wp:posOffset>-122555</wp:posOffset>
          </wp:positionV>
          <wp:extent cx="510540" cy="272415"/>
          <wp:effectExtent l="0" t="0" r="0" b="6985"/>
          <wp:wrapNone/>
          <wp:docPr id="10" name="Picture 10" descr="CSU RGB CZ log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U RGB CZ logo-0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0540" cy="272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2443">
      <w:rPr>
        <w:szCs w:val="16"/>
      </w:rPr>
      <w:tab/>
    </w:r>
    <w:r>
      <w:rPr>
        <w:rStyle w:val="ZpatChar"/>
        <w:szCs w:val="16"/>
      </w:rPr>
      <w:t>Školní rok 2021/2022</w:t>
    </w:r>
    <w:r w:rsidRPr="00932443">
      <w:rPr>
        <w:szCs w:val="16"/>
      </w:rPr>
      <w:tab/>
    </w:r>
    <w:r w:rsidRPr="00932443">
      <w:rPr>
        <w:rStyle w:val="ZpatChar"/>
        <w:szCs w:val="16"/>
      </w:rPr>
      <w:fldChar w:fldCharType="begin"/>
    </w:r>
    <w:r w:rsidRPr="00932443">
      <w:rPr>
        <w:rStyle w:val="ZpatChar"/>
        <w:szCs w:val="16"/>
      </w:rPr>
      <w:instrText>PAGE   \* MERGEFORMAT</w:instrText>
    </w:r>
    <w:r w:rsidRPr="00932443">
      <w:rPr>
        <w:rStyle w:val="ZpatChar"/>
        <w:szCs w:val="16"/>
      </w:rPr>
      <w:fldChar w:fldCharType="separate"/>
    </w:r>
    <w:r w:rsidR="00C719C3">
      <w:rPr>
        <w:rStyle w:val="ZpatChar"/>
        <w:szCs w:val="16"/>
      </w:rPr>
      <w:t>81</w:t>
    </w:r>
    <w:r w:rsidRPr="00932443">
      <w:rPr>
        <w:rStyle w:val="ZpatChar"/>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64BC40" w14:textId="77777777" w:rsidR="00A0215E" w:rsidRDefault="00A0215E">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8E6F71" w14:textId="77777777" w:rsidR="00A0215E" w:rsidRDefault="00A0215E" w:rsidP="00E71A58">
      <w:r>
        <w:separator/>
      </w:r>
    </w:p>
  </w:footnote>
  <w:footnote w:type="continuationSeparator" w:id="0">
    <w:p w14:paraId="1CDB09A3" w14:textId="77777777" w:rsidR="00A0215E" w:rsidRDefault="00A0215E" w:rsidP="00E71A58">
      <w:r>
        <w:continuationSeparator/>
      </w:r>
    </w:p>
  </w:footnote>
  <w:footnote w:id="1">
    <w:p w14:paraId="56CD9F4A" w14:textId="670A7D5E" w:rsidR="00A0215E" w:rsidRPr="00D80BF8" w:rsidRDefault="00A0215E">
      <w:pPr>
        <w:pStyle w:val="Textpoznpodarou"/>
        <w:rPr>
          <w:rFonts w:ascii="Arial" w:hAnsi="Arial" w:cs="Arial"/>
          <w:sz w:val="18"/>
          <w:szCs w:val="18"/>
        </w:rPr>
      </w:pPr>
      <w:r>
        <w:rPr>
          <w:rStyle w:val="Znakapoznpodarou"/>
        </w:rPr>
        <w:footnoteRef/>
      </w:r>
      <w:r>
        <w:t xml:space="preserve"> </w:t>
      </w:r>
      <w:r w:rsidRPr="00D80BF8">
        <w:rPr>
          <w:rFonts w:ascii="Arial" w:hAnsi="Arial" w:cs="Arial"/>
          <w:sz w:val="18"/>
          <w:szCs w:val="18"/>
        </w:rPr>
        <w:t>Školou je myšlen právní subjekt s jedním ředitelstvím, které může zahrnovat více odloučených pracovišť, jakož i více úrovní a druhů vzdělávání.</w:t>
      </w:r>
    </w:p>
  </w:footnote>
  <w:footnote w:id="2">
    <w:p w14:paraId="446C75C8" w14:textId="577E0A8B" w:rsidR="00A0215E" w:rsidRPr="00B130C2" w:rsidRDefault="00A0215E">
      <w:pPr>
        <w:pStyle w:val="Textpoznpodarou"/>
        <w:rPr>
          <w:rFonts w:ascii="Arial" w:hAnsi="Arial" w:cs="Arial"/>
          <w:sz w:val="18"/>
          <w:szCs w:val="18"/>
        </w:rPr>
      </w:pPr>
      <w:r w:rsidRPr="00B130C2">
        <w:rPr>
          <w:rStyle w:val="Znakapoznpodarou"/>
          <w:rFonts w:ascii="Arial" w:hAnsi="Arial" w:cs="Arial"/>
          <w:sz w:val="18"/>
          <w:szCs w:val="18"/>
        </w:rPr>
        <w:footnoteRef/>
      </w:r>
      <w:r w:rsidRPr="00B130C2">
        <w:rPr>
          <w:rFonts w:ascii="Arial" w:hAnsi="Arial" w:cs="Arial"/>
          <w:sz w:val="18"/>
          <w:szCs w:val="18"/>
        </w:rPr>
        <w:t xml:space="preserve"> </w:t>
      </w:r>
      <w:r>
        <w:rPr>
          <w:rFonts w:ascii="Arial" w:hAnsi="Arial" w:cs="Arial"/>
          <w:sz w:val="18"/>
          <w:szCs w:val="18"/>
        </w:rPr>
        <w:t>Z</w:t>
      </w:r>
      <w:r w:rsidRPr="00B130C2">
        <w:rPr>
          <w:rFonts w:ascii="Arial" w:hAnsi="Arial" w:cs="Arial"/>
          <w:sz w:val="18"/>
          <w:szCs w:val="18"/>
        </w:rPr>
        <w:t>ajímavým fenoménem poslední doby je vznik dětských</w:t>
      </w:r>
      <w:r>
        <w:rPr>
          <w:rFonts w:ascii="Arial" w:hAnsi="Arial" w:cs="Arial"/>
          <w:sz w:val="18"/>
          <w:szCs w:val="18"/>
        </w:rPr>
        <w:t xml:space="preserve"> skupin při podnicích a veřejných institucích, které</w:t>
      </w:r>
      <w:r w:rsidRPr="00B130C2">
        <w:rPr>
          <w:rFonts w:ascii="Arial" w:hAnsi="Arial" w:cs="Arial"/>
          <w:sz w:val="18"/>
          <w:szCs w:val="18"/>
        </w:rPr>
        <w:t xml:space="preserve"> se tím hlásí k podpoře rodiny i k důležitosti předškolní výchovy a vzdělávání.</w:t>
      </w:r>
    </w:p>
  </w:footnote>
  <w:footnote w:id="3">
    <w:p w14:paraId="504CD664" w14:textId="73F679C9" w:rsidR="00A0215E" w:rsidRPr="0091489A" w:rsidRDefault="00A0215E">
      <w:pPr>
        <w:pStyle w:val="Textpoznpodarou"/>
        <w:rPr>
          <w:rFonts w:ascii="Arial" w:hAnsi="Arial" w:cs="Arial"/>
          <w:sz w:val="18"/>
          <w:szCs w:val="18"/>
        </w:rPr>
      </w:pPr>
      <w:r w:rsidRPr="0091489A">
        <w:rPr>
          <w:rStyle w:val="Znakapoznpodarou"/>
          <w:rFonts w:ascii="Arial" w:hAnsi="Arial" w:cs="Arial"/>
          <w:sz w:val="18"/>
          <w:szCs w:val="18"/>
        </w:rPr>
        <w:footnoteRef/>
      </w:r>
      <w:r w:rsidRPr="0091489A">
        <w:rPr>
          <w:rFonts w:ascii="Arial" w:hAnsi="Arial" w:cs="Arial"/>
          <w:sz w:val="18"/>
          <w:szCs w:val="18"/>
        </w:rPr>
        <w:t xml:space="preserve"> Může to být dáno obavami rodičů z onemocnění covid</w:t>
      </w:r>
      <w:r>
        <w:rPr>
          <w:rFonts w:ascii="Arial" w:hAnsi="Arial" w:cs="Arial"/>
          <w:sz w:val="18"/>
          <w:szCs w:val="18"/>
        </w:rPr>
        <w:t>-19, ale také předem avizovaným</w:t>
      </w:r>
      <w:r w:rsidRPr="0091489A">
        <w:rPr>
          <w:rFonts w:ascii="Arial" w:hAnsi="Arial" w:cs="Arial"/>
          <w:sz w:val="18"/>
          <w:szCs w:val="18"/>
        </w:rPr>
        <w:t xml:space="preserve"> navýšení</w:t>
      </w:r>
      <w:r>
        <w:rPr>
          <w:rFonts w:ascii="Arial" w:hAnsi="Arial" w:cs="Arial"/>
          <w:sz w:val="18"/>
          <w:szCs w:val="18"/>
        </w:rPr>
        <w:t>m</w:t>
      </w:r>
      <w:r w:rsidRPr="0091489A">
        <w:rPr>
          <w:rFonts w:ascii="Arial" w:hAnsi="Arial" w:cs="Arial"/>
          <w:sz w:val="18"/>
          <w:szCs w:val="18"/>
        </w:rPr>
        <w:t xml:space="preserve"> rodičovského příspěvku od ledna 2020, kdy ubylo dětí mladších tří let a mírně i dětí tříletých v mateřských školách (viz dále v analýze).</w:t>
      </w:r>
    </w:p>
  </w:footnote>
  <w:footnote w:id="4">
    <w:p w14:paraId="73F971DD" w14:textId="77777777" w:rsidR="00A0215E" w:rsidRPr="0091489A" w:rsidRDefault="00A0215E" w:rsidP="00F85243">
      <w:pPr>
        <w:pStyle w:val="Textpoznpodarou"/>
        <w:rPr>
          <w:rFonts w:ascii="Arial" w:hAnsi="Arial" w:cs="Arial"/>
          <w:sz w:val="18"/>
          <w:szCs w:val="18"/>
        </w:rPr>
      </w:pPr>
      <w:r w:rsidRPr="0091489A">
        <w:rPr>
          <w:rStyle w:val="Znakapoznpodarou"/>
          <w:rFonts w:ascii="Arial" w:hAnsi="Arial" w:cs="Arial"/>
          <w:sz w:val="18"/>
          <w:szCs w:val="18"/>
        </w:rPr>
        <w:footnoteRef/>
      </w:r>
      <w:r w:rsidRPr="0091489A">
        <w:rPr>
          <w:rFonts w:ascii="Arial" w:hAnsi="Arial" w:cs="Arial"/>
          <w:sz w:val="18"/>
          <w:szCs w:val="18"/>
        </w:rPr>
        <w:t xml:space="preserve"> Navýšení rodičovského příspěvku se týkalo jen rodičů, kteří příspěvek stále čerpají. Rodiče si tak prodlužovali čerpání příspěvku, aby na navýšení dosáhli, a mnozí si spolu s prodloužením čerpání příspěvku prodloužili i rodičovskou dovolenou u svého zaměstnavatele, resp. začali pracovat později a mohli být s dítětem doma.</w:t>
      </w:r>
    </w:p>
  </w:footnote>
  <w:footnote w:id="5">
    <w:p w14:paraId="69B94066" w14:textId="77777777" w:rsidR="00A0215E" w:rsidRPr="00984B93" w:rsidRDefault="00A0215E" w:rsidP="00211611">
      <w:pPr>
        <w:pStyle w:val="Textpoznpodarou"/>
        <w:rPr>
          <w:rFonts w:ascii="Arial" w:hAnsi="Arial" w:cs="Arial"/>
          <w:sz w:val="18"/>
          <w:szCs w:val="18"/>
        </w:rPr>
      </w:pPr>
      <w:r>
        <w:rPr>
          <w:rStyle w:val="Znakapoznpodarou"/>
        </w:rPr>
        <w:footnoteRef/>
      </w:r>
      <w:r>
        <w:t xml:space="preserve"> </w:t>
      </w:r>
      <w:r w:rsidRPr="00984B93">
        <w:rPr>
          <w:rFonts w:ascii="Arial" w:hAnsi="Arial" w:cs="Arial"/>
          <w:sz w:val="18"/>
          <w:szCs w:val="18"/>
        </w:rPr>
        <w:t xml:space="preserve">viz např. zde: </w:t>
      </w:r>
      <w:hyperlink r:id="rId1" w:history="1">
        <w:r w:rsidRPr="00984B93">
          <w:rPr>
            <w:rStyle w:val="Hypertextovodkaz"/>
            <w:rFonts w:ascii="Arial" w:hAnsi="Arial" w:cs="Arial"/>
            <w:sz w:val="18"/>
            <w:szCs w:val="18"/>
          </w:rPr>
          <w:t>https://idea.cerge-ei.cz/zpravy/maminka-nebo-skolka</w:t>
        </w:r>
      </w:hyperlink>
      <w:r w:rsidRPr="00984B93">
        <w:rPr>
          <w:rFonts w:ascii="Arial" w:hAnsi="Arial" w:cs="Arial"/>
          <w:sz w:val="18"/>
          <w:szCs w:val="18"/>
        </w:rPr>
        <w:t xml:space="preserve"> </w:t>
      </w:r>
    </w:p>
  </w:footnote>
  <w:footnote w:id="6">
    <w:p w14:paraId="70AE535C" w14:textId="73F64BE8" w:rsidR="00A0215E" w:rsidRPr="0091489A" w:rsidRDefault="00A0215E">
      <w:pPr>
        <w:pStyle w:val="Textpoznpodarou"/>
        <w:rPr>
          <w:rFonts w:ascii="Arial" w:hAnsi="Arial" w:cs="Arial"/>
          <w:sz w:val="18"/>
          <w:szCs w:val="18"/>
        </w:rPr>
      </w:pPr>
      <w:r w:rsidRPr="00984B93">
        <w:rPr>
          <w:rStyle w:val="Znakapoznpodarou"/>
          <w:rFonts w:ascii="Arial" w:hAnsi="Arial" w:cs="Arial"/>
          <w:sz w:val="18"/>
          <w:szCs w:val="18"/>
        </w:rPr>
        <w:footnoteRef/>
      </w:r>
      <w:r w:rsidRPr="00984B93">
        <w:rPr>
          <w:rFonts w:ascii="Arial" w:hAnsi="Arial" w:cs="Arial"/>
          <w:sz w:val="18"/>
          <w:szCs w:val="18"/>
        </w:rPr>
        <w:t xml:space="preserve"> Připomeňme, že ve statistikách uváděných v této publikaci</w:t>
      </w:r>
      <w:r w:rsidRPr="0091489A">
        <w:rPr>
          <w:rFonts w:ascii="Arial" w:hAnsi="Arial" w:cs="Arial"/>
          <w:sz w:val="18"/>
          <w:szCs w:val="18"/>
        </w:rPr>
        <w:t xml:space="preserve"> nejsou zahrnuty děti navštěvující zařízení neevidovaná v Rejstříku škol, jako jsou například dětské skupiny, lesní kluby a Montessori domy, jejichž zřizovatelem jsou převážně neveřejné subjekty.</w:t>
      </w:r>
    </w:p>
  </w:footnote>
  <w:footnote w:id="7">
    <w:p w14:paraId="609D4EEA" w14:textId="0A689D65" w:rsidR="00A0215E" w:rsidRDefault="00A0215E" w:rsidP="0088120C">
      <w:pPr>
        <w:widowControl w:val="0"/>
        <w:pBdr>
          <w:top w:val="nil"/>
          <w:left w:val="nil"/>
          <w:bottom w:val="nil"/>
          <w:right w:val="nil"/>
          <w:between w:val="nil"/>
        </w:pBdr>
        <w:spacing w:after="0" w:line="240" w:lineRule="auto"/>
        <w:rPr>
          <w:rFonts w:eastAsia="Arial"/>
          <w:color w:val="000000"/>
          <w:sz w:val="18"/>
          <w:szCs w:val="18"/>
        </w:rPr>
      </w:pPr>
      <w:r>
        <w:rPr>
          <w:rStyle w:val="Znakapoznpodarou"/>
        </w:rPr>
        <w:footnoteRef/>
      </w:r>
      <w:r>
        <w:t xml:space="preserve"> </w:t>
      </w:r>
      <w:r>
        <w:rPr>
          <w:rFonts w:eastAsia="Arial"/>
          <w:color w:val="000000"/>
          <w:sz w:val="18"/>
          <w:szCs w:val="18"/>
        </w:rPr>
        <w:t>Zde je možné poznamenat, že</w:t>
      </w:r>
      <w:r w:rsidRPr="0088120C">
        <w:rPr>
          <w:rFonts w:eastAsia="Arial"/>
          <w:color w:val="000000"/>
          <w:sz w:val="18"/>
          <w:szCs w:val="18"/>
        </w:rPr>
        <w:t xml:space="preserve"> Ka</w:t>
      </w:r>
      <w:r>
        <w:rPr>
          <w:rFonts w:eastAsia="Arial"/>
          <w:color w:val="000000"/>
          <w:sz w:val="18"/>
          <w:szCs w:val="18"/>
        </w:rPr>
        <w:t>rlovarský a Ústecký kraj vykazují dostatečné kapacity, přesto je však dětí v mateřských školách</w:t>
      </w:r>
      <w:r w:rsidRPr="0088120C">
        <w:rPr>
          <w:rFonts w:eastAsia="Arial"/>
          <w:color w:val="000000"/>
          <w:sz w:val="18"/>
          <w:szCs w:val="18"/>
        </w:rPr>
        <w:t xml:space="preserve"> stále málo</w:t>
      </w:r>
      <w:r>
        <w:rPr>
          <w:rFonts w:eastAsia="Arial"/>
          <w:color w:val="000000"/>
          <w:sz w:val="18"/>
          <w:szCs w:val="18"/>
        </w:rPr>
        <w:t>. V těchto krajích se n</w:t>
      </w:r>
      <w:r w:rsidRPr="0088120C">
        <w:rPr>
          <w:rFonts w:eastAsia="Arial"/>
          <w:color w:val="000000"/>
          <w:sz w:val="18"/>
          <w:szCs w:val="18"/>
        </w:rPr>
        <w:t xml:space="preserve">edaří překonat horší socioekonomické poměry a </w:t>
      </w:r>
      <w:r>
        <w:rPr>
          <w:rFonts w:eastAsia="Arial"/>
          <w:color w:val="000000"/>
          <w:sz w:val="18"/>
          <w:szCs w:val="18"/>
        </w:rPr>
        <w:t>odlišné priority</w:t>
      </w:r>
      <w:r w:rsidRPr="0088120C">
        <w:rPr>
          <w:rFonts w:eastAsia="Arial"/>
          <w:color w:val="000000"/>
          <w:sz w:val="18"/>
          <w:szCs w:val="18"/>
        </w:rPr>
        <w:t xml:space="preserve"> obyvatelstva z nižších sociálních </w:t>
      </w:r>
      <w:r>
        <w:rPr>
          <w:rFonts w:eastAsia="Arial"/>
          <w:color w:val="000000"/>
          <w:sz w:val="18"/>
          <w:szCs w:val="18"/>
        </w:rPr>
        <w:t>vrstev (viz. aktivity MŠMT</w:t>
      </w:r>
    </w:p>
    <w:p w14:paraId="14C8DB85" w14:textId="08024025" w:rsidR="00A0215E" w:rsidRPr="0088120C" w:rsidRDefault="00C719C3" w:rsidP="0088120C">
      <w:pPr>
        <w:widowControl w:val="0"/>
        <w:pBdr>
          <w:top w:val="nil"/>
          <w:left w:val="nil"/>
          <w:bottom w:val="nil"/>
          <w:right w:val="nil"/>
          <w:between w:val="nil"/>
        </w:pBdr>
        <w:spacing w:after="0" w:line="240" w:lineRule="auto"/>
        <w:rPr>
          <w:rFonts w:eastAsia="Arial"/>
          <w:color w:val="000000"/>
          <w:sz w:val="22"/>
          <w:szCs w:val="22"/>
        </w:rPr>
      </w:pPr>
      <w:hyperlink r:id="rId2" w:anchor="disparity-3" w:history="1">
        <w:r w:rsidR="00A0215E" w:rsidRPr="00FB561D">
          <w:rPr>
            <w:rStyle w:val="Hypertextovodkaz"/>
            <w:rFonts w:eastAsia="Arial"/>
            <w:sz w:val="18"/>
            <w:szCs w:val="18"/>
          </w:rPr>
          <w:t>www.edu.cz/strategie-msmt/strategie-vzdelavaci-politiky-cr-do-roku-2030/implementacni-karta-disparity/#disparity-3</w:t>
        </w:r>
      </w:hyperlink>
      <w:r w:rsidR="00A0215E" w:rsidRPr="0088120C">
        <w:rPr>
          <w:rFonts w:eastAsia="Arial"/>
          <w:color w:val="000000"/>
          <w:sz w:val="18"/>
          <w:szCs w:val="18"/>
        </w:rPr>
        <w:t>)</w:t>
      </w:r>
      <w:r w:rsidR="00A0215E">
        <w:rPr>
          <w:rFonts w:eastAsia="Arial"/>
          <w:color w:val="000000"/>
          <w:sz w:val="18"/>
          <w:szCs w:val="18"/>
        </w:rPr>
        <w:t xml:space="preserve"> </w:t>
      </w:r>
    </w:p>
  </w:footnote>
  <w:footnote w:id="8">
    <w:p w14:paraId="0A2BAC8A" w14:textId="173131C0" w:rsidR="00A0215E" w:rsidRDefault="00A0215E" w:rsidP="0088120C">
      <w:pPr>
        <w:pStyle w:val="Textpoznpodarou"/>
      </w:pPr>
      <w:r>
        <w:rPr>
          <w:rStyle w:val="Znakapoznpodarou"/>
        </w:rPr>
        <w:footnoteRef/>
      </w:r>
      <w:r>
        <w:t xml:space="preserve"> </w:t>
      </w:r>
      <w:r w:rsidRPr="0088120C">
        <w:rPr>
          <w:rFonts w:ascii="Arial" w:hAnsi="Arial" w:cs="Arial"/>
          <w:sz w:val="18"/>
          <w:szCs w:val="18"/>
        </w:rPr>
        <w:t>P</w:t>
      </w:r>
      <w:r>
        <w:rPr>
          <w:rFonts w:ascii="Arial" w:hAnsi="Arial" w:cs="Arial"/>
          <w:sz w:val="18"/>
          <w:szCs w:val="18"/>
        </w:rPr>
        <w:t>ro zajímavost, p</w:t>
      </w:r>
      <w:r w:rsidRPr="0088120C">
        <w:rPr>
          <w:rFonts w:ascii="Arial" w:hAnsi="Arial" w:cs="Arial"/>
          <w:sz w:val="18"/>
          <w:szCs w:val="18"/>
        </w:rPr>
        <w:t xml:space="preserve">odle výroční zprávy České školní inspekce za rok 2020/2021 jsou nejčastějšími příčinami odkladu celková nezralost (40, 7 %), logopedické vady a poruchy řeči (21,4 %), sociální nezralost (9,3 %) </w:t>
      </w:r>
      <w:r>
        <w:rPr>
          <w:rFonts w:ascii="Arial" w:hAnsi="Arial" w:cs="Arial"/>
          <w:sz w:val="18"/>
          <w:szCs w:val="18"/>
        </w:rPr>
        <w:t>a celkový opožděný vývoj řeči (</w:t>
      </w:r>
      <w:r w:rsidRPr="0088120C">
        <w:rPr>
          <w:rFonts w:ascii="Arial" w:hAnsi="Arial" w:cs="Arial"/>
          <w:sz w:val="18"/>
          <w:szCs w:val="18"/>
        </w:rPr>
        <w:t>5,7 %</w:t>
      </w:r>
      <w:r>
        <w:rPr>
          <w:rFonts w:ascii="Arial" w:hAnsi="Arial" w:cs="Arial"/>
          <w:sz w:val="18"/>
          <w:szCs w:val="18"/>
        </w:rPr>
        <w:t>)</w:t>
      </w:r>
      <w:r w:rsidRPr="0088120C">
        <w:rPr>
          <w:rFonts w:ascii="Arial" w:hAnsi="Arial" w:cs="Arial"/>
          <w:sz w:val="18"/>
          <w:szCs w:val="18"/>
        </w:rPr>
        <w:t>.</w:t>
      </w:r>
    </w:p>
  </w:footnote>
  <w:footnote w:id="9">
    <w:p w14:paraId="41E0A914" w14:textId="367A7FC2" w:rsidR="00A0215E" w:rsidRPr="00B85002" w:rsidRDefault="00A0215E" w:rsidP="00B85002">
      <w:pPr>
        <w:pStyle w:val="Textpoznpodarou"/>
        <w:jc w:val="both"/>
        <w:rPr>
          <w:rFonts w:ascii="Arial" w:hAnsi="Arial" w:cs="Arial"/>
          <w:sz w:val="18"/>
          <w:szCs w:val="18"/>
        </w:rPr>
      </w:pPr>
      <w:r w:rsidRPr="00B85002">
        <w:rPr>
          <w:rStyle w:val="Znakapoznpodarou"/>
          <w:rFonts w:ascii="Arial" w:hAnsi="Arial" w:cs="Arial"/>
          <w:sz w:val="18"/>
          <w:szCs w:val="18"/>
        </w:rPr>
        <w:footnoteRef/>
      </w:r>
      <w:r w:rsidRPr="00B85002">
        <w:rPr>
          <w:rFonts w:ascii="Arial" w:hAnsi="Arial" w:cs="Arial"/>
          <w:sz w:val="18"/>
          <w:szCs w:val="18"/>
        </w:rPr>
        <w:t xml:space="preserve"> Někteří cizinci nemusejí mít trvalý pobyt v ČR, avšak jejich přijetí do školky</w:t>
      </w:r>
      <w:r>
        <w:rPr>
          <w:rFonts w:ascii="Arial" w:hAnsi="Arial" w:cs="Arial"/>
          <w:sz w:val="18"/>
          <w:szCs w:val="18"/>
        </w:rPr>
        <w:t xml:space="preserve"> veřejného zřizovatele</w:t>
      </w:r>
      <w:r w:rsidRPr="00B85002">
        <w:rPr>
          <w:rFonts w:ascii="Arial" w:hAnsi="Arial" w:cs="Arial"/>
          <w:sz w:val="18"/>
          <w:szCs w:val="18"/>
        </w:rPr>
        <w:t xml:space="preserve"> je málo pravděpodobné</w:t>
      </w:r>
      <w:r>
        <w:rPr>
          <w:rFonts w:ascii="Arial" w:hAnsi="Arial" w:cs="Arial"/>
          <w:sz w:val="18"/>
          <w:szCs w:val="18"/>
        </w:rPr>
        <w:t xml:space="preserve"> (jedním z důležitých kritérií přijetí je trvalý pobyt ve spádovém obvodu mateřské školy)</w:t>
      </w:r>
      <w:r w:rsidRPr="00B85002">
        <w:rPr>
          <w:rFonts w:ascii="Arial" w:hAnsi="Arial" w:cs="Arial"/>
          <w:sz w:val="18"/>
          <w:szCs w:val="18"/>
        </w:rPr>
        <w:t>.</w:t>
      </w:r>
    </w:p>
  </w:footnote>
  <w:footnote w:id="10">
    <w:p w14:paraId="07AA8BEF" w14:textId="77777777" w:rsidR="00A0215E" w:rsidRPr="00091D15" w:rsidRDefault="00A0215E" w:rsidP="00543A02">
      <w:pPr>
        <w:spacing w:after="120"/>
        <w:jc w:val="both"/>
        <w:rPr>
          <w:rFonts w:cs="Arial"/>
          <w:iCs/>
          <w:sz w:val="18"/>
          <w:szCs w:val="18"/>
        </w:rPr>
      </w:pPr>
      <w:r w:rsidRPr="00091D15">
        <w:rPr>
          <w:rStyle w:val="Znakapoznpodarou"/>
          <w:rFonts w:cs="Arial"/>
          <w:sz w:val="18"/>
          <w:szCs w:val="18"/>
        </w:rPr>
        <w:footnoteRef/>
      </w:r>
      <w:r w:rsidRPr="00091D15">
        <w:rPr>
          <w:rFonts w:cs="Arial"/>
          <w:sz w:val="18"/>
          <w:szCs w:val="18"/>
        </w:rPr>
        <w:t xml:space="preserve"> Pro více informaci o přípravných třídách ZŠ a přípravném stupni ZŠ speciální odkazujeme na kapitolu 1.5. </w:t>
      </w:r>
    </w:p>
  </w:footnote>
  <w:footnote w:id="11">
    <w:p w14:paraId="34C70CBE" w14:textId="33797871" w:rsidR="00A0215E" w:rsidRPr="00091D15" w:rsidRDefault="00A0215E" w:rsidP="00543A02">
      <w:pPr>
        <w:pStyle w:val="Textpoznpodarou"/>
        <w:jc w:val="both"/>
        <w:rPr>
          <w:rFonts w:ascii="Arial" w:hAnsi="Arial" w:cs="Arial"/>
          <w:sz w:val="18"/>
          <w:szCs w:val="18"/>
        </w:rPr>
      </w:pPr>
      <w:r w:rsidRPr="00091D15">
        <w:rPr>
          <w:rStyle w:val="Znakapoznpodarou"/>
          <w:rFonts w:ascii="Arial" w:hAnsi="Arial" w:cs="Arial"/>
          <w:sz w:val="18"/>
          <w:szCs w:val="18"/>
        </w:rPr>
        <w:footnoteRef/>
      </w:r>
      <w:r w:rsidRPr="00091D15">
        <w:rPr>
          <w:rFonts w:ascii="Arial" w:hAnsi="Arial" w:cs="Arial"/>
          <w:sz w:val="18"/>
          <w:szCs w:val="18"/>
        </w:rPr>
        <w:t xml:space="preserve"> Zdá se, že podíl pětiletých dětí v populaci, které navštěvují předškolní vzdělávání, má tendenci v čase stoupat, přestože, jak bylo výše řečeno, tyto statistiky jsou orientační. Nutno také poznamenat, že do zákla</w:t>
      </w:r>
      <w:r>
        <w:rPr>
          <w:rFonts w:ascii="Arial" w:hAnsi="Arial" w:cs="Arial"/>
          <w:sz w:val="18"/>
          <w:szCs w:val="18"/>
        </w:rPr>
        <w:t>dní školy nastupují výjimečně i </w:t>
      </w:r>
      <w:r w:rsidRPr="00091D15">
        <w:rPr>
          <w:rFonts w:ascii="Arial" w:hAnsi="Arial" w:cs="Arial"/>
          <w:sz w:val="18"/>
          <w:szCs w:val="18"/>
        </w:rPr>
        <w:t>žáci, kteří ještě nedovršili 6 let. Ve školním roce 2021/22 jich bylo 563, což je 0,</w:t>
      </w:r>
      <w:r>
        <w:rPr>
          <w:rFonts w:ascii="Arial" w:hAnsi="Arial" w:cs="Arial"/>
          <w:sz w:val="18"/>
          <w:szCs w:val="18"/>
        </w:rPr>
        <w:t>5</w:t>
      </w:r>
      <w:r w:rsidRPr="00091D15">
        <w:rPr>
          <w:rFonts w:ascii="Arial" w:hAnsi="Arial" w:cs="Arial"/>
          <w:sz w:val="18"/>
          <w:szCs w:val="18"/>
        </w:rPr>
        <w:t xml:space="preserve"> %</w:t>
      </w:r>
      <w:r>
        <w:rPr>
          <w:rFonts w:ascii="Arial" w:hAnsi="Arial" w:cs="Arial"/>
          <w:sz w:val="18"/>
          <w:szCs w:val="18"/>
        </w:rPr>
        <w:t xml:space="preserve"> ze žáků 1. </w:t>
      </w:r>
      <w:r w:rsidRPr="00091D15">
        <w:rPr>
          <w:rFonts w:ascii="Arial" w:hAnsi="Arial" w:cs="Arial"/>
          <w:sz w:val="18"/>
          <w:szCs w:val="18"/>
        </w:rPr>
        <w:t>ročníku základních škol, ve školní</w:t>
      </w:r>
      <w:r>
        <w:rPr>
          <w:rFonts w:ascii="Arial" w:hAnsi="Arial" w:cs="Arial"/>
          <w:sz w:val="18"/>
          <w:szCs w:val="18"/>
        </w:rPr>
        <w:t>m roce 2016/17 pak 719, tedy 0,6</w:t>
      </w:r>
      <w:r w:rsidRPr="00091D15">
        <w:rPr>
          <w:rFonts w:ascii="Arial" w:hAnsi="Arial" w:cs="Arial"/>
          <w:sz w:val="18"/>
          <w:szCs w:val="18"/>
        </w:rPr>
        <w:t xml:space="preserve"> % ze žáků 1. ročníku. </w:t>
      </w:r>
    </w:p>
  </w:footnote>
  <w:footnote w:id="12">
    <w:p w14:paraId="234D09CD" w14:textId="3A9896A3" w:rsidR="00A0215E" w:rsidRPr="00065051" w:rsidRDefault="00A0215E" w:rsidP="00065051">
      <w:pPr>
        <w:widowControl w:val="0"/>
        <w:pBdr>
          <w:top w:val="nil"/>
          <w:left w:val="nil"/>
          <w:bottom w:val="nil"/>
          <w:right w:val="nil"/>
          <w:between w:val="nil"/>
        </w:pBdr>
        <w:spacing w:after="0" w:line="240" w:lineRule="auto"/>
        <w:rPr>
          <w:rFonts w:eastAsia="Arial"/>
          <w:color w:val="000000"/>
          <w:sz w:val="18"/>
          <w:szCs w:val="18"/>
        </w:rPr>
      </w:pPr>
      <w:r>
        <w:rPr>
          <w:rStyle w:val="Znakapoznpodarou"/>
        </w:rPr>
        <w:footnoteRef/>
      </w:r>
      <w:r>
        <w:t xml:space="preserve"> </w:t>
      </w:r>
      <w:r>
        <w:rPr>
          <w:rFonts w:eastAsia="Arial"/>
          <w:color w:val="000000"/>
          <w:sz w:val="18"/>
          <w:szCs w:val="18"/>
        </w:rPr>
        <w:t>Viz</w:t>
      </w:r>
      <w:r w:rsidRPr="00065051">
        <w:rPr>
          <w:rFonts w:eastAsia="Arial"/>
          <w:color w:val="000000"/>
          <w:sz w:val="18"/>
          <w:szCs w:val="18"/>
        </w:rPr>
        <w:t> </w:t>
      </w:r>
      <w:r>
        <w:rPr>
          <w:rFonts w:eastAsia="Arial"/>
          <w:color w:val="000000"/>
          <w:sz w:val="18"/>
          <w:szCs w:val="18"/>
        </w:rPr>
        <w:t>zde:</w:t>
      </w:r>
      <w:r w:rsidRPr="00065051">
        <w:rPr>
          <w:rFonts w:eastAsia="Arial"/>
          <w:color w:val="000000"/>
          <w:sz w:val="18"/>
          <w:szCs w:val="18"/>
        </w:rPr>
        <w:t> </w:t>
      </w:r>
      <w:hyperlink r:id="rId3" w:history="1">
        <w:r w:rsidRPr="00FB561D">
          <w:rPr>
            <w:rStyle w:val="Hypertextovodkaz"/>
            <w:rFonts w:eastAsia="Arial"/>
            <w:sz w:val="18"/>
            <w:szCs w:val="18"/>
          </w:rPr>
          <w:t>https://pages.pedf.cuni.cz/uvrv/files/2016/04/Spravedlivy_start.pdf</w:t>
        </w:r>
      </w:hyperlink>
      <w:r>
        <w:rPr>
          <w:rFonts w:eastAsia="Arial"/>
          <w:color w:val="000000"/>
          <w:sz w:val="18"/>
          <w:szCs w:val="18"/>
        </w:rPr>
        <w:t xml:space="preserve"> </w:t>
      </w:r>
      <w:r w:rsidRPr="00065051">
        <w:rPr>
          <w:rFonts w:eastAsia="Arial"/>
          <w:color w:val="000000"/>
          <w:sz w:val="18"/>
          <w:szCs w:val="18"/>
        </w:rPr>
        <w:t> </w:t>
      </w:r>
    </w:p>
    <w:p w14:paraId="1E62F1A1" w14:textId="051F4616" w:rsidR="00A0215E" w:rsidRDefault="00A0215E">
      <w:pPr>
        <w:pStyle w:val="Textpoznpodarou"/>
      </w:pPr>
    </w:p>
  </w:footnote>
  <w:footnote w:id="13">
    <w:p w14:paraId="6EA35466" w14:textId="7B5AF726" w:rsidR="00A0215E" w:rsidRPr="001C7E4C" w:rsidRDefault="00A0215E">
      <w:pPr>
        <w:pStyle w:val="Textpoznpodarou"/>
        <w:rPr>
          <w:rFonts w:ascii="Arial" w:hAnsi="Arial" w:cs="Arial"/>
          <w:sz w:val="18"/>
          <w:szCs w:val="18"/>
        </w:rPr>
      </w:pPr>
      <w:r>
        <w:rPr>
          <w:rStyle w:val="Znakapoznpodarou"/>
        </w:rPr>
        <w:footnoteRef/>
      </w:r>
      <w:r>
        <w:t xml:space="preserve"> </w:t>
      </w:r>
      <w:r w:rsidRPr="001C7E4C">
        <w:rPr>
          <w:rFonts w:ascii="Arial" w:hAnsi="Arial" w:cs="Arial"/>
          <w:sz w:val="18"/>
          <w:szCs w:val="18"/>
        </w:rPr>
        <w:t>Inkluze do běžných tříd často vyžaduje zapojení asistenta pedagoga, a proto mohl být kladen větší důraz na diagnostiku potíží a potvrzení statusu žáka se zdravotním postižením.</w:t>
      </w:r>
    </w:p>
  </w:footnote>
  <w:footnote w:id="14">
    <w:p w14:paraId="29B6DFC4" w14:textId="29D2E85E" w:rsidR="00A0215E" w:rsidRDefault="00A0215E">
      <w:pPr>
        <w:pStyle w:val="Textpoznpodarou"/>
      </w:pPr>
      <w:r>
        <w:rPr>
          <w:rStyle w:val="Znakapoznpodarou"/>
        </w:rPr>
        <w:footnoteRef/>
      </w:r>
      <w:r>
        <w:t xml:space="preserve"> </w:t>
      </w:r>
      <w:r w:rsidRPr="00D80BF8">
        <w:rPr>
          <w:rFonts w:ascii="Arial" w:hAnsi="Arial" w:cs="Arial"/>
          <w:sz w:val="18"/>
          <w:szCs w:val="18"/>
        </w:rPr>
        <w:t>Školou je myšlen právní subjekt s jedním ředitelstvím, které může zahrnovat více odloučených pracovišť, jakož i více úrovní a druhů vzdělávání.</w:t>
      </w:r>
    </w:p>
  </w:footnote>
  <w:footnote w:id="15">
    <w:p w14:paraId="3807C640" w14:textId="503E52FA" w:rsidR="00A0215E" w:rsidRPr="00667954" w:rsidRDefault="00A0215E">
      <w:pPr>
        <w:pStyle w:val="Textpoznpodarou"/>
        <w:rPr>
          <w:rFonts w:ascii="Arial" w:hAnsi="Arial" w:cs="Arial"/>
          <w:sz w:val="18"/>
          <w:szCs w:val="18"/>
        </w:rPr>
      </w:pPr>
      <w:r w:rsidRPr="00667954">
        <w:rPr>
          <w:rStyle w:val="Znakapoznpodarou"/>
          <w:rFonts w:ascii="Arial" w:hAnsi="Arial" w:cs="Arial"/>
          <w:sz w:val="18"/>
          <w:szCs w:val="18"/>
        </w:rPr>
        <w:footnoteRef/>
      </w:r>
      <w:r w:rsidRPr="00667954">
        <w:rPr>
          <w:rFonts w:ascii="Arial" w:hAnsi="Arial" w:cs="Arial"/>
          <w:sz w:val="18"/>
          <w:szCs w:val="18"/>
        </w:rPr>
        <w:t xml:space="preserve"> Menší počet dětí ve třídě je veřejností brán jako jeden ze základních nadstandardů, proto si jsou ochotni na něj v soukromém školství připlatit. Některé pedagogické výzkumy však vysledovaly, že tento faktor nemá rozhodující vliv na kvalitu učení dítěte, zásadním je především kvalita učitele a podoba jím vedené výuky.</w:t>
      </w:r>
    </w:p>
  </w:footnote>
  <w:footnote w:id="16">
    <w:p w14:paraId="1360B9AE" w14:textId="26AC96D5" w:rsidR="00A0215E" w:rsidRPr="00323B86" w:rsidRDefault="00A0215E">
      <w:pPr>
        <w:pStyle w:val="Textpoznpodarou"/>
        <w:rPr>
          <w:rFonts w:ascii="Arial" w:hAnsi="Arial" w:cs="Arial"/>
          <w:sz w:val="18"/>
          <w:szCs w:val="18"/>
        </w:rPr>
      </w:pPr>
      <w:r w:rsidRPr="00323B86">
        <w:rPr>
          <w:rStyle w:val="Znakapoznpodarou"/>
          <w:rFonts w:ascii="Arial" w:hAnsi="Arial" w:cs="Arial"/>
          <w:sz w:val="18"/>
          <w:szCs w:val="18"/>
        </w:rPr>
        <w:footnoteRef/>
      </w:r>
      <w:r w:rsidRPr="00323B86">
        <w:rPr>
          <w:rFonts w:ascii="Arial" w:hAnsi="Arial" w:cs="Arial"/>
          <w:sz w:val="18"/>
          <w:szCs w:val="18"/>
        </w:rPr>
        <w:t xml:space="preserve"> Krajské  dlouhodobé  záměry  obvykle  přepokládají  vznik  nových  škol  pouze z kapacitních důvodů. Je-li stávajících škol dostatek, nové (soukromé) školy zpravidla nejsou zapisovány do rejstříku škol. Viz strategie rozvoje vzdělávací soustavy (</w:t>
      </w:r>
      <w:hyperlink r:id="rId4" w:history="1">
        <w:r w:rsidRPr="00323B86">
          <w:rPr>
            <w:rStyle w:val="Hypertextovodkaz"/>
            <w:rFonts w:ascii="Arial" w:hAnsi="Arial" w:cs="Arial"/>
            <w:sz w:val="18"/>
            <w:szCs w:val="18"/>
          </w:rPr>
          <w:t>https://www.msmt.cz/file/51673/</w:t>
        </w:r>
      </w:hyperlink>
      <w:r w:rsidRPr="00323B86">
        <w:rPr>
          <w:rFonts w:ascii="Arial" w:hAnsi="Arial" w:cs="Arial"/>
          <w:sz w:val="18"/>
          <w:szCs w:val="18"/>
        </w:rPr>
        <w:t>) a nález Ústavního soudu (</w:t>
      </w:r>
      <w:hyperlink r:id="rId5" w:history="1">
        <w:r w:rsidRPr="00323B86">
          <w:rPr>
            <w:rStyle w:val="Hypertextovodkaz"/>
            <w:rFonts w:ascii="Arial" w:hAnsi="Arial" w:cs="Arial"/>
            <w:sz w:val="18"/>
            <w:szCs w:val="18"/>
          </w:rPr>
          <w:t>https://www.usoud.cz/fileadmin/user_upload/Tiskova_mluvci/Publikovane_nalezy/2019/Pl._US_34_17_vc._disentu.pdf</w:t>
        </w:r>
      </w:hyperlink>
      <w:r w:rsidRPr="00323B86">
        <w:rPr>
          <w:rFonts w:ascii="Arial" w:hAnsi="Arial" w:cs="Arial"/>
          <w:sz w:val="18"/>
          <w:szCs w:val="18"/>
        </w:rPr>
        <w:t>).</w:t>
      </w:r>
    </w:p>
  </w:footnote>
  <w:footnote w:id="17">
    <w:p w14:paraId="4D6CC5DF" w14:textId="1C189834" w:rsidR="00A0215E" w:rsidRPr="000259A0" w:rsidRDefault="00A0215E" w:rsidP="000259A0">
      <w:pPr>
        <w:pStyle w:val="Textpoznpodarou"/>
        <w:rPr>
          <w:rFonts w:ascii="Arial" w:hAnsi="Arial" w:cs="Arial"/>
          <w:sz w:val="18"/>
          <w:szCs w:val="18"/>
        </w:rPr>
      </w:pPr>
      <w:r w:rsidRPr="000259A0">
        <w:rPr>
          <w:rStyle w:val="Znakapoznpodarou"/>
          <w:rFonts w:ascii="Arial" w:hAnsi="Arial" w:cs="Arial"/>
          <w:sz w:val="18"/>
          <w:szCs w:val="18"/>
        </w:rPr>
        <w:footnoteRef/>
      </w:r>
      <w:r w:rsidRPr="000259A0">
        <w:rPr>
          <w:rFonts w:ascii="Arial" w:hAnsi="Arial" w:cs="Arial"/>
          <w:sz w:val="18"/>
          <w:szCs w:val="18"/>
        </w:rPr>
        <w:t xml:space="preserve"> </w:t>
      </w:r>
      <w:r>
        <w:rPr>
          <w:rFonts w:ascii="Arial" w:hAnsi="Arial" w:cs="Arial"/>
          <w:sz w:val="18"/>
          <w:szCs w:val="18"/>
        </w:rPr>
        <w:t>Dne 1. 1. 2020</w:t>
      </w:r>
      <w:r w:rsidRPr="000259A0">
        <w:rPr>
          <w:rFonts w:ascii="Arial" w:hAnsi="Arial" w:cs="Arial"/>
          <w:sz w:val="18"/>
          <w:szCs w:val="18"/>
        </w:rPr>
        <w:t xml:space="preserve"> byla spuštěna reforma financová</w:t>
      </w:r>
      <w:r>
        <w:rPr>
          <w:rFonts w:ascii="Arial" w:hAnsi="Arial" w:cs="Arial"/>
          <w:sz w:val="18"/>
          <w:szCs w:val="18"/>
        </w:rPr>
        <w:t xml:space="preserve">ní regionálního školství. Od zjišťování normativu/počtu žáků se přešlo ke sledování </w:t>
      </w:r>
      <w:r w:rsidRPr="000259A0">
        <w:rPr>
          <w:rFonts w:ascii="Arial" w:hAnsi="Arial" w:cs="Arial"/>
          <w:sz w:val="18"/>
          <w:szCs w:val="18"/>
        </w:rPr>
        <w:t>stanoveného maximálního rozsahu vzdělávání</w:t>
      </w:r>
      <w:r>
        <w:rPr>
          <w:rFonts w:ascii="Arial" w:hAnsi="Arial" w:cs="Arial"/>
          <w:sz w:val="18"/>
          <w:szCs w:val="18"/>
        </w:rPr>
        <w:t xml:space="preserve"> (PH</w:t>
      </w:r>
      <w:r w:rsidRPr="000259A0">
        <w:rPr>
          <w:rFonts w:ascii="Arial" w:hAnsi="Arial" w:cs="Arial"/>
          <w:sz w:val="18"/>
          <w:szCs w:val="18"/>
        </w:rPr>
        <w:t>maxu</w:t>
      </w:r>
      <w:r>
        <w:rPr>
          <w:rFonts w:ascii="Arial" w:hAnsi="Arial" w:cs="Arial"/>
          <w:sz w:val="18"/>
          <w:szCs w:val="18"/>
        </w:rPr>
        <w:t>)</w:t>
      </w:r>
      <w:r w:rsidRPr="000259A0">
        <w:rPr>
          <w:rFonts w:ascii="Arial" w:hAnsi="Arial" w:cs="Arial"/>
          <w:sz w:val="18"/>
          <w:szCs w:val="18"/>
        </w:rPr>
        <w:t xml:space="preserve">. </w:t>
      </w:r>
      <w:r>
        <w:rPr>
          <w:rFonts w:ascii="Arial" w:hAnsi="Arial" w:cs="Arial"/>
          <w:sz w:val="18"/>
          <w:szCs w:val="18"/>
        </w:rPr>
        <w:t>Ministerstvo posuzuje</w:t>
      </w:r>
      <w:r w:rsidRPr="000259A0">
        <w:rPr>
          <w:rFonts w:ascii="Arial" w:hAnsi="Arial" w:cs="Arial"/>
          <w:sz w:val="18"/>
          <w:szCs w:val="18"/>
        </w:rPr>
        <w:t xml:space="preserve">, zda definovaný nárok </w:t>
      </w:r>
      <w:r>
        <w:rPr>
          <w:rFonts w:ascii="Arial" w:hAnsi="Arial" w:cs="Arial"/>
          <w:sz w:val="18"/>
          <w:szCs w:val="18"/>
        </w:rPr>
        <w:t xml:space="preserve">školy </w:t>
      </w:r>
      <w:r w:rsidRPr="000259A0">
        <w:rPr>
          <w:rFonts w:ascii="Arial" w:hAnsi="Arial" w:cs="Arial"/>
          <w:sz w:val="18"/>
          <w:szCs w:val="18"/>
        </w:rPr>
        <w:t>nepřekračuje nárok vyplývající</w:t>
      </w:r>
      <w:r>
        <w:rPr>
          <w:rFonts w:ascii="Arial" w:hAnsi="Arial" w:cs="Arial"/>
          <w:sz w:val="18"/>
          <w:szCs w:val="18"/>
        </w:rPr>
        <w:t xml:space="preserve"> z</w:t>
      </w:r>
      <w:r w:rsidRPr="000259A0">
        <w:rPr>
          <w:rFonts w:ascii="Arial" w:hAnsi="Arial" w:cs="Arial"/>
          <w:sz w:val="18"/>
          <w:szCs w:val="18"/>
        </w:rPr>
        <w:t xml:space="preserve"> PHmax</w:t>
      </w:r>
      <w:r>
        <w:rPr>
          <w:rFonts w:ascii="Arial" w:hAnsi="Arial" w:cs="Arial"/>
          <w:sz w:val="18"/>
          <w:szCs w:val="18"/>
        </w:rPr>
        <w:t>u</w:t>
      </w:r>
      <w:r w:rsidRPr="000259A0">
        <w:rPr>
          <w:rFonts w:ascii="Arial" w:hAnsi="Arial" w:cs="Arial"/>
          <w:sz w:val="18"/>
          <w:szCs w:val="18"/>
        </w:rPr>
        <w:t>. Není-li PHmax překročen, je škole/školskému zařízení přiznán objem tarifních platů (včetně příslušenství) ve výši definovaného nároku. Pokud definovaný nárok překračuje nárok vyplývající pro školu/školské zařízení ze stanoveného PHmax, je škole/školskému zařízení přiznán objem tarifních platů (včetně příslušenství) ve výši odpovídající PHmax.</w:t>
      </w:r>
      <w:r>
        <w:rPr>
          <w:rFonts w:ascii="Arial" w:hAnsi="Arial" w:cs="Arial"/>
          <w:sz w:val="18"/>
          <w:szCs w:val="18"/>
        </w:rPr>
        <w:t xml:space="preserve">Tato změna umožnila ředitelům nabírat nové učitele, a to zpravidla </w:t>
      </w:r>
      <w:r w:rsidRPr="000259A0">
        <w:rPr>
          <w:rFonts w:ascii="Arial" w:hAnsi="Arial" w:cs="Arial"/>
          <w:sz w:val="18"/>
          <w:szCs w:val="18"/>
        </w:rPr>
        <w:t>od září 2020 pro další školní rok.</w:t>
      </w:r>
    </w:p>
    <w:p w14:paraId="224EDED9" w14:textId="4C56DB2C" w:rsidR="00A0215E" w:rsidRPr="000259A0" w:rsidRDefault="00A0215E" w:rsidP="000259A0">
      <w:pPr>
        <w:pStyle w:val="Textpoznpodarou"/>
        <w:rPr>
          <w:rFonts w:ascii="Arial" w:hAnsi="Arial" w:cs="Arial"/>
          <w:sz w:val="18"/>
          <w:szCs w:val="18"/>
        </w:rPr>
      </w:pPr>
      <w:r w:rsidRPr="000259A0">
        <w:rPr>
          <w:rFonts w:ascii="Arial" w:hAnsi="Arial" w:cs="Arial"/>
          <w:sz w:val="18"/>
          <w:szCs w:val="18"/>
        </w:rPr>
        <w:t xml:space="preserve">Více o reformě </w:t>
      </w:r>
      <w:r>
        <w:rPr>
          <w:rFonts w:ascii="Arial" w:hAnsi="Arial" w:cs="Arial"/>
          <w:sz w:val="18"/>
          <w:szCs w:val="18"/>
        </w:rPr>
        <w:t xml:space="preserve">viz </w:t>
      </w:r>
      <w:hyperlink r:id="rId6" w:history="1">
        <w:r w:rsidR="00D33C33" w:rsidRPr="005C3B30">
          <w:rPr>
            <w:rStyle w:val="Hypertextovodkaz"/>
            <w:rFonts w:ascii="Arial" w:hAnsi="Arial" w:cs="Arial"/>
            <w:sz w:val="18"/>
            <w:szCs w:val="18"/>
          </w:rPr>
          <w:t>www.msmt.cz/vzdelavani/skolstvi-v-cr/ekonomika-skolstvi/reforma-financovani-regionalniho-skolstvi</w:t>
        </w:r>
      </w:hyperlink>
      <w:r w:rsidR="00D33C33">
        <w:rPr>
          <w:rFonts w:ascii="Arial" w:hAnsi="Arial" w:cs="Arial"/>
          <w:sz w:val="18"/>
          <w:szCs w:val="18"/>
        </w:rPr>
        <w:t xml:space="preserve"> </w:t>
      </w:r>
    </w:p>
  </w:footnote>
  <w:footnote w:id="18">
    <w:p w14:paraId="7C6A4F4C" w14:textId="762FC896" w:rsidR="00A0215E" w:rsidRPr="00DE1B3B" w:rsidRDefault="00A0215E" w:rsidP="00DE1B3B">
      <w:pPr>
        <w:pStyle w:val="Textkomente"/>
        <w:rPr>
          <w:sz w:val="18"/>
          <w:szCs w:val="18"/>
        </w:rPr>
      </w:pPr>
      <w:r>
        <w:rPr>
          <w:rStyle w:val="Znakapoznpodarou"/>
        </w:rPr>
        <w:footnoteRef/>
      </w:r>
      <w:r>
        <w:t xml:space="preserve"> </w:t>
      </w:r>
      <w:r w:rsidRPr="00DE1B3B">
        <w:rPr>
          <w:sz w:val="18"/>
          <w:szCs w:val="18"/>
        </w:rPr>
        <w:t xml:space="preserve">Zde je dobré poznamenat, že v posledních letech docházelo k masivnímu zvyšování platů ve veřejném školství, které se promítá do normativů soukromých škol </w:t>
      </w:r>
      <w:r>
        <w:rPr>
          <w:sz w:val="18"/>
          <w:szCs w:val="18"/>
        </w:rPr>
        <w:t xml:space="preserve">až </w:t>
      </w:r>
      <w:r w:rsidRPr="00DE1B3B">
        <w:rPr>
          <w:sz w:val="18"/>
          <w:szCs w:val="18"/>
        </w:rPr>
        <w:t>s ročním zpožděním. Aby soukromé školy mohly učitelům nabídnout odpovídající plat a udržet si je, musely být při přijímání nových pedagogů opatrnější.</w:t>
      </w:r>
      <w:r>
        <w:rPr>
          <w:sz w:val="18"/>
          <w:szCs w:val="18"/>
        </w:rPr>
        <w:t xml:space="preserve"> Ve veřejných školách došlo za posledních deset let ke zvýšení počtu učitelů i žáků shodně o cca pětinu (20,9 %, resp. 19,5 %).</w:t>
      </w:r>
    </w:p>
  </w:footnote>
  <w:footnote w:id="19">
    <w:p w14:paraId="4289D649" w14:textId="4A348402" w:rsidR="00A0215E" w:rsidRPr="004B1190" w:rsidRDefault="00A0215E">
      <w:pPr>
        <w:pStyle w:val="Textpoznpodarou"/>
        <w:rPr>
          <w:rFonts w:ascii="Arial" w:hAnsi="Arial" w:cs="Arial"/>
          <w:sz w:val="18"/>
          <w:szCs w:val="18"/>
        </w:rPr>
      </w:pPr>
      <w:r>
        <w:rPr>
          <w:rStyle w:val="Znakapoznpodarou"/>
        </w:rPr>
        <w:footnoteRef/>
      </w:r>
      <w:r>
        <w:t xml:space="preserve"> </w:t>
      </w:r>
      <w:r w:rsidRPr="004B1190">
        <w:rPr>
          <w:rFonts w:ascii="Arial" w:hAnsi="Arial" w:cs="Arial"/>
          <w:sz w:val="18"/>
          <w:szCs w:val="18"/>
        </w:rPr>
        <w:t>Zde je dobré poznamenat, že Karlovarský kraj nemá vlastní učitelskou fakultu</w:t>
      </w:r>
      <w:r>
        <w:rPr>
          <w:rFonts w:ascii="Arial" w:hAnsi="Arial" w:cs="Arial"/>
          <w:sz w:val="18"/>
          <w:szCs w:val="18"/>
        </w:rPr>
        <w:t xml:space="preserve">, pouze v Chebu byla </w:t>
      </w:r>
      <w:r w:rsidRPr="00522D7D">
        <w:rPr>
          <w:rFonts w:ascii="Arial" w:hAnsi="Arial" w:cs="Arial"/>
          <w:sz w:val="18"/>
          <w:szCs w:val="18"/>
        </w:rPr>
        <w:t>otevřena pobočka Západočeské univerzity s programem pro výuku učitelů prvního stupně</w:t>
      </w:r>
      <w:r>
        <w:rPr>
          <w:rFonts w:ascii="Arial" w:hAnsi="Arial" w:cs="Arial"/>
          <w:sz w:val="18"/>
          <w:szCs w:val="18"/>
        </w:rPr>
        <w:t>. M</w:t>
      </w:r>
      <w:r w:rsidRPr="004B1190">
        <w:rPr>
          <w:rFonts w:ascii="Arial" w:hAnsi="Arial" w:cs="Arial"/>
          <w:sz w:val="18"/>
          <w:szCs w:val="18"/>
        </w:rPr>
        <w:t xml:space="preserve">nozí vysokoškoláci </w:t>
      </w:r>
      <w:r>
        <w:rPr>
          <w:rFonts w:ascii="Arial" w:hAnsi="Arial" w:cs="Arial"/>
          <w:sz w:val="18"/>
          <w:szCs w:val="18"/>
        </w:rPr>
        <w:t xml:space="preserve">přitom </w:t>
      </w:r>
      <w:r w:rsidRPr="004B1190">
        <w:rPr>
          <w:rFonts w:ascii="Arial" w:hAnsi="Arial" w:cs="Arial"/>
          <w:sz w:val="18"/>
          <w:szCs w:val="18"/>
        </w:rPr>
        <w:t>zůstávají po a</w:t>
      </w:r>
      <w:r>
        <w:rPr>
          <w:rFonts w:ascii="Arial" w:hAnsi="Arial" w:cs="Arial"/>
          <w:sz w:val="18"/>
          <w:szCs w:val="18"/>
        </w:rPr>
        <w:t>bsolutoriu v místě studia a do svého rodného kraje</w:t>
      </w:r>
      <w:r w:rsidRPr="004B1190">
        <w:rPr>
          <w:rFonts w:ascii="Arial" w:hAnsi="Arial" w:cs="Arial"/>
          <w:sz w:val="18"/>
          <w:szCs w:val="18"/>
        </w:rPr>
        <w:t xml:space="preserve"> se nevrací.</w:t>
      </w:r>
      <w:r w:rsidRPr="00522D7D">
        <w:t xml:space="preserve"> </w:t>
      </w:r>
      <w:r>
        <w:rPr>
          <w:rFonts w:ascii="Arial" w:hAnsi="Arial" w:cs="Arial"/>
          <w:sz w:val="18"/>
          <w:szCs w:val="18"/>
        </w:rPr>
        <w:t>MŠMT však v současnosti ve svém opatření nabízí cílenou finanční podporu</w:t>
      </w:r>
      <w:r w:rsidRPr="00522D7D">
        <w:rPr>
          <w:rFonts w:ascii="Arial" w:hAnsi="Arial" w:cs="Arial"/>
          <w:sz w:val="18"/>
          <w:szCs w:val="18"/>
        </w:rPr>
        <w:t xml:space="preserve"> nástupu čerstvých a</w:t>
      </w:r>
      <w:r>
        <w:rPr>
          <w:rFonts w:ascii="Arial" w:hAnsi="Arial" w:cs="Arial"/>
          <w:sz w:val="18"/>
          <w:szCs w:val="18"/>
        </w:rPr>
        <w:t xml:space="preserve">bsolventů do pedagogické praxe ve školách </w:t>
      </w:r>
      <w:r w:rsidRPr="00522D7D">
        <w:rPr>
          <w:rFonts w:ascii="Arial" w:hAnsi="Arial" w:cs="Arial"/>
          <w:sz w:val="18"/>
          <w:szCs w:val="18"/>
        </w:rPr>
        <w:t>v Karlovarském a Ústeckém kraji</w:t>
      </w:r>
      <w:r>
        <w:rPr>
          <w:rFonts w:ascii="Arial" w:hAnsi="Arial" w:cs="Arial"/>
          <w:sz w:val="18"/>
          <w:szCs w:val="18"/>
        </w:rPr>
        <w:t xml:space="preserve">. Viz zde: </w:t>
      </w:r>
      <w:hyperlink r:id="rId7" w:anchor="disparity-4" w:history="1">
        <w:r w:rsidRPr="00FB561D">
          <w:rPr>
            <w:rStyle w:val="Hypertextovodkaz"/>
            <w:rFonts w:ascii="Arial" w:hAnsi="Arial" w:cs="Arial"/>
            <w:sz w:val="18"/>
            <w:szCs w:val="18"/>
          </w:rPr>
          <w:t>https://www.edu.cz/strategie-msmt/strategie-vzdelavaci-politiky-cr-do-roku-2030/implementacni-karta-disparity/#disparity-4</w:t>
        </w:r>
      </w:hyperlink>
      <w:r>
        <w:rPr>
          <w:rFonts w:ascii="Arial" w:hAnsi="Arial" w:cs="Arial"/>
          <w:sz w:val="18"/>
          <w:szCs w:val="18"/>
        </w:rPr>
        <w:t xml:space="preserve"> </w:t>
      </w:r>
    </w:p>
  </w:footnote>
  <w:footnote w:id="20">
    <w:p w14:paraId="779D4FF5" w14:textId="310618AA" w:rsidR="00A0215E" w:rsidRPr="0091489A" w:rsidRDefault="00A0215E" w:rsidP="003A3897">
      <w:pPr>
        <w:spacing w:after="120"/>
        <w:jc w:val="both"/>
        <w:rPr>
          <w:sz w:val="18"/>
          <w:szCs w:val="18"/>
        </w:rPr>
      </w:pPr>
      <w:r w:rsidRPr="0091489A">
        <w:rPr>
          <w:rStyle w:val="Znakapoznpodarou"/>
          <w:sz w:val="18"/>
          <w:szCs w:val="18"/>
        </w:rPr>
        <w:footnoteRef/>
      </w:r>
      <w:r w:rsidRPr="0091489A">
        <w:rPr>
          <w:sz w:val="18"/>
          <w:szCs w:val="18"/>
        </w:rPr>
        <w:t xml:space="preserve"> Novela vyhlášky č. 27/2016 Sb., o vzdělávání žáků se speciálními vzdělávacími potřebami a žáků nadaných stanovuje personální stropy podpůrného opatření (viz zde: </w:t>
      </w:r>
      <w:hyperlink r:id="rId8" w:history="1">
        <w:r w:rsidRPr="00FB561D">
          <w:rPr>
            <w:rStyle w:val="Hypertextovodkaz"/>
            <w:sz w:val="18"/>
            <w:szCs w:val="18"/>
          </w:rPr>
          <w:t>www.zakonyprolidi.cz/cs/2019-248</w:t>
        </w:r>
      </w:hyperlink>
      <w:r w:rsidRPr="0091489A">
        <w:rPr>
          <w:sz w:val="18"/>
          <w:szCs w:val="18"/>
        </w:rPr>
        <w:t>, část první, bod 17).</w:t>
      </w:r>
      <w:r w:rsidRPr="002D5FC9">
        <w:t xml:space="preserve"> </w:t>
      </w:r>
      <w:r w:rsidRPr="002D5FC9">
        <w:rPr>
          <w:sz w:val="18"/>
          <w:szCs w:val="18"/>
        </w:rPr>
        <w:t xml:space="preserve">V době vydání publikace probíhá </w:t>
      </w:r>
      <w:r>
        <w:rPr>
          <w:sz w:val="18"/>
          <w:szCs w:val="18"/>
        </w:rPr>
        <w:t xml:space="preserve">také </w:t>
      </w:r>
      <w:r w:rsidRPr="002D5FC9">
        <w:rPr>
          <w:sz w:val="18"/>
          <w:szCs w:val="18"/>
        </w:rPr>
        <w:t>debata v rámci úsporných opatření o změně způsobu financování těchto pozic, právě z důvodu jejich en</w:t>
      </w:r>
      <w:r>
        <w:rPr>
          <w:sz w:val="18"/>
          <w:szCs w:val="18"/>
        </w:rPr>
        <w:t>ormního nárůstu. Viz zde:</w:t>
      </w:r>
      <w:r w:rsidRPr="002D5FC9">
        <w:rPr>
          <w:sz w:val="18"/>
          <w:szCs w:val="18"/>
        </w:rPr>
        <w:t xml:space="preserve"> </w:t>
      </w:r>
      <w:hyperlink r:id="rId9" w:history="1">
        <w:r w:rsidRPr="00FB561D">
          <w:rPr>
            <w:rStyle w:val="Hypertextovodkaz"/>
            <w:sz w:val="18"/>
            <w:szCs w:val="18"/>
          </w:rPr>
          <w:t>https://cosiv.cz/wp-content/uploads/2022/06/Stanovisko-C%CC%8COSIV-k-parametrizaci-pozice-AP.pdf</w:t>
        </w:r>
      </w:hyperlink>
      <w:r>
        <w:rPr>
          <w:sz w:val="18"/>
          <w:szCs w:val="18"/>
        </w:rPr>
        <w:t xml:space="preserve"> </w:t>
      </w:r>
    </w:p>
  </w:footnote>
  <w:footnote w:id="21">
    <w:p w14:paraId="32894BC4" w14:textId="443556CA" w:rsidR="00A0215E" w:rsidRPr="00BC47BA" w:rsidRDefault="00A0215E">
      <w:pPr>
        <w:pStyle w:val="Textpoznpodarou"/>
        <w:rPr>
          <w:rFonts w:ascii="Arial" w:hAnsi="Arial" w:cs="Arial"/>
          <w:sz w:val="18"/>
          <w:szCs w:val="18"/>
        </w:rPr>
      </w:pPr>
      <w:r w:rsidRPr="00BC47BA">
        <w:rPr>
          <w:rStyle w:val="Znakapoznpodarou"/>
          <w:rFonts w:ascii="Arial" w:hAnsi="Arial" w:cs="Arial"/>
          <w:sz w:val="18"/>
          <w:szCs w:val="18"/>
        </w:rPr>
        <w:footnoteRef/>
      </w:r>
      <w:r w:rsidRPr="00BC47BA">
        <w:rPr>
          <w:rFonts w:ascii="Arial" w:hAnsi="Arial" w:cs="Arial"/>
          <w:sz w:val="18"/>
          <w:szCs w:val="18"/>
        </w:rPr>
        <w:t xml:space="preserve"> V roce 2002 byl počet živě narozených 92 786 a do roku 2008 se zvýšil na 119 570, tedy o 28,9 %.</w:t>
      </w:r>
      <w:r>
        <w:rPr>
          <w:rFonts w:ascii="Arial" w:hAnsi="Arial" w:cs="Arial"/>
          <w:sz w:val="18"/>
          <w:szCs w:val="18"/>
        </w:rPr>
        <w:t xml:space="preserve"> Během následujících pěti let naopak o desetinu poklesl, a sice na 106 751 v roce 2013. Za další čtyři roky o 4,1 % stoupl a poté tři roky klesal, celkově o 3,7 %. V roce 2020 tak činil 110 200. Nakonec, za poslední rok se o 1,4 % zvýšil na 111 793, což je přírůstek o necelou čtvrtinu vyšší, než jaký byl před dvaceti lety. Více viz zde: </w:t>
      </w:r>
      <w:hyperlink r:id="rId10" w:history="1">
        <w:r w:rsidRPr="00AA72BE">
          <w:rPr>
            <w:rStyle w:val="Hypertextovodkaz"/>
            <w:rFonts w:ascii="Arial" w:hAnsi="Arial" w:cs="Arial"/>
            <w:sz w:val="18"/>
            <w:szCs w:val="18"/>
          </w:rPr>
          <w:t>https://www.czso.cz/csu/czso/cri/pohyb-obyvatelstva-rok-2021</w:t>
        </w:r>
      </w:hyperlink>
      <w:r>
        <w:rPr>
          <w:rFonts w:ascii="Arial" w:hAnsi="Arial" w:cs="Arial"/>
          <w:sz w:val="18"/>
          <w:szCs w:val="18"/>
        </w:rPr>
        <w:t xml:space="preserve"> </w:t>
      </w:r>
    </w:p>
  </w:footnote>
  <w:footnote w:id="22">
    <w:p w14:paraId="4192E0F3" w14:textId="2D0A49A5" w:rsidR="00A0215E" w:rsidRPr="0091489A" w:rsidRDefault="00A0215E">
      <w:pPr>
        <w:pStyle w:val="Textpoznpodarou"/>
        <w:rPr>
          <w:rFonts w:ascii="Arial" w:hAnsi="Arial" w:cs="Arial"/>
          <w:sz w:val="18"/>
          <w:szCs w:val="18"/>
        </w:rPr>
      </w:pPr>
      <w:r w:rsidRPr="0091489A">
        <w:rPr>
          <w:rStyle w:val="Znakapoznpodarou"/>
          <w:rFonts w:ascii="Arial" w:hAnsi="Arial" w:cs="Arial"/>
          <w:sz w:val="18"/>
          <w:szCs w:val="18"/>
        </w:rPr>
        <w:footnoteRef/>
      </w:r>
      <w:r w:rsidRPr="0091489A">
        <w:rPr>
          <w:rFonts w:ascii="Arial" w:hAnsi="Arial" w:cs="Arial"/>
          <w:sz w:val="18"/>
          <w:szCs w:val="18"/>
        </w:rPr>
        <w:t xml:space="preserve"> Zde je třeba poznamenat, že na počet žáků v základních školách má vliv i míra migrace – do základních škol povinně docházejí též cizinci, kteří jsou oprávněni pobývat na území České republiky trvale nebo přechodně po dobu delší než 90 dnů, a účastníci řízení o udělení mezinárodní ochrany.</w:t>
      </w:r>
    </w:p>
  </w:footnote>
  <w:footnote w:id="23">
    <w:p w14:paraId="2D28A708" w14:textId="13BDBB53" w:rsidR="00A0215E" w:rsidRPr="00312793" w:rsidRDefault="00A0215E">
      <w:pPr>
        <w:pStyle w:val="Textpoznpodarou"/>
        <w:rPr>
          <w:rFonts w:ascii="Arial" w:hAnsi="Arial" w:cs="Arial"/>
          <w:sz w:val="18"/>
          <w:szCs w:val="18"/>
        </w:rPr>
      </w:pPr>
      <w:r w:rsidRPr="00312793">
        <w:rPr>
          <w:rStyle w:val="Znakapoznpodarou"/>
          <w:rFonts w:ascii="Arial" w:hAnsi="Arial" w:cs="Arial"/>
          <w:sz w:val="18"/>
          <w:szCs w:val="18"/>
        </w:rPr>
        <w:footnoteRef/>
      </w:r>
      <w:r w:rsidRPr="00312793">
        <w:rPr>
          <w:rFonts w:ascii="Arial" w:hAnsi="Arial" w:cs="Arial"/>
          <w:sz w:val="18"/>
          <w:szCs w:val="18"/>
        </w:rPr>
        <w:t xml:space="preserve"> Kromě nich se individuálního vzdělávání účastnili tři žáci plnící si povinnou školní docházku na středních školách</w:t>
      </w:r>
      <w:r>
        <w:rPr>
          <w:rFonts w:ascii="Arial" w:hAnsi="Arial" w:cs="Arial"/>
          <w:sz w:val="18"/>
          <w:szCs w:val="18"/>
        </w:rPr>
        <w:t>, dva v Praze a jeden v Jihomoravském kraji</w:t>
      </w:r>
      <w:r w:rsidRPr="00312793">
        <w:rPr>
          <w:rFonts w:ascii="Arial" w:hAnsi="Arial" w:cs="Arial"/>
          <w:sz w:val="18"/>
          <w:szCs w:val="18"/>
        </w:rPr>
        <w:t xml:space="preserve"> (celková čísla viz tabulku 2.1.1. v příloze).</w:t>
      </w:r>
    </w:p>
  </w:footnote>
  <w:footnote w:id="24">
    <w:p w14:paraId="1F9699FC" w14:textId="514FFC41" w:rsidR="00A0215E" w:rsidRPr="0091489A" w:rsidRDefault="00A0215E" w:rsidP="002921A5">
      <w:pPr>
        <w:pStyle w:val="Textpoznpodarou"/>
        <w:rPr>
          <w:rFonts w:ascii="Arial" w:hAnsi="Arial" w:cs="Arial"/>
          <w:sz w:val="18"/>
          <w:szCs w:val="18"/>
        </w:rPr>
      </w:pPr>
      <w:r w:rsidRPr="0091489A">
        <w:rPr>
          <w:rStyle w:val="Znakapoznpodarou"/>
          <w:rFonts w:ascii="Arial" w:hAnsi="Arial" w:cs="Arial"/>
          <w:sz w:val="18"/>
          <w:szCs w:val="18"/>
        </w:rPr>
        <w:footnoteRef/>
      </w:r>
      <w:r>
        <w:rPr>
          <w:rFonts w:ascii="Arial" w:hAnsi="Arial" w:cs="Arial"/>
          <w:sz w:val="18"/>
          <w:szCs w:val="18"/>
        </w:rPr>
        <w:t xml:space="preserve"> Psychologové upozorňují na zvýšení psychických problémů dětí po distanční výuce a omezeních spojených s pandemií covid-19.</w:t>
      </w:r>
    </w:p>
  </w:footnote>
  <w:footnote w:id="25">
    <w:p w14:paraId="47704F4F" w14:textId="5469E90F" w:rsidR="00A0215E" w:rsidRPr="00312793" w:rsidRDefault="00A0215E">
      <w:pPr>
        <w:pStyle w:val="Textpoznpodarou"/>
        <w:rPr>
          <w:rFonts w:ascii="Arial" w:hAnsi="Arial" w:cs="Arial"/>
          <w:sz w:val="18"/>
          <w:szCs w:val="18"/>
        </w:rPr>
      </w:pPr>
      <w:r>
        <w:rPr>
          <w:rStyle w:val="Znakapoznpodarou"/>
        </w:rPr>
        <w:footnoteRef/>
      </w:r>
      <w:r>
        <w:t xml:space="preserve"> </w:t>
      </w:r>
      <w:r w:rsidRPr="00312793">
        <w:rPr>
          <w:rFonts w:ascii="Arial" w:hAnsi="Arial" w:cs="Arial"/>
          <w:sz w:val="18"/>
          <w:szCs w:val="18"/>
        </w:rPr>
        <w:t>Kromě nich se vzdělávání</w:t>
      </w:r>
      <w:r>
        <w:rPr>
          <w:rFonts w:ascii="Arial" w:hAnsi="Arial" w:cs="Arial"/>
          <w:sz w:val="18"/>
          <w:szCs w:val="18"/>
        </w:rPr>
        <w:t xml:space="preserve"> v zahraničí či v zahraniční škole v ČR účastnilo 67 žáků</w:t>
      </w:r>
      <w:r w:rsidRPr="00312793">
        <w:rPr>
          <w:rFonts w:ascii="Arial" w:hAnsi="Arial" w:cs="Arial"/>
          <w:sz w:val="18"/>
          <w:szCs w:val="18"/>
        </w:rPr>
        <w:t xml:space="preserve"> plnící si povinnou školní docházku na středních školách</w:t>
      </w:r>
      <w:r>
        <w:rPr>
          <w:rFonts w:ascii="Arial" w:hAnsi="Arial" w:cs="Arial"/>
          <w:sz w:val="18"/>
          <w:szCs w:val="18"/>
        </w:rPr>
        <w:t xml:space="preserve">, z toho 38 v Praze, v ostatních krajích již jen pět a méně žáků </w:t>
      </w:r>
      <w:r w:rsidRPr="00312793">
        <w:rPr>
          <w:rFonts w:ascii="Arial" w:hAnsi="Arial" w:cs="Arial"/>
          <w:sz w:val="18"/>
          <w:szCs w:val="18"/>
        </w:rPr>
        <w:t>(celková čísla viz tabulku 2.1.1. v příloze).</w:t>
      </w:r>
    </w:p>
  </w:footnote>
  <w:footnote w:id="26">
    <w:p w14:paraId="14A2F8DC" w14:textId="1BE83560" w:rsidR="00A0215E" w:rsidRPr="002D5FC9" w:rsidRDefault="00A0215E" w:rsidP="002D5FC9">
      <w:pPr>
        <w:widowControl w:val="0"/>
        <w:pBdr>
          <w:top w:val="nil"/>
          <w:left w:val="nil"/>
          <w:bottom w:val="nil"/>
          <w:right w:val="nil"/>
          <w:between w:val="nil"/>
        </w:pBdr>
        <w:spacing w:after="0" w:line="240" w:lineRule="auto"/>
        <w:rPr>
          <w:rFonts w:eastAsia="Arial"/>
          <w:color w:val="000000"/>
          <w:sz w:val="18"/>
          <w:szCs w:val="18"/>
        </w:rPr>
      </w:pPr>
      <w:r>
        <w:rPr>
          <w:rStyle w:val="Znakapoznpodarou"/>
        </w:rPr>
        <w:footnoteRef/>
      </w:r>
      <w:r>
        <w:t xml:space="preserve"> </w:t>
      </w:r>
      <w:r w:rsidRPr="002D5FC9">
        <w:rPr>
          <w:rFonts w:eastAsia="Arial"/>
          <w:color w:val="000000"/>
          <w:sz w:val="18"/>
          <w:szCs w:val="18"/>
        </w:rPr>
        <w:t>Nejvyšší hodnoty u Ústeckého a Karlovarského kraje potvrzují, že vzdělávací problémy souvisí se sociálními problémy a ekonomickou situac</w:t>
      </w:r>
      <w:r>
        <w:rPr>
          <w:rFonts w:eastAsia="Arial"/>
          <w:color w:val="000000"/>
          <w:sz w:val="18"/>
          <w:szCs w:val="18"/>
        </w:rPr>
        <w:t>í v území. Dokazují to data</w:t>
      </w:r>
      <w:r w:rsidRPr="002D5FC9">
        <w:rPr>
          <w:rFonts w:eastAsia="Arial"/>
          <w:color w:val="000000"/>
          <w:sz w:val="18"/>
          <w:szCs w:val="18"/>
        </w:rPr>
        <w:t xml:space="preserve"> ČŠI o vzdělávání (</w:t>
      </w:r>
      <w:hyperlink r:id="rId11" w:history="1">
        <w:r w:rsidRPr="00FB561D">
          <w:rPr>
            <w:rStyle w:val="Hypertextovodkaz"/>
            <w:rFonts w:eastAsia="Arial"/>
            <w:sz w:val="18"/>
            <w:szCs w:val="18"/>
          </w:rPr>
          <w:t>https://www.csicr.cz/CSICR/media/Prilohy/2022_p%c5%99%c3%adlohy/Dokumenty/Ceske-skolstvi-v-mapach_everze.pdf</w:t>
        </w:r>
      </w:hyperlink>
      <w:r w:rsidRPr="002D5FC9">
        <w:rPr>
          <w:rFonts w:eastAsia="Arial"/>
          <w:color w:val="000000"/>
          <w:sz w:val="18"/>
          <w:szCs w:val="18"/>
        </w:rPr>
        <w:t xml:space="preserve">) </w:t>
      </w:r>
      <w:r>
        <w:rPr>
          <w:rFonts w:eastAsia="Arial"/>
          <w:color w:val="000000"/>
          <w:sz w:val="18"/>
          <w:szCs w:val="18"/>
        </w:rPr>
        <w:t xml:space="preserve">a také </w:t>
      </w:r>
      <w:r w:rsidRPr="002D5FC9">
        <w:rPr>
          <w:rFonts w:eastAsia="Arial"/>
          <w:color w:val="000000"/>
          <w:sz w:val="18"/>
          <w:szCs w:val="18"/>
        </w:rPr>
        <w:t>data PAQ Research o sociálních problémech </w:t>
      </w:r>
      <w:r>
        <w:rPr>
          <w:rFonts w:eastAsia="Arial"/>
          <w:color w:val="000000"/>
          <w:sz w:val="18"/>
          <w:szCs w:val="18"/>
        </w:rPr>
        <w:t>(</w:t>
      </w:r>
      <w:hyperlink r:id="rId12" w:history="1">
        <w:r w:rsidRPr="00FB561D">
          <w:rPr>
            <w:rStyle w:val="Hypertextovodkaz"/>
            <w:rFonts w:eastAsia="Arial"/>
            <w:sz w:val="18"/>
            <w:szCs w:val="18"/>
          </w:rPr>
          <w:t>https://www.mapavzdelavani.cz/socialni-problemy</w:t>
        </w:r>
      </w:hyperlink>
      <w:r>
        <w:rPr>
          <w:rFonts w:eastAsia="Arial"/>
          <w:color w:val="000000"/>
          <w:sz w:val="18"/>
          <w:szCs w:val="18"/>
        </w:rPr>
        <w:t xml:space="preserve">) </w:t>
      </w:r>
    </w:p>
  </w:footnote>
  <w:footnote w:id="27">
    <w:p w14:paraId="39BB0C82" w14:textId="77777777" w:rsidR="00A0215E" w:rsidRPr="0091489A" w:rsidRDefault="00A0215E" w:rsidP="0059439A">
      <w:pPr>
        <w:pStyle w:val="Textpoznpodarou"/>
        <w:rPr>
          <w:rFonts w:ascii="Arial" w:hAnsi="Arial" w:cs="Arial"/>
          <w:sz w:val="18"/>
          <w:szCs w:val="18"/>
        </w:rPr>
      </w:pPr>
      <w:r w:rsidRPr="0091489A">
        <w:rPr>
          <w:rStyle w:val="Znakapoznpodarou"/>
          <w:rFonts w:ascii="Arial" w:hAnsi="Arial" w:cs="Arial"/>
          <w:sz w:val="18"/>
          <w:szCs w:val="18"/>
        </w:rPr>
        <w:footnoteRef/>
      </w:r>
      <w:r w:rsidRPr="0091489A">
        <w:rPr>
          <w:rFonts w:ascii="Arial" w:hAnsi="Arial" w:cs="Arial"/>
          <w:sz w:val="18"/>
          <w:szCs w:val="18"/>
        </w:rPr>
        <w:t xml:space="preserve"> </w:t>
      </w:r>
      <w:r>
        <w:rPr>
          <w:rFonts w:ascii="Arial" w:hAnsi="Arial" w:cs="Arial"/>
          <w:sz w:val="18"/>
          <w:szCs w:val="18"/>
        </w:rPr>
        <w:t xml:space="preserve">O přijetí na osmiletá gymnázia se v roce 2019 ucházelo 19 549 žáků, v roce 2021 jen 17 493 a v roce 2022 pak 17 919. Počet přihlášek na šestiletá gymnázia byl v roce 2019 celkem 5 605, v roce 2019 poklesl na 5 346 a v roce 2022 se zvýšil na 5 760. </w:t>
      </w:r>
      <w:r w:rsidRPr="0091489A">
        <w:rPr>
          <w:rFonts w:ascii="Arial" w:hAnsi="Arial" w:cs="Arial"/>
          <w:sz w:val="18"/>
          <w:szCs w:val="18"/>
        </w:rPr>
        <w:t xml:space="preserve">Viz zde: </w:t>
      </w:r>
      <w:hyperlink r:id="rId13" w:history="1">
        <w:r w:rsidRPr="0091489A">
          <w:rPr>
            <w:rStyle w:val="Hypertextovodkaz"/>
            <w:rFonts w:ascii="Arial" w:hAnsi="Arial" w:cs="Arial"/>
            <w:sz w:val="18"/>
            <w:szCs w:val="18"/>
          </w:rPr>
          <w:t>https://data.cermat.cz/files/files/2022/JPZ/JPZ2022_prihlasky_FINAL.pdf</w:t>
        </w:r>
      </w:hyperlink>
      <w:r w:rsidRPr="0091489A">
        <w:rPr>
          <w:rFonts w:ascii="Arial" w:hAnsi="Arial" w:cs="Arial"/>
          <w:sz w:val="18"/>
          <w:szCs w:val="18"/>
        </w:rPr>
        <w:t>, str. 19-27.</w:t>
      </w:r>
    </w:p>
  </w:footnote>
  <w:footnote w:id="28">
    <w:p w14:paraId="28DBD907" w14:textId="03AD9B33" w:rsidR="00A0215E" w:rsidRPr="0023118E" w:rsidRDefault="00A0215E">
      <w:pPr>
        <w:pStyle w:val="Textpoznpodarou"/>
        <w:rPr>
          <w:rFonts w:ascii="Arial" w:hAnsi="Arial" w:cs="Arial"/>
          <w:sz w:val="18"/>
          <w:szCs w:val="18"/>
        </w:rPr>
      </w:pPr>
      <w:r>
        <w:rPr>
          <w:rStyle w:val="Znakapoznpodarou"/>
        </w:rPr>
        <w:footnoteRef/>
      </w:r>
      <w:r>
        <w:t xml:space="preserve"> </w:t>
      </w:r>
      <w:r w:rsidRPr="0023118E">
        <w:rPr>
          <w:rFonts w:ascii="Arial" w:hAnsi="Arial" w:cs="Arial"/>
          <w:sz w:val="18"/>
          <w:szCs w:val="18"/>
        </w:rPr>
        <w:t xml:space="preserve">Statistiky se vykazují k 30. 9., do počtů cizinců tedy ještě nejsou započteny děti ukrajinských uprchlíků před válkou. </w:t>
      </w:r>
    </w:p>
  </w:footnote>
  <w:footnote w:id="29">
    <w:p w14:paraId="44DEFE89" w14:textId="77777777" w:rsidR="00A0215E" w:rsidRPr="00FD1E73" w:rsidRDefault="00A0215E" w:rsidP="00152CDD">
      <w:pPr>
        <w:pStyle w:val="Textpoznpodarou"/>
        <w:rPr>
          <w:rFonts w:ascii="Arial" w:hAnsi="Arial" w:cs="Arial"/>
          <w:sz w:val="18"/>
          <w:szCs w:val="18"/>
        </w:rPr>
      </w:pPr>
      <w:r w:rsidRPr="00FD1E73">
        <w:rPr>
          <w:rStyle w:val="Znakapoznpodarou"/>
          <w:rFonts w:ascii="Arial" w:hAnsi="Arial" w:cs="Arial"/>
          <w:sz w:val="18"/>
          <w:szCs w:val="18"/>
        </w:rPr>
        <w:footnoteRef/>
      </w:r>
      <w:r w:rsidRPr="00FD1E73">
        <w:rPr>
          <w:rFonts w:ascii="Arial" w:hAnsi="Arial" w:cs="Arial"/>
          <w:sz w:val="18"/>
          <w:szCs w:val="18"/>
        </w:rPr>
        <w:t xml:space="preserve"> Tento výrazný nárůst může částečně souviset s postupným rozšiřováním diagnostických kritérií, díky kterým lze přesněji a lépe žáky s postižením kategorizovat a poskytnout jim potřebnou podporu. Kromě toho se v čase zvyšovala informovanost odborníků i laiků, zejména co se poruch autistického spektra a vývojových poruch týče, které jsou tak častěji podchycovány. Navíc je rozeznání speciálních vzdělávacích potřeb více než dříve podpořeno nároky na podpůrná opatření (např. možnost získat asistenta pedagoga). Vzestup podílu žáků se zdravotním postižením však může být zapříčiněn též zvyšujícím se věkem rodičů při narození dítěte.</w:t>
      </w:r>
    </w:p>
  </w:footnote>
  <w:footnote w:id="30">
    <w:p w14:paraId="62F67E62" w14:textId="11D00F5E" w:rsidR="00A0215E" w:rsidRPr="00A44A95" w:rsidRDefault="00A0215E">
      <w:pPr>
        <w:pStyle w:val="Textpoznpodarou"/>
        <w:rPr>
          <w:rFonts w:ascii="Arial" w:hAnsi="Arial" w:cs="Arial"/>
          <w:sz w:val="18"/>
          <w:szCs w:val="18"/>
        </w:rPr>
      </w:pPr>
      <w:r>
        <w:rPr>
          <w:rStyle w:val="Znakapoznpodarou"/>
        </w:rPr>
        <w:footnoteRef/>
      </w:r>
      <w:r>
        <w:t xml:space="preserve"> </w:t>
      </w:r>
      <w:r w:rsidRPr="00A44A95">
        <w:rPr>
          <w:rFonts w:ascii="Arial" w:hAnsi="Arial" w:cs="Arial"/>
          <w:sz w:val="18"/>
          <w:szCs w:val="18"/>
        </w:rPr>
        <w:t xml:space="preserve">Přes poměrně vysokou míru integrace bývají však dle výzkumu společnosti PAQ research někteří rodiče žáků se speciálními vzdělávacími vystavovány tlaku k přestupu na jinou školu či </w:t>
      </w:r>
      <w:r>
        <w:rPr>
          <w:rFonts w:ascii="Arial" w:hAnsi="Arial" w:cs="Arial"/>
          <w:sz w:val="18"/>
          <w:szCs w:val="18"/>
        </w:rPr>
        <w:t xml:space="preserve">jiným </w:t>
      </w:r>
      <w:r w:rsidRPr="00A44A95">
        <w:rPr>
          <w:rFonts w:ascii="Arial" w:hAnsi="Arial" w:cs="Arial"/>
          <w:sz w:val="18"/>
          <w:szCs w:val="18"/>
        </w:rPr>
        <w:t>neoprávněným požadavkům</w:t>
      </w:r>
      <w:r>
        <w:rPr>
          <w:rFonts w:ascii="Arial" w:hAnsi="Arial" w:cs="Arial"/>
          <w:sz w:val="18"/>
          <w:szCs w:val="18"/>
        </w:rPr>
        <w:t xml:space="preserve">, viz </w:t>
      </w:r>
      <w:r w:rsidRPr="00A44A95">
        <w:rPr>
          <w:rFonts w:ascii="Arial" w:hAnsi="Arial" w:cs="Arial"/>
          <w:sz w:val="18"/>
          <w:szCs w:val="18"/>
        </w:rPr>
        <w:t>zde: www.paqresearch.cz/post/zkusenosti-rodicu-deti-se-svp</w:t>
      </w:r>
    </w:p>
  </w:footnote>
  <w:footnote w:id="31">
    <w:p w14:paraId="654721C1" w14:textId="77777777" w:rsidR="00A0215E" w:rsidRPr="0091489A" w:rsidRDefault="00A0215E" w:rsidP="00FA7769">
      <w:pPr>
        <w:pStyle w:val="Textpoznpodarou"/>
        <w:rPr>
          <w:rFonts w:ascii="Arial" w:hAnsi="Arial" w:cs="Arial"/>
          <w:sz w:val="18"/>
          <w:szCs w:val="18"/>
        </w:rPr>
      </w:pPr>
      <w:r w:rsidRPr="0091489A">
        <w:rPr>
          <w:rStyle w:val="Znakapoznpodarou"/>
          <w:rFonts w:ascii="Arial" w:hAnsi="Arial" w:cs="Arial"/>
          <w:sz w:val="18"/>
          <w:szCs w:val="18"/>
        </w:rPr>
        <w:footnoteRef/>
      </w:r>
      <w:r w:rsidRPr="0091489A">
        <w:rPr>
          <w:rFonts w:ascii="Arial" w:hAnsi="Arial" w:cs="Arial"/>
          <w:sz w:val="18"/>
          <w:szCs w:val="18"/>
        </w:rPr>
        <w:t xml:space="preserve"> Podle mezinárodní klasifikace ISCED se takové vzdělávání nazývá nižší sekundární a v České republice se do něj započítává i 2. stupeň základních škol a 1.-4. ročník osmileté konzervatoře. Vyšší ročníky gymnázií a osmileté konzervatoře se řadí do vyššího sekundárního vzdělávání. To zahrnuje i veškeré střední vzdělávání, které již nespadá do povinné školní docházky (více viz zde: </w:t>
      </w:r>
      <w:hyperlink r:id="rId14" w:history="1">
        <w:r w:rsidRPr="0091489A">
          <w:rPr>
            <w:rStyle w:val="Hypertextovodkaz"/>
            <w:rFonts w:ascii="Arial" w:hAnsi="Arial" w:cs="Arial"/>
            <w:sz w:val="18"/>
            <w:szCs w:val="18"/>
          </w:rPr>
          <w:t>www.czso.cz/csu/czso/klasifikace_vzdelani_cz_isced_2011</w:t>
        </w:r>
      </w:hyperlink>
      <w:r w:rsidRPr="0091489A">
        <w:rPr>
          <w:rFonts w:ascii="Arial" w:hAnsi="Arial" w:cs="Arial"/>
          <w:sz w:val="18"/>
          <w:szCs w:val="18"/>
        </w:rPr>
        <w:t xml:space="preserve">) </w:t>
      </w:r>
    </w:p>
  </w:footnote>
  <w:footnote w:id="32">
    <w:p w14:paraId="0187CA85" w14:textId="7EAEE861" w:rsidR="00A0215E" w:rsidRDefault="00A0215E">
      <w:pPr>
        <w:pStyle w:val="Textpoznpodarou"/>
      </w:pPr>
      <w:r>
        <w:rPr>
          <w:rStyle w:val="Znakapoznpodarou"/>
        </w:rPr>
        <w:footnoteRef/>
      </w:r>
      <w:r>
        <w:t xml:space="preserve"> </w:t>
      </w:r>
      <w:r w:rsidRPr="00D80BF8">
        <w:rPr>
          <w:rFonts w:ascii="Arial" w:hAnsi="Arial" w:cs="Arial"/>
          <w:sz w:val="18"/>
          <w:szCs w:val="18"/>
        </w:rPr>
        <w:t>Školou je myšlen právní subjekt s jedním ředitelstvím, které může zahrnovat více odloučených pracovišť, jakož i více úrovní a druhů vzdělávání.</w:t>
      </w:r>
    </w:p>
  </w:footnote>
  <w:footnote w:id="33">
    <w:p w14:paraId="74E6E138" w14:textId="5BBA5440" w:rsidR="00A0215E" w:rsidRPr="0033440D" w:rsidRDefault="00A0215E" w:rsidP="00FA7769">
      <w:pPr>
        <w:pStyle w:val="Textpoznpodarou"/>
        <w:rPr>
          <w:rFonts w:ascii="Arial" w:hAnsi="Arial" w:cs="Arial"/>
          <w:sz w:val="18"/>
          <w:szCs w:val="18"/>
        </w:rPr>
      </w:pPr>
      <w:r w:rsidRPr="0033440D">
        <w:rPr>
          <w:rStyle w:val="Znakapoznpodarou"/>
          <w:rFonts w:ascii="Arial" w:hAnsi="Arial" w:cs="Arial"/>
          <w:sz w:val="18"/>
          <w:szCs w:val="18"/>
        </w:rPr>
        <w:footnoteRef/>
      </w:r>
      <w:r w:rsidRPr="0033440D">
        <w:rPr>
          <w:rFonts w:ascii="Arial" w:hAnsi="Arial" w:cs="Arial"/>
          <w:sz w:val="18"/>
          <w:szCs w:val="18"/>
        </w:rPr>
        <w:t xml:space="preserve"> Připomeňme, že 97,2 % žáků základních škol navštěvovaly školy veřejného zřizovatele. U středních škol tak hrají soukromé školy mnohem větší úlohu než u škol základních.</w:t>
      </w:r>
    </w:p>
  </w:footnote>
  <w:footnote w:id="34">
    <w:p w14:paraId="686A5B78" w14:textId="65EFD540" w:rsidR="00A0215E" w:rsidRPr="006E5E0F" w:rsidRDefault="00A0215E">
      <w:pPr>
        <w:pStyle w:val="Textpoznpodarou"/>
        <w:rPr>
          <w:rFonts w:ascii="Arial" w:hAnsi="Arial" w:cs="Arial"/>
          <w:sz w:val="18"/>
          <w:szCs w:val="18"/>
        </w:rPr>
      </w:pPr>
      <w:r w:rsidRPr="006E5E0F">
        <w:rPr>
          <w:rStyle w:val="Znakapoznpodarou"/>
          <w:rFonts w:ascii="Arial" w:hAnsi="Arial" w:cs="Arial"/>
          <w:sz w:val="18"/>
          <w:szCs w:val="18"/>
        </w:rPr>
        <w:footnoteRef/>
      </w:r>
      <w:r w:rsidRPr="006E5E0F">
        <w:rPr>
          <w:rFonts w:ascii="Arial" w:hAnsi="Arial" w:cs="Arial"/>
          <w:sz w:val="18"/>
          <w:szCs w:val="18"/>
        </w:rPr>
        <w:t xml:space="preserve"> Doplňme, že kromě žáků s trvalým pobytem v ČR mohou střední školy navštěvovat i cizinci bez trvalého pobytu v ČR. Do počtu žáků středních škol se tedy též promítá míra migrace</w:t>
      </w:r>
      <w:r>
        <w:rPr>
          <w:rFonts w:ascii="Arial" w:hAnsi="Arial" w:cs="Arial"/>
          <w:sz w:val="18"/>
          <w:szCs w:val="18"/>
        </w:rPr>
        <w:t>, kterou graf 3.2 nezachycuje</w:t>
      </w:r>
      <w:r w:rsidRPr="006E5E0F">
        <w:rPr>
          <w:rFonts w:ascii="Arial" w:hAnsi="Arial" w:cs="Arial"/>
          <w:sz w:val="18"/>
          <w:szCs w:val="18"/>
        </w:rPr>
        <w:t>.</w:t>
      </w:r>
    </w:p>
  </w:footnote>
  <w:footnote w:id="35">
    <w:p w14:paraId="0BA08195" w14:textId="2142E670" w:rsidR="00A0215E" w:rsidRPr="00431664" w:rsidRDefault="00A0215E">
      <w:pPr>
        <w:pStyle w:val="Textpoznpodarou"/>
        <w:rPr>
          <w:rFonts w:ascii="Arial" w:hAnsi="Arial" w:cs="Arial"/>
          <w:sz w:val="18"/>
          <w:szCs w:val="18"/>
        </w:rPr>
      </w:pPr>
      <w:r>
        <w:rPr>
          <w:rStyle w:val="Znakapoznpodarou"/>
        </w:rPr>
        <w:footnoteRef/>
      </w:r>
      <w:r>
        <w:t xml:space="preserve"> </w:t>
      </w:r>
      <w:r w:rsidRPr="00431664">
        <w:rPr>
          <w:rFonts w:ascii="Arial" w:hAnsi="Arial" w:cs="Arial"/>
          <w:sz w:val="18"/>
          <w:szCs w:val="18"/>
        </w:rPr>
        <w:t xml:space="preserve">Česká republika má ve srovnání s jinými zeměmi EU jeden z nejvyšších podílů žáků v odborném vzdělávání.  Zejména však učňovské obory nejsou příliš atraktivní a vzdělává se v nich velký podíl žáků z horších socioekonomických poměrů (viz </w:t>
      </w:r>
      <w:hyperlink r:id="rId15" w:history="1">
        <w:r w:rsidRPr="00431664">
          <w:rPr>
            <w:rStyle w:val="Hypertextovodkaz"/>
            <w:rFonts w:ascii="Arial" w:eastAsia="Arial" w:hAnsi="Arial" w:cs="Arial"/>
            <w:sz w:val="18"/>
            <w:szCs w:val="18"/>
          </w:rPr>
          <w:t>https://idea.cerge-ei.cz/zpravy/spolecansky-status-ucnovskeho-vzdelavani-v-ceske-republice</w:t>
        </w:r>
      </w:hyperlink>
      <w:r w:rsidRPr="00431664">
        <w:rPr>
          <w:rFonts w:ascii="Arial" w:eastAsia="Arial" w:hAnsi="Arial" w:cs="Arial"/>
          <w:color w:val="000000"/>
          <w:sz w:val="18"/>
          <w:szCs w:val="18"/>
        </w:rPr>
        <w:t>)</w:t>
      </w:r>
      <w:r w:rsidRPr="00431664">
        <w:rPr>
          <w:rFonts w:ascii="Arial" w:hAnsi="Arial" w:cs="Arial"/>
          <w:sz w:val="18"/>
          <w:szCs w:val="18"/>
        </w:rPr>
        <w:t xml:space="preserve">. </w:t>
      </w:r>
      <w:r>
        <w:rPr>
          <w:rFonts w:ascii="Arial" w:hAnsi="Arial" w:cs="Arial"/>
          <w:sz w:val="18"/>
          <w:szCs w:val="18"/>
        </w:rPr>
        <w:t>Tito žáci si pak mohou doplnit maturitu v nástavbovém studiu. Nástavbové studium však zaznamenává dle dat Cermatu</w:t>
      </w:r>
      <w:r w:rsidRPr="00D65631">
        <w:rPr>
          <w:rFonts w:ascii="Arial" w:hAnsi="Arial" w:cs="Arial"/>
          <w:sz w:val="18"/>
          <w:szCs w:val="18"/>
        </w:rPr>
        <w:t xml:space="preserve"> </w:t>
      </w:r>
      <w:r>
        <w:rPr>
          <w:rFonts w:ascii="Arial" w:hAnsi="Arial" w:cs="Arial"/>
          <w:sz w:val="18"/>
          <w:szCs w:val="18"/>
        </w:rPr>
        <w:t xml:space="preserve">ze </w:t>
      </w:r>
      <w:r w:rsidRPr="00D65631">
        <w:rPr>
          <w:rFonts w:ascii="Arial" w:hAnsi="Arial" w:cs="Arial"/>
          <w:sz w:val="18"/>
          <w:szCs w:val="18"/>
        </w:rPr>
        <w:t>všech druh</w:t>
      </w:r>
      <w:r>
        <w:rPr>
          <w:rFonts w:ascii="Arial" w:hAnsi="Arial" w:cs="Arial"/>
          <w:sz w:val="18"/>
          <w:szCs w:val="18"/>
        </w:rPr>
        <w:t>ů</w:t>
      </w:r>
      <w:r w:rsidRPr="00D65631">
        <w:rPr>
          <w:rFonts w:ascii="Arial" w:hAnsi="Arial" w:cs="Arial"/>
          <w:sz w:val="18"/>
          <w:szCs w:val="18"/>
        </w:rPr>
        <w:t xml:space="preserve"> vzdělávání nejnižší úspěšnost</w:t>
      </w:r>
      <w:r>
        <w:rPr>
          <w:rFonts w:ascii="Arial" w:hAnsi="Arial" w:cs="Arial"/>
          <w:sz w:val="18"/>
          <w:szCs w:val="18"/>
        </w:rPr>
        <w:t xml:space="preserve"> složení závěrečné zkoušky</w:t>
      </w:r>
      <w:r w:rsidRPr="00D65631">
        <w:rPr>
          <w:rFonts w:ascii="Arial" w:hAnsi="Arial" w:cs="Arial"/>
          <w:sz w:val="18"/>
          <w:szCs w:val="18"/>
        </w:rPr>
        <w:t xml:space="preserve">, viz zde: </w:t>
      </w:r>
      <w:hyperlink r:id="rId16" w:history="1">
        <w:r w:rsidRPr="00FB561D">
          <w:rPr>
            <w:rStyle w:val="Hypertextovodkaz"/>
            <w:rFonts w:ascii="Arial" w:hAnsi="Arial" w:cs="Arial"/>
            <w:sz w:val="18"/>
            <w:szCs w:val="18"/>
          </w:rPr>
          <w:t>https://data.cermat.cz/files/files/2022/MZ/MZ13-22_DIDAKTICKE_TESTY_signalni_vysledky.pdf</w:t>
        </w:r>
      </w:hyperlink>
      <w:r>
        <w:rPr>
          <w:rFonts w:ascii="Arial" w:hAnsi="Arial" w:cs="Arial"/>
          <w:sz w:val="18"/>
          <w:szCs w:val="18"/>
        </w:rPr>
        <w:t xml:space="preserve">. </w:t>
      </w:r>
      <w:r w:rsidRPr="00431664">
        <w:rPr>
          <w:rFonts w:ascii="Arial" w:hAnsi="Arial" w:cs="Arial"/>
          <w:sz w:val="18"/>
          <w:szCs w:val="18"/>
        </w:rPr>
        <w:t xml:space="preserve">Odborníci tak vedou debatu o tom, jak zajistit rovné šance pro všechny a </w:t>
      </w:r>
      <w:r>
        <w:rPr>
          <w:rFonts w:ascii="Arial" w:hAnsi="Arial" w:cs="Arial"/>
          <w:sz w:val="18"/>
          <w:szCs w:val="18"/>
        </w:rPr>
        <w:t>v jakém věku by mělo docházet</w:t>
      </w:r>
      <w:r w:rsidRPr="00431664">
        <w:rPr>
          <w:rFonts w:ascii="Arial" w:hAnsi="Arial" w:cs="Arial"/>
          <w:sz w:val="18"/>
          <w:szCs w:val="18"/>
        </w:rPr>
        <w:t xml:space="preserve"> k selekci vzdělávací (a potažmo profesní)</w:t>
      </w:r>
      <w:r>
        <w:rPr>
          <w:rFonts w:ascii="Arial" w:hAnsi="Arial" w:cs="Arial"/>
          <w:sz w:val="18"/>
          <w:szCs w:val="18"/>
        </w:rPr>
        <w:t xml:space="preserve"> dráhy žáků.</w:t>
      </w:r>
    </w:p>
  </w:footnote>
  <w:footnote w:id="36">
    <w:p w14:paraId="585B2810" w14:textId="032AA4B9" w:rsidR="00A0215E" w:rsidRPr="0091489A" w:rsidRDefault="00A0215E" w:rsidP="00FA7769">
      <w:pPr>
        <w:pStyle w:val="Textpoznpodarou"/>
        <w:rPr>
          <w:rFonts w:ascii="Arial" w:hAnsi="Arial" w:cs="Arial"/>
          <w:sz w:val="18"/>
          <w:szCs w:val="18"/>
        </w:rPr>
      </w:pPr>
      <w:r w:rsidRPr="0091489A">
        <w:rPr>
          <w:rStyle w:val="Znakapoznpodarou"/>
          <w:rFonts w:ascii="Arial" w:hAnsi="Arial" w:cs="Arial"/>
          <w:sz w:val="18"/>
          <w:szCs w:val="18"/>
        </w:rPr>
        <w:footnoteRef/>
      </w:r>
      <w:r w:rsidRPr="0091489A">
        <w:rPr>
          <w:rFonts w:ascii="Arial" w:hAnsi="Arial" w:cs="Arial"/>
          <w:sz w:val="18"/>
          <w:szCs w:val="18"/>
        </w:rPr>
        <w:t xml:space="preserve"> více o této klasifikaci viz zde: </w:t>
      </w:r>
      <w:hyperlink r:id="rId17" w:history="1">
        <w:r w:rsidRPr="0091489A">
          <w:rPr>
            <w:rStyle w:val="Hypertextovodkaz"/>
            <w:rFonts w:ascii="Arial" w:hAnsi="Arial" w:cs="Arial"/>
            <w:sz w:val="18"/>
            <w:szCs w:val="18"/>
          </w:rPr>
          <w:t>www.czso.cz/csu/czso/klasifikace_kmenovych_oboru_vzdelani_-kkov-</w:t>
        </w:r>
      </w:hyperlink>
      <w:r w:rsidRPr="0091489A">
        <w:rPr>
          <w:rFonts w:ascii="Arial" w:hAnsi="Arial" w:cs="Arial"/>
          <w:sz w:val="18"/>
          <w:szCs w:val="18"/>
        </w:rPr>
        <w:t xml:space="preserve"> </w:t>
      </w:r>
    </w:p>
  </w:footnote>
  <w:footnote w:id="37">
    <w:p w14:paraId="1C9E3F9F" w14:textId="77777777" w:rsidR="00A0215E" w:rsidRPr="0091489A" w:rsidRDefault="00A0215E" w:rsidP="004B4219">
      <w:pPr>
        <w:pStyle w:val="Textpoznpodarou"/>
        <w:rPr>
          <w:rFonts w:ascii="Arial" w:hAnsi="Arial" w:cs="Arial"/>
          <w:sz w:val="18"/>
          <w:szCs w:val="18"/>
        </w:rPr>
      </w:pPr>
      <w:r w:rsidRPr="0091489A">
        <w:rPr>
          <w:rStyle w:val="Znakapoznpodarou"/>
          <w:rFonts w:ascii="Arial" w:hAnsi="Arial" w:cs="Arial"/>
          <w:sz w:val="18"/>
          <w:szCs w:val="18"/>
        </w:rPr>
        <w:footnoteRef/>
      </w:r>
      <w:r w:rsidRPr="0091489A">
        <w:rPr>
          <w:rFonts w:ascii="Arial" w:hAnsi="Arial" w:cs="Arial"/>
          <w:sz w:val="18"/>
          <w:szCs w:val="18"/>
        </w:rPr>
        <w:t xml:space="preserve"> Nové nařízení vlády č. 211/2010 Sb. nahrazuje dosavadní právní úpravu, obsaženou v nařízení vlády č. 689/2004 Sb., a současně zohledňuje změny v soustavě oborů vzdělání vyvolané realizací čtvrté, závěrečné etapy kurikulární reformy vzdělávací soustavy.</w:t>
      </w:r>
    </w:p>
  </w:footnote>
  <w:footnote w:id="38">
    <w:p w14:paraId="7E303BAC" w14:textId="6ECFBAF0" w:rsidR="00A0215E" w:rsidRPr="0091489A" w:rsidRDefault="00A0215E">
      <w:pPr>
        <w:pStyle w:val="Textpoznpodarou"/>
        <w:rPr>
          <w:rFonts w:ascii="Arial" w:hAnsi="Arial" w:cs="Arial"/>
          <w:sz w:val="18"/>
          <w:szCs w:val="18"/>
        </w:rPr>
      </w:pPr>
      <w:r w:rsidRPr="0091489A">
        <w:rPr>
          <w:rStyle w:val="Znakapoznpodarou"/>
          <w:rFonts w:ascii="Arial" w:hAnsi="Arial" w:cs="Arial"/>
          <w:sz w:val="18"/>
          <w:szCs w:val="18"/>
        </w:rPr>
        <w:footnoteRef/>
      </w:r>
      <w:r w:rsidRPr="0091489A">
        <w:rPr>
          <w:rFonts w:ascii="Arial" w:hAnsi="Arial" w:cs="Arial"/>
          <w:sz w:val="18"/>
          <w:szCs w:val="18"/>
        </w:rPr>
        <w:t xml:space="preserve"> V případě skupiny oborů gastronomie, hotelnictví a turismus je dobré poznamenat, že se nejedná o dopad pandemie na zájem o tuto skupinu oborů. Mezi školními roky 2010/11 a 2018/19 počet žáků každoročně klesal, a sice o 6 až 8,3 %. Mezi lety 2018/19 a 2020/21 byl stabilní (činil 14 až 14,1 tisíce žáků) a až ve školním roce 2021/22 opět poklesl o 715 žáků.</w:t>
      </w:r>
    </w:p>
  </w:footnote>
  <w:footnote w:id="39">
    <w:p w14:paraId="7862EB36" w14:textId="283999A2" w:rsidR="00A0215E" w:rsidRPr="006C46E7" w:rsidRDefault="00A0215E" w:rsidP="006C46E7">
      <w:pPr>
        <w:widowControl w:val="0"/>
        <w:pBdr>
          <w:top w:val="nil"/>
          <w:left w:val="nil"/>
          <w:bottom w:val="nil"/>
          <w:right w:val="nil"/>
          <w:between w:val="nil"/>
        </w:pBdr>
        <w:spacing w:after="0" w:line="240" w:lineRule="auto"/>
        <w:rPr>
          <w:rFonts w:eastAsia="Arial"/>
          <w:color w:val="000000"/>
          <w:sz w:val="18"/>
          <w:szCs w:val="18"/>
        </w:rPr>
      </w:pPr>
      <w:r>
        <w:rPr>
          <w:rStyle w:val="Znakapoznpodarou"/>
        </w:rPr>
        <w:footnoteRef/>
      </w:r>
      <w:r>
        <w:t xml:space="preserve"> </w:t>
      </w:r>
      <w:r w:rsidRPr="006C46E7">
        <w:rPr>
          <w:sz w:val="18"/>
          <w:szCs w:val="18"/>
        </w:rPr>
        <w:t xml:space="preserve">Možno srovnat s mírou nezaměstnanosti absolventů skupin oborů s výučním listem, viz zde: </w:t>
      </w:r>
      <w:hyperlink r:id="rId18" w:history="1">
        <w:r w:rsidR="00980A74" w:rsidRPr="005C3B30">
          <w:rPr>
            <w:rStyle w:val="Hypertextovodkaz"/>
            <w:rFonts w:eastAsia="Arial"/>
            <w:sz w:val="18"/>
            <w:szCs w:val="18"/>
          </w:rPr>
          <w:t>https://infoabsolvent.cz/Temata/PublikaceAbsolventi?Stranka=9-0-178&amp;NazevSeo=Nezamestnanost-absolventu-skol-se-strednim-a-</w:t>
        </w:r>
      </w:hyperlink>
      <w:r w:rsidR="00980A74">
        <w:rPr>
          <w:rFonts w:eastAsia="Arial"/>
          <w:color w:val="000000"/>
          <w:sz w:val="18"/>
          <w:szCs w:val="18"/>
        </w:rPr>
        <w:t xml:space="preserve"> </w:t>
      </w:r>
    </w:p>
  </w:footnote>
  <w:footnote w:id="40">
    <w:p w14:paraId="53EBE293" w14:textId="3C08C50C" w:rsidR="00A0215E" w:rsidRPr="00270AF2" w:rsidRDefault="00A0215E">
      <w:pPr>
        <w:pStyle w:val="Textpoznpodarou"/>
        <w:rPr>
          <w:rFonts w:ascii="Arial" w:hAnsi="Arial" w:cs="Arial"/>
          <w:sz w:val="18"/>
          <w:szCs w:val="18"/>
        </w:rPr>
      </w:pPr>
      <w:r w:rsidRPr="00270AF2">
        <w:rPr>
          <w:rStyle w:val="Znakapoznpodarou"/>
          <w:rFonts w:ascii="Arial" w:hAnsi="Arial" w:cs="Arial"/>
          <w:sz w:val="18"/>
          <w:szCs w:val="18"/>
        </w:rPr>
        <w:footnoteRef/>
      </w:r>
      <w:r w:rsidRPr="00270AF2">
        <w:rPr>
          <w:rFonts w:ascii="Arial" w:hAnsi="Arial" w:cs="Arial"/>
          <w:sz w:val="18"/>
          <w:szCs w:val="18"/>
        </w:rPr>
        <w:t xml:space="preserve"> Obdobně jako u středních škol s maturitní zkouškou, ani zde není pokles žáků v oborech ze skupiny gastronomie, hotelnictví a turismus způsoben epidemií onemocnění covid-19. Počet žáků klesal soustavně od školního roku 2010/11 až do školního roku 2019/20. Za poslední dva školní roky se naopak mírně zvýšil (celkově o 2,5 %).</w:t>
      </w:r>
    </w:p>
  </w:footnote>
  <w:footnote w:id="41">
    <w:p w14:paraId="4275B0A1" w14:textId="1C2BF80B" w:rsidR="00A0215E" w:rsidRPr="006C46E7" w:rsidRDefault="00A0215E">
      <w:pPr>
        <w:pStyle w:val="Textpoznpodarou"/>
        <w:rPr>
          <w:rFonts w:ascii="Arial" w:hAnsi="Arial" w:cs="Arial"/>
        </w:rPr>
      </w:pPr>
      <w:r>
        <w:rPr>
          <w:rStyle w:val="Znakapoznpodarou"/>
        </w:rPr>
        <w:footnoteRef/>
      </w:r>
      <w:r>
        <w:t xml:space="preserve"> </w:t>
      </w:r>
      <w:r w:rsidRPr="006C46E7">
        <w:rPr>
          <w:rFonts w:ascii="Arial" w:hAnsi="Arial" w:cs="Arial"/>
          <w:sz w:val="18"/>
          <w:szCs w:val="18"/>
        </w:rPr>
        <w:t xml:space="preserve">Možno srovnat s mírou nezaměstnanosti absolventů skupin oborů s maturitní zkouškou, viz zde: </w:t>
      </w:r>
      <w:hyperlink r:id="rId19" w:history="1">
        <w:r w:rsidR="00980A74" w:rsidRPr="005C3B30">
          <w:rPr>
            <w:rStyle w:val="Hypertextovodkaz"/>
            <w:rFonts w:ascii="Arial" w:eastAsia="Arial" w:hAnsi="Arial" w:cs="Arial"/>
            <w:sz w:val="18"/>
            <w:szCs w:val="18"/>
          </w:rPr>
          <w:t>https://infoabsolvent.cz/Temata/PublikaceAbsolventi?Stranka=9-0-178&amp;NazevSeo=Nezamestnanost-absolventu-skol-se-strednim-a-</w:t>
        </w:r>
      </w:hyperlink>
      <w:r w:rsidR="00980A74">
        <w:rPr>
          <w:rFonts w:ascii="Arial" w:eastAsia="Arial" w:hAnsi="Arial" w:cs="Arial"/>
          <w:color w:val="000000"/>
          <w:sz w:val="18"/>
          <w:szCs w:val="18"/>
        </w:rPr>
        <w:t xml:space="preserve"> </w:t>
      </w:r>
    </w:p>
  </w:footnote>
  <w:footnote w:id="42">
    <w:p w14:paraId="58AB1FE6" w14:textId="06D2AEAD" w:rsidR="00A0215E" w:rsidRPr="00270AF2" w:rsidRDefault="00A0215E" w:rsidP="002B1785">
      <w:pPr>
        <w:pStyle w:val="Textpoznpodarou"/>
        <w:rPr>
          <w:rFonts w:ascii="Arial" w:hAnsi="Arial" w:cs="Arial"/>
          <w:sz w:val="16"/>
          <w:szCs w:val="16"/>
        </w:rPr>
      </w:pPr>
      <w:r w:rsidRPr="00270AF2">
        <w:rPr>
          <w:rStyle w:val="Znakapoznpodarou"/>
          <w:rFonts w:ascii="Arial" w:hAnsi="Arial" w:cs="Arial"/>
          <w:sz w:val="18"/>
          <w:szCs w:val="18"/>
        </w:rPr>
        <w:footnoteRef/>
      </w:r>
      <w:r w:rsidRPr="00270AF2">
        <w:rPr>
          <w:rFonts w:ascii="Arial" w:hAnsi="Arial" w:cs="Arial"/>
          <w:sz w:val="18"/>
          <w:szCs w:val="18"/>
        </w:rPr>
        <w:t xml:space="preserve"> Snížení počtu žáků zaznamenaly vedle této skupiny oborů ještě skupina oborů kožedělná a obuvnická výroba a zpracování plastů (o 10 žáků) a hornictví, hutnictví a slévárenství (o 1 žáka).</w:t>
      </w:r>
      <w:r>
        <w:rPr>
          <w:rFonts w:ascii="Arial" w:hAnsi="Arial" w:cs="Arial"/>
          <w:sz w:val="18"/>
          <w:szCs w:val="18"/>
        </w:rPr>
        <w:t xml:space="preserve"> V ostatních skupinách oborů se počet žáků mezi posledními dvěma školními roky zvýšil. </w:t>
      </w:r>
    </w:p>
  </w:footnote>
  <w:footnote w:id="43">
    <w:p w14:paraId="3A8DFC07" w14:textId="77777777" w:rsidR="00A0215E" w:rsidRPr="0088001A" w:rsidRDefault="00A0215E" w:rsidP="00FA7769">
      <w:pPr>
        <w:pStyle w:val="Textpoznpodarou"/>
        <w:rPr>
          <w:rFonts w:ascii="Arial" w:hAnsi="Arial" w:cs="Arial"/>
          <w:sz w:val="18"/>
          <w:szCs w:val="18"/>
        </w:rPr>
      </w:pPr>
      <w:r w:rsidRPr="0088001A">
        <w:rPr>
          <w:rStyle w:val="Znakapoznpodarou"/>
          <w:rFonts w:ascii="Arial" w:hAnsi="Arial" w:cs="Arial"/>
          <w:sz w:val="18"/>
          <w:szCs w:val="18"/>
        </w:rPr>
        <w:footnoteRef/>
      </w:r>
      <w:r w:rsidRPr="0088001A">
        <w:rPr>
          <w:rFonts w:ascii="Arial" w:hAnsi="Arial" w:cs="Arial"/>
          <w:sz w:val="18"/>
          <w:szCs w:val="18"/>
        </w:rPr>
        <w:t xml:space="preserve"> Zahrnuje podnikání, administrativu, ekonomiku a management různých odvětví.</w:t>
      </w:r>
    </w:p>
  </w:footnote>
  <w:footnote w:id="44">
    <w:p w14:paraId="2A9B1F8D" w14:textId="4C3C3019" w:rsidR="00A0215E" w:rsidRPr="00A70867" w:rsidRDefault="00A0215E" w:rsidP="009C43F4">
      <w:pPr>
        <w:pStyle w:val="Textpoznpodarou"/>
        <w:rPr>
          <w:rFonts w:ascii="Arial" w:hAnsi="Arial" w:cs="Arial"/>
          <w:sz w:val="18"/>
          <w:szCs w:val="18"/>
        </w:rPr>
      </w:pPr>
      <w:r w:rsidRPr="00A70867">
        <w:rPr>
          <w:rStyle w:val="Znakapoznpodarou"/>
          <w:rFonts w:ascii="Arial" w:hAnsi="Arial" w:cs="Arial"/>
          <w:sz w:val="18"/>
          <w:szCs w:val="18"/>
        </w:rPr>
        <w:footnoteRef/>
      </w:r>
      <w:r w:rsidRPr="00A70867">
        <w:rPr>
          <w:rFonts w:ascii="Arial" w:hAnsi="Arial" w:cs="Arial"/>
          <w:sz w:val="18"/>
          <w:szCs w:val="18"/>
        </w:rPr>
        <w:t xml:space="preserve"> Za postižené více vadami se považuje dítě se dvěma nebo více druhy postižení, ze</w:t>
      </w:r>
      <w:r>
        <w:rPr>
          <w:rFonts w:ascii="Arial" w:hAnsi="Arial" w:cs="Arial"/>
          <w:sz w:val="18"/>
          <w:szCs w:val="18"/>
        </w:rPr>
        <w:t xml:space="preserve"> kterých by každé opravňovalo k </w:t>
      </w:r>
      <w:r w:rsidRPr="00A70867">
        <w:rPr>
          <w:rFonts w:ascii="Arial" w:hAnsi="Arial" w:cs="Arial"/>
          <w:sz w:val="18"/>
          <w:szCs w:val="18"/>
        </w:rPr>
        <w:t>poskytování podpůrných opatření ve vyšších stupních podpory.</w:t>
      </w:r>
    </w:p>
  </w:footnote>
  <w:footnote w:id="45">
    <w:p w14:paraId="33DD2C3A" w14:textId="77777777" w:rsidR="00A0215E" w:rsidRDefault="00A0215E" w:rsidP="00692076">
      <w:pPr>
        <w:pBdr>
          <w:top w:val="nil"/>
          <w:left w:val="nil"/>
          <w:bottom w:val="nil"/>
          <w:right w:val="nil"/>
          <w:between w:val="nil"/>
        </w:pBdr>
        <w:spacing w:after="0" w:line="240" w:lineRule="auto"/>
        <w:rPr>
          <w:rFonts w:eastAsia="Arial"/>
          <w:color w:val="000000"/>
          <w:sz w:val="18"/>
          <w:szCs w:val="18"/>
        </w:rPr>
      </w:pPr>
      <w:r>
        <w:rPr>
          <w:vertAlign w:val="superscript"/>
        </w:rPr>
        <w:footnoteRef/>
      </w:r>
      <w:r>
        <w:rPr>
          <w:rFonts w:eastAsia="Arial"/>
          <w:color w:val="000000"/>
          <w:sz w:val="18"/>
          <w:szCs w:val="18"/>
        </w:rPr>
        <w:t xml:space="preserve"> Viz např. zde: </w:t>
      </w:r>
      <w:hyperlink r:id="rId20">
        <w:r>
          <w:rPr>
            <w:rFonts w:eastAsia="Arial"/>
            <w:color w:val="0000FF"/>
            <w:sz w:val="18"/>
            <w:szCs w:val="18"/>
            <w:u w:val="single"/>
          </w:rPr>
          <w:t>https://www.czso.cz/csu/czso/prumerny-vek-zen-pri-narozeni-1-ditete-v-letech-1950-2019</w:t>
        </w:r>
      </w:hyperlink>
    </w:p>
  </w:footnote>
  <w:footnote w:id="46">
    <w:p w14:paraId="04B10257" w14:textId="5C90434F" w:rsidR="00A0215E" w:rsidRPr="00A70867" w:rsidRDefault="00A0215E">
      <w:pPr>
        <w:pStyle w:val="Textpoznpodarou"/>
        <w:rPr>
          <w:rFonts w:ascii="Arial" w:hAnsi="Arial" w:cs="Arial"/>
          <w:sz w:val="18"/>
          <w:szCs w:val="18"/>
        </w:rPr>
      </w:pPr>
      <w:r w:rsidRPr="00A70867">
        <w:rPr>
          <w:rStyle w:val="Znakapoznpodarou"/>
          <w:rFonts w:ascii="Arial" w:hAnsi="Arial" w:cs="Arial"/>
          <w:sz w:val="18"/>
          <w:szCs w:val="18"/>
        </w:rPr>
        <w:footnoteRef/>
      </w:r>
      <w:r w:rsidRPr="00A70867">
        <w:rPr>
          <w:rFonts w:ascii="Arial" w:hAnsi="Arial" w:cs="Arial"/>
          <w:sz w:val="18"/>
          <w:szCs w:val="18"/>
        </w:rPr>
        <w:t xml:space="preserve"> Stejně jako u nižších úrovní vzdělávání, i zde může velkou lohu hrát míra podpory. Je-li žákům s určitým druhem postižení přiznávána podpora (finanční, personální), pak je větší pravděpodobnost, že se dot</w:t>
      </w:r>
      <w:r w:rsidR="004F1EBD">
        <w:rPr>
          <w:rFonts w:ascii="Arial" w:hAnsi="Arial" w:cs="Arial"/>
          <w:sz w:val="18"/>
          <w:szCs w:val="18"/>
        </w:rPr>
        <w:t>yč</w:t>
      </w:r>
      <w:r w:rsidRPr="00A70867">
        <w:rPr>
          <w:rFonts w:ascii="Arial" w:hAnsi="Arial" w:cs="Arial"/>
          <w:sz w:val="18"/>
          <w:szCs w:val="18"/>
        </w:rPr>
        <w:t>ní rozhodnou zajít k odborníkovi a nechají žákům danou diagnózu potvrdit.</w:t>
      </w:r>
    </w:p>
  </w:footnote>
  <w:footnote w:id="47">
    <w:p w14:paraId="4BFBD781" w14:textId="357865B8" w:rsidR="00A0215E" w:rsidRPr="0091489A" w:rsidRDefault="00A0215E" w:rsidP="00FA7769">
      <w:pPr>
        <w:pStyle w:val="Textpoznpodarou"/>
        <w:rPr>
          <w:rFonts w:ascii="Arial" w:hAnsi="Arial" w:cs="Arial"/>
          <w:sz w:val="18"/>
          <w:szCs w:val="18"/>
        </w:rPr>
      </w:pPr>
      <w:r w:rsidRPr="0091489A">
        <w:rPr>
          <w:rStyle w:val="Znakapoznpodarou"/>
          <w:rFonts w:ascii="Arial" w:hAnsi="Arial" w:cs="Arial"/>
          <w:sz w:val="18"/>
          <w:szCs w:val="18"/>
        </w:rPr>
        <w:footnoteRef/>
      </w:r>
      <w:r w:rsidRPr="0091489A">
        <w:rPr>
          <w:rFonts w:ascii="Arial" w:hAnsi="Arial" w:cs="Arial"/>
          <w:sz w:val="18"/>
          <w:szCs w:val="18"/>
        </w:rPr>
        <w:t xml:space="preserve"> V tabulkách této publikace jsou k dispozici i počty dívek a chlapců s jednotlivými druhy postižení a údaj, jaký podíl ze všech chlapců, resp. dívek má diagnostikované uvedené druhy postižení. Viz tabu</w:t>
      </w:r>
      <w:r w:rsidR="00233DA6">
        <w:rPr>
          <w:rFonts w:ascii="Arial" w:hAnsi="Arial" w:cs="Arial"/>
          <w:sz w:val="18"/>
          <w:szCs w:val="18"/>
        </w:rPr>
        <w:t>lky 3.1.22 a 3.1.23</w:t>
      </w:r>
      <w:r w:rsidRPr="0091489A">
        <w:rPr>
          <w:rFonts w:ascii="Arial" w:hAnsi="Arial" w:cs="Arial"/>
          <w:sz w:val="18"/>
          <w:szCs w:val="18"/>
        </w:rPr>
        <w:t>.</w:t>
      </w:r>
    </w:p>
  </w:footnote>
  <w:footnote w:id="48">
    <w:p w14:paraId="4DAA7C9D" w14:textId="38B93DA9" w:rsidR="00A0215E" w:rsidRDefault="00A0215E">
      <w:pPr>
        <w:pStyle w:val="Textpoznpodarou"/>
      </w:pPr>
      <w:r>
        <w:rPr>
          <w:rStyle w:val="Znakapoznpodarou"/>
        </w:rPr>
        <w:footnoteRef/>
      </w:r>
      <w:r>
        <w:t xml:space="preserve"> </w:t>
      </w:r>
      <w:r w:rsidRPr="00D80BF8">
        <w:rPr>
          <w:rFonts w:ascii="Arial" w:hAnsi="Arial" w:cs="Arial"/>
          <w:sz w:val="18"/>
          <w:szCs w:val="18"/>
        </w:rPr>
        <w:t>Školou je myšlen právní subjekt s jedním ředitelstvím, které může zahrnovat více odloučených pracovišť, jakož i více úrovní a druhů vzdělávání.</w:t>
      </w:r>
    </w:p>
  </w:footnote>
  <w:footnote w:id="49">
    <w:p w14:paraId="5AF7C71C" w14:textId="2565C9E0" w:rsidR="00A0215E" w:rsidRPr="0091489A" w:rsidRDefault="00A0215E" w:rsidP="00FA7769">
      <w:pPr>
        <w:pStyle w:val="Textpoznpodarou"/>
        <w:rPr>
          <w:rFonts w:ascii="Arial" w:hAnsi="Arial" w:cs="Arial"/>
          <w:sz w:val="18"/>
          <w:szCs w:val="18"/>
        </w:rPr>
      </w:pPr>
      <w:r w:rsidRPr="0091489A">
        <w:rPr>
          <w:rStyle w:val="Znakapoznpodarou"/>
          <w:rFonts w:ascii="Arial" w:hAnsi="Arial" w:cs="Arial"/>
          <w:sz w:val="18"/>
          <w:szCs w:val="18"/>
        </w:rPr>
        <w:footnoteRef/>
      </w:r>
      <w:r w:rsidRPr="0091489A">
        <w:rPr>
          <w:rFonts w:ascii="Arial" w:hAnsi="Arial" w:cs="Arial"/>
          <w:sz w:val="18"/>
          <w:szCs w:val="18"/>
        </w:rPr>
        <w:t xml:space="preserve"> </w:t>
      </w:r>
      <w:r w:rsidRPr="00692076">
        <w:rPr>
          <w:rFonts w:ascii="Arial" w:hAnsi="Arial" w:cs="Arial"/>
          <w:sz w:val="18"/>
          <w:szCs w:val="18"/>
        </w:rPr>
        <w:t xml:space="preserve">Podle klasifikace ISCED se vzdělávání na mezinárodní úrovni dělí na vzdělávání v raném dětství (ISCED 0), primární vzdělávání (ISCED 1), nižší sekundární vzdělávání (ISCED 2), vyšší sekundární vzdělávání (ISCED 3), postsekundární neterciární vzdělávání (ISCED 4), krátký cyklus terciárního vzdělávání (ISCED 5) </w:t>
      </w:r>
      <w:r w:rsidR="00631A36">
        <w:rPr>
          <w:rFonts w:ascii="Arial" w:hAnsi="Arial" w:cs="Arial"/>
          <w:sz w:val="18"/>
          <w:szCs w:val="18"/>
        </w:rPr>
        <w:t>a terciární vzdělávání (ISCED 6–</w:t>
      </w:r>
      <w:r w:rsidRPr="00692076">
        <w:rPr>
          <w:rFonts w:ascii="Arial" w:hAnsi="Arial" w:cs="Arial"/>
          <w:sz w:val="18"/>
          <w:szCs w:val="18"/>
        </w:rPr>
        <w:t xml:space="preserve">8). Více viz zde: </w:t>
      </w:r>
      <w:hyperlink r:id="rId21" w:history="1">
        <w:r w:rsidRPr="00692076">
          <w:rPr>
            <w:rStyle w:val="Hypertextovodkaz"/>
            <w:rFonts w:ascii="Arial" w:hAnsi="Arial" w:cs="Arial"/>
            <w:sz w:val="18"/>
            <w:szCs w:val="18"/>
          </w:rPr>
          <w:t>https://www.czso.cz/csu/czso/klasifikace_vzdelani_cz_isced_2011</w:t>
        </w:r>
      </w:hyperlink>
      <w:r w:rsidRPr="00692076">
        <w:rPr>
          <w:rFonts w:ascii="Arial" w:hAnsi="Arial" w:cs="Arial"/>
          <w:sz w:val="18"/>
          <w:szCs w:val="18"/>
        </w:rPr>
        <w:t xml:space="preserve">. </w:t>
      </w:r>
      <w:r w:rsidRPr="00692076">
        <w:rPr>
          <w:rFonts w:ascii="Arial" w:eastAsia="Arial" w:hAnsi="Arial" w:cs="Arial"/>
          <w:color w:val="000000"/>
          <w:sz w:val="18"/>
          <w:szCs w:val="18"/>
        </w:rPr>
        <w:t xml:space="preserve">V současné době </w:t>
      </w:r>
      <w:r>
        <w:rPr>
          <w:rFonts w:ascii="Arial" w:eastAsia="Arial" w:hAnsi="Arial" w:cs="Arial"/>
          <w:color w:val="000000"/>
          <w:sz w:val="18"/>
          <w:szCs w:val="18"/>
        </w:rPr>
        <w:t xml:space="preserve">však </w:t>
      </w:r>
      <w:r w:rsidRPr="00692076">
        <w:rPr>
          <w:rFonts w:ascii="Arial" w:eastAsia="Arial" w:hAnsi="Arial" w:cs="Arial"/>
          <w:color w:val="000000"/>
          <w:sz w:val="18"/>
          <w:szCs w:val="18"/>
        </w:rPr>
        <w:t>probíhá na základě podnětu OECD debata o zpřesnění definici úrovně ISCED 6 kvůli rozdílnému p</w:t>
      </w:r>
      <w:r w:rsidR="00C719C3">
        <w:rPr>
          <w:rFonts w:ascii="Arial" w:eastAsia="Arial" w:hAnsi="Arial" w:cs="Arial"/>
          <w:color w:val="000000"/>
          <w:sz w:val="18"/>
          <w:szCs w:val="18"/>
        </w:rPr>
        <w:t>ojetí "bakalářských" programů v </w:t>
      </w:r>
      <w:r w:rsidRPr="00692076">
        <w:rPr>
          <w:rFonts w:ascii="Arial" w:eastAsia="Arial" w:hAnsi="Arial" w:cs="Arial"/>
          <w:color w:val="000000"/>
          <w:sz w:val="18"/>
          <w:szCs w:val="18"/>
        </w:rPr>
        <w:t xml:space="preserve">různých zemích, viz zde: </w:t>
      </w:r>
      <w:hyperlink r:id="rId22" w:anchor="section-d1e3848" w:history="1">
        <w:r w:rsidR="00980A74" w:rsidRPr="005C3B30">
          <w:rPr>
            <w:rStyle w:val="Hypertextovodkaz"/>
            <w:rFonts w:ascii="Arial" w:eastAsia="Arial" w:hAnsi="Arial" w:cs="Arial"/>
            <w:sz w:val="18"/>
            <w:szCs w:val="18"/>
          </w:rPr>
          <w:t>www.oecd-ilibrary.org/sites/a81152f4-en/1/3/1/index.html?itemId=/content/publication/a81152f4-en&amp;_csp_=6b3f27abfd94c3159a3215a6acc9141b&amp;itemIGO=oecd&amp;itemContentType=book#section-d1e3848</w:t>
        </w:r>
      </w:hyperlink>
      <w:r w:rsidR="00980A74">
        <w:rPr>
          <w:rFonts w:ascii="Arial" w:eastAsia="Arial" w:hAnsi="Arial" w:cs="Arial"/>
          <w:color w:val="000000"/>
          <w:sz w:val="18"/>
          <w:szCs w:val="18"/>
        </w:rPr>
        <w:t xml:space="preserve"> </w:t>
      </w:r>
    </w:p>
  </w:footnote>
  <w:footnote w:id="50">
    <w:p w14:paraId="0E98A504" w14:textId="2E36BAA3" w:rsidR="00A0215E" w:rsidRDefault="00A0215E">
      <w:pPr>
        <w:pStyle w:val="Textpoznpodarou"/>
      </w:pPr>
      <w:r>
        <w:rPr>
          <w:rStyle w:val="Znakapoznpodarou"/>
        </w:rPr>
        <w:footnoteRef/>
      </w:r>
      <w:r>
        <w:t xml:space="preserve"> </w:t>
      </w:r>
      <w:r w:rsidRPr="00D80BF8">
        <w:rPr>
          <w:rFonts w:ascii="Arial" w:hAnsi="Arial" w:cs="Arial"/>
          <w:sz w:val="18"/>
          <w:szCs w:val="18"/>
        </w:rPr>
        <w:t>Školou je myšlen právní subjekt s jedním ředitelstvím, které může zahrnovat více odloučených pracovišť, jakož i více úrovní a druhů vzdělávání.</w:t>
      </w:r>
    </w:p>
  </w:footnote>
  <w:footnote w:id="51">
    <w:p w14:paraId="4083D19D" w14:textId="2B3BBDD8" w:rsidR="00A0215E" w:rsidRPr="00162DAF" w:rsidRDefault="00A0215E" w:rsidP="00162DAF">
      <w:pPr>
        <w:widowControl w:val="0"/>
        <w:pBdr>
          <w:top w:val="nil"/>
          <w:left w:val="nil"/>
          <w:bottom w:val="nil"/>
          <w:right w:val="nil"/>
          <w:between w:val="nil"/>
        </w:pBdr>
        <w:spacing w:after="0" w:line="240" w:lineRule="auto"/>
        <w:rPr>
          <w:rFonts w:eastAsia="Arial"/>
          <w:color w:val="000000"/>
          <w:sz w:val="18"/>
          <w:szCs w:val="18"/>
        </w:rPr>
      </w:pPr>
      <w:r>
        <w:rPr>
          <w:rStyle w:val="Znakapoznpodarou"/>
        </w:rPr>
        <w:footnoteRef/>
      </w:r>
      <w:r>
        <w:t xml:space="preserve"> </w:t>
      </w:r>
      <w:r w:rsidRPr="00162DAF">
        <w:rPr>
          <w:rFonts w:eastAsia="Arial"/>
          <w:color w:val="000000"/>
          <w:sz w:val="18"/>
          <w:szCs w:val="18"/>
        </w:rPr>
        <w:t>V budoucnu se může objevit trend redukce počtu VOŠ a jejich převedení na bakalářské obory vysokých škol, jak se nyní děje například na Vysočině kvůli sníženému zájmu studentů.</w:t>
      </w:r>
      <w:r>
        <w:rPr>
          <w:rFonts w:eastAsia="Arial"/>
          <w:color w:val="000000"/>
          <w:sz w:val="18"/>
          <w:szCs w:val="18"/>
        </w:rPr>
        <w:t>Viz zde:</w:t>
      </w:r>
    </w:p>
    <w:p w14:paraId="0041E40C" w14:textId="2E3A4B5D" w:rsidR="00A0215E" w:rsidRPr="00162DAF" w:rsidRDefault="00C719C3" w:rsidP="00162DAF">
      <w:pPr>
        <w:widowControl w:val="0"/>
        <w:pBdr>
          <w:top w:val="nil"/>
          <w:left w:val="nil"/>
          <w:bottom w:val="nil"/>
          <w:right w:val="nil"/>
          <w:between w:val="nil"/>
        </w:pBdr>
        <w:spacing w:after="0" w:line="240" w:lineRule="auto"/>
        <w:rPr>
          <w:rFonts w:eastAsia="Arial"/>
          <w:color w:val="000000"/>
          <w:sz w:val="18"/>
          <w:szCs w:val="18"/>
        </w:rPr>
      </w:pPr>
      <w:hyperlink r:id="rId23" w:history="1">
        <w:r w:rsidR="00980A74" w:rsidRPr="005C3B30">
          <w:rPr>
            <w:rStyle w:val="Hypertextovodkaz"/>
            <w:rFonts w:eastAsia="Arial"/>
            <w:sz w:val="18"/>
            <w:szCs w:val="18"/>
          </w:rPr>
          <w:t>www.idnes.cz/jihlava/zpravy/skola-vyssi-odborna-vysocina-vzdelavani-studium-podpora.A220428_662245_jihlava-zpravy_mv</w:t>
        </w:r>
      </w:hyperlink>
      <w:r w:rsidR="00980A74">
        <w:rPr>
          <w:rFonts w:eastAsia="Arial"/>
          <w:color w:val="000000"/>
          <w:sz w:val="18"/>
          <w:szCs w:val="18"/>
        </w:rPr>
        <w:t xml:space="preserve"> </w:t>
      </w:r>
    </w:p>
  </w:footnote>
  <w:footnote w:id="52">
    <w:p w14:paraId="59FAE154" w14:textId="174F2982" w:rsidR="00A0215E" w:rsidRDefault="00A0215E">
      <w:pPr>
        <w:pStyle w:val="Textpoznpodarou"/>
      </w:pPr>
      <w:r>
        <w:rPr>
          <w:rStyle w:val="Znakapoznpodarou"/>
        </w:rPr>
        <w:footnoteRef/>
      </w:r>
      <w:r>
        <w:t xml:space="preserve"> </w:t>
      </w:r>
      <w:r w:rsidRPr="006C46E7">
        <w:rPr>
          <w:rFonts w:ascii="Arial" w:hAnsi="Arial" w:cs="Arial"/>
          <w:sz w:val="18"/>
          <w:szCs w:val="18"/>
        </w:rPr>
        <w:t xml:space="preserve">Možno srovnat s mírou nezaměstnanosti absolventů skupin oborů vyučovaných na vyšších odborných školách, viz zde: </w:t>
      </w:r>
      <w:hyperlink r:id="rId24" w:history="1">
        <w:r w:rsidR="00980A74" w:rsidRPr="005C3B30">
          <w:rPr>
            <w:rStyle w:val="Hypertextovodkaz"/>
            <w:rFonts w:ascii="Arial" w:eastAsia="Arial" w:hAnsi="Arial" w:cs="Arial"/>
            <w:sz w:val="18"/>
            <w:szCs w:val="18"/>
          </w:rPr>
          <w:t>https://infoabsolvent.cz/Temata/PublikaceAbsolventi?Stranka=9-0-178&amp;NazevSeo=Nezamestnanost-absolventu-skol-se-strednim-a-</w:t>
        </w:r>
      </w:hyperlink>
      <w:r w:rsidR="00980A74">
        <w:rPr>
          <w:rFonts w:ascii="Arial" w:eastAsia="Arial" w:hAnsi="Arial" w:cs="Arial"/>
          <w:color w:val="000000"/>
          <w:sz w:val="18"/>
          <w:szCs w:val="18"/>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9C5BA4" w14:textId="77777777" w:rsidR="00A0215E" w:rsidRPr="005859FB" w:rsidRDefault="00A0215E" w:rsidP="005859FB">
    <w:pPr>
      <w:pStyle w:val="Zhlav"/>
    </w:pPr>
    <w:r>
      <w:t>Školy a školská zařízení</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901019" w14:textId="77777777" w:rsidR="00A0215E" w:rsidRPr="006F5416" w:rsidRDefault="00A0215E" w:rsidP="00937AE2">
    <w:pPr>
      <w:pStyle w:val="Zhlav"/>
    </w:pPr>
    <w:r>
      <w:t>Školy a školská zařízení</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307654" w14:textId="77777777" w:rsidR="00A0215E" w:rsidRDefault="00A0215E">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11.25pt;height:11.25pt" o:bullet="t">
        <v:imagedata r:id="rId1" o:title="msoFAAF"/>
      </v:shape>
    </w:pict>
  </w:numPicBullet>
  <w:abstractNum w:abstractNumId="0" w15:restartNumberingAfterBreak="0">
    <w:nsid w:val="FFFFFF7C"/>
    <w:multiLevelType w:val="singleLevel"/>
    <w:tmpl w:val="49CEEC4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EC69A9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37A1C9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B76230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6965B5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0DE276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C7AED3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68C5BA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7C8EEA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18AD8C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92032D4"/>
    <w:multiLevelType w:val="hybridMultilevel"/>
    <w:tmpl w:val="865A8EB2"/>
    <w:lvl w:ilvl="0" w:tplc="F68AA2AE">
      <w:start w:val="5"/>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58473A1"/>
    <w:multiLevelType w:val="hybridMultilevel"/>
    <w:tmpl w:val="7984410C"/>
    <w:lvl w:ilvl="0" w:tplc="3712003C">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378D4AED"/>
    <w:multiLevelType w:val="hybridMultilevel"/>
    <w:tmpl w:val="891EC26A"/>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48384A27"/>
    <w:multiLevelType w:val="hybridMultilevel"/>
    <w:tmpl w:val="1050503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4C581760"/>
    <w:multiLevelType w:val="hybridMultilevel"/>
    <w:tmpl w:val="CFEE972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633E18D8"/>
    <w:multiLevelType w:val="hybridMultilevel"/>
    <w:tmpl w:val="89806270"/>
    <w:lvl w:ilvl="0" w:tplc="578C2E40">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6" w15:restartNumberingAfterBreak="0">
    <w:nsid w:val="7353796B"/>
    <w:multiLevelType w:val="hybridMultilevel"/>
    <w:tmpl w:val="B86EC8CA"/>
    <w:lvl w:ilvl="0" w:tplc="04349362">
      <w:start w:val="3"/>
      <w:numFmt w:val="bullet"/>
      <w:lvlText w:val="-"/>
      <w:lvlJc w:val="left"/>
      <w:pPr>
        <w:ind w:left="720" w:hanging="360"/>
      </w:pPr>
      <w:rPr>
        <w:rFonts w:ascii="Calibri" w:eastAsiaTheme="minorHAnsi"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3"/>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1"/>
  </w:num>
  <w:num w:numId="13">
    <w:abstractNumId w:val="14"/>
  </w:num>
  <w:num w:numId="14">
    <w:abstractNumId w:val="16"/>
  </w:num>
  <w:num w:numId="15">
    <w:abstractNumId w:val="12"/>
  </w:num>
  <w:num w:numId="16">
    <w:abstractNumId w:val="10"/>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4"/>
  <w:defaultTabStop w:val="708"/>
  <w:hyphenationZone w:val="425"/>
  <w:evenAndOddHeaders/>
  <w:drawingGridHorizontalSpacing w:val="110"/>
  <w:displayHorizontalDrawingGridEvery w:val="2"/>
  <w:characterSpacingControl w:val="doNotCompress"/>
  <w:hdrShapeDefaults>
    <o:shapedefaults v:ext="edit" spidmax="2049">
      <o:colormru v:ext="edit" colors="#ecf4dd,#eaecee,#fcec0a,#fcecdb,#f1daf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7C12"/>
    <w:rsid w:val="0000209D"/>
    <w:rsid w:val="00002954"/>
    <w:rsid w:val="00002D74"/>
    <w:rsid w:val="000031F2"/>
    <w:rsid w:val="00004450"/>
    <w:rsid w:val="00004D5A"/>
    <w:rsid w:val="000050C6"/>
    <w:rsid w:val="000056D5"/>
    <w:rsid w:val="00007555"/>
    <w:rsid w:val="0000767A"/>
    <w:rsid w:val="00010702"/>
    <w:rsid w:val="00012274"/>
    <w:rsid w:val="00012510"/>
    <w:rsid w:val="000129C3"/>
    <w:rsid w:val="00013F31"/>
    <w:rsid w:val="00014499"/>
    <w:rsid w:val="00014F55"/>
    <w:rsid w:val="00016992"/>
    <w:rsid w:val="00017BDF"/>
    <w:rsid w:val="00017D11"/>
    <w:rsid w:val="00021636"/>
    <w:rsid w:val="000234D6"/>
    <w:rsid w:val="00023AA4"/>
    <w:rsid w:val="00023D29"/>
    <w:rsid w:val="00024EB8"/>
    <w:rsid w:val="000259A0"/>
    <w:rsid w:val="00026389"/>
    <w:rsid w:val="00031209"/>
    <w:rsid w:val="00031AE0"/>
    <w:rsid w:val="000322EF"/>
    <w:rsid w:val="00033EFE"/>
    <w:rsid w:val="00033FA8"/>
    <w:rsid w:val="00033FCD"/>
    <w:rsid w:val="0003595E"/>
    <w:rsid w:val="000367D8"/>
    <w:rsid w:val="00036C45"/>
    <w:rsid w:val="0003718B"/>
    <w:rsid w:val="00040343"/>
    <w:rsid w:val="0004121F"/>
    <w:rsid w:val="000413F5"/>
    <w:rsid w:val="00041CEC"/>
    <w:rsid w:val="000421D8"/>
    <w:rsid w:val="00042719"/>
    <w:rsid w:val="00043865"/>
    <w:rsid w:val="0004467E"/>
    <w:rsid w:val="000456A5"/>
    <w:rsid w:val="000459D5"/>
    <w:rsid w:val="00046372"/>
    <w:rsid w:val="00046430"/>
    <w:rsid w:val="0004694F"/>
    <w:rsid w:val="000473B9"/>
    <w:rsid w:val="0004758E"/>
    <w:rsid w:val="000512A3"/>
    <w:rsid w:val="00051EBB"/>
    <w:rsid w:val="000522E4"/>
    <w:rsid w:val="000532DE"/>
    <w:rsid w:val="00054851"/>
    <w:rsid w:val="0005583F"/>
    <w:rsid w:val="000564AE"/>
    <w:rsid w:val="00056F13"/>
    <w:rsid w:val="00056F30"/>
    <w:rsid w:val="000600CC"/>
    <w:rsid w:val="000610E1"/>
    <w:rsid w:val="00062EC5"/>
    <w:rsid w:val="00062F22"/>
    <w:rsid w:val="000631CF"/>
    <w:rsid w:val="00064844"/>
    <w:rsid w:val="000648BE"/>
    <w:rsid w:val="00064A90"/>
    <w:rsid w:val="00065051"/>
    <w:rsid w:val="0006559B"/>
    <w:rsid w:val="00065939"/>
    <w:rsid w:val="00065D55"/>
    <w:rsid w:val="00066F37"/>
    <w:rsid w:val="00070303"/>
    <w:rsid w:val="000712B3"/>
    <w:rsid w:val="00072D5C"/>
    <w:rsid w:val="00074945"/>
    <w:rsid w:val="00077BD2"/>
    <w:rsid w:val="00081DD4"/>
    <w:rsid w:val="00082393"/>
    <w:rsid w:val="0008263E"/>
    <w:rsid w:val="00082C19"/>
    <w:rsid w:val="00083744"/>
    <w:rsid w:val="00083E6D"/>
    <w:rsid w:val="0008474B"/>
    <w:rsid w:val="000851C8"/>
    <w:rsid w:val="00085395"/>
    <w:rsid w:val="00085FF4"/>
    <w:rsid w:val="00086A75"/>
    <w:rsid w:val="00087634"/>
    <w:rsid w:val="00087CAE"/>
    <w:rsid w:val="00087D9B"/>
    <w:rsid w:val="00087F2B"/>
    <w:rsid w:val="0009074B"/>
    <w:rsid w:val="000910EB"/>
    <w:rsid w:val="000917DE"/>
    <w:rsid w:val="000917FC"/>
    <w:rsid w:val="00091BCC"/>
    <w:rsid w:val="00091D15"/>
    <w:rsid w:val="00091E88"/>
    <w:rsid w:val="00092EDC"/>
    <w:rsid w:val="000974D1"/>
    <w:rsid w:val="0009799E"/>
    <w:rsid w:val="000A0794"/>
    <w:rsid w:val="000A1183"/>
    <w:rsid w:val="000A256D"/>
    <w:rsid w:val="000A3A2C"/>
    <w:rsid w:val="000A6708"/>
    <w:rsid w:val="000B1029"/>
    <w:rsid w:val="000B1FBB"/>
    <w:rsid w:val="000B238D"/>
    <w:rsid w:val="000B30FA"/>
    <w:rsid w:val="000B3675"/>
    <w:rsid w:val="000B3A31"/>
    <w:rsid w:val="000B4AD2"/>
    <w:rsid w:val="000B55B4"/>
    <w:rsid w:val="000B5943"/>
    <w:rsid w:val="000B6250"/>
    <w:rsid w:val="000B6A02"/>
    <w:rsid w:val="000B741A"/>
    <w:rsid w:val="000C12F5"/>
    <w:rsid w:val="000C14A1"/>
    <w:rsid w:val="000C2A76"/>
    <w:rsid w:val="000C2FE5"/>
    <w:rsid w:val="000C3380"/>
    <w:rsid w:val="000C3408"/>
    <w:rsid w:val="000C353B"/>
    <w:rsid w:val="000C49BD"/>
    <w:rsid w:val="000C61DB"/>
    <w:rsid w:val="000C6AFD"/>
    <w:rsid w:val="000C78D0"/>
    <w:rsid w:val="000D0F6D"/>
    <w:rsid w:val="000D421D"/>
    <w:rsid w:val="000D5637"/>
    <w:rsid w:val="000E0123"/>
    <w:rsid w:val="000E028D"/>
    <w:rsid w:val="000E257A"/>
    <w:rsid w:val="000E305F"/>
    <w:rsid w:val="000E6FBD"/>
    <w:rsid w:val="000F08DE"/>
    <w:rsid w:val="000F281C"/>
    <w:rsid w:val="000F2B5C"/>
    <w:rsid w:val="000F4153"/>
    <w:rsid w:val="000F42DB"/>
    <w:rsid w:val="000F4596"/>
    <w:rsid w:val="000F4C96"/>
    <w:rsid w:val="000F51EF"/>
    <w:rsid w:val="000F5CBB"/>
    <w:rsid w:val="000F5FF8"/>
    <w:rsid w:val="000F6286"/>
    <w:rsid w:val="00100F5C"/>
    <w:rsid w:val="00102C63"/>
    <w:rsid w:val="00102D0D"/>
    <w:rsid w:val="00103093"/>
    <w:rsid w:val="00103103"/>
    <w:rsid w:val="0010437D"/>
    <w:rsid w:val="00104C4C"/>
    <w:rsid w:val="00105E3B"/>
    <w:rsid w:val="00106FEC"/>
    <w:rsid w:val="001125B3"/>
    <w:rsid w:val="00112736"/>
    <w:rsid w:val="001130E6"/>
    <w:rsid w:val="00113341"/>
    <w:rsid w:val="0011559C"/>
    <w:rsid w:val="00120CA7"/>
    <w:rsid w:val="001210D7"/>
    <w:rsid w:val="0012192F"/>
    <w:rsid w:val="0012250C"/>
    <w:rsid w:val="00125D69"/>
    <w:rsid w:val="001301C4"/>
    <w:rsid w:val="00130ABD"/>
    <w:rsid w:val="001313EE"/>
    <w:rsid w:val="00131A45"/>
    <w:rsid w:val="001322DD"/>
    <w:rsid w:val="001325E0"/>
    <w:rsid w:val="001337D0"/>
    <w:rsid w:val="00133F68"/>
    <w:rsid w:val="00134C78"/>
    <w:rsid w:val="001350AD"/>
    <w:rsid w:val="001352DA"/>
    <w:rsid w:val="00135B02"/>
    <w:rsid w:val="00135B65"/>
    <w:rsid w:val="00135E64"/>
    <w:rsid w:val="001405FA"/>
    <w:rsid w:val="001425C3"/>
    <w:rsid w:val="001430AD"/>
    <w:rsid w:val="00143103"/>
    <w:rsid w:val="001437FE"/>
    <w:rsid w:val="00144CC4"/>
    <w:rsid w:val="001456D0"/>
    <w:rsid w:val="00147A96"/>
    <w:rsid w:val="00150D28"/>
    <w:rsid w:val="001526C3"/>
    <w:rsid w:val="00152CDD"/>
    <w:rsid w:val="001532A2"/>
    <w:rsid w:val="00154E7D"/>
    <w:rsid w:val="0015575E"/>
    <w:rsid w:val="00156D16"/>
    <w:rsid w:val="001603E4"/>
    <w:rsid w:val="00161404"/>
    <w:rsid w:val="00161691"/>
    <w:rsid w:val="0016256B"/>
    <w:rsid w:val="00162DAF"/>
    <w:rsid w:val="00163793"/>
    <w:rsid w:val="00165363"/>
    <w:rsid w:val="00167ED3"/>
    <w:rsid w:val="001706D6"/>
    <w:rsid w:val="001710FD"/>
    <w:rsid w:val="001714F2"/>
    <w:rsid w:val="00171A39"/>
    <w:rsid w:val="00171AB7"/>
    <w:rsid w:val="001720A3"/>
    <w:rsid w:val="00172128"/>
    <w:rsid w:val="00173F33"/>
    <w:rsid w:val="00175720"/>
    <w:rsid w:val="001764DA"/>
    <w:rsid w:val="00180AF0"/>
    <w:rsid w:val="00180B35"/>
    <w:rsid w:val="00180C3A"/>
    <w:rsid w:val="00181007"/>
    <w:rsid w:val="001810E3"/>
    <w:rsid w:val="0018265D"/>
    <w:rsid w:val="00182836"/>
    <w:rsid w:val="00184B08"/>
    <w:rsid w:val="00184DA9"/>
    <w:rsid w:val="00185010"/>
    <w:rsid w:val="001859DA"/>
    <w:rsid w:val="00190F5D"/>
    <w:rsid w:val="001921A2"/>
    <w:rsid w:val="001928AC"/>
    <w:rsid w:val="00192FD9"/>
    <w:rsid w:val="00193657"/>
    <w:rsid w:val="00193677"/>
    <w:rsid w:val="00196337"/>
    <w:rsid w:val="001A05D8"/>
    <w:rsid w:val="001A06C3"/>
    <w:rsid w:val="001A0A6E"/>
    <w:rsid w:val="001A3486"/>
    <w:rsid w:val="001A3AF5"/>
    <w:rsid w:val="001A4D56"/>
    <w:rsid w:val="001A4E80"/>
    <w:rsid w:val="001A552F"/>
    <w:rsid w:val="001A67BF"/>
    <w:rsid w:val="001A79B9"/>
    <w:rsid w:val="001B0FE4"/>
    <w:rsid w:val="001B1027"/>
    <w:rsid w:val="001B15CC"/>
    <w:rsid w:val="001B1637"/>
    <w:rsid w:val="001B267B"/>
    <w:rsid w:val="001B2768"/>
    <w:rsid w:val="001B2A54"/>
    <w:rsid w:val="001B2CA9"/>
    <w:rsid w:val="001B3110"/>
    <w:rsid w:val="001B373F"/>
    <w:rsid w:val="001B4729"/>
    <w:rsid w:val="001B4F24"/>
    <w:rsid w:val="001B5BEF"/>
    <w:rsid w:val="001B5D9B"/>
    <w:rsid w:val="001B6C09"/>
    <w:rsid w:val="001B760A"/>
    <w:rsid w:val="001B7D45"/>
    <w:rsid w:val="001C05CD"/>
    <w:rsid w:val="001C0B47"/>
    <w:rsid w:val="001C0E7F"/>
    <w:rsid w:val="001C2608"/>
    <w:rsid w:val="001C26E8"/>
    <w:rsid w:val="001C3868"/>
    <w:rsid w:val="001C7478"/>
    <w:rsid w:val="001C7C35"/>
    <w:rsid w:val="001C7D93"/>
    <w:rsid w:val="001C7E4C"/>
    <w:rsid w:val="001D00F3"/>
    <w:rsid w:val="001D0882"/>
    <w:rsid w:val="001D0E9E"/>
    <w:rsid w:val="001D2643"/>
    <w:rsid w:val="001D3014"/>
    <w:rsid w:val="001D3A55"/>
    <w:rsid w:val="001D3DF1"/>
    <w:rsid w:val="001D4165"/>
    <w:rsid w:val="001D492A"/>
    <w:rsid w:val="001D68B2"/>
    <w:rsid w:val="001D69DC"/>
    <w:rsid w:val="001D7EE6"/>
    <w:rsid w:val="001D7FE0"/>
    <w:rsid w:val="001E07F5"/>
    <w:rsid w:val="001E238F"/>
    <w:rsid w:val="001E3828"/>
    <w:rsid w:val="001E4332"/>
    <w:rsid w:val="001E5D08"/>
    <w:rsid w:val="001E6244"/>
    <w:rsid w:val="001E79C5"/>
    <w:rsid w:val="001F12FA"/>
    <w:rsid w:val="001F1388"/>
    <w:rsid w:val="001F1585"/>
    <w:rsid w:val="001F16D9"/>
    <w:rsid w:val="001F4158"/>
    <w:rsid w:val="001F4597"/>
    <w:rsid w:val="001F612F"/>
    <w:rsid w:val="001F6190"/>
    <w:rsid w:val="00200886"/>
    <w:rsid w:val="00201203"/>
    <w:rsid w:val="002013DA"/>
    <w:rsid w:val="002014A3"/>
    <w:rsid w:val="00202A2D"/>
    <w:rsid w:val="00202EB2"/>
    <w:rsid w:val="00203E1E"/>
    <w:rsid w:val="002041CD"/>
    <w:rsid w:val="00205D2D"/>
    <w:rsid w:val="00207344"/>
    <w:rsid w:val="00211120"/>
    <w:rsid w:val="00211611"/>
    <w:rsid w:val="002118B9"/>
    <w:rsid w:val="0021267E"/>
    <w:rsid w:val="00214ED2"/>
    <w:rsid w:val="00214F7C"/>
    <w:rsid w:val="00215001"/>
    <w:rsid w:val="0021603A"/>
    <w:rsid w:val="00216B72"/>
    <w:rsid w:val="00216DA0"/>
    <w:rsid w:val="00217C5B"/>
    <w:rsid w:val="002210BD"/>
    <w:rsid w:val="00221292"/>
    <w:rsid w:val="0022139E"/>
    <w:rsid w:val="002217B5"/>
    <w:rsid w:val="002220EC"/>
    <w:rsid w:val="00223B46"/>
    <w:rsid w:val="00223CFB"/>
    <w:rsid w:val="002252E0"/>
    <w:rsid w:val="002255F6"/>
    <w:rsid w:val="00226A91"/>
    <w:rsid w:val="00227766"/>
    <w:rsid w:val="00227850"/>
    <w:rsid w:val="00227A53"/>
    <w:rsid w:val="00230643"/>
    <w:rsid w:val="00230C6E"/>
    <w:rsid w:val="0023118E"/>
    <w:rsid w:val="00233109"/>
    <w:rsid w:val="00233137"/>
    <w:rsid w:val="00233DA6"/>
    <w:rsid w:val="00235806"/>
    <w:rsid w:val="00236443"/>
    <w:rsid w:val="00236C95"/>
    <w:rsid w:val="00236D42"/>
    <w:rsid w:val="002415B7"/>
    <w:rsid w:val="00241924"/>
    <w:rsid w:val="00241E94"/>
    <w:rsid w:val="002425D9"/>
    <w:rsid w:val="00243563"/>
    <w:rsid w:val="002436BA"/>
    <w:rsid w:val="00243B3A"/>
    <w:rsid w:val="00244A15"/>
    <w:rsid w:val="00247319"/>
    <w:rsid w:val="0024799E"/>
    <w:rsid w:val="00247FB4"/>
    <w:rsid w:val="00251922"/>
    <w:rsid w:val="002535BC"/>
    <w:rsid w:val="00253C0F"/>
    <w:rsid w:val="00254402"/>
    <w:rsid w:val="00255CD0"/>
    <w:rsid w:val="00256F7E"/>
    <w:rsid w:val="00257D71"/>
    <w:rsid w:val="002602E7"/>
    <w:rsid w:val="00261B88"/>
    <w:rsid w:val="00261FA0"/>
    <w:rsid w:val="00262B1F"/>
    <w:rsid w:val="0026319C"/>
    <w:rsid w:val="002633D1"/>
    <w:rsid w:val="00263D62"/>
    <w:rsid w:val="00263D67"/>
    <w:rsid w:val="002651FD"/>
    <w:rsid w:val="00265B9E"/>
    <w:rsid w:val="00270163"/>
    <w:rsid w:val="002709AC"/>
    <w:rsid w:val="00270AF2"/>
    <w:rsid w:val="00270D37"/>
    <w:rsid w:val="00271465"/>
    <w:rsid w:val="00271F00"/>
    <w:rsid w:val="0027456E"/>
    <w:rsid w:val="00275F01"/>
    <w:rsid w:val="002777BE"/>
    <w:rsid w:val="00280ACF"/>
    <w:rsid w:val="00280B02"/>
    <w:rsid w:val="00282237"/>
    <w:rsid w:val="00284002"/>
    <w:rsid w:val="0028505C"/>
    <w:rsid w:val="0028535B"/>
    <w:rsid w:val="00285412"/>
    <w:rsid w:val="002856DB"/>
    <w:rsid w:val="00287859"/>
    <w:rsid w:val="00287C53"/>
    <w:rsid w:val="00290CCE"/>
    <w:rsid w:val="0029203C"/>
    <w:rsid w:val="002921A5"/>
    <w:rsid w:val="00294E81"/>
    <w:rsid w:val="0029557F"/>
    <w:rsid w:val="002962CB"/>
    <w:rsid w:val="00296FD7"/>
    <w:rsid w:val="002A00BE"/>
    <w:rsid w:val="002A0636"/>
    <w:rsid w:val="002A138B"/>
    <w:rsid w:val="002A15DC"/>
    <w:rsid w:val="002A1622"/>
    <w:rsid w:val="002A16D4"/>
    <w:rsid w:val="002A230C"/>
    <w:rsid w:val="002A245C"/>
    <w:rsid w:val="002A2746"/>
    <w:rsid w:val="002A411C"/>
    <w:rsid w:val="002A548E"/>
    <w:rsid w:val="002B0758"/>
    <w:rsid w:val="002B1785"/>
    <w:rsid w:val="002B3A9F"/>
    <w:rsid w:val="002B4097"/>
    <w:rsid w:val="002B4DD5"/>
    <w:rsid w:val="002B5656"/>
    <w:rsid w:val="002B5BEA"/>
    <w:rsid w:val="002B636D"/>
    <w:rsid w:val="002B6B6E"/>
    <w:rsid w:val="002B7648"/>
    <w:rsid w:val="002B7DA7"/>
    <w:rsid w:val="002C111E"/>
    <w:rsid w:val="002C18C3"/>
    <w:rsid w:val="002C43BD"/>
    <w:rsid w:val="002C4B6C"/>
    <w:rsid w:val="002C5C25"/>
    <w:rsid w:val="002C60D3"/>
    <w:rsid w:val="002C6538"/>
    <w:rsid w:val="002C6907"/>
    <w:rsid w:val="002C78B4"/>
    <w:rsid w:val="002D0E59"/>
    <w:rsid w:val="002D182D"/>
    <w:rsid w:val="002D19C0"/>
    <w:rsid w:val="002D1B1C"/>
    <w:rsid w:val="002D1DE5"/>
    <w:rsid w:val="002D23AB"/>
    <w:rsid w:val="002D29A6"/>
    <w:rsid w:val="002D29BD"/>
    <w:rsid w:val="002D41B1"/>
    <w:rsid w:val="002D5FC9"/>
    <w:rsid w:val="002D612E"/>
    <w:rsid w:val="002D64AE"/>
    <w:rsid w:val="002D6E13"/>
    <w:rsid w:val="002D74C7"/>
    <w:rsid w:val="002E02A1"/>
    <w:rsid w:val="002E247C"/>
    <w:rsid w:val="002E26D6"/>
    <w:rsid w:val="002E2D1F"/>
    <w:rsid w:val="002E3CFA"/>
    <w:rsid w:val="002E3F80"/>
    <w:rsid w:val="002E4875"/>
    <w:rsid w:val="002E4E4C"/>
    <w:rsid w:val="002E5226"/>
    <w:rsid w:val="002E6D52"/>
    <w:rsid w:val="002F0C16"/>
    <w:rsid w:val="002F17ED"/>
    <w:rsid w:val="002F1BFB"/>
    <w:rsid w:val="002F3688"/>
    <w:rsid w:val="002F3B0B"/>
    <w:rsid w:val="002F41E8"/>
    <w:rsid w:val="002F47F1"/>
    <w:rsid w:val="002F558C"/>
    <w:rsid w:val="002F5A49"/>
    <w:rsid w:val="002F6C29"/>
    <w:rsid w:val="002F72C4"/>
    <w:rsid w:val="00302221"/>
    <w:rsid w:val="00302A46"/>
    <w:rsid w:val="00304771"/>
    <w:rsid w:val="00304AB8"/>
    <w:rsid w:val="003052D4"/>
    <w:rsid w:val="003064B9"/>
    <w:rsid w:val="00306AFC"/>
    <w:rsid w:val="00306C5B"/>
    <w:rsid w:val="003107F5"/>
    <w:rsid w:val="00312793"/>
    <w:rsid w:val="00313CE8"/>
    <w:rsid w:val="00314806"/>
    <w:rsid w:val="00314F7B"/>
    <w:rsid w:val="00316BB8"/>
    <w:rsid w:val="00316DF1"/>
    <w:rsid w:val="003179AB"/>
    <w:rsid w:val="003209D6"/>
    <w:rsid w:val="00321184"/>
    <w:rsid w:val="00321924"/>
    <w:rsid w:val="0032270C"/>
    <w:rsid w:val="0032326A"/>
    <w:rsid w:val="00323B86"/>
    <w:rsid w:val="00323E14"/>
    <w:rsid w:val="00324B63"/>
    <w:rsid w:val="00325C6E"/>
    <w:rsid w:val="00325F75"/>
    <w:rsid w:val="0032656E"/>
    <w:rsid w:val="00327CB2"/>
    <w:rsid w:val="00327CB6"/>
    <w:rsid w:val="0033084C"/>
    <w:rsid w:val="00331500"/>
    <w:rsid w:val="00331F80"/>
    <w:rsid w:val="00332190"/>
    <w:rsid w:val="003323A1"/>
    <w:rsid w:val="0033440D"/>
    <w:rsid w:val="003347EF"/>
    <w:rsid w:val="00337DB8"/>
    <w:rsid w:val="00340799"/>
    <w:rsid w:val="0034095F"/>
    <w:rsid w:val="00341D4B"/>
    <w:rsid w:val="00341E22"/>
    <w:rsid w:val="00344668"/>
    <w:rsid w:val="00345CBF"/>
    <w:rsid w:val="003462D9"/>
    <w:rsid w:val="003469A7"/>
    <w:rsid w:val="00350828"/>
    <w:rsid w:val="00350C8D"/>
    <w:rsid w:val="00351746"/>
    <w:rsid w:val="003518C1"/>
    <w:rsid w:val="0035303F"/>
    <w:rsid w:val="00354158"/>
    <w:rsid w:val="00354B7E"/>
    <w:rsid w:val="003572D9"/>
    <w:rsid w:val="00357A9C"/>
    <w:rsid w:val="00360C86"/>
    <w:rsid w:val="00361C42"/>
    <w:rsid w:val="003630D1"/>
    <w:rsid w:val="0036391F"/>
    <w:rsid w:val="00363E22"/>
    <w:rsid w:val="003657F3"/>
    <w:rsid w:val="00365CC1"/>
    <w:rsid w:val="00366D15"/>
    <w:rsid w:val="00367C55"/>
    <w:rsid w:val="00367EFD"/>
    <w:rsid w:val="00370F6F"/>
    <w:rsid w:val="0037191E"/>
    <w:rsid w:val="00371F82"/>
    <w:rsid w:val="0037313F"/>
    <w:rsid w:val="003731F2"/>
    <w:rsid w:val="00375A1E"/>
    <w:rsid w:val="0037628A"/>
    <w:rsid w:val="00376DED"/>
    <w:rsid w:val="00377D23"/>
    <w:rsid w:val="00380129"/>
    <w:rsid w:val="003818DC"/>
    <w:rsid w:val="00383B35"/>
    <w:rsid w:val="00384327"/>
    <w:rsid w:val="00384853"/>
    <w:rsid w:val="003849B1"/>
    <w:rsid w:val="00385324"/>
    <w:rsid w:val="00385CF8"/>
    <w:rsid w:val="00385D98"/>
    <w:rsid w:val="00385F7B"/>
    <w:rsid w:val="00386026"/>
    <w:rsid w:val="003865D4"/>
    <w:rsid w:val="00386648"/>
    <w:rsid w:val="00386913"/>
    <w:rsid w:val="0038765F"/>
    <w:rsid w:val="00390B55"/>
    <w:rsid w:val="003920E0"/>
    <w:rsid w:val="0039216A"/>
    <w:rsid w:val="00394935"/>
    <w:rsid w:val="003A0AD5"/>
    <w:rsid w:val="003A2B4D"/>
    <w:rsid w:val="003A3808"/>
    <w:rsid w:val="003A3897"/>
    <w:rsid w:val="003A3BF4"/>
    <w:rsid w:val="003A4117"/>
    <w:rsid w:val="003A4175"/>
    <w:rsid w:val="003A478C"/>
    <w:rsid w:val="003A4975"/>
    <w:rsid w:val="003A5525"/>
    <w:rsid w:val="003A6B38"/>
    <w:rsid w:val="003A7054"/>
    <w:rsid w:val="003A73ED"/>
    <w:rsid w:val="003A78F5"/>
    <w:rsid w:val="003B0994"/>
    <w:rsid w:val="003B3BDD"/>
    <w:rsid w:val="003B4194"/>
    <w:rsid w:val="003B41E7"/>
    <w:rsid w:val="003B5A32"/>
    <w:rsid w:val="003B6803"/>
    <w:rsid w:val="003B7A27"/>
    <w:rsid w:val="003C0201"/>
    <w:rsid w:val="003C1047"/>
    <w:rsid w:val="003C1626"/>
    <w:rsid w:val="003C210A"/>
    <w:rsid w:val="003C23F0"/>
    <w:rsid w:val="003C29D4"/>
    <w:rsid w:val="003C3490"/>
    <w:rsid w:val="003C60D5"/>
    <w:rsid w:val="003C670D"/>
    <w:rsid w:val="003C6725"/>
    <w:rsid w:val="003C72EB"/>
    <w:rsid w:val="003D002C"/>
    <w:rsid w:val="003D1AB2"/>
    <w:rsid w:val="003D1D17"/>
    <w:rsid w:val="003D1D86"/>
    <w:rsid w:val="003D2891"/>
    <w:rsid w:val="003D2C5E"/>
    <w:rsid w:val="003D3B6C"/>
    <w:rsid w:val="003D3E71"/>
    <w:rsid w:val="003D4408"/>
    <w:rsid w:val="003D475C"/>
    <w:rsid w:val="003D49C4"/>
    <w:rsid w:val="003D55A8"/>
    <w:rsid w:val="003D5685"/>
    <w:rsid w:val="003D6580"/>
    <w:rsid w:val="003D6920"/>
    <w:rsid w:val="003D75F8"/>
    <w:rsid w:val="003E1B34"/>
    <w:rsid w:val="003E399E"/>
    <w:rsid w:val="003E423A"/>
    <w:rsid w:val="003E4C91"/>
    <w:rsid w:val="003E544A"/>
    <w:rsid w:val="003E6406"/>
    <w:rsid w:val="003F00C0"/>
    <w:rsid w:val="003F03F3"/>
    <w:rsid w:val="003F042C"/>
    <w:rsid w:val="003F21C9"/>
    <w:rsid w:val="003F313C"/>
    <w:rsid w:val="003F32BA"/>
    <w:rsid w:val="003F4AD5"/>
    <w:rsid w:val="003F4B2C"/>
    <w:rsid w:val="003F551C"/>
    <w:rsid w:val="003F79D4"/>
    <w:rsid w:val="003F7CBF"/>
    <w:rsid w:val="003F7D23"/>
    <w:rsid w:val="0040115E"/>
    <w:rsid w:val="004021EF"/>
    <w:rsid w:val="004064C7"/>
    <w:rsid w:val="004064CE"/>
    <w:rsid w:val="00406BFC"/>
    <w:rsid w:val="004078AB"/>
    <w:rsid w:val="00407A3A"/>
    <w:rsid w:val="00407C13"/>
    <w:rsid w:val="00410638"/>
    <w:rsid w:val="004122AC"/>
    <w:rsid w:val="00412D31"/>
    <w:rsid w:val="004148A0"/>
    <w:rsid w:val="004148D5"/>
    <w:rsid w:val="0041531C"/>
    <w:rsid w:val="004154EA"/>
    <w:rsid w:val="00415C5A"/>
    <w:rsid w:val="0042049A"/>
    <w:rsid w:val="0042072E"/>
    <w:rsid w:val="004212A0"/>
    <w:rsid w:val="004217B2"/>
    <w:rsid w:val="00424838"/>
    <w:rsid w:val="004259A4"/>
    <w:rsid w:val="004277D2"/>
    <w:rsid w:val="004279CC"/>
    <w:rsid w:val="004312B1"/>
    <w:rsid w:val="0043159F"/>
    <w:rsid w:val="00431664"/>
    <w:rsid w:val="00432466"/>
    <w:rsid w:val="00432A58"/>
    <w:rsid w:val="004333D3"/>
    <w:rsid w:val="004340E2"/>
    <w:rsid w:val="00434617"/>
    <w:rsid w:val="0043524B"/>
    <w:rsid w:val="00435A4B"/>
    <w:rsid w:val="00435E99"/>
    <w:rsid w:val="004361CB"/>
    <w:rsid w:val="004370BF"/>
    <w:rsid w:val="00437F64"/>
    <w:rsid w:val="00440553"/>
    <w:rsid w:val="00440900"/>
    <w:rsid w:val="00441212"/>
    <w:rsid w:val="004414E2"/>
    <w:rsid w:val="00442BA0"/>
    <w:rsid w:val="00443055"/>
    <w:rsid w:val="00443FCB"/>
    <w:rsid w:val="004441A0"/>
    <w:rsid w:val="004452E3"/>
    <w:rsid w:val="00445EAB"/>
    <w:rsid w:val="00446283"/>
    <w:rsid w:val="00450719"/>
    <w:rsid w:val="00450D65"/>
    <w:rsid w:val="00451517"/>
    <w:rsid w:val="0045190F"/>
    <w:rsid w:val="004519A4"/>
    <w:rsid w:val="00453B74"/>
    <w:rsid w:val="00454D57"/>
    <w:rsid w:val="0045502E"/>
    <w:rsid w:val="00460FB3"/>
    <w:rsid w:val="004615E9"/>
    <w:rsid w:val="00465AD1"/>
    <w:rsid w:val="004674B4"/>
    <w:rsid w:val="004676AB"/>
    <w:rsid w:val="00467B66"/>
    <w:rsid w:val="0047094F"/>
    <w:rsid w:val="004710EF"/>
    <w:rsid w:val="00471995"/>
    <w:rsid w:val="00472920"/>
    <w:rsid w:val="00472C32"/>
    <w:rsid w:val="0047385C"/>
    <w:rsid w:val="00474C68"/>
    <w:rsid w:val="0047521B"/>
    <w:rsid w:val="004759BC"/>
    <w:rsid w:val="00476240"/>
    <w:rsid w:val="00476432"/>
    <w:rsid w:val="00476439"/>
    <w:rsid w:val="00476555"/>
    <w:rsid w:val="0047671E"/>
    <w:rsid w:val="0047735C"/>
    <w:rsid w:val="004776BC"/>
    <w:rsid w:val="004777C3"/>
    <w:rsid w:val="00480931"/>
    <w:rsid w:val="0048139F"/>
    <w:rsid w:val="00481E40"/>
    <w:rsid w:val="00482A74"/>
    <w:rsid w:val="00482D4C"/>
    <w:rsid w:val="0048304D"/>
    <w:rsid w:val="0048310F"/>
    <w:rsid w:val="004845F6"/>
    <w:rsid w:val="00484ECE"/>
    <w:rsid w:val="00485633"/>
    <w:rsid w:val="004859DF"/>
    <w:rsid w:val="00485E1A"/>
    <w:rsid w:val="004864B7"/>
    <w:rsid w:val="004868C1"/>
    <w:rsid w:val="004900FF"/>
    <w:rsid w:val="00490CE7"/>
    <w:rsid w:val="004915CB"/>
    <w:rsid w:val="004924DC"/>
    <w:rsid w:val="00493FB0"/>
    <w:rsid w:val="00494032"/>
    <w:rsid w:val="00494CE2"/>
    <w:rsid w:val="004A1095"/>
    <w:rsid w:val="004A14E4"/>
    <w:rsid w:val="004A29A0"/>
    <w:rsid w:val="004A2C68"/>
    <w:rsid w:val="004A3212"/>
    <w:rsid w:val="004A4CD3"/>
    <w:rsid w:val="004A61C5"/>
    <w:rsid w:val="004A6219"/>
    <w:rsid w:val="004A6769"/>
    <w:rsid w:val="004A77DF"/>
    <w:rsid w:val="004B1190"/>
    <w:rsid w:val="004B11C6"/>
    <w:rsid w:val="004B1417"/>
    <w:rsid w:val="004B257C"/>
    <w:rsid w:val="004B3710"/>
    <w:rsid w:val="004B4219"/>
    <w:rsid w:val="004B4398"/>
    <w:rsid w:val="004B4A61"/>
    <w:rsid w:val="004B55B7"/>
    <w:rsid w:val="004B5727"/>
    <w:rsid w:val="004B59BC"/>
    <w:rsid w:val="004B6468"/>
    <w:rsid w:val="004B6681"/>
    <w:rsid w:val="004B6906"/>
    <w:rsid w:val="004B7D50"/>
    <w:rsid w:val="004B7EF6"/>
    <w:rsid w:val="004C048E"/>
    <w:rsid w:val="004C0561"/>
    <w:rsid w:val="004C07FA"/>
    <w:rsid w:val="004C0AD8"/>
    <w:rsid w:val="004C171D"/>
    <w:rsid w:val="004C274B"/>
    <w:rsid w:val="004C384C"/>
    <w:rsid w:val="004C3867"/>
    <w:rsid w:val="004C4CD0"/>
    <w:rsid w:val="004C540F"/>
    <w:rsid w:val="004C5D51"/>
    <w:rsid w:val="004C70DC"/>
    <w:rsid w:val="004C737D"/>
    <w:rsid w:val="004D0211"/>
    <w:rsid w:val="004D0794"/>
    <w:rsid w:val="004D0963"/>
    <w:rsid w:val="004D17F6"/>
    <w:rsid w:val="004D1CCB"/>
    <w:rsid w:val="004D22C0"/>
    <w:rsid w:val="004D2910"/>
    <w:rsid w:val="004D2A8C"/>
    <w:rsid w:val="004D556B"/>
    <w:rsid w:val="004D5B7D"/>
    <w:rsid w:val="004D60D5"/>
    <w:rsid w:val="004E0056"/>
    <w:rsid w:val="004E0A54"/>
    <w:rsid w:val="004E346A"/>
    <w:rsid w:val="004E48DF"/>
    <w:rsid w:val="004E4B10"/>
    <w:rsid w:val="004E543C"/>
    <w:rsid w:val="004E5A65"/>
    <w:rsid w:val="004E66F1"/>
    <w:rsid w:val="004E6B07"/>
    <w:rsid w:val="004E6C86"/>
    <w:rsid w:val="004E79A9"/>
    <w:rsid w:val="004F06F5"/>
    <w:rsid w:val="004F092A"/>
    <w:rsid w:val="004F11A0"/>
    <w:rsid w:val="004F19A0"/>
    <w:rsid w:val="004F1B02"/>
    <w:rsid w:val="004F1EBD"/>
    <w:rsid w:val="004F33A0"/>
    <w:rsid w:val="004F6FD4"/>
    <w:rsid w:val="004F77D6"/>
    <w:rsid w:val="00500A8A"/>
    <w:rsid w:val="00504DF0"/>
    <w:rsid w:val="00505A3F"/>
    <w:rsid w:val="00505AEB"/>
    <w:rsid w:val="0050610D"/>
    <w:rsid w:val="00506AF6"/>
    <w:rsid w:val="00506B7E"/>
    <w:rsid w:val="00510068"/>
    <w:rsid w:val="00510840"/>
    <w:rsid w:val="005108C0"/>
    <w:rsid w:val="00511873"/>
    <w:rsid w:val="00512A2F"/>
    <w:rsid w:val="00513B7E"/>
    <w:rsid w:val="00515AD4"/>
    <w:rsid w:val="00515C74"/>
    <w:rsid w:val="00516090"/>
    <w:rsid w:val="005166A1"/>
    <w:rsid w:val="0052007E"/>
    <w:rsid w:val="00520319"/>
    <w:rsid w:val="005207AA"/>
    <w:rsid w:val="00521013"/>
    <w:rsid w:val="00522D7D"/>
    <w:rsid w:val="0052337A"/>
    <w:rsid w:val="005239EA"/>
    <w:rsid w:val="00525137"/>
    <w:rsid w:val="005251DD"/>
    <w:rsid w:val="005257ED"/>
    <w:rsid w:val="00525FFC"/>
    <w:rsid w:val="00526384"/>
    <w:rsid w:val="00526565"/>
    <w:rsid w:val="00527F80"/>
    <w:rsid w:val="005302AB"/>
    <w:rsid w:val="00530D76"/>
    <w:rsid w:val="00532CE7"/>
    <w:rsid w:val="00532E6A"/>
    <w:rsid w:val="0053324C"/>
    <w:rsid w:val="00533B1A"/>
    <w:rsid w:val="00534A28"/>
    <w:rsid w:val="00537086"/>
    <w:rsid w:val="005370C4"/>
    <w:rsid w:val="005372CF"/>
    <w:rsid w:val="00541508"/>
    <w:rsid w:val="00541BBF"/>
    <w:rsid w:val="005422E2"/>
    <w:rsid w:val="005432F2"/>
    <w:rsid w:val="00543A02"/>
    <w:rsid w:val="00545528"/>
    <w:rsid w:val="00545E45"/>
    <w:rsid w:val="005465CB"/>
    <w:rsid w:val="00550EA0"/>
    <w:rsid w:val="005524F6"/>
    <w:rsid w:val="00552D10"/>
    <w:rsid w:val="0055327E"/>
    <w:rsid w:val="005556E4"/>
    <w:rsid w:val="0055586A"/>
    <w:rsid w:val="0055599F"/>
    <w:rsid w:val="00556B98"/>
    <w:rsid w:val="00556D68"/>
    <w:rsid w:val="00557FDA"/>
    <w:rsid w:val="00560FD5"/>
    <w:rsid w:val="00561F02"/>
    <w:rsid w:val="0056217C"/>
    <w:rsid w:val="00562411"/>
    <w:rsid w:val="005647BF"/>
    <w:rsid w:val="00564AA1"/>
    <w:rsid w:val="00564B8A"/>
    <w:rsid w:val="005658FE"/>
    <w:rsid w:val="0056647F"/>
    <w:rsid w:val="00566C30"/>
    <w:rsid w:val="00566DB2"/>
    <w:rsid w:val="00567BF8"/>
    <w:rsid w:val="00567C89"/>
    <w:rsid w:val="00570A11"/>
    <w:rsid w:val="00570A93"/>
    <w:rsid w:val="00571E5F"/>
    <w:rsid w:val="0057364B"/>
    <w:rsid w:val="00573A3B"/>
    <w:rsid w:val="00574773"/>
    <w:rsid w:val="00576730"/>
    <w:rsid w:val="00581E84"/>
    <w:rsid w:val="00582B45"/>
    <w:rsid w:val="00582D45"/>
    <w:rsid w:val="00583FFD"/>
    <w:rsid w:val="00584360"/>
    <w:rsid w:val="00585357"/>
    <w:rsid w:val="005859FB"/>
    <w:rsid w:val="0058622A"/>
    <w:rsid w:val="00586579"/>
    <w:rsid w:val="005911BE"/>
    <w:rsid w:val="00591F79"/>
    <w:rsid w:val="00593152"/>
    <w:rsid w:val="0059439A"/>
    <w:rsid w:val="00594F9D"/>
    <w:rsid w:val="005956BF"/>
    <w:rsid w:val="005973F7"/>
    <w:rsid w:val="00597650"/>
    <w:rsid w:val="00597A4F"/>
    <w:rsid w:val="00597F44"/>
    <w:rsid w:val="005A10F2"/>
    <w:rsid w:val="005A16D1"/>
    <w:rsid w:val="005A1896"/>
    <w:rsid w:val="005A21E0"/>
    <w:rsid w:val="005A28FF"/>
    <w:rsid w:val="005A3DF8"/>
    <w:rsid w:val="005A4018"/>
    <w:rsid w:val="005A40F7"/>
    <w:rsid w:val="005A435A"/>
    <w:rsid w:val="005A4745"/>
    <w:rsid w:val="005A4DB5"/>
    <w:rsid w:val="005A5387"/>
    <w:rsid w:val="005A5549"/>
    <w:rsid w:val="005A5F01"/>
    <w:rsid w:val="005A7595"/>
    <w:rsid w:val="005A7DC6"/>
    <w:rsid w:val="005B0664"/>
    <w:rsid w:val="005B121D"/>
    <w:rsid w:val="005B2851"/>
    <w:rsid w:val="005B2ADE"/>
    <w:rsid w:val="005B5339"/>
    <w:rsid w:val="005B7266"/>
    <w:rsid w:val="005C00E4"/>
    <w:rsid w:val="005C06ED"/>
    <w:rsid w:val="005C0816"/>
    <w:rsid w:val="005C2B85"/>
    <w:rsid w:val="005C2C7C"/>
    <w:rsid w:val="005C5DF4"/>
    <w:rsid w:val="005C5FA9"/>
    <w:rsid w:val="005C6A99"/>
    <w:rsid w:val="005C78CC"/>
    <w:rsid w:val="005C7E65"/>
    <w:rsid w:val="005D0A47"/>
    <w:rsid w:val="005D1E23"/>
    <w:rsid w:val="005D213D"/>
    <w:rsid w:val="005D2CF3"/>
    <w:rsid w:val="005D2D0E"/>
    <w:rsid w:val="005D3B87"/>
    <w:rsid w:val="005D3C3F"/>
    <w:rsid w:val="005D5802"/>
    <w:rsid w:val="005D7890"/>
    <w:rsid w:val="005D7896"/>
    <w:rsid w:val="005E0D48"/>
    <w:rsid w:val="005E2B98"/>
    <w:rsid w:val="005E4C42"/>
    <w:rsid w:val="005E565A"/>
    <w:rsid w:val="005E5D8D"/>
    <w:rsid w:val="005E62C0"/>
    <w:rsid w:val="005E7C78"/>
    <w:rsid w:val="005E7F0B"/>
    <w:rsid w:val="005F21D1"/>
    <w:rsid w:val="005F3EB1"/>
    <w:rsid w:val="005F425D"/>
    <w:rsid w:val="005F5469"/>
    <w:rsid w:val="00600991"/>
    <w:rsid w:val="00601A76"/>
    <w:rsid w:val="00601B56"/>
    <w:rsid w:val="00601DBC"/>
    <w:rsid w:val="00602738"/>
    <w:rsid w:val="006033F3"/>
    <w:rsid w:val="00603B3F"/>
    <w:rsid w:val="00604307"/>
    <w:rsid w:val="0060487F"/>
    <w:rsid w:val="00604EAD"/>
    <w:rsid w:val="00605DA7"/>
    <w:rsid w:val="006068B6"/>
    <w:rsid w:val="00607517"/>
    <w:rsid w:val="006104FB"/>
    <w:rsid w:val="00610A6E"/>
    <w:rsid w:val="00610DCE"/>
    <w:rsid w:val="0061139F"/>
    <w:rsid w:val="006113F2"/>
    <w:rsid w:val="00611862"/>
    <w:rsid w:val="00612868"/>
    <w:rsid w:val="00612A2F"/>
    <w:rsid w:val="00612F79"/>
    <w:rsid w:val="006156B1"/>
    <w:rsid w:val="00615EAD"/>
    <w:rsid w:val="00616E05"/>
    <w:rsid w:val="00617310"/>
    <w:rsid w:val="00617559"/>
    <w:rsid w:val="006224A6"/>
    <w:rsid w:val="00622A88"/>
    <w:rsid w:val="00623816"/>
    <w:rsid w:val="00624093"/>
    <w:rsid w:val="00626B5A"/>
    <w:rsid w:val="00631A36"/>
    <w:rsid w:val="006323A4"/>
    <w:rsid w:val="0063288A"/>
    <w:rsid w:val="006328A5"/>
    <w:rsid w:val="00633690"/>
    <w:rsid w:val="00633BB4"/>
    <w:rsid w:val="00635B0D"/>
    <w:rsid w:val="0063655E"/>
    <w:rsid w:val="0063694F"/>
    <w:rsid w:val="00637C49"/>
    <w:rsid w:val="006401AF"/>
    <w:rsid w:val="006404A7"/>
    <w:rsid w:val="00640A36"/>
    <w:rsid w:val="00641312"/>
    <w:rsid w:val="00643F07"/>
    <w:rsid w:val="00644652"/>
    <w:rsid w:val="00644E4F"/>
    <w:rsid w:val="006451E4"/>
    <w:rsid w:val="00645B33"/>
    <w:rsid w:val="00647176"/>
    <w:rsid w:val="006474CA"/>
    <w:rsid w:val="0065031F"/>
    <w:rsid w:val="00651007"/>
    <w:rsid w:val="006516CB"/>
    <w:rsid w:val="00651766"/>
    <w:rsid w:val="00652057"/>
    <w:rsid w:val="006542B9"/>
    <w:rsid w:val="00654C2C"/>
    <w:rsid w:val="006554E1"/>
    <w:rsid w:val="00655A7E"/>
    <w:rsid w:val="0065797A"/>
    <w:rsid w:val="00657E87"/>
    <w:rsid w:val="00657FC5"/>
    <w:rsid w:val="006601F2"/>
    <w:rsid w:val="006602B2"/>
    <w:rsid w:val="00661A5F"/>
    <w:rsid w:val="0066204E"/>
    <w:rsid w:val="00663890"/>
    <w:rsid w:val="00664803"/>
    <w:rsid w:val="00664C80"/>
    <w:rsid w:val="00665BA4"/>
    <w:rsid w:val="00666763"/>
    <w:rsid w:val="00667954"/>
    <w:rsid w:val="006679B7"/>
    <w:rsid w:val="00667AF2"/>
    <w:rsid w:val="006710C9"/>
    <w:rsid w:val="00671A24"/>
    <w:rsid w:val="0067425E"/>
    <w:rsid w:val="0067441C"/>
    <w:rsid w:val="00674483"/>
    <w:rsid w:val="00674938"/>
    <w:rsid w:val="00674ADC"/>
    <w:rsid w:val="00674D89"/>
    <w:rsid w:val="00675844"/>
    <w:rsid w:val="00675A30"/>
    <w:rsid w:val="00675E37"/>
    <w:rsid w:val="00676AA2"/>
    <w:rsid w:val="00677072"/>
    <w:rsid w:val="0068051C"/>
    <w:rsid w:val="00680CF4"/>
    <w:rsid w:val="0068174E"/>
    <w:rsid w:val="00681DCE"/>
    <w:rsid w:val="006824C6"/>
    <w:rsid w:val="0068260E"/>
    <w:rsid w:val="00682FEB"/>
    <w:rsid w:val="00683F3C"/>
    <w:rsid w:val="00686382"/>
    <w:rsid w:val="00690DB2"/>
    <w:rsid w:val="00691399"/>
    <w:rsid w:val="00692076"/>
    <w:rsid w:val="00692667"/>
    <w:rsid w:val="0069347A"/>
    <w:rsid w:val="00693910"/>
    <w:rsid w:val="00694677"/>
    <w:rsid w:val="00695BEF"/>
    <w:rsid w:val="006964CE"/>
    <w:rsid w:val="0069706C"/>
    <w:rsid w:val="00697750"/>
    <w:rsid w:val="006977F6"/>
    <w:rsid w:val="00697A13"/>
    <w:rsid w:val="00697D69"/>
    <w:rsid w:val="006A071F"/>
    <w:rsid w:val="006A0E34"/>
    <w:rsid w:val="006A109C"/>
    <w:rsid w:val="006A140D"/>
    <w:rsid w:val="006A3A1C"/>
    <w:rsid w:val="006A3A46"/>
    <w:rsid w:val="006A574B"/>
    <w:rsid w:val="006A5807"/>
    <w:rsid w:val="006A6F1E"/>
    <w:rsid w:val="006A787D"/>
    <w:rsid w:val="006B155E"/>
    <w:rsid w:val="006B3132"/>
    <w:rsid w:val="006B344A"/>
    <w:rsid w:val="006B4D4F"/>
    <w:rsid w:val="006B5118"/>
    <w:rsid w:val="006B6F44"/>
    <w:rsid w:val="006B78D8"/>
    <w:rsid w:val="006B791E"/>
    <w:rsid w:val="006B7FF7"/>
    <w:rsid w:val="006C02D4"/>
    <w:rsid w:val="006C045E"/>
    <w:rsid w:val="006C113F"/>
    <w:rsid w:val="006C123E"/>
    <w:rsid w:val="006C1714"/>
    <w:rsid w:val="006C40B8"/>
    <w:rsid w:val="006C435E"/>
    <w:rsid w:val="006C46E7"/>
    <w:rsid w:val="006C48E4"/>
    <w:rsid w:val="006C56D4"/>
    <w:rsid w:val="006C6924"/>
    <w:rsid w:val="006C70CB"/>
    <w:rsid w:val="006C785B"/>
    <w:rsid w:val="006C7CA6"/>
    <w:rsid w:val="006D02AC"/>
    <w:rsid w:val="006D1923"/>
    <w:rsid w:val="006D1C4D"/>
    <w:rsid w:val="006D22F7"/>
    <w:rsid w:val="006D29E3"/>
    <w:rsid w:val="006D2F03"/>
    <w:rsid w:val="006D3D19"/>
    <w:rsid w:val="006D3E8A"/>
    <w:rsid w:val="006D4462"/>
    <w:rsid w:val="006D5470"/>
    <w:rsid w:val="006D551A"/>
    <w:rsid w:val="006D55DF"/>
    <w:rsid w:val="006D5AB7"/>
    <w:rsid w:val="006D61F6"/>
    <w:rsid w:val="006D64E2"/>
    <w:rsid w:val="006D6D8D"/>
    <w:rsid w:val="006D7525"/>
    <w:rsid w:val="006D774B"/>
    <w:rsid w:val="006E0507"/>
    <w:rsid w:val="006E0594"/>
    <w:rsid w:val="006E07FD"/>
    <w:rsid w:val="006E0B4B"/>
    <w:rsid w:val="006E0F4C"/>
    <w:rsid w:val="006E279A"/>
    <w:rsid w:val="006E2ADF"/>
    <w:rsid w:val="006E2B19"/>
    <w:rsid w:val="006E313B"/>
    <w:rsid w:val="006E32A1"/>
    <w:rsid w:val="006E4EA1"/>
    <w:rsid w:val="006E502F"/>
    <w:rsid w:val="006E54EC"/>
    <w:rsid w:val="006E5E0F"/>
    <w:rsid w:val="006E6395"/>
    <w:rsid w:val="006E63F2"/>
    <w:rsid w:val="006E6518"/>
    <w:rsid w:val="006E6D7E"/>
    <w:rsid w:val="006E702A"/>
    <w:rsid w:val="006E7356"/>
    <w:rsid w:val="006E73CC"/>
    <w:rsid w:val="006F0003"/>
    <w:rsid w:val="006F049A"/>
    <w:rsid w:val="006F07EA"/>
    <w:rsid w:val="006F12D8"/>
    <w:rsid w:val="006F2A2E"/>
    <w:rsid w:val="006F3A08"/>
    <w:rsid w:val="006F3F8E"/>
    <w:rsid w:val="006F4256"/>
    <w:rsid w:val="006F4DCF"/>
    <w:rsid w:val="006F5416"/>
    <w:rsid w:val="006F5D76"/>
    <w:rsid w:val="006F7137"/>
    <w:rsid w:val="00700BF3"/>
    <w:rsid w:val="007028C4"/>
    <w:rsid w:val="00703C14"/>
    <w:rsid w:val="00703E54"/>
    <w:rsid w:val="0070548C"/>
    <w:rsid w:val="00705C42"/>
    <w:rsid w:val="00705CCF"/>
    <w:rsid w:val="00706789"/>
    <w:rsid w:val="00706AD4"/>
    <w:rsid w:val="0070742B"/>
    <w:rsid w:val="007078E1"/>
    <w:rsid w:val="007140BE"/>
    <w:rsid w:val="007164A4"/>
    <w:rsid w:val="00716502"/>
    <w:rsid w:val="00716F56"/>
    <w:rsid w:val="00717F46"/>
    <w:rsid w:val="007211F5"/>
    <w:rsid w:val="0072209E"/>
    <w:rsid w:val="0072462E"/>
    <w:rsid w:val="0072483C"/>
    <w:rsid w:val="00725699"/>
    <w:rsid w:val="00725BB5"/>
    <w:rsid w:val="00725F62"/>
    <w:rsid w:val="00730047"/>
    <w:rsid w:val="00730183"/>
    <w:rsid w:val="00730AE8"/>
    <w:rsid w:val="00731B27"/>
    <w:rsid w:val="00733ACD"/>
    <w:rsid w:val="00736542"/>
    <w:rsid w:val="00737861"/>
    <w:rsid w:val="00737BFE"/>
    <w:rsid w:val="00737BFF"/>
    <w:rsid w:val="00741358"/>
    <w:rsid w:val="00741493"/>
    <w:rsid w:val="007417E5"/>
    <w:rsid w:val="00742C9A"/>
    <w:rsid w:val="007431D5"/>
    <w:rsid w:val="00743769"/>
    <w:rsid w:val="00746E70"/>
    <w:rsid w:val="00750D9B"/>
    <w:rsid w:val="00752180"/>
    <w:rsid w:val="00752CE6"/>
    <w:rsid w:val="007530E2"/>
    <w:rsid w:val="0075333A"/>
    <w:rsid w:val="00755202"/>
    <w:rsid w:val="00755D3A"/>
    <w:rsid w:val="007565CF"/>
    <w:rsid w:val="00756F12"/>
    <w:rsid w:val="007578D3"/>
    <w:rsid w:val="007609C6"/>
    <w:rsid w:val="007615EC"/>
    <w:rsid w:val="0076175D"/>
    <w:rsid w:val="00761B7D"/>
    <w:rsid w:val="0076309B"/>
    <w:rsid w:val="0076320E"/>
    <w:rsid w:val="00764F49"/>
    <w:rsid w:val="0076521E"/>
    <w:rsid w:val="00765856"/>
    <w:rsid w:val="007660BB"/>
    <w:rsid w:val="007661E9"/>
    <w:rsid w:val="007667B6"/>
    <w:rsid w:val="00766E66"/>
    <w:rsid w:val="0076714F"/>
    <w:rsid w:val="0076747E"/>
    <w:rsid w:val="00773731"/>
    <w:rsid w:val="00774213"/>
    <w:rsid w:val="00775132"/>
    <w:rsid w:val="00775DD3"/>
    <w:rsid w:val="00776169"/>
    <w:rsid w:val="00776527"/>
    <w:rsid w:val="00777DE0"/>
    <w:rsid w:val="00780EF1"/>
    <w:rsid w:val="00780F58"/>
    <w:rsid w:val="00781313"/>
    <w:rsid w:val="00781543"/>
    <w:rsid w:val="00781971"/>
    <w:rsid w:val="007822A7"/>
    <w:rsid w:val="007825CF"/>
    <w:rsid w:val="00783ABF"/>
    <w:rsid w:val="00784111"/>
    <w:rsid w:val="00784EA7"/>
    <w:rsid w:val="00786086"/>
    <w:rsid w:val="00786A92"/>
    <w:rsid w:val="0079044F"/>
    <w:rsid w:val="00790764"/>
    <w:rsid w:val="00790CE1"/>
    <w:rsid w:val="0079116F"/>
    <w:rsid w:val="00791CDB"/>
    <w:rsid w:val="0079254D"/>
    <w:rsid w:val="007925AD"/>
    <w:rsid w:val="00792798"/>
    <w:rsid w:val="00792912"/>
    <w:rsid w:val="00793462"/>
    <w:rsid w:val="00793731"/>
    <w:rsid w:val="00793BE9"/>
    <w:rsid w:val="00794071"/>
    <w:rsid w:val="0079432E"/>
    <w:rsid w:val="0079453C"/>
    <w:rsid w:val="0079466B"/>
    <w:rsid w:val="00794677"/>
    <w:rsid w:val="007963F4"/>
    <w:rsid w:val="0079704D"/>
    <w:rsid w:val="0079785C"/>
    <w:rsid w:val="007A00F0"/>
    <w:rsid w:val="007A123E"/>
    <w:rsid w:val="007A3120"/>
    <w:rsid w:val="007A3852"/>
    <w:rsid w:val="007A4559"/>
    <w:rsid w:val="007A502A"/>
    <w:rsid w:val="007A64BE"/>
    <w:rsid w:val="007A6A37"/>
    <w:rsid w:val="007A71E5"/>
    <w:rsid w:val="007A7C30"/>
    <w:rsid w:val="007B2325"/>
    <w:rsid w:val="007B352D"/>
    <w:rsid w:val="007B4B2D"/>
    <w:rsid w:val="007B5262"/>
    <w:rsid w:val="007B5543"/>
    <w:rsid w:val="007B6689"/>
    <w:rsid w:val="007B763E"/>
    <w:rsid w:val="007B7947"/>
    <w:rsid w:val="007B7EF6"/>
    <w:rsid w:val="007C1CF4"/>
    <w:rsid w:val="007C1D85"/>
    <w:rsid w:val="007C3D62"/>
    <w:rsid w:val="007C4476"/>
    <w:rsid w:val="007C5AD2"/>
    <w:rsid w:val="007C6E00"/>
    <w:rsid w:val="007C79C9"/>
    <w:rsid w:val="007D0F30"/>
    <w:rsid w:val="007D21BE"/>
    <w:rsid w:val="007D40DF"/>
    <w:rsid w:val="007D61D5"/>
    <w:rsid w:val="007D6964"/>
    <w:rsid w:val="007D747C"/>
    <w:rsid w:val="007E1DAD"/>
    <w:rsid w:val="007E2849"/>
    <w:rsid w:val="007E33A1"/>
    <w:rsid w:val="007E4968"/>
    <w:rsid w:val="007E579F"/>
    <w:rsid w:val="007E60A6"/>
    <w:rsid w:val="007E722A"/>
    <w:rsid w:val="007E7DA8"/>
    <w:rsid w:val="007E7E61"/>
    <w:rsid w:val="007F00E7"/>
    <w:rsid w:val="007F0845"/>
    <w:rsid w:val="007F0B36"/>
    <w:rsid w:val="007F0C1F"/>
    <w:rsid w:val="007F0EEA"/>
    <w:rsid w:val="007F2B29"/>
    <w:rsid w:val="007F3792"/>
    <w:rsid w:val="007F66C3"/>
    <w:rsid w:val="007F773C"/>
    <w:rsid w:val="007F7756"/>
    <w:rsid w:val="00800D34"/>
    <w:rsid w:val="008018C6"/>
    <w:rsid w:val="008026EB"/>
    <w:rsid w:val="00802E27"/>
    <w:rsid w:val="00803022"/>
    <w:rsid w:val="008033E5"/>
    <w:rsid w:val="00803E0A"/>
    <w:rsid w:val="008046E3"/>
    <w:rsid w:val="00805BAD"/>
    <w:rsid w:val="00806BB0"/>
    <w:rsid w:val="00807739"/>
    <w:rsid w:val="00807C82"/>
    <w:rsid w:val="008111F7"/>
    <w:rsid w:val="00811FCF"/>
    <w:rsid w:val="00812A2E"/>
    <w:rsid w:val="00815282"/>
    <w:rsid w:val="00815862"/>
    <w:rsid w:val="00816905"/>
    <w:rsid w:val="00820D0D"/>
    <w:rsid w:val="00821CC7"/>
    <w:rsid w:val="00821FF6"/>
    <w:rsid w:val="00822C4D"/>
    <w:rsid w:val="008237DA"/>
    <w:rsid w:val="00823EFB"/>
    <w:rsid w:val="00824828"/>
    <w:rsid w:val="008259F4"/>
    <w:rsid w:val="00825C0B"/>
    <w:rsid w:val="00825C4D"/>
    <w:rsid w:val="00825D36"/>
    <w:rsid w:val="00825E53"/>
    <w:rsid w:val="008262CE"/>
    <w:rsid w:val="0082649F"/>
    <w:rsid w:val="00830C39"/>
    <w:rsid w:val="0083143E"/>
    <w:rsid w:val="00831CDE"/>
    <w:rsid w:val="0083420B"/>
    <w:rsid w:val="00834304"/>
    <w:rsid w:val="00834FAA"/>
    <w:rsid w:val="00835C56"/>
    <w:rsid w:val="00836086"/>
    <w:rsid w:val="00836E96"/>
    <w:rsid w:val="00837655"/>
    <w:rsid w:val="008378ED"/>
    <w:rsid w:val="00837B49"/>
    <w:rsid w:val="00840090"/>
    <w:rsid w:val="00840579"/>
    <w:rsid w:val="00842F19"/>
    <w:rsid w:val="00843694"/>
    <w:rsid w:val="008439AD"/>
    <w:rsid w:val="00843E2C"/>
    <w:rsid w:val="008440A3"/>
    <w:rsid w:val="00844AFF"/>
    <w:rsid w:val="00844D3B"/>
    <w:rsid w:val="00844F6F"/>
    <w:rsid w:val="00845562"/>
    <w:rsid w:val="00846BFD"/>
    <w:rsid w:val="0084708F"/>
    <w:rsid w:val="00847787"/>
    <w:rsid w:val="008477C8"/>
    <w:rsid w:val="008479D6"/>
    <w:rsid w:val="0085114D"/>
    <w:rsid w:val="00852217"/>
    <w:rsid w:val="00852B7E"/>
    <w:rsid w:val="00852E72"/>
    <w:rsid w:val="008544AB"/>
    <w:rsid w:val="00855408"/>
    <w:rsid w:val="00855D26"/>
    <w:rsid w:val="00856AFE"/>
    <w:rsid w:val="00856D65"/>
    <w:rsid w:val="00856E24"/>
    <w:rsid w:val="008576E9"/>
    <w:rsid w:val="00857B9B"/>
    <w:rsid w:val="00861B41"/>
    <w:rsid w:val="00861F55"/>
    <w:rsid w:val="00862B65"/>
    <w:rsid w:val="00862E24"/>
    <w:rsid w:val="00863152"/>
    <w:rsid w:val="00863434"/>
    <w:rsid w:val="00863B35"/>
    <w:rsid w:val="00863C3F"/>
    <w:rsid w:val="00864BCD"/>
    <w:rsid w:val="00864CB6"/>
    <w:rsid w:val="00865E4C"/>
    <w:rsid w:val="008664AD"/>
    <w:rsid w:val="00866B8E"/>
    <w:rsid w:val="00867384"/>
    <w:rsid w:val="00867861"/>
    <w:rsid w:val="008701E4"/>
    <w:rsid w:val="0087080F"/>
    <w:rsid w:val="00870A7F"/>
    <w:rsid w:val="008716FA"/>
    <w:rsid w:val="008737D3"/>
    <w:rsid w:val="00874235"/>
    <w:rsid w:val="008749E0"/>
    <w:rsid w:val="00875626"/>
    <w:rsid w:val="00875A32"/>
    <w:rsid w:val="00876086"/>
    <w:rsid w:val="0087647D"/>
    <w:rsid w:val="0088001A"/>
    <w:rsid w:val="0088047D"/>
    <w:rsid w:val="0088120C"/>
    <w:rsid w:val="008814AF"/>
    <w:rsid w:val="00884DC5"/>
    <w:rsid w:val="00886C33"/>
    <w:rsid w:val="00886FB3"/>
    <w:rsid w:val="008873D4"/>
    <w:rsid w:val="008874BD"/>
    <w:rsid w:val="00890C63"/>
    <w:rsid w:val="0089106C"/>
    <w:rsid w:val="00891D6A"/>
    <w:rsid w:val="008938B0"/>
    <w:rsid w:val="00893E85"/>
    <w:rsid w:val="00894031"/>
    <w:rsid w:val="0089426A"/>
    <w:rsid w:val="00894AE9"/>
    <w:rsid w:val="008951EA"/>
    <w:rsid w:val="0089618C"/>
    <w:rsid w:val="00897362"/>
    <w:rsid w:val="00897878"/>
    <w:rsid w:val="00897D09"/>
    <w:rsid w:val="00897F49"/>
    <w:rsid w:val="00897FCC"/>
    <w:rsid w:val="008A2232"/>
    <w:rsid w:val="008A2DFF"/>
    <w:rsid w:val="008A509B"/>
    <w:rsid w:val="008A657D"/>
    <w:rsid w:val="008A662C"/>
    <w:rsid w:val="008A75BD"/>
    <w:rsid w:val="008B2D7F"/>
    <w:rsid w:val="008B2F9E"/>
    <w:rsid w:val="008B3029"/>
    <w:rsid w:val="008B3E2E"/>
    <w:rsid w:val="008B4825"/>
    <w:rsid w:val="008B57CF"/>
    <w:rsid w:val="008B6CBD"/>
    <w:rsid w:val="008B7B1C"/>
    <w:rsid w:val="008B7C02"/>
    <w:rsid w:val="008B7D2B"/>
    <w:rsid w:val="008C0049"/>
    <w:rsid w:val="008C069D"/>
    <w:rsid w:val="008C0E88"/>
    <w:rsid w:val="008C177C"/>
    <w:rsid w:val="008C3787"/>
    <w:rsid w:val="008C5D60"/>
    <w:rsid w:val="008C5E8B"/>
    <w:rsid w:val="008C61BA"/>
    <w:rsid w:val="008C70B1"/>
    <w:rsid w:val="008D130E"/>
    <w:rsid w:val="008D14F5"/>
    <w:rsid w:val="008D1E6A"/>
    <w:rsid w:val="008D2A16"/>
    <w:rsid w:val="008D4C38"/>
    <w:rsid w:val="008D6345"/>
    <w:rsid w:val="008D6C23"/>
    <w:rsid w:val="008D7F6C"/>
    <w:rsid w:val="008E0E9C"/>
    <w:rsid w:val="008E2325"/>
    <w:rsid w:val="008E2C57"/>
    <w:rsid w:val="008E31FF"/>
    <w:rsid w:val="008E6D38"/>
    <w:rsid w:val="008E6F06"/>
    <w:rsid w:val="008E7B8B"/>
    <w:rsid w:val="008F029B"/>
    <w:rsid w:val="008F15A4"/>
    <w:rsid w:val="008F3FC9"/>
    <w:rsid w:val="008F41A4"/>
    <w:rsid w:val="008F560C"/>
    <w:rsid w:val="008F585B"/>
    <w:rsid w:val="008F706B"/>
    <w:rsid w:val="008F711D"/>
    <w:rsid w:val="009003A8"/>
    <w:rsid w:val="00901010"/>
    <w:rsid w:val="00901750"/>
    <w:rsid w:val="00902500"/>
    <w:rsid w:val="00902A0A"/>
    <w:rsid w:val="00902EFF"/>
    <w:rsid w:val="00904A3E"/>
    <w:rsid w:val="00905358"/>
    <w:rsid w:val="00905623"/>
    <w:rsid w:val="00906401"/>
    <w:rsid w:val="00907168"/>
    <w:rsid w:val="009077D9"/>
    <w:rsid w:val="0091155E"/>
    <w:rsid w:val="009119E1"/>
    <w:rsid w:val="00912A92"/>
    <w:rsid w:val="009137FD"/>
    <w:rsid w:val="0091489A"/>
    <w:rsid w:val="009153A6"/>
    <w:rsid w:val="00916363"/>
    <w:rsid w:val="0091728D"/>
    <w:rsid w:val="0092016E"/>
    <w:rsid w:val="009204F9"/>
    <w:rsid w:val="00920B74"/>
    <w:rsid w:val="0092171C"/>
    <w:rsid w:val="0092180B"/>
    <w:rsid w:val="00921F14"/>
    <w:rsid w:val="0092269D"/>
    <w:rsid w:val="00924243"/>
    <w:rsid w:val="00924AC8"/>
    <w:rsid w:val="0092597A"/>
    <w:rsid w:val="009260ED"/>
    <w:rsid w:val="00927074"/>
    <w:rsid w:val="00927F1E"/>
    <w:rsid w:val="0093045A"/>
    <w:rsid w:val="00931216"/>
    <w:rsid w:val="00931E2D"/>
    <w:rsid w:val="00932443"/>
    <w:rsid w:val="00932CF9"/>
    <w:rsid w:val="009334D3"/>
    <w:rsid w:val="00933A78"/>
    <w:rsid w:val="00934CB7"/>
    <w:rsid w:val="00937AE2"/>
    <w:rsid w:val="009411BF"/>
    <w:rsid w:val="009413C3"/>
    <w:rsid w:val="0094427A"/>
    <w:rsid w:val="0094591D"/>
    <w:rsid w:val="00946C2B"/>
    <w:rsid w:val="0095105D"/>
    <w:rsid w:val="0095179C"/>
    <w:rsid w:val="00953BC7"/>
    <w:rsid w:val="00955ED8"/>
    <w:rsid w:val="0095613B"/>
    <w:rsid w:val="00956B96"/>
    <w:rsid w:val="00956FCF"/>
    <w:rsid w:val="00957206"/>
    <w:rsid w:val="00960451"/>
    <w:rsid w:val="00960A67"/>
    <w:rsid w:val="00961B51"/>
    <w:rsid w:val="00961D85"/>
    <w:rsid w:val="00962D52"/>
    <w:rsid w:val="00963599"/>
    <w:rsid w:val="00964897"/>
    <w:rsid w:val="0096524B"/>
    <w:rsid w:val="009666A6"/>
    <w:rsid w:val="00967556"/>
    <w:rsid w:val="009716B7"/>
    <w:rsid w:val="00971D2C"/>
    <w:rsid w:val="00973AB4"/>
    <w:rsid w:val="00973ED6"/>
    <w:rsid w:val="009746BF"/>
    <w:rsid w:val="00974923"/>
    <w:rsid w:val="00974C26"/>
    <w:rsid w:val="00980A74"/>
    <w:rsid w:val="00980D3D"/>
    <w:rsid w:val="00980E0D"/>
    <w:rsid w:val="009821A9"/>
    <w:rsid w:val="00983686"/>
    <w:rsid w:val="00983847"/>
    <w:rsid w:val="00984B93"/>
    <w:rsid w:val="00985CFA"/>
    <w:rsid w:val="00986217"/>
    <w:rsid w:val="00986E0F"/>
    <w:rsid w:val="00987317"/>
    <w:rsid w:val="009873D7"/>
    <w:rsid w:val="00987A30"/>
    <w:rsid w:val="009900AC"/>
    <w:rsid w:val="0099086B"/>
    <w:rsid w:val="00990AD8"/>
    <w:rsid w:val="009919D2"/>
    <w:rsid w:val="00992CF3"/>
    <w:rsid w:val="00994128"/>
    <w:rsid w:val="00994385"/>
    <w:rsid w:val="009943A7"/>
    <w:rsid w:val="0099493D"/>
    <w:rsid w:val="009968D6"/>
    <w:rsid w:val="0099746B"/>
    <w:rsid w:val="009A08D1"/>
    <w:rsid w:val="009A0F7E"/>
    <w:rsid w:val="009A1CAB"/>
    <w:rsid w:val="009A1F93"/>
    <w:rsid w:val="009A33AF"/>
    <w:rsid w:val="009A60D1"/>
    <w:rsid w:val="009A72FB"/>
    <w:rsid w:val="009B431C"/>
    <w:rsid w:val="009B5030"/>
    <w:rsid w:val="009B545D"/>
    <w:rsid w:val="009B54FC"/>
    <w:rsid w:val="009B63BB"/>
    <w:rsid w:val="009B682E"/>
    <w:rsid w:val="009B6FD3"/>
    <w:rsid w:val="009C161E"/>
    <w:rsid w:val="009C1750"/>
    <w:rsid w:val="009C1924"/>
    <w:rsid w:val="009C1BF6"/>
    <w:rsid w:val="009C2E29"/>
    <w:rsid w:val="009C43F4"/>
    <w:rsid w:val="009C5365"/>
    <w:rsid w:val="009C554B"/>
    <w:rsid w:val="009C58D3"/>
    <w:rsid w:val="009C719E"/>
    <w:rsid w:val="009C75AC"/>
    <w:rsid w:val="009D29B8"/>
    <w:rsid w:val="009D3312"/>
    <w:rsid w:val="009D384B"/>
    <w:rsid w:val="009D3ACD"/>
    <w:rsid w:val="009D465D"/>
    <w:rsid w:val="009D4B0B"/>
    <w:rsid w:val="009D5E94"/>
    <w:rsid w:val="009D6447"/>
    <w:rsid w:val="009D76C5"/>
    <w:rsid w:val="009E0C36"/>
    <w:rsid w:val="009E0D38"/>
    <w:rsid w:val="009E1E30"/>
    <w:rsid w:val="009E22C3"/>
    <w:rsid w:val="009E28B0"/>
    <w:rsid w:val="009E2B1F"/>
    <w:rsid w:val="009E34DE"/>
    <w:rsid w:val="009E3798"/>
    <w:rsid w:val="009E4708"/>
    <w:rsid w:val="009E47D2"/>
    <w:rsid w:val="009E4D9A"/>
    <w:rsid w:val="009E4F4B"/>
    <w:rsid w:val="009E5273"/>
    <w:rsid w:val="009E5353"/>
    <w:rsid w:val="009E5B0F"/>
    <w:rsid w:val="009E5DDB"/>
    <w:rsid w:val="009E6027"/>
    <w:rsid w:val="009E685E"/>
    <w:rsid w:val="009E7EBC"/>
    <w:rsid w:val="009F0181"/>
    <w:rsid w:val="009F0F9B"/>
    <w:rsid w:val="009F2DDE"/>
    <w:rsid w:val="009F420E"/>
    <w:rsid w:val="009F4311"/>
    <w:rsid w:val="009F4A16"/>
    <w:rsid w:val="009F4CA7"/>
    <w:rsid w:val="009F4FF3"/>
    <w:rsid w:val="009F5F1A"/>
    <w:rsid w:val="009F7060"/>
    <w:rsid w:val="009F77E6"/>
    <w:rsid w:val="00A007BE"/>
    <w:rsid w:val="00A01694"/>
    <w:rsid w:val="00A019D7"/>
    <w:rsid w:val="00A0215E"/>
    <w:rsid w:val="00A0237F"/>
    <w:rsid w:val="00A02C6B"/>
    <w:rsid w:val="00A04FF2"/>
    <w:rsid w:val="00A06ACB"/>
    <w:rsid w:val="00A07DDE"/>
    <w:rsid w:val="00A10D66"/>
    <w:rsid w:val="00A1213F"/>
    <w:rsid w:val="00A12895"/>
    <w:rsid w:val="00A13266"/>
    <w:rsid w:val="00A137DA"/>
    <w:rsid w:val="00A14114"/>
    <w:rsid w:val="00A153D6"/>
    <w:rsid w:val="00A16413"/>
    <w:rsid w:val="00A16AA6"/>
    <w:rsid w:val="00A16B2D"/>
    <w:rsid w:val="00A20649"/>
    <w:rsid w:val="00A21E7D"/>
    <w:rsid w:val="00A2281F"/>
    <w:rsid w:val="00A22821"/>
    <w:rsid w:val="00A22ADD"/>
    <w:rsid w:val="00A23943"/>
    <w:rsid w:val="00A23E43"/>
    <w:rsid w:val="00A23EB2"/>
    <w:rsid w:val="00A23EC6"/>
    <w:rsid w:val="00A2415A"/>
    <w:rsid w:val="00A2440B"/>
    <w:rsid w:val="00A24565"/>
    <w:rsid w:val="00A253BB"/>
    <w:rsid w:val="00A257A1"/>
    <w:rsid w:val="00A26719"/>
    <w:rsid w:val="00A26CAF"/>
    <w:rsid w:val="00A272D1"/>
    <w:rsid w:val="00A278D8"/>
    <w:rsid w:val="00A302E6"/>
    <w:rsid w:val="00A303E5"/>
    <w:rsid w:val="00A30F65"/>
    <w:rsid w:val="00A315CE"/>
    <w:rsid w:val="00A32242"/>
    <w:rsid w:val="00A32746"/>
    <w:rsid w:val="00A32AB8"/>
    <w:rsid w:val="00A3783A"/>
    <w:rsid w:val="00A418BC"/>
    <w:rsid w:val="00A44A95"/>
    <w:rsid w:val="00A46DE0"/>
    <w:rsid w:val="00A50D73"/>
    <w:rsid w:val="00A50F93"/>
    <w:rsid w:val="00A526A8"/>
    <w:rsid w:val="00A52CAD"/>
    <w:rsid w:val="00A53FC7"/>
    <w:rsid w:val="00A54049"/>
    <w:rsid w:val="00A549B5"/>
    <w:rsid w:val="00A55AD2"/>
    <w:rsid w:val="00A61F79"/>
    <w:rsid w:val="00A62CE1"/>
    <w:rsid w:val="00A6312A"/>
    <w:rsid w:val="00A63BD8"/>
    <w:rsid w:val="00A63DBF"/>
    <w:rsid w:val="00A63F9F"/>
    <w:rsid w:val="00A64358"/>
    <w:rsid w:val="00A651B7"/>
    <w:rsid w:val="00A65D20"/>
    <w:rsid w:val="00A65D75"/>
    <w:rsid w:val="00A6741E"/>
    <w:rsid w:val="00A675A2"/>
    <w:rsid w:val="00A675CE"/>
    <w:rsid w:val="00A67C12"/>
    <w:rsid w:val="00A70867"/>
    <w:rsid w:val="00A7163A"/>
    <w:rsid w:val="00A74F9F"/>
    <w:rsid w:val="00A75E40"/>
    <w:rsid w:val="00A760DA"/>
    <w:rsid w:val="00A77D1D"/>
    <w:rsid w:val="00A8049F"/>
    <w:rsid w:val="00A81F47"/>
    <w:rsid w:val="00A82704"/>
    <w:rsid w:val="00A83D70"/>
    <w:rsid w:val="00A8427E"/>
    <w:rsid w:val="00A84CFC"/>
    <w:rsid w:val="00A8566E"/>
    <w:rsid w:val="00A857C0"/>
    <w:rsid w:val="00A85952"/>
    <w:rsid w:val="00A87415"/>
    <w:rsid w:val="00A87568"/>
    <w:rsid w:val="00A87643"/>
    <w:rsid w:val="00A90149"/>
    <w:rsid w:val="00A905FD"/>
    <w:rsid w:val="00A918A5"/>
    <w:rsid w:val="00A9246D"/>
    <w:rsid w:val="00A93ECC"/>
    <w:rsid w:val="00A95388"/>
    <w:rsid w:val="00A970E0"/>
    <w:rsid w:val="00AA0BD9"/>
    <w:rsid w:val="00AA2850"/>
    <w:rsid w:val="00AA2996"/>
    <w:rsid w:val="00AA2A4B"/>
    <w:rsid w:val="00AA3CCD"/>
    <w:rsid w:val="00AA4283"/>
    <w:rsid w:val="00AA52BF"/>
    <w:rsid w:val="00AA559A"/>
    <w:rsid w:val="00AA5630"/>
    <w:rsid w:val="00AA6078"/>
    <w:rsid w:val="00AA765A"/>
    <w:rsid w:val="00AB070A"/>
    <w:rsid w:val="00AB0787"/>
    <w:rsid w:val="00AB0BD2"/>
    <w:rsid w:val="00AB1A99"/>
    <w:rsid w:val="00AB1C66"/>
    <w:rsid w:val="00AB2AF1"/>
    <w:rsid w:val="00AB5E95"/>
    <w:rsid w:val="00AB6565"/>
    <w:rsid w:val="00AB73B3"/>
    <w:rsid w:val="00AB7BDE"/>
    <w:rsid w:val="00AB7E90"/>
    <w:rsid w:val="00AC0E45"/>
    <w:rsid w:val="00AC1AA3"/>
    <w:rsid w:val="00AC39E7"/>
    <w:rsid w:val="00AC4B87"/>
    <w:rsid w:val="00AC7933"/>
    <w:rsid w:val="00AC7DE1"/>
    <w:rsid w:val="00AD19D1"/>
    <w:rsid w:val="00AD306C"/>
    <w:rsid w:val="00AD3C1C"/>
    <w:rsid w:val="00AD425D"/>
    <w:rsid w:val="00AD43A0"/>
    <w:rsid w:val="00AD4BEB"/>
    <w:rsid w:val="00AD4D36"/>
    <w:rsid w:val="00AD53D8"/>
    <w:rsid w:val="00AD5482"/>
    <w:rsid w:val="00AD68AD"/>
    <w:rsid w:val="00AD6B02"/>
    <w:rsid w:val="00AD6F93"/>
    <w:rsid w:val="00AD7CDF"/>
    <w:rsid w:val="00AE09B3"/>
    <w:rsid w:val="00AE13E3"/>
    <w:rsid w:val="00AE1A83"/>
    <w:rsid w:val="00AE2487"/>
    <w:rsid w:val="00AE37DE"/>
    <w:rsid w:val="00AE39B0"/>
    <w:rsid w:val="00AE6DBA"/>
    <w:rsid w:val="00AF332B"/>
    <w:rsid w:val="00AF50E3"/>
    <w:rsid w:val="00AF5EA5"/>
    <w:rsid w:val="00AF7377"/>
    <w:rsid w:val="00AF7A65"/>
    <w:rsid w:val="00B00913"/>
    <w:rsid w:val="00B01436"/>
    <w:rsid w:val="00B01593"/>
    <w:rsid w:val="00B04AE7"/>
    <w:rsid w:val="00B10827"/>
    <w:rsid w:val="00B10A4D"/>
    <w:rsid w:val="00B1170B"/>
    <w:rsid w:val="00B11E54"/>
    <w:rsid w:val="00B130C2"/>
    <w:rsid w:val="00B13743"/>
    <w:rsid w:val="00B1434A"/>
    <w:rsid w:val="00B16C12"/>
    <w:rsid w:val="00B17124"/>
    <w:rsid w:val="00B17B4A"/>
    <w:rsid w:val="00B17E71"/>
    <w:rsid w:val="00B17FDE"/>
    <w:rsid w:val="00B202AE"/>
    <w:rsid w:val="00B20843"/>
    <w:rsid w:val="00B224C2"/>
    <w:rsid w:val="00B22645"/>
    <w:rsid w:val="00B22B13"/>
    <w:rsid w:val="00B2346F"/>
    <w:rsid w:val="00B2379C"/>
    <w:rsid w:val="00B2426E"/>
    <w:rsid w:val="00B254E9"/>
    <w:rsid w:val="00B25AE7"/>
    <w:rsid w:val="00B2687D"/>
    <w:rsid w:val="00B26D77"/>
    <w:rsid w:val="00B270AD"/>
    <w:rsid w:val="00B2747E"/>
    <w:rsid w:val="00B277E5"/>
    <w:rsid w:val="00B30BF2"/>
    <w:rsid w:val="00B30D77"/>
    <w:rsid w:val="00B30FF3"/>
    <w:rsid w:val="00B319BF"/>
    <w:rsid w:val="00B322B8"/>
    <w:rsid w:val="00B32316"/>
    <w:rsid w:val="00B32DDB"/>
    <w:rsid w:val="00B34138"/>
    <w:rsid w:val="00B34528"/>
    <w:rsid w:val="00B35603"/>
    <w:rsid w:val="00B35EBA"/>
    <w:rsid w:val="00B375FB"/>
    <w:rsid w:val="00B37E7E"/>
    <w:rsid w:val="00B402FC"/>
    <w:rsid w:val="00B414E6"/>
    <w:rsid w:val="00B4167E"/>
    <w:rsid w:val="00B46604"/>
    <w:rsid w:val="00B46FAF"/>
    <w:rsid w:val="00B500F5"/>
    <w:rsid w:val="00B50212"/>
    <w:rsid w:val="00B530CD"/>
    <w:rsid w:val="00B5462B"/>
    <w:rsid w:val="00B546C2"/>
    <w:rsid w:val="00B55B2B"/>
    <w:rsid w:val="00B55F5E"/>
    <w:rsid w:val="00B5752E"/>
    <w:rsid w:val="00B57926"/>
    <w:rsid w:val="00B62DF6"/>
    <w:rsid w:val="00B63879"/>
    <w:rsid w:val="00B63A11"/>
    <w:rsid w:val="00B64393"/>
    <w:rsid w:val="00B64C24"/>
    <w:rsid w:val="00B64FC3"/>
    <w:rsid w:val="00B6608F"/>
    <w:rsid w:val="00B66E68"/>
    <w:rsid w:val="00B679FB"/>
    <w:rsid w:val="00B67F8E"/>
    <w:rsid w:val="00B705AA"/>
    <w:rsid w:val="00B710B4"/>
    <w:rsid w:val="00B735DA"/>
    <w:rsid w:val="00B74104"/>
    <w:rsid w:val="00B744C2"/>
    <w:rsid w:val="00B74518"/>
    <w:rsid w:val="00B74B8F"/>
    <w:rsid w:val="00B74F7C"/>
    <w:rsid w:val="00B75A6F"/>
    <w:rsid w:val="00B7617F"/>
    <w:rsid w:val="00B7631E"/>
    <w:rsid w:val="00B76D1E"/>
    <w:rsid w:val="00B7794F"/>
    <w:rsid w:val="00B80EC6"/>
    <w:rsid w:val="00B81138"/>
    <w:rsid w:val="00B827F5"/>
    <w:rsid w:val="00B83A3F"/>
    <w:rsid w:val="00B85002"/>
    <w:rsid w:val="00B85965"/>
    <w:rsid w:val="00B86080"/>
    <w:rsid w:val="00B8770C"/>
    <w:rsid w:val="00B9104B"/>
    <w:rsid w:val="00B9263A"/>
    <w:rsid w:val="00B92A24"/>
    <w:rsid w:val="00B92D1D"/>
    <w:rsid w:val="00B92E48"/>
    <w:rsid w:val="00B93526"/>
    <w:rsid w:val="00B938C5"/>
    <w:rsid w:val="00B941A5"/>
    <w:rsid w:val="00B94C0A"/>
    <w:rsid w:val="00B95940"/>
    <w:rsid w:val="00BA16F7"/>
    <w:rsid w:val="00BA33BD"/>
    <w:rsid w:val="00BA3BF9"/>
    <w:rsid w:val="00BA4060"/>
    <w:rsid w:val="00BA51C2"/>
    <w:rsid w:val="00BA62EE"/>
    <w:rsid w:val="00BA74FC"/>
    <w:rsid w:val="00BB073E"/>
    <w:rsid w:val="00BB3181"/>
    <w:rsid w:val="00BB46F3"/>
    <w:rsid w:val="00BB4CB1"/>
    <w:rsid w:val="00BB4F98"/>
    <w:rsid w:val="00BB5500"/>
    <w:rsid w:val="00BB5D0E"/>
    <w:rsid w:val="00BB79B0"/>
    <w:rsid w:val="00BB7E73"/>
    <w:rsid w:val="00BC05D1"/>
    <w:rsid w:val="00BC1EB9"/>
    <w:rsid w:val="00BC40EB"/>
    <w:rsid w:val="00BC47BA"/>
    <w:rsid w:val="00BC5623"/>
    <w:rsid w:val="00BC5BC4"/>
    <w:rsid w:val="00BC650D"/>
    <w:rsid w:val="00BC6B40"/>
    <w:rsid w:val="00BC6C8D"/>
    <w:rsid w:val="00BC7154"/>
    <w:rsid w:val="00BD0155"/>
    <w:rsid w:val="00BD12F7"/>
    <w:rsid w:val="00BD215A"/>
    <w:rsid w:val="00BD2217"/>
    <w:rsid w:val="00BD3339"/>
    <w:rsid w:val="00BD366B"/>
    <w:rsid w:val="00BD3D66"/>
    <w:rsid w:val="00BD3DB6"/>
    <w:rsid w:val="00BD536B"/>
    <w:rsid w:val="00BD6D50"/>
    <w:rsid w:val="00BD723D"/>
    <w:rsid w:val="00BE01A0"/>
    <w:rsid w:val="00BE0761"/>
    <w:rsid w:val="00BE1230"/>
    <w:rsid w:val="00BE18B9"/>
    <w:rsid w:val="00BE2424"/>
    <w:rsid w:val="00BE2427"/>
    <w:rsid w:val="00BE2495"/>
    <w:rsid w:val="00BE5673"/>
    <w:rsid w:val="00BE65BD"/>
    <w:rsid w:val="00BE6BD1"/>
    <w:rsid w:val="00BE6ECE"/>
    <w:rsid w:val="00BF0EF8"/>
    <w:rsid w:val="00BF1578"/>
    <w:rsid w:val="00BF3795"/>
    <w:rsid w:val="00BF4B10"/>
    <w:rsid w:val="00BF631C"/>
    <w:rsid w:val="00BF6435"/>
    <w:rsid w:val="00BF668B"/>
    <w:rsid w:val="00BF7F41"/>
    <w:rsid w:val="00C00D76"/>
    <w:rsid w:val="00C0105C"/>
    <w:rsid w:val="00C01061"/>
    <w:rsid w:val="00C018F3"/>
    <w:rsid w:val="00C0347C"/>
    <w:rsid w:val="00C07DEE"/>
    <w:rsid w:val="00C11A0B"/>
    <w:rsid w:val="00C1452B"/>
    <w:rsid w:val="00C151F0"/>
    <w:rsid w:val="00C15656"/>
    <w:rsid w:val="00C159CB"/>
    <w:rsid w:val="00C164FA"/>
    <w:rsid w:val="00C16859"/>
    <w:rsid w:val="00C200FA"/>
    <w:rsid w:val="00C20769"/>
    <w:rsid w:val="00C21B0F"/>
    <w:rsid w:val="00C21F94"/>
    <w:rsid w:val="00C22AC1"/>
    <w:rsid w:val="00C22DC5"/>
    <w:rsid w:val="00C22E3D"/>
    <w:rsid w:val="00C27913"/>
    <w:rsid w:val="00C27ECC"/>
    <w:rsid w:val="00C30B6E"/>
    <w:rsid w:val="00C321F3"/>
    <w:rsid w:val="00C3368F"/>
    <w:rsid w:val="00C33851"/>
    <w:rsid w:val="00C33B68"/>
    <w:rsid w:val="00C33CD5"/>
    <w:rsid w:val="00C350BB"/>
    <w:rsid w:val="00C35ABD"/>
    <w:rsid w:val="00C36590"/>
    <w:rsid w:val="00C36A79"/>
    <w:rsid w:val="00C36AE9"/>
    <w:rsid w:val="00C36DD5"/>
    <w:rsid w:val="00C36ECC"/>
    <w:rsid w:val="00C377A5"/>
    <w:rsid w:val="00C405D4"/>
    <w:rsid w:val="00C41EE8"/>
    <w:rsid w:val="00C42661"/>
    <w:rsid w:val="00C435E2"/>
    <w:rsid w:val="00C435F3"/>
    <w:rsid w:val="00C43F18"/>
    <w:rsid w:val="00C440A8"/>
    <w:rsid w:val="00C4513B"/>
    <w:rsid w:val="00C5058F"/>
    <w:rsid w:val="00C50C66"/>
    <w:rsid w:val="00C529FE"/>
    <w:rsid w:val="00C5305A"/>
    <w:rsid w:val="00C53BD5"/>
    <w:rsid w:val="00C53C00"/>
    <w:rsid w:val="00C54697"/>
    <w:rsid w:val="00C54948"/>
    <w:rsid w:val="00C54C03"/>
    <w:rsid w:val="00C56D37"/>
    <w:rsid w:val="00C63203"/>
    <w:rsid w:val="00C635EE"/>
    <w:rsid w:val="00C63A95"/>
    <w:rsid w:val="00C6409E"/>
    <w:rsid w:val="00C6455D"/>
    <w:rsid w:val="00C655C0"/>
    <w:rsid w:val="00C656AA"/>
    <w:rsid w:val="00C67100"/>
    <w:rsid w:val="00C674BA"/>
    <w:rsid w:val="00C67551"/>
    <w:rsid w:val="00C719C3"/>
    <w:rsid w:val="00C734DA"/>
    <w:rsid w:val="00C73885"/>
    <w:rsid w:val="00C73895"/>
    <w:rsid w:val="00C747B1"/>
    <w:rsid w:val="00C75024"/>
    <w:rsid w:val="00C76518"/>
    <w:rsid w:val="00C76869"/>
    <w:rsid w:val="00C76C60"/>
    <w:rsid w:val="00C778C6"/>
    <w:rsid w:val="00C77964"/>
    <w:rsid w:val="00C77CF8"/>
    <w:rsid w:val="00C80E75"/>
    <w:rsid w:val="00C8143B"/>
    <w:rsid w:val="00C81593"/>
    <w:rsid w:val="00C82191"/>
    <w:rsid w:val="00C8311E"/>
    <w:rsid w:val="00C83C52"/>
    <w:rsid w:val="00C842AC"/>
    <w:rsid w:val="00C87E10"/>
    <w:rsid w:val="00C90CF4"/>
    <w:rsid w:val="00C9124A"/>
    <w:rsid w:val="00C91DD5"/>
    <w:rsid w:val="00C92523"/>
    <w:rsid w:val="00C9253E"/>
    <w:rsid w:val="00C9265F"/>
    <w:rsid w:val="00C92EB6"/>
    <w:rsid w:val="00C9317D"/>
    <w:rsid w:val="00C93389"/>
    <w:rsid w:val="00C93DAD"/>
    <w:rsid w:val="00C97566"/>
    <w:rsid w:val="00C9760F"/>
    <w:rsid w:val="00C97ACE"/>
    <w:rsid w:val="00CA1EAF"/>
    <w:rsid w:val="00CA26C6"/>
    <w:rsid w:val="00CA3F86"/>
    <w:rsid w:val="00CA4D0C"/>
    <w:rsid w:val="00CA54C8"/>
    <w:rsid w:val="00CA6088"/>
    <w:rsid w:val="00CA663A"/>
    <w:rsid w:val="00CA6E63"/>
    <w:rsid w:val="00CA77E6"/>
    <w:rsid w:val="00CB0332"/>
    <w:rsid w:val="00CB0820"/>
    <w:rsid w:val="00CB1944"/>
    <w:rsid w:val="00CB2810"/>
    <w:rsid w:val="00CB30CE"/>
    <w:rsid w:val="00CB4229"/>
    <w:rsid w:val="00CB47C0"/>
    <w:rsid w:val="00CB4930"/>
    <w:rsid w:val="00CB5FDE"/>
    <w:rsid w:val="00CB6743"/>
    <w:rsid w:val="00CB7204"/>
    <w:rsid w:val="00CC05BF"/>
    <w:rsid w:val="00CC0F51"/>
    <w:rsid w:val="00CC1230"/>
    <w:rsid w:val="00CC2A83"/>
    <w:rsid w:val="00CC2E7D"/>
    <w:rsid w:val="00CC6003"/>
    <w:rsid w:val="00CD067E"/>
    <w:rsid w:val="00CD10A5"/>
    <w:rsid w:val="00CD1661"/>
    <w:rsid w:val="00CD1CF3"/>
    <w:rsid w:val="00CD2076"/>
    <w:rsid w:val="00CD374B"/>
    <w:rsid w:val="00CD43FB"/>
    <w:rsid w:val="00CD4965"/>
    <w:rsid w:val="00CD5ED1"/>
    <w:rsid w:val="00CD6C14"/>
    <w:rsid w:val="00CD7BEB"/>
    <w:rsid w:val="00CE1234"/>
    <w:rsid w:val="00CE1D97"/>
    <w:rsid w:val="00CE21B0"/>
    <w:rsid w:val="00CE236C"/>
    <w:rsid w:val="00CE2E77"/>
    <w:rsid w:val="00CE3254"/>
    <w:rsid w:val="00CE3554"/>
    <w:rsid w:val="00CE3862"/>
    <w:rsid w:val="00CE427F"/>
    <w:rsid w:val="00CE670B"/>
    <w:rsid w:val="00CE72A2"/>
    <w:rsid w:val="00CF0EEF"/>
    <w:rsid w:val="00CF2338"/>
    <w:rsid w:val="00CF27F9"/>
    <w:rsid w:val="00CF2AB4"/>
    <w:rsid w:val="00CF4455"/>
    <w:rsid w:val="00CF4ADA"/>
    <w:rsid w:val="00CF51EC"/>
    <w:rsid w:val="00CF5FA9"/>
    <w:rsid w:val="00CF6172"/>
    <w:rsid w:val="00CF6778"/>
    <w:rsid w:val="00CF68F6"/>
    <w:rsid w:val="00CF6BBF"/>
    <w:rsid w:val="00CF7159"/>
    <w:rsid w:val="00CF72A7"/>
    <w:rsid w:val="00CF73AE"/>
    <w:rsid w:val="00D01EE5"/>
    <w:rsid w:val="00D0203C"/>
    <w:rsid w:val="00D0291B"/>
    <w:rsid w:val="00D040DD"/>
    <w:rsid w:val="00D05238"/>
    <w:rsid w:val="00D05DD3"/>
    <w:rsid w:val="00D05F98"/>
    <w:rsid w:val="00D06A5E"/>
    <w:rsid w:val="00D06DA3"/>
    <w:rsid w:val="00D077FD"/>
    <w:rsid w:val="00D105FB"/>
    <w:rsid w:val="00D10B73"/>
    <w:rsid w:val="00D10FE5"/>
    <w:rsid w:val="00D1194E"/>
    <w:rsid w:val="00D12107"/>
    <w:rsid w:val="00D12ED9"/>
    <w:rsid w:val="00D12F18"/>
    <w:rsid w:val="00D13103"/>
    <w:rsid w:val="00D13986"/>
    <w:rsid w:val="00D147BA"/>
    <w:rsid w:val="00D15BED"/>
    <w:rsid w:val="00D21B68"/>
    <w:rsid w:val="00D21C8C"/>
    <w:rsid w:val="00D222BB"/>
    <w:rsid w:val="00D235B7"/>
    <w:rsid w:val="00D23CB7"/>
    <w:rsid w:val="00D23D3E"/>
    <w:rsid w:val="00D251CD"/>
    <w:rsid w:val="00D25F28"/>
    <w:rsid w:val="00D265CF"/>
    <w:rsid w:val="00D26AEA"/>
    <w:rsid w:val="00D26C4E"/>
    <w:rsid w:val="00D27515"/>
    <w:rsid w:val="00D27973"/>
    <w:rsid w:val="00D279FE"/>
    <w:rsid w:val="00D27C4D"/>
    <w:rsid w:val="00D30F9D"/>
    <w:rsid w:val="00D33C33"/>
    <w:rsid w:val="00D3434E"/>
    <w:rsid w:val="00D343F5"/>
    <w:rsid w:val="00D347A6"/>
    <w:rsid w:val="00D35512"/>
    <w:rsid w:val="00D3576C"/>
    <w:rsid w:val="00D36129"/>
    <w:rsid w:val="00D37886"/>
    <w:rsid w:val="00D4181F"/>
    <w:rsid w:val="00D4579E"/>
    <w:rsid w:val="00D4645C"/>
    <w:rsid w:val="00D469C1"/>
    <w:rsid w:val="00D46EA5"/>
    <w:rsid w:val="00D47B79"/>
    <w:rsid w:val="00D47E5F"/>
    <w:rsid w:val="00D5097D"/>
    <w:rsid w:val="00D50F46"/>
    <w:rsid w:val="00D5363B"/>
    <w:rsid w:val="00D549EB"/>
    <w:rsid w:val="00D54D3E"/>
    <w:rsid w:val="00D54FF6"/>
    <w:rsid w:val="00D55479"/>
    <w:rsid w:val="00D55B06"/>
    <w:rsid w:val="00D55DB1"/>
    <w:rsid w:val="00D561C3"/>
    <w:rsid w:val="00D56CD4"/>
    <w:rsid w:val="00D56DBD"/>
    <w:rsid w:val="00D56EB1"/>
    <w:rsid w:val="00D60538"/>
    <w:rsid w:val="00D64050"/>
    <w:rsid w:val="00D64541"/>
    <w:rsid w:val="00D65631"/>
    <w:rsid w:val="00D66223"/>
    <w:rsid w:val="00D66AA4"/>
    <w:rsid w:val="00D74353"/>
    <w:rsid w:val="00D7485A"/>
    <w:rsid w:val="00D74A8A"/>
    <w:rsid w:val="00D74D79"/>
    <w:rsid w:val="00D765E4"/>
    <w:rsid w:val="00D773B1"/>
    <w:rsid w:val="00D80743"/>
    <w:rsid w:val="00D8084C"/>
    <w:rsid w:val="00D80BF8"/>
    <w:rsid w:val="00D8240D"/>
    <w:rsid w:val="00D830E8"/>
    <w:rsid w:val="00D8357D"/>
    <w:rsid w:val="00D84A46"/>
    <w:rsid w:val="00D861CC"/>
    <w:rsid w:val="00D86831"/>
    <w:rsid w:val="00D908DE"/>
    <w:rsid w:val="00D90C09"/>
    <w:rsid w:val="00D91045"/>
    <w:rsid w:val="00D9113E"/>
    <w:rsid w:val="00D91B71"/>
    <w:rsid w:val="00D92018"/>
    <w:rsid w:val="00D94BA0"/>
    <w:rsid w:val="00D9514C"/>
    <w:rsid w:val="00D951D0"/>
    <w:rsid w:val="00D96D3A"/>
    <w:rsid w:val="00D96DD0"/>
    <w:rsid w:val="00DA0972"/>
    <w:rsid w:val="00DA114F"/>
    <w:rsid w:val="00DA17E9"/>
    <w:rsid w:val="00DA1F73"/>
    <w:rsid w:val="00DA42AC"/>
    <w:rsid w:val="00DA4497"/>
    <w:rsid w:val="00DA46A4"/>
    <w:rsid w:val="00DA491A"/>
    <w:rsid w:val="00DA6216"/>
    <w:rsid w:val="00DA6250"/>
    <w:rsid w:val="00DA7C0C"/>
    <w:rsid w:val="00DB0A08"/>
    <w:rsid w:val="00DB200A"/>
    <w:rsid w:val="00DB2053"/>
    <w:rsid w:val="00DB2EC8"/>
    <w:rsid w:val="00DB3D28"/>
    <w:rsid w:val="00DB560E"/>
    <w:rsid w:val="00DB5D5B"/>
    <w:rsid w:val="00DB6DB5"/>
    <w:rsid w:val="00DC017F"/>
    <w:rsid w:val="00DC16DD"/>
    <w:rsid w:val="00DC1C8F"/>
    <w:rsid w:val="00DC1D4C"/>
    <w:rsid w:val="00DC2A28"/>
    <w:rsid w:val="00DC2C40"/>
    <w:rsid w:val="00DC3846"/>
    <w:rsid w:val="00DC3A95"/>
    <w:rsid w:val="00DC4FB4"/>
    <w:rsid w:val="00DC5B3B"/>
    <w:rsid w:val="00DC6DEB"/>
    <w:rsid w:val="00DD129F"/>
    <w:rsid w:val="00DD2702"/>
    <w:rsid w:val="00DD2DEC"/>
    <w:rsid w:val="00DD2F6B"/>
    <w:rsid w:val="00DD4EA5"/>
    <w:rsid w:val="00DD51D4"/>
    <w:rsid w:val="00DD5695"/>
    <w:rsid w:val="00DD56D9"/>
    <w:rsid w:val="00DD60DD"/>
    <w:rsid w:val="00DD7093"/>
    <w:rsid w:val="00DE0131"/>
    <w:rsid w:val="00DE1B3B"/>
    <w:rsid w:val="00DE2B8D"/>
    <w:rsid w:val="00DE3364"/>
    <w:rsid w:val="00DE4933"/>
    <w:rsid w:val="00DE4D44"/>
    <w:rsid w:val="00DE5304"/>
    <w:rsid w:val="00DE6B7C"/>
    <w:rsid w:val="00DE6E08"/>
    <w:rsid w:val="00DF3477"/>
    <w:rsid w:val="00DF40F7"/>
    <w:rsid w:val="00DF42FF"/>
    <w:rsid w:val="00DF4636"/>
    <w:rsid w:val="00DF4680"/>
    <w:rsid w:val="00DF4FB7"/>
    <w:rsid w:val="00DF5C90"/>
    <w:rsid w:val="00DF603C"/>
    <w:rsid w:val="00DF62FC"/>
    <w:rsid w:val="00DF6738"/>
    <w:rsid w:val="00E009CD"/>
    <w:rsid w:val="00E01B2A"/>
    <w:rsid w:val="00E01C0E"/>
    <w:rsid w:val="00E02CAC"/>
    <w:rsid w:val="00E03F9A"/>
    <w:rsid w:val="00E04694"/>
    <w:rsid w:val="00E048E2"/>
    <w:rsid w:val="00E074C6"/>
    <w:rsid w:val="00E07C9D"/>
    <w:rsid w:val="00E10733"/>
    <w:rsid w:val="00E12B1E"/>
    <w:rsid w:val="00E12C34"/>
    <w:rsid w:val="00E1368B"/>
    <w:rsid w:val="00E14A62"/>
    <w:rsid w:val="00E15503"/>
    <w:rsid w:val="00E16105"/>
    <w:rsid w:val="00E17262"/>
    <w:rsid w:val="00E1747A"/>
    <w:rsid w:val="00E20D1A"/>
    <w:rsid w:val="00E20E76"/>
    <w:rsid w:val="00E24A9E"/>
    <w:rsid w:val="00E24E4A"/>
    <w:rsid w:val="00E2501D"/>
    <w:rsid w:val="00E253A2"/>
    <w:rsid w:val="00E25A61"/>
    <w:rsid w:val="00E276D1"/>
    <w:rsid w:val="00E27CE6"/>
    <w:rsid w:val="00E27D6C"/>
    <w:rsid w:val="00E30151"/>
    <w:rsid w:val="00E30ECA"/>
    <w:rsid w:val="00E3175A"/>
    <w:rsid w:val="00E317EF"/>
    <w:rsid w:val="00E32873"/>
    <w:rsid w:val="00E3309D"/>
    <w:rsid w:val="00E337FB"/>
    <w:rsid w:val="00E34FDA"/>
    <w:rsid w:val="00E3543A"/>
    <w:rsid w:val="00E35689"/>
    <w:rsid w:val="00E3621C"/>
    <w:rsid w:val="00E3792E"/>
    <w:rsid w:val="00E37EC9"/>
    <w:rsid w:val="00E40EDE"/>
    <w:rsid w:val="00E41A97"/>
    <w:rsid w:val="00E425E3"/>
    <w:rsid w:val="00E4498A"/>
    <w:rsid w:val="00E44BA2"/>
    <w:rsid w:val="00E45675"/>
    <w:rsid w:val="00E47E16"/>
    <w:rsid w:val="00E50156"/>
    <w:rsid w:val="00E53470"/>
    <w:rsid w:val="00E539F6"/>
    <w:rsid w:val="00E53E70"/>
    <w:rsid w:val="00E54004"/>
    <w:rsid w:val="00E5443E"/>
    <w:rsid w:val="00E54455"/>
    <w:rsid w:val="00E54A2F"/>
    <w:rsid w:val="00E5516A"/>
    <w:rsid w:val="00E560A9"/>
    <w:rsid w:val="00E5623C"/>
    <w:rsid w:val="00E56294"/>
    <w:rsid w:val="00E57F14"/>
    <w:rsid w:val="00E6024C"/>
    <w:rsid w:val="00E60853"/>
    <w:rsid w:val="00E622A4"/>
    <w:rsid w:val="00E62996"/>
    <w:rsid w:val="00E63E64"/>
    <w:rsid w:val="00E64A4E"/>
    <w:rsid w:val="00E6519D"/>
    <w:rsid w:val="00E666C3"/>
    <w:rsid w:val="00E6673A"/>
    <w:rsid w:val="00E66D62"/>
    <w:rsid w:val="00E67696"/>
    <w:rsid w:val="00E71A16"/>
    <w:rsid w:val="00E71A58"/>
    <w:rsid w:val="00E7272C"/>
    <w:rsid w:val="00E72A7A"/>
    <w:rsid w:val="00E72E53"/>
    <w:rsid w:val="00E75C94"/>
    <w:rsid w:val="00E75CB2"/>
    <w:rsid w:val="00E75E92"/>
    <w:rsid w:val="00E7691C"/>
    <w:rsid w:val="00E77C07"/>
    <w:rsid w:val="00E83223"/>
    <w:rsid w:val="00E8343F"/>
    <w:rsid w:val="00E83560"/>
    <w:rsid w:val="00E86775"/>
    <w:rsid w:val="00E86E4A"/>
    <w:rsid w:val="00E87117"/>
    <w:rsid w:val="00E878C4"/>
    <w:rsid w:val="00E9070E"/>
    <w:rsid w:val="00E90836"/>
    <w:rsid w:val="00E90D90"/>
    <w:rsid w:val="00E92137"/>
    <w:rsid w:val="00E93820"/>
    <w:rsid w:val="00E94344"/>
    <w:rsid w:val="00E94690"/>
    <w:rsid w:val="00E94780"/>
    <w:rsid w:val="00E956AE"/>
    <w:rsid w:val="00E96034"/>
    <w:rsid w:val="00E96ACA"/>
    <w:rsid w:val="00EA0C68"/>
    <w:rsid w:val="00EA1042"/>
    <w:rsid w:val="00EA2C94"/>
    <w:rsid w:val="00EA32BC"/>
    <w:rsid w:val="00EA43FD"/>
    <w:rsid w:val="00EA4AE7"/>
    <w:rsid w:val="00EA5C81"/>
    <w:rsid w:val="00EA64C7"/>
    <w:rsid w:val="00EA6CB1"/>
    <w:rsid w:val="00EB1AEB"/>
    <w:rsid w:val="00EB1C38"/>
    <w:rsid w:val="00EB3140"/>
    <w:rsid w:val="00EB3C65"/>
    <w:rsid w:val="00EB4511"/>
    <w:rsid w:val="00EB5489"/>
    <w:rsid w:val="00EB5A25"/>
    <w:rsid w:val="00EB70EC"/>
    <w:rsid w:val="00EC03D7"/>
    <w:rsid w:val="00EC0FF3"/>
    <w:rsid w:val="00EC1885"/>
    <w:rsid w:val="00EC20E8"/>
    <w:rsid w:val="00EC31DB"/>
    <w:rsid w:val="00EC3220"/>
    <w:rsid w:val="00EC3A74"/>
    <w:rsid w:val="00EC5218"/>
    <w:rsid w:val="00EC53A0"/>
    <w:rsid w:val="00EC639B"/>
    <w:rsid w:val="00EC67A4"/>
    <w:rsid w:val="00EC750A"/>
    <w:rsid w:val="00EC7E98"/>
    <w:rsid w:val="00ED0547"/>
    <w:rsid w:val="00ED161E"/>
    <w:rsid w:val="00ED1D90"/>
    <w:rsid w:val="00ED2C74"/>
    <w:rsid w:val="00ED4166"/>
    <w:rsid w:val="00ED4D0E"/>
    <w:rsid w:val="00ED62C6"/>
    <w:rsid w:val="00ED64C1"/>
    <w:rsid w:val="00ED76BB"/>
    <w:rsid w:val="00EE06BC"/>
    <w:rsid w:val="00EE1B52"/>
    <w:rsid w:val="00EE3446"/>
    <w:rsid w:val="00EE3E78"/>
    <w:rsid w:val="00EE4B1B"/>
    <w:rsid w:val="00EE4E5E"/>
    <w:rsid w:val="00EE743A"/>
    <w:rsid w:val="00EE7EAD"/>
    <w:rsid w:val="00EF05B5"/>
    <w:rsid w:val="00EF05F9"/>
    <w:rsid w:val="00EF0CF6"/>
    <w:rsid w:val="00EF1109"/>
    <w:rsid w:val="00EF150D"/>
    <w:rsid w:val="00EF1975"/>
    <w:rsid w:val="00EF1F5A"/>
    <w:rsid w:val="00EF467D"/>
    <w:rsid w:val="00EF47BF"/>
    <w:rsid w:val="00EF4C92"/>
    <w:rsid w:val="00EF6922"/>
    <w:rsid w:val="00EF73DD"/>
    <w:rsid w:val="00EF7D91"/>
    <w:rsid w:val="00F00C8B"/>
    <w:rsid w:val="00F01056"/>
    <w:rsid w:val="00F024CB"/>
    <w:rsid w:val="00F02C35"/>
    <w:rsid w:val="00F04811"/>
    <w:rsid w:val="00F0488C"/>
    <w:rsid w:val="00F05F5E"/>
    <w:rsid w:val="00F06CE2"/>
    <w:rsid w:val="00F07B5F"/>
    <w:rsid w:val="00F07BDE"/>
    <w:rsid w:val="00F10F11"/>
    <w:rsid w:val="00F112A1"/>
    <w:rsid w:val="00F11AAF"/>
    <w:rsid w:val="00F13389"/>
    <w:rsid w:val="00F13BAC"/>
    <w:rsid w:val="00F14B7E"/>
    <w:rsid w:val="00F15AAA"/>
    <w:rsid w:val="00F15BEF"/>
    <w:rsid w:val="00F160A2"/>
    <w:rsid w:val="00F16D65"/>
    <w:rsid w:val="00F16F36"/>
    <w:rsid w:val="00F1715D"/>
    <w:rsid w:val="00F21755"/>
    <w:rsid w:val="00F21AE9"/>
    <w:rsid w:val="00F21E2A"/>
    <w:rsid w:val="00F224C1"/>
    <w:rsid w:val="00F22798"/>
    <w:rsid w:val="00F229CF"/>
    <w:rsid w:val="00F240A9"/>
    <w:rsid w:val="00F24407"/>
    <w:rsid w:val="00F244A4"/>
    <w:rsid w:val="00F24FAA"/>
    <w:rsid w:val="00F2534C"/>
    <w:rsid w:val="00F258C3"/>
    <w:rsid w:val="00F26D00"/>
    <w:rsid w:val="00F30709"/>
    <w:rsid w:val="00F31090"/>
    <w:rsid w:val="00F32735"/>
    <w:rsid w:val="00F32E8C"/>
    <w:rsid w:val="00F32F52"/>
    <w:rsid w:val="00F332EF"/>
    <w:rsid w:val="00F3364D"/>
    <w:rsid w:val="00F33AAA"/>
    <w:rsid w:val="00F341B2"/>
    <w:rsid w:val="00F35931"/>
    <w:rsid w:val="00F36ECA"/>
    <w:rsid w:val="00F40ECF"/>
    <w:rsid w:val="00F4172A"/>
    <w:rsid w:val="00F424D3"/>
    <w:rsid w:val="00F42674"/>
    <w:rsid w:val="00F437CC"/>
    <w:rsid w:val="00F4384B"/>
    <w:rsid w:val="00F45E4C"/>
    <w:rsid w:val="00F47067"/>
    <w:rsid w:val="00F476BD"/>
    <w:rsid w:val="00F50488"/>
    <w:rsid w:val="00F50800"/>
    <w:rsid w:val="00F50D49"/>
    <w:rsid w:val="00F50F9C"/>
    <w:rsid w:val="00F51A59"/>
    <w:rsid w:val="00F525EB"/>
    <w:rsid w:val="00F5271A"/>
    <w:rsid w:val="00F52DDE"/>
    <w:rsid w:val="00F533EE"/>
    <w:rsid w:val="00F54510"/>
    <w:rsid w:val="00F557C6"/>
    <w:rsid w:val="00F562DC"/>
    <w:rsid w:val="00F5645E"/>
    <w:rsid w:val="00F56E07"/>
    <w:rsid w:val="00F57536"/>
    <w:rsid w:val="00F57735"/>
    <w:rsid w:val="00F619A9"/>
    <w:rsid w:val="00F62279"/>
    <w:rsid w:val="00F62818"/>
    <w:rsid w:val="00F63DDE"/>
    <w:rsid w:val="00F63FB7"/>
    <w:rsid w:val="00F646F7"/>
    <w:rsid w:val="00F649D2"/>
    <w:rsid w:val="00F64A2E"/>
    <w:rsid w:val="00F64BCC"/>
    <w:rsid w:val="00F65359"/>
    <w:rsid w:val="00F655E5"/>
    <w:rsid w:val="00F6602B"/>
    <w:rsid w:val="00F66871"/>
    <w:rsid w:val="00F66C16"/>
    <w:rsid w:val="00F67275"/>
    <w:rsid w:val="00F708F5"/>
    <w:rsid w:val="00F71565"/>
    <w:rsid w:val="00F7181C"/>
    <w:rsid w:val="00F71C04"/>
    <w:rsid w:val="00F7260E"/>
    <w:rsid w:val="00F72E1C"/>
    <w:rsid w:val="00F73A0C"/>
    <w:rsid w:val="00F7524D"/>
    <w:rsid w:val="00F756DB"/>
    <w:rsid w:val="00F759C1"/>
    <w:rsid w:val="00F7650F"/>
    <w:rsid w:val="00F81C62"/>
    <w:rsid w:val="00F81D2E"/>
    <w:rsid w:val="00F8241E"/>
    <w:rsid w:val="00F8377E"/>
    <w:rsid w:val="00F83B06"/>
    <w:rsid w:val="00F84568"/>
    <w:rsid w:val="00F85066"/>
    <w:rsid w:val="00F85073"/>
    <w:rsid w:val="00F85243"/>
    <w:rsid w:val="00F85CBA"/>
    <w:rsid w:val="00F86F09"/>
    <w:rsid w:val="00F900F5"/>
    <w:rsid w:val="00F90247"/>
    <w:rsid w:val="00F9129D"/>
    <w:rsid w:val="00F9212D"/>
    <w:rsid w:val="00F93AE3"/>
    <w:rsid w:val="00F96DEA"/>
    <w:rsid w:val="00F9748B"/>
    <w:rsid w:val="00F9780B"/>
    <w:rsid w:val="00F97AA1"/>
    <w:rsid w:val="00F97AB8"/>
    <w:rsid w:val="00FA003F"/>
    <w:rsid w:val="00FA104E"/>
    <w:rsid w:val="00FA11D4"/>
    <w:rsid w:val="00FA1BC1"/>
    <w:rsid w:val="00FA20BF"/>
    <w:rsid w:val="00FA29C5"/>
    <w:rsid w:val="00FA3371"/>
    <w:rsid w:val="00FA3561"/>
    <w:rsid w:val="00FA3640"/>
    <w:rsid w:val="00FA43FB"/>
    <w:rsid w:val="00FA4FC9"/>
    <w:rsid w:val="00FA5C16"/>
    <w:rsid w:val="00FA5D4D"/>
    <w:rsid w:val="00FA7769"/>
    <w:rsid w:val="00FA7981"/>
    <w:rsid w:val="00FB02C7"/>
    <w:rsid w:val="00FB0947"/>
    <w:rsid w:val="00FB0DE1"/>
    <w:rsid w:val="00FB0EE2"/>
    <w:rsid w:val="00FB0FFC"/>
    <w:rsid w:val="00FB1537"/>
    <w:rsid w:val="00FB509F"/>
    <w:rsid w:val="00FB542E"/>
    <w:rsid w:val="00FB55A4"/>
    <w:rsid w:val="00FB625B"/>
    <w:rsid w:val="00FB74A7"/>
    <w:rsid w:val="00FC03F1"/>
    <w:rsid w:val="00FC070C"/>
    <w:rsid w:val="00FC0E27"/>
    <w:rsid w:val="00FC0E5F"/>
    <w:rsid w:val="00FC1A95"/>
    <w:rsid w:val="00FC393F"/>
    <w:rsid w:val="00FC3D5B"/>
    <w:rsid w:val="00FC43AD"/>
    <w:rsid w:val="00FC4FD9"/>
    <w:rsid w:val="00FC54AF"/>
    <w:rsid w:val="00FC56DE"/>
    <w:rsid w:val="00FC684B"/>
    <w:rsid w:val="00FD095C"/>
    <w:rsid w:val="00FD1C01"/>
    <w:rsid w:val="00FD1C6E"/>
    <w:rsid w:val="00FD1E73"/>
    <w:rsid w:val="00FD25CE"/>
    <w:rsid w:val="00FD3265"/>
    <w:rsid w:val="00FD5721"/>
    <w:rsid w:val="00FD6260"/>
    <w:rsid w:val="00FD763A"/>
    <w:rsid w:val="00FE090A"/>
    <w:rsid w:val="00FE1249"/>
    <w:rsid w:val="00FE1FDB"/>
    <w:rsid w:val="00FE2718"/>
    <w:rsid w:val="00FE2F78"/>
    <w:rsid w:val="00FE2FDF"/>
    <w:rsid w:val="00FE3AFE"/>
    <w:rsid w:val="00FE3EA2"/>
    <w:rsid w:val="00FE478B"/>
    <w:rsid w:val="00FE5881"/>
    <w:rsid w:val="00FE7186"/>
    <w:rsid w:val="00FE7756"/>
    <w:rsid w:val="00FF0857"/>
    <w:rsid w:val="00FF1DFF"/>
    <w:rsid w:val="00FF23D7"/>
    <w:rsid w:val="00FF33A4"/>
    <w:rsid w:val="00FF6B7E"/>
    <w:rsid w:val="00FF7372"/>
    <w:rsid w:val="00FF7B96"/>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ecf4dd,#eaecee,#fcec0a,#fcecdb,#f1daf5"/>
    </o:shapedefaults>
    <o:shapelayout v:ext="edit">
      <o:idmap v:ext="edit" data="1"/>
    </o:shapelayout>
  </w:shapeDefaults>
  <w:decimalSymbol w:val=","/>
  <w:listSeparator w:val=";"/>
  <w14:docId w14:val="78B6EB46"/>
  <w15:docId w15:val="{9D165140-9593-479F-A9AB-181866B6D0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cs-CZ"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FE478B"/>
    <w:pPr>
      <w:spacing w:after="240" w:line="288" w:lineRule="auto"/>
    </w:pPr>
    <w:rPr>
      <w:rFonts w:ascii="Arial" w:eastAsia="Times New Roman" w:hAnsi="Arial"/>
      <w:szCs w:val="24"/>
      <w:lang w:eastAsia="cs-CZ"/>
    </w:rPr>
  </w:style>
  <w:style w:type="paragraph" w:styleId="Nadpis1">
    <w:name w:val="heading 1"/>
    <w:next w:val="Normln"/>
    <w:link w:val="Nadpis1Char"/>
    <w:uiPriority w:val="9"/>
    <w:qFormat/>
    <w:rsid w:val="004900FF"/>
    <w:pPr>
      <w:keepNext/>
      <w:keepLines/>
      <w:spacing w:after="100" w:line="288" w:lineRule="auto"/>
      <w:contextualSpacing/>
      <w:outlineLvl w:val="0"/>
    </w:pPr>
    <w:rPr>
      <w:rFonts w:ascii="Arial" w:eastAsia="MS Gothic" w:hAnsi="Arial"/>
      <w:b/>
      <w:bCs/>
      <w:color w:val="C00000"/>
      <w:sz w:val="32"/>
      <w:szCs w:val="28"/>
      <w:lang w:eastAsia="cs-CZ"/>
    </w:rPr>
  </w:style>
  <w:style w:type="paragraph" w:styleId="Nadpis2">
    <w:name w:val="heading 2"/>
    <w:next w:val="Normln"/>
    <w:link w:val="Nadpis2Char"/>
    <w:uiPriority w:val="9"/>
    <w:qFormat/>
    <w:rsid w:val="004900FF"/>
    <w:pPr>
      <w:keepNext/>
      <w:keepLines/>
      <w:spacing w:line="288" w:lineRule="auto"/>
      <w:outlineLvl w:val="1"/>
    </w:pPr>
    <w:rPr>
      <w:rFonts w:ascii="Arial" w:eastAsia="MS Gothic" w:hAnsi="Arial"/>
      <w:b/>
      <w:bCs/>
      <w:color w:val="BC091B"/>
      <w:sz w:val="28"/>
      <w:szCs w:val="26"/>
      <w:lang w:eastAsia="cs-CZ"/>
    </w:rPr>
  </w:style>
  <w:style w:type="paragraph" w:styleId="Nadpis3">
    <w:name w:val="heading 3"/>
    <w:next w:val="Normln"/>
    <w:link w:val="Nadpis3Char"/>
    <w:uiPriority w:val="9"/>
    <w:qFormat/>
    <w:rsid w:val="004900FF"/>
    <w:pPr>
      <w:keepNext/>
      <w:keepLines/>
      <w:spacing w:line="288" w:lineRule="auto"/>
      <w:outlineLvl w:val="2"/>
    </w:pPr>
    <w:rPr>
      <w:rFonts w:ascii="Arial" w:eastAsia="MS Gothic" w:hAnsi="Arial"/>
      <w:b/>
      <w:bCs/>
      <w:color w:val="BC091B"/>
      <w:sz w:val="24"/>
      <w:szCs w:val="24"/>
      <w:lang w:eastAsia="cs-CZ"/>
    </w:rPr>
  </w:style>
  <w:style w:type="paragraph" w:styleId="Nadpis4">
    <w:name w:val="heading 4"/>
    <w:next w:val="Normln"/>
    <w:link w:val="Nadpis4Char"/>
    <w:uiPriority w:val="9"/>
    <w:qFormat/>
    <w:rsid w:val="004900FF"/>
    <w:pPr>
      <w:keepNext/>
      <w:keepLines/>
      <w:spacing w:line="288" w:lineRule="auto"/>
      <w:outlineLvl w:val="3"/>
    </w:pPr>
    <w:rPr>
      <w:rFonts w:ascii="Arial" w:eastAsia="MS Gothic" w:hAnsi="Arial"/>
      <w:b/>
      <w:bCs/>
      <w:iCs/>
      <w:color w:val="BC091B"/>
      <w:szCs w:val="24"/>
      <w:lang w:eastAsia="cs-CZ"/>
    </w:rPr>
  </w:style>
  <w:style w:type="paragraph" w:styleId="Nadpis9">
    <w:name w:val="heading 9"/>
    <w:basedOn w:val="Normln"/>
    <w:next w:val="Normln"/>
    <w:link w:val="Nadpis9Char"/>
    <w:uiPriority w:val="9"/>
    <w:semiHidden/>
    <w:unhideWhenUsed/>
    <w:qFormat/>
    <w:rsid w:val="00A30F65"/>
    <w:pPr>
      <w:spacing w:before="240" w:after="60"/>
      <w:outlineLvl w:val="8"/>
    </w:pPr>
    <w:rPr>
      <w:rFonts w:ascii="Cambria" w:hAnsi="Cambria"/>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uiPriority w:val="9"/>
    <w:rsid w:val="004900FF"/>
    <w:rPr>
      <w:rFonts w:ascii="Arial" w:eastAsia="MS Gothic" w:hAnsi="Arial"/>
      <w:b/>
      <w:bCs/>
      <w:color w:val="C00000"/>
      <w:sz w:val="32"/>
      <w:szCs w:val="28"/>
    </w:rPr>
  </w:style>
  <w:style w:type="character" w:customStyle="1" w:styleId="Nadpis2Char">
    <w:name w:val="Nadpis 2 Char"/>
    <w:link w:val="Nadpis2"/>
    <w:uiPriority w:val="9"/>
    <w:rsid w:val="004900FF"/>
    <w:rPr>
      <w:rFonts w:ascii="Arial" w:eastAsia="MS Gothic" w:hAnsi="Arial"/>
      <w:b/>
      <w:bCs/>
      <w:color w:val="BC091B"/>
      <w:sz w:val="28"/>
      <w:szCs w:val="26"/>
    </w:rPr>
  </w:style>
  <w:style w:type="character" w:customStyle="1" w:styleId="Nadpis3Char">
    <w:name w:val="Nadpis 3 Char"/>
    <w:link w:val="Nadpis3"/>
    <w:uiPriority w:val="9"/>
    <w:rsid w:val="004900FF"/>
    <w:rPr>
      <w:rFonts w:ascii="Arial" w:eastAsia="MS Gothic" w:hAnsi="Arial"/>
      <w:b/>
      <w:bCs/>
      <w:color w:val="BC091B"/>
      <w:sz w:val="24"/>
      <w:szCs w:val="24"/>
    </w:rPr>
  </w:style>
  <w:style w:type="character" w:customStyle="1" w:styleId="Nadpis4Char">
    <w:name w:val="Nadpis 4 Char"/>
    <w:link w:val="Nadpis4"/>
    <w:uiPriority w:val="9"/>
    <w:rsid w:val="004900FF"/>
    <w:rPr>
      <w:rFonts w:ascii="Arial" w:eastAsia="MS Gothic" w:hAnsi="Arial"/>
      <w:b/>
      <w:bCs/>
      <w:iCs/>
      <w:color w:val="BC091B"/>
      <w:szCs w:val="24"/>
    </w:rPr>
  </w:style>
  <w:style w:type="character" w:customStyle="1" w:styleId="Nadpis9Char">
    <w:name w:val="Nadpis 9 Char"/>
    <w:link w:val="Nadpis9"/>
    <w:uiPriority w:val="9"/>
    <w:semiHidden/>
    <w:rsid w:val="00A30F65"/>
    <w:rPr>
      <w:rFonts w:ascii="Cambria" w:eastAsia="Times New Roman" w:hAnsi="Cambria" w:cs="Times New Roman"/>
      <w:sz w:val="22"/>
      <w:szCs w:val="22"/>
    </w:rPr>
  </w:style>
  <w:style w:type="character" w:styleId="Hypertextovodkaz">
    <w:name w:val="Hyperlink"/>
    <w:uiPriority w:val="99"/>
    <w:rsid w:val="00E71A58"/>
    <w:rPr>
      <w:color w:val="0000FF"/>
      <w:u w:val="single"/>
    </w:rPr>
  </w:style>
  <w:style w:type="paragraph" w:styleId="Zhlav">
    <w:name w:val="header"/>
    <w:link w:val="ZhlavChar"/>
    <w:uiPriority w:val="99"/>
    <w:unhideWhenUsed/>
    <w:qFormat/>
    <w:rsid w:val="00A418BC"/>
    <w:pPr>
      <w:spacing w:line="288" w:lineRule="auto"/>
    </w:pPr>
    <w:rPr>
      <w:rFonts w:ascii="Arial" w:hAnsi="Arial"/>
      <w:sz w:val="16"/>
      <w:szCs w:val="22"/>
    </w:rPr>
  </w:style>
  <w:style w:type="character" w:customStyle="1" w:styleId="ZhlavChar">
    <w:name w:val="Záhlaví Char"/>
    <w:link w:val="Zhlav"/>
    <w:uiPriority w:val="99"/>
    <w:rsid w:val="00A418BC"/>
    <w:rPr>
      <w:rFonts w:ascii="Arial" w:hAnsi="Arial"/>
      <w:sz w:val="16"/>
      <w:szCs w:val="22"/>
      <w:lang w:eastAsia="en-US"/>
    </w:rPr>
  </w:style>
  <w:style w:type="paragraph" w:styleId="Zpat">
    <w:name w:val="footer"/>
    <w:link w:val="ZpatChar"/>
    <w:uiPriority w:val="99"/>
    <w:unhideWhenUsed/>
    <w:qFormat/>
    <w:rsid w:val="00031AE0"/>
    <w:pPr>
      <w:tabs>
        <w:tab w:val="center" w:pos="4820"/>
        <w:tab w:val="right" w:pos="9639"/>
      </w:tabs>
    </w:pPr>
    <w:rPr>
      <w:rFonts w:ascii="Arial" w:hAnsi="Arial" w:cs="Arial"/>
      <w:noProof/>
      <w:sz w:val="16"/>
    </w:rPr>
  </w:style>
  <w:style w:type="character" w:customStyle="1" w:styleId="ZpatChar">
    <w:name w:val="Zápatí Char"/>
    <w:link w:val="Zpat"/>
    <w:uiPriority w:val="99"/>
    <w:rsid w:val="00031AE0"/>
    <w:rPr>
      <w:rFonts w:ascii="Arial" w:hAnsi="Arial" w:cs="Arial"/>
      <w:noProof/>
      <w:sz w:val="16"/>
      <w:lang w:eastAsia="en-US"/>
    </w:rPr>
  </w:style>
  <w:style w:type="paragraph" w:styleId="Textbubliny">
    <w:name w:val="Balloon Text"/>
    <w:basedOn w:val="Normln"/>
    <w:link w:val="TextbublinyChar"/>
    <w:uiPriority w:val="99"/>
    <w:semiHidden/>
    <w:unhideWhenUsed/>
    <w:rsid w:val="00E71A58"/>
    <w:rPr>
      <w:rFonts w:ascii="Tahoma" w:eastAsia="Calibri" w:hAnsi="Tahoma"/>
      <w:sz w:val="16"/>
      <w:szCs w:val="16"/>
      <w:lang w:val="x-none" w:eastAsia="x-none"/>
    </w:rPr>
  </w:style>
  <w:style w:type="character" w:customStyle="1" w:styleId="TextbublinyChar">
    <w:name w:val="Text bubliny Char"/>
    <w:link w:val="Textbubliny"/>
    <w:uiPriority w:val="99"/>
    <w:semiHidden/>
    <w:rsid w:val="00E71A58"/>
    <w:rPr>
      <w:rFonts w:ascii="Tahoma" w:hAnsi="Tahoma" w:cs="Tahoma"/>
      <w:sz w:val="16"/>
      <w:szCs w:val="16"/>
    </w:rPr>
  </w:style>
  <w:style w:type="paragraph" w:customStyle="1" w:styleId="Zkladnodstavec">
    <w:name w:val="[Základní odstavec]"/>
    <w:link w:val="ZkladnodstavecChar"/>
    <w:uiPriority w:val="99"/>
    <w:rsid w:val="0008263E"/>
    <w:pPr>
      <w:autoSpaceDE w:val="0"/>
      <w:autoSpaceDN w:val="0"/>
      <w:adjustRightInd w:val="0"/>
      <w:spacing w:line="276" w:lineRule="auto"/>
      <w:textAlignment w:val="center"/>
    </w:pPr>
    <w:rPr>
      <w:rFonts w:ascii="Arial" w:hAnsi="Arial" w:cs="Minion Pro"/>
      <w:color w:val="000000"/>
      <w:szCs w:val="24"/>
      <w:lang w:eastAsia="cs-CZ"/>
    </w:rPr>
  </w:style>
  <w:style w:type="character" w:customStyle="1" w:styleId="ZkladnodstavecChar">
    <w:name w:val="[Základní odstavec] Char"/>
    <w:link w:val="Zkladnodstavec"/>
    <w:uiPriority w:val="99"/>
    <w:rsid w:val="0008263E"/>
    <w:rPr>
      <w:rFonts w:ascii="Arial" w:hAnsi="Arial" w:cs="Minion Pro"/>
      <w:color w:val="000000"/>
      <w:szCs w:val="24"/>
    </w:rPr>
  </w:style>
  <w:style w:type="paragraph" w:styleId="Obsah1">
    <w:name w:val="toc 1"/>
    <w:basedOn w:val="Obsahpoloky"/>
    <w:next w:val="Obsahpoloky"/>
    <w:autoRedefine/>
    <w:uiPriority w:val="39"/>
    <w:unhideWhenUsed/>
    <w:rsid w:val="00FC1A95"/>
  </w:style>
  <w:style w:type="paragraph" w:customStyle="1" w:styleId="Obsahpoloky">
    <w:name w:val="Obsah položky"/>
    <w:qFormat/>
    <w:rsid w:val="00616E05"/>
    <w:pPr>
      <w:tabs>
        <w:tab w:val="right" w:leader="dot" w:pos="9639"/>
      </w:tabs>
      <w:spacing w:line="288" w:lineRule="auto"/>
    </w:pPr>
    <w:rPr>
      <w:rFonts w:ascii="Arial" w:eastAsia="Times New Roman" w:hAnsi="Arial"/>
      <w:szCs w:val="24"/>
      <w:lang w:eastAsia="cs-CZ"/>
    </w:rPr>
  </w:style>
  <w:style w:type="paragraph" w:customStyle="1" w:styleId="TLIdentifikace-sted">
    <w:name w:val="TL Identifikace - střed"/>
    <w:qFormat/>
    <w:rsid w:val="009A60D1"/>
    <w:pPr>
      <w:spacing w:after="200" w:line="288" w:lineRule="auto"/>
    </w:pPr>
    <w:rPr>
      <w:rFonts w:ascii="Arial" w:eastAsia="Times New Roman" w:hAnsi="Arial"/>
      <w:sz w:val="24"/>
      <w:szCs w:val="24"/>
      <w:lang w:eastAsia="cs-CZ"/>
    </w:rPr>
  </w:style>
  <w:style w:type="paragraph" w:customStyle="1" w:styleId="Obsah">
    <w:name w:val="Obsah"/>
    <w:next w:val="Normln"/>
    <w:qFormat/>
    <w:rsid w:val="004900FF"/>
    <w:pPr>
      <w:spacing w:after="80" w:line="288" w:lineRule="auto"/>
    </w:pPr>
    <w:rPr>
      <w:rFonts w:ascii="Arial" w:eastAsia="Times New Roman" w:hAnsi="Arial"/>
      <w:b/>
      <w:color w:val="BC091B"/>
      <w:sz w:val="32"/>
      <w:szCs w:val="24"/>
      <w:lang w:eastAsia="cs-CZ"/>
    </w:rPr>
  </w:style>
  <w:style w:type="paragraph" w:customStyle="1" w:styleId="Box1">
    <w:name w:val="Box 1"/>
    <w:next w:val="Normln"/>
    <w:qFormat/>
    <w:rsid w:val="004900FF"/>
    <w:pPr>
      <w:shd w:val="clear" w:color="auto" w:fill="F5DADD"/>
      <w:spacing w:before="240" w:after="240" w:line="288" w:lineRule="auto"/>
      <w:ind w:left="709"/>
      <w:contextualSpacing/>
    </w:pPr>
    <w:rPr>
      <w:rFonts w:ascii="Arial" w:hAnsi="Arial" w:cs="Arial"/>
      <w:lang w:eastAsia="cs-CZ"/>
    </w:rPr>
  </w:style>
  <w:style w:type="paragraph" w:customStyle="1" w:styleId="Box2">
    <w:name w:val="Box 2"/>
    <w:qFormat/>
    <w:rsid w:val="004900FF"/>
    <w:pPr>
      <w:spacing w:before="240" w:after="240" w:line="288" w:lineRule="auto"/>
      <w:ind w:left="709"/>
      <w:contextualSpacing/>
    </w:pPr>
    <w:rPr>
      <w:rFonts w:ascii="Arial" w:hAnsi="Arial" w:cs="Arial"/>
      <w:color w:val="BC091B"/>
      <w:lang w:eastAsia="cs-CZ"/>
    </w:rPr>
  </w:style>
  <w:style w:type="paragraph" w:styleId="Seznam">
    <w:name w:val="List"/>
    <w:basedOn w:val="Normln"/>
    <w:uiPriority w:val="99"/>
    <w:unhideWhenUsed/>
    <w:qFormat/>
    <w:rsid w:val="00481E40"/>
    <w:pPr>
      <w:contextualSpacing/>
    </w:pPr>
  </w:style>
  <w:style w:type="character" w:styleId="Siln">
    <w:name w:val="Strong"/>
    <w:aliases w:val="Tučné"/>
    <w:uiPriority w:val="22"/>
    <w:qFormat/>
    <w:rsid w:val="00EC03D7"/>
    <w:rPr>
      <w:rFonts w:ascii="Arial" w:hAnsi="Arial"/>
      <w:b/>
      <w:bCs/>
      <w:sz w:val="20"/>
    </w:rPr>
  </w:style>
  <w:style w:type="paragraph" w:customStyle="1" w:styleId="TLKontaktyerven">
    <w:name w:val="TL Kontakty červené"/>
    <w:basedOn w:val="Normln"/>
    <w:qFormat/>
    <w:rsid w:val="00104C4C"/>
    <w:pPr>
      <w:spacing w:after="40"/>
      <w:contextualSpacing/>
    </w:pPr>
    <w:rPr>
      <w:b/>
      <w:caps/>
      <w:color w:val="BD1B21"/>
      <w:sz w:val="24"/>
    </w:rPr>
  </w:style>
  <w:style w:type="paragraph" w:customStyle="1" w:styleId="TLKontakty">
    <w:name w:val="TL Kontakty"/>
    <w:qFormat/>
    <w:rsid w:val="008E6F06"/>
    <w:pPr>
      <w:spacing w:after="160" w:line="259" w:lineRule="auto"/>
      <w:contextualSpacing/>
    </w:pPr>
    <w:rPr>
      <w:rFonts w:ascii="Arial" w:eastAsia="Times New Roman" w:hAnsi="Arial"/>
      <w:b/>
      <w:color w:val="0071BC"/>
      <w:lang w:eastAsia="cs-CZ"/>
    </w:rPr>
  </w:style>
  <w:style w:type="paragraph" w:styleId="Nzev">
    <w:name w:val="Title"/>
    <w:link w:val="NzevChar"/>
    <w:uiPriority w:val="10"/>
    <w:qFormat/>
    <w:rsid w:val="004900FF"/>
    <w:pPr>
      <w:spacing w:line="288" w:lineRule="auto"/>
    </w:pPr>
    <w:rPr>
      <w:rFonts w:ascii="Arial" w:eastAsia="Times New Roman" w:hAnsi="Arial"/>
      <w:b/>
      <w:bCs/>
      <w:caps/>
      <w:color w:val="BC091B"/>
      <w:kern w:val="28"/>
      <w:sz w:val="56"/>
      <w:szCs w:val="32"/>
      <w:lang w:eastAsia="cs-CZ"/>
    </w:rPr>
  </w:style>
  <w:style w:type="character" w:customStyle="1" w:styleId="NzevChar">
    <w:name w:val="Název Char"/>
    <w:link w:val="Nzev"/>
    <w:uiPriority w:val="10"/>
    <w:rsid w:val="004900FF"/>
    <w:rPr>
      <w:rFonts w:ascii="Arial" w:eastAsia="Times New Roman" w:hAnsi="Arial"/>
      <w:b/>
      <w:bCs/>
      <w:caps/>
      <w:color w:val="BC091B"/>
      <w:kern w:val="28"/>
      <w:sz w:val="56"/>
      <w:szCs w:val="32"/>
    </w:rPr>
  </w:style>
  <w:style w:type="paragraph" w:styleId="Podnadpis">
    <w:name w:val="Subtitle"/>
    <w:link w:val="PodnadpisChar"/>
    <w:uiPriority w:val="11"/>
    <w:qFormat/>
    <w:rsid w:val="004900FF"/>
    <w:pPr>
      <w:spacing w:line="288" w:lineRule="auto"/>
    </w:pPr>
    <w:rPr>
      <w:rFonts w:ascii="Arial" w:eastAsia="Times New Roman" w:hAnsi="Arial" w:cs="Arial"/>
      <w:b/>
      <w:color w:val="BC091B"/>
      <w:sz w:val="28"/>
      <w:szCs w:val="24"/>
      <w:lang w:eastAsia="cs-CZ"/>
    </w:rPr>
  </w:style>
  <w:style w:type="character" w:customStyle="1" w:styleId="PodnadpisChar">
    <w:name w:val="Podnadpis Char"/>
    <w:link w:val="Podnadpis"/>
    <w:uiPriority w:val="11"/>
    <w:rsid w:val="004900FF"/>
    <w:rPr>
      <w:rFonts w:ascii="Arial" w:eastAsia="Times New Roman" w:hAnsi="Arial" w:cs="Arial"/>
      <w:b/>
      <w:color w:val="BC091B"/>
      <w:sz w:val="28"/>
      <w:szCs w:val="24"/>
    </w:rPr>
  </w:style>
  <w:style w:type="paragraph" w:styleId="Obsah2">
    <w:name w:val="toc 2"/>
    <w:basedOn w:val="Obsahpoloky"/>
    <w:next w:val="Obsahpoloky"/>
    <w:autoRedefine/>
    <w:uiPriority w:val="39"/>
    <w:unhideWhenUsed/>
    <w:rsid w:val="00FC1A95"/>
    <w:pPr>
      <w:ind w:left="200"/>
    </w:pPr>
  </w:style>
  <w:style w:type="paragraph" w:styleId="Obsah3">
    <w:name w:val="toc 3"/>
    <w:basedOn w:val="Obsahpoloky"/>
    <w:next w:val="Obsahpoloky"/>
    <w:autoRedefine/>
    <w:uiPriority w:val="39"/>
    <w:unhideWhenUsed/>
    <w:rsid w:val="00FC1A95"/>
    <w:pPr>
      <w:ind w:left="400"/>
    </w:pPr>
  </w:style>
  <w:style w:type="paragraph" w:styleId="Obsah4">
    <w:name w:val="toc 4"/>
    <w:basedOn w:val="Obsahpoloky"/>
    <w:next w:val="Obsahpoloky"/>
    <w:autoRedefine/>
    <w:uiPriority w:val="39"/>
    <w:unhideWhenUsed/>
    <w:rsid w:val="00FC1A95"/>
    <w:pPr>
      <w:ind w:left="600"/>
    </w:pPr>
  </w:style>
  <w:style w:type="paragraph" w:styleId="Obsah5">
    <w:name w:val="toc 5"/>
    <w:basedOn w:val="Obsahpoloky"/>
    <w:next w:val="Obsahpoloky"/>
    <w:autoRedefine/>
    <w:uiPriority w:val="39"/>
    <w:semiHidden/>
    <w:unhideWhenUsed/>
    <w:rsid w:val="00FC1A95"/>
    <w:pPr>
      <w:ind w:left="800"/>
    </w:pPr>
  </w:style>
  <w:style w:type="paragraph" w:styleId="Obsah6">
    <w:name w:val="toc 6"/>
    <w:basedOn w:val="Obsahpoloky"/>
    <w:next w:val="Obsahpoloky"/>
    <w:autoRedefine/>
    <w:uiPriority w:val="39"/>
    <w:semiHidden/>
    <w:unhideWhenUsed/>
    <w:rsid w:val="00FC1A95"/>
    <w:pPr>
      <w:ind w:left="1000"/>
    </w:pPr>
  </w:style>
  <w:style w:type="paragraph" w:styleId="Obsah7">
    <w:name w:val="toc 7"/>
    <w:basedOn w:val="Obsahpoloky"/>
    <w:next w:val="Obsahpoloky"/>
    <w:autoRedefine/>
    <w:uiPriority w:val="39"/>
    <w:semiHidden/>
    <w:unhideWhenUsed/>
    <w:rsid w:val="00FC1A95"/>
    <w:pPr>
      <w:ind w:left="1200"/>
    </w:pPr>
  </w:style>
  <w:style w:type="paragraph" w:styleId="Obsah8">
    <w:name w:val="toc 8"/>
    <w:basedOn w:val="Obsahpoloky"/>
    <w:next w:val="Obsahpoloky"/>
    <w:autoRedefine/>
    <w:uiPriority w:val="39"/>
    <w:semiHidden/>
    <w:unhideWhenUsed/>
    <w:rsid w:val="00FC1A95"/>
    <w:pPr>
      <w:ind w:left="1400"/>
    </w:pPr>
  </w:style>
  <w:style w:type="paragraph" w:styleId="Obsah9">
    <w:name w:val="toc 9"/>
    <w:basedOn w:val="Obsahpoloky"/>
    <w:next w:val="Obsahpoloky"/>
    <w:autoRedefine/>
    <w:uiPriority w:val="39"/>
    <w:semiHidden/>
    <w:unhideWhenUsed/>
    <w:rsid w:val="00924AC8"/>
    <w:pPr>
      <w:ind w:left="1600"/>
    </w:pPr>
  </w:style>
  <w:style w:type="paragraph" w:styleId="Odstavecseseznamem">
    <w:name w:val="List Paragraph"/>
    <w:basedOn w:val="Normln"/>
    <w:uiPriority w:val="34"/>
    <w:qFormat/>
    <w:rsid w:val="00A67C12"/>
    <w:pPr>
      <w:spacing w:after="200" w:line="276" w:lineRule="auto"/>
      <w:ind w:left="720"/>
      <w:contextualSpacing/>
    </w:pPr>
    <w:rPr>
      <w:rFonts w:asciiTheme="minorHAnsi" w:eastAsiaTheme="minorHAnsi" w:hAnsiTheme="minorHAnsi" w:cstheme="minorBidi"/>
      <w:sz w:val="22"/>
      <w:szCs w:val="22"/>
      <w:lang w:eastAsia="en-US"/>
    </w:rPr>
  </w:style>
  <w:style w:type="paragraph" w:styleId="Textpoznpodarou">
    <w:name w:val="footnote text"/>
    <w:basedOn w:val="Normln"/>
    <w:link w:val="TextpoznpodarouChar"/>
    <w:uiPriority w:val="99"/>
    <w:unhideWhenUsed/>
    <w:rsid w:val="00A67C12"/>
    <w:pPr>
      <w:spacing w:after="0" w:line="240" w:lineRule="auto"/>
    </w:pPr>
    <w:rPr>
      <w:rFonts w:asciiTheme="minorHAnsi" w:eastAsiaTheme="minorHAnsi" w:hAnsiTheme="minorHAnsi" w:cstheme="minorBidi"/>
      <w:szCs w:val="20"/>
      <w:lang w:eastAsia="en-US"/>
    </w:rPr>
  </w:style>
  <w:style w:type="character" w:customStyle="1" w:styleId="TextpoznpodarouChar">
    <w:name w:val="Text pozn. pod čarou Char"/>
    <w:basedOn w:val="Standardnpsmoodstavce"/>
    <w:link w:val="Textpoznpodarou"/>
    <w:uiPriority w:val="99"/>
    <w:rsid w:val="00A67C12"/>
    <w:rPr>
      <w:rFonts w:asciiTheme="minorHAnsi" w:eastAsiaTheme="minorHAnsi" w:hAnsiTheme="minorHAnsi" w:cstheme="minorBidi"/>
    </w:rPr>
  </w:style>
  <w:style w:type="character" w:styleId="Znakapoznpodarou">
    <w:name w:val="footnote reference"/>
    <w:basedOn w:val="Standardnpsmoodstavce"/>
    <w:uiPriority w:val="99"/>
    <w:semiHidden/>
    <w:unhideWhenUsed/>
    <w:rsid w:val="00A67C12"/>
    <w:rPr>
      <w:vertAlign w:val="superscript"/>
    </w:rPr>
  </w:style>
  <w:style w:type="character" w:customStyle="1" w:styleId="ZkladntextodsazenChar">
    <w:name w:val="Základní text odsazený Char"/>
    <w:basedOn w:val="Standardnpsmoodstavce"/>
    <w:link w:val="Zkladntextodsazen"/>
    <w:semiHidden/>
    <w:rsid w:val="00A67C12"/>
    <w:rPr>
      <w:rFonts w:ascii="Arial" w:eastAsia="Times New Roman" w:hAnsi="Arial" w:cs="Arial"/>
      <w:szCs w:val="24"/>
      <w:lang w:eastAsia="cs-CZ"/>
    </w:rPr>
  </w:style>
  <w:style w:type="paragraph" w:styleId="Zkladntextodsazen">
    <w:name w:val="Body Text Indent"/>
    <w:basedOn w:val="Normln"/>
    <w:link w:val="ZkladntextodsazenChar"/>
    <w:semiHidden/>
    <w:rsid w:val="00A67C12"/>
    <w:pPr>
      <w:widowControl w:val="0"/>
      <w:tabs>
        <w:tab w:val="left" w:pos="0"/>
        <w:tab w:val="left" w:pos="601"/>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120" w:after="0" w:line="240" w:lineRule="auto"/>
      <w:ind w:firstLine="709"/>
      <w:jc w:val="both"/>
    </w:pPr>
    <w:rPr>
      <w:rFonts w:cs="Arial"/>
    </w:rPr>
  </w:style>
  <w:style w:type="character" w:styleId="Odkaznakoment">
    <w:name w:val="annotation reference"/>
    <w:basedOn w:val="Standardnpsmoodstavce"/>
    <w:uiPriority w:val="99"/>
    <w:semiHidden/>
    <w:unhideWhenUsed/>
    <w:rsid w:val="005859FB"/>
    <w:rPr>
      <w:sz w:val="16"/>
      <w:szCs w:val="16"/>
    </w:rPr>
  </w:style>
  <w:style w:type="paragraph" w:styleId="Textkomente">
    <w:name w:val="annotation text"/>
    <w:basedOn w:val="Normln"/>
    <w:link w:val="TextkomenteChar"/>
    <w:uiPriority w:val="99"/>
    <w:unhideWhenUsed/>
    <w:rsid w:val="005859FB"/>
    <w:pPr>
      <w:spacing w:line="240" w:lineRule="auto"/>
    </w:pPr>
    <w:rPr>
      <w:szCs w:val="20"/>
    </w:rPr>
  </w:style>
  <w:style w:type="character" w:customStyle="1" w:styleId="TextkomenteChar">
    <w:name w:val="Text komentáře Char"/>
    <w:basedOn w:val="Standardnpsmoodstavce"/>
    <w:link w:val="Textkomente"/>
    <w:uiPriority w:val="99"/>
    <w:rsid w:val="005859FB"/>
    <w:rPr>
      <w:rFonts w:ascii="Arial" w:eastAsia="Times New Roman" w:hAnsi="Arial"/>
      <w:lang w:eastAsia="cs-CZ"/>
    </w:rPr>
  </w:style>
  <w:style w:type="paragraph" w:styleId="Pedmtkomente">
    <w:name w:val="annotation subject"/>
    <w:basedOn w:val="Textkomente"/>
    <w:next w:val="Textkomente"/>
    <w:link w:val="PedmtkomenteChar"/>
    <w:uiPriority w:val="99"/>
    <w:semiHidden/>
    <w:unhideWhenUsed/>
    <w:rsid w:val="005859FB"/>
    <w:rPr>
      <w:b/>
      <w:bCs/>
    </w:rPr>
  </w:style>
  <w:style w:type="character" w:customStyle="1" w:styleId="PedmtkomenteChar">
    <w:name w:val="Předmět komentáře Char"/>
    <w:basedOn w:val="TextkomenteChar"/>
    <w:link w:val="Pedmtkomente"/>
    <w:uiPriority w:val="99"/>
    <w:semiHidden/>
    <w:rsid w:val="005859FB"/>
    <w:rPr>
      <w:rFonts w:ascii="Arial" w:eastAsia="Times New Roman" w:hAnsi="Arial"/>
      <w:b/>
      <w:bCs/>
      <w:lang w:eastAsia="cs-CZ"/>
    </w:rPr>
  </w:style>
  <w:style w:type="paragraph" w:styleId="Normlnweb">
    <w:name w:val="Normal (Web)"/>
    <w:basedOn w:val="Normln"/>
    <w:uiPriority w:val="99"/>
    <w:semiHidden/>
    <w:unhideWhenUsed/>
    <w:rsid w:val="00FF6B7E"/>
    <w:pPr>
      <w:spacing w:before="100" w:beforeAutospacing="1" w:after="100" w:afterAutospacing="1" w:line="240" w:lineRule="auto"/>
    </w:pPr>
    <w:rPr>
      <w:rFonts w:ascii="Times New Roman" w:eastAsiaTheme="minorEastAsia" w:hAnsi="Times New Roman"/>
      <w:sz w:val="24"/>
    </w:rPr>
  </w:style>
  <w:style w:type="character" w:styleId="AkronymHTML">
    <w:name w:val="HTML Acronym"/>
    <w:basedOn w:val="Standardnpsmoodstavce"/>
    <w:uiPriority w:val="99"/>
    <w:semiHidden/>
    <w:unhideWhenUsed/>
    <w:rsid w:val="00FF6B7E"/>
  </w:style>
  <w:style w:type="character" w:styleId="Sledovanodkaz">
    <w:name w:val="FollowedHyperlink"/>
    <w:basedOn w:val="Standardnpsmoodstavce"/>
    <w:uiPriority w:val="99"/>
    <w:semiHidden/>
    <w:unhideWhenUsed/>
    <w:rsid w:val="00FF6B7E"/>
    <w:rPr>
      <w:color w:val="800080" w:themeColor="followedHyperlink"/>
      <w:u w:val="single"/>
    </w:rPr>
  </w:style>
  <w:style w:type="paragraph" w:styleId="Revize">
    <w:name w:val="Revision"/>
    <w:hidden/>
    <w:uiPriority w:val="99"/>
    <w:semiHidden/>
    <w:rsid w:val="00FF6B7E"/>
    <w:rPr>
      <w:rFonts w:asciiTheme="minorHAnsi" w:eastAsiaTheme="minorHAnsi" w:hAnsiTheme="minorHAnsi" w:cstheme="minorBidi"/>
      <w:sz w:val="22"/>
      <w:szCs w:val="22"/>
    </w:rPr>
  </w:style>
  <w:style w:type="table" w:customStyle="1" w:styleId="Tabulkasmkou4zvraznn21">
    <w:name w:val="Tabulka s mřížkou 4 – zvýraznění 21"/>
    <w:basedOn w:val="Normlntabulka"/>
    <w:uiPriority w:val="49"/>
    <w:rsid w:val="00FF6B7E"/>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Default">
    <w:name w:val="Default"/>
    <w:rsid w:val="00FA7769"/>
    <w:pPr>
      <w:autoSpaceDE w:val="0"/>
      <w:autoSpaceDN w:val="0"/>
      <w:adjustRightInd w:val="0"/>
    </w:pPr>
    <w:rPr>
      <w:rFonts w:cs="Calibri"/>
      <w:color w:val="000000"/>
      <w:sz w:val="24"/>
      <w:szCs w:val="24"/>
    </w:rPr>
  </w:style>
  <w:style w:type="table" w:styleId="Mkatabulky">
    <w:name w:val="Table Grid"/>
    <w:basedOn w:val="Normlntabulka"/>
    <w:uiPriority w:val="39"/>
    <w:rsid w:val="00FA776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dpisobsahu">
    <w:name w:val="TOC Heading"/>
    <w:basedOn w:val="Nadpis1"/>
    <w:next w:val="Normln"/>
    <w:uiPriority w:val="39"/>
    <w:unhideWhenUsed/>
    <w:qFormat/>
    <w:rsid w:val="00510068"/>
    <w:pPr>
      <w:spacing w:before="240" w:after="0" w:line="259" w:lineRule="auto"/>
      <w:contextualSpacing w:val="0"/>
      <w:outlineLvl w:val="9"/>
    </w:pPr>
    <w:rPr>
      <w:rFonts w:asciiTheme="majorHAnsi" w:eastAsiaTheme="majorEastAsia" w:hAnsiTheme="majorHAnsi" w:cstheme="majorBidi"/>
      <w:b w:val="0"/>
      <w:bCs w:val="0"/>
      <w:color w:val="365F91" w:themeColor="accent1" w:themeShade="BF"/>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86699">
      <w:bodyDiv w:val="1"/>
      <w:marLeft w:val="0"/>
      <w:marRight w:val="0"/>
      <w:marTop w:val="0"/>
      <w:marBottom w:val="0"/>
      <w:divBdr>
        <w:top w:val="none" w:sz="0" w:space="0" w:color="auto"/>
        <w:left w:val="none" w:sz="0" w:space="0" w:color="auto"/>
        <w:bottom w:val="none" w:sz="0" w:space="0" w:color="auto"/>
        <w:right w:val="none" w:sz="0" w:space="0" w:color="auto"/>
      </w:divBdr>
    </w:div>
    <w:div w:id="8220614">
      <w:bodyDiv w:val="1"/>
      <w:marLeft w:val="0"/>
      <w:marRight w:val="0"/>
      <w:marTop w:val="0"/>
      <w:marBottom w:val="0"/>
      <w:divBdr>
        <w:top w:val="none" w:sz="0" w:space="0" w:color="auto"/>
        <w:left w:val="none" w:sz="0" w:space="0" w:color="auto"/>
        <w:bottom w:val="none" w:sz="0" w:space="0" w:color="auto"/>
        <w:right w:val="none" w:sz="0" w:space="0" w:color="auto"/>
      </w:divBdr>
    </w:div>
    <w:div w:id="11886719">
      <w:bodyDiv w:val="1"/>
      <w:marLeft w:val="0"/>
      <w:marRight w:val="0"/>
      <w:marTop w:val="0"/>
      <w:marBottom w:val="0"/>
      <w:divBdr>
        <w:top w:val="none" w:sz="0" w:space="0" w:color="auto"/>
        <w:left w:val="none" w:sz="0" w:space="0" w:color="auto"/>
        <w:bottom w:val="none" w:sz="0" w:space="0" w:color="auto"/>
        <w:right w:val="none" w:sz="0" w:space="0" w:color="auto"/>
      </w:divBdr>
    </w:div>
    <w:div w:id="12656228">
      <w:bodyDiv w:val="1"/>
      <w:marLeft w:val="0"/>
      <w:marRight w:val="0"/>
      <w:marTop w:val="0"/>
      <w:marBottom w:val="0"/>
      <w:divBdr>
        <w:top w:val="none" w:sz="0" w:space="0" w:color="auto"/>
        <w:left w:val="none" w:sz="0" w:space="0" w:color="auto"/>
        <w:bottom w:val="none" w:sz="0" w:space="0" w:color="auto"/>
        <w:right w:val="none" w:sz="0" w:space="0" w:color="auto"/>
      </w:divBdr>
    </w:div>
    <w:div w:id="64494352">
      <w:bodyDiv w:val="1"/>
      <w:marLeft w:val="0"/>
      <w:marRight w:val="0"/>
      <w:marTop w:val="0"/>
      <w:marBottom w:val="0"/>
      <w:divBdr>
        <w:top w:val="none" w:sz="0" w:space="0" w:color="auto"/>
        <w:left w:val="none" w:sz="0" w:space="0" w:color="auto"/>
        <w:bottom w:val="none" w:sz="0" w:space="0" w:color="auto"/>
        <w:right w:val="none" w:sz="0" w:space="0" w:color="auto"/>
      </w:divBdr>
    </w:div>
    <w:div w:id="67314034">
      <w:bodyDiv w:val="1"/>
      <w:marLeft w:val="0"/>
      <w:marRight w:val="0"/>
      <w:marTop w:val="0"/>
      <w:marBottom w:val="0"/>
      <w:divBdr>
        <w:top w:val="none" w:sz="0" w:space="0" w:color="auto"/>
        <w:left w:val="none" w:sz="0" w:space="0" w:color="auto"/>
        <w:bottom w:val="none" w:sz="0" w:space="0" w:color="auto"/>
        <w:right w:val="none" w:sz="0" w:space="0" w:color="auto"/>
      </w:divBdr>
    </w:div>
    <w:div w:id="96415765">
      <w:bodyDiv w:val="1"/>
      <w:marLeft w:val="0"/>
      <w:marRight w:val="0"/>
      <w:marTop w:val="0"/>
      <w:marBottom w:val="0"/>
      <w:divBdr>
        <w:top w:val="none" w:sz="0" w:space="0" w:color="auto"/>
        <w:left w:val="none" w:sz="0" w:space="0" w:color="auto"/>
        <w:bottom w:val="none" w:sz="0" w:space="0" w:color="auto"/>
        <w:right w:val="none" w:sz="0" w:space="0" w:color="auto"/>
      </w:divBdr>
    </w:div>
    <w:div w:id="131290682">
      <w:bodyDiv w:val="1"/>
      <w:marLeft w:val="0"/>
      <w:marRight w:val="0"/>
      <w:marTop w:val="0"/>
      <w:marBottom w:val="0"/>
      <w:divBdr>
        <w:top w:val="none" w:sz="0" w:space="0" w:color="auto"/>
        <w:left w:val="none" w:sz="0" w:space="0" w:color="auto"/>
        <w:bottom w:val="none" w:sz="0" w:space="0" w:color="auto"/>
        <w:right w:val="none" w:sz="0" w:space="0" w:color="auto"/>
      </w:divBdr>
    </w:div>
    <w:div w:id="157307858">
      <w:bodyDiv w:val="1"/>
      <w:marLeft w:val="0"/>
      <w:marRight w:val="0"/>
      <w:marTop w:val="0"/>
      <w:marBottom w:val="0"/>
      <w:divBdr>
        <w:top w:val="none" w:sz="0" w:space="0" w:color="auto"/>
        <w:left w:val="none" w:sz="0" w:space="0" w:color="auto"/>
        <w:bottom w:val="none" w:sz="0" w:space="0" w:color="auto"/>
        <w:right w:val="none" w:sz="0" w:space="0" w:color="auto"/>
      </w:divBdr>
    </w:div>
    <w:div w:id="162624470">
      <w:bodyDiv w:val="1"/>
      <w:marLeft w:val="0"/>
      <w:marRight w:val="0"/>
      <w:marTop w:val="0"/>
      <w:marBottom w:val="0"/>
      <w:divBdr>
        <w:top w:val="none" w:sz="0" w:space="0" w:color="auto"/>
        <w:left w:val="none" w:sz="0" w:space="0" w:color="auto"/>
        <w:bottom w:val="none" w:sz="0" w:space="0" w:color="auto"/>
        <w:right w:val="none" w:sz="0" w:space="0" w:color="auto"/>
      </w:divBdr>
    </w:div>
    <w:div w:id="184953217">
      <w:bodyDiv w:val="1"/>
      <w:marLeft w:val="0"/>
      <w:marRight w:val="0"/>
      <w:marTop w:val="0"/>
      <w:marBottom w:val="0"/>
      <w:divBdr>
        <w:top w:val="none" w:sz="0" w:space="0" w:color="auto"/>
        <w:left w:val="none" w:sz="0" w:space="0" w:color="auto"/>
        <w:bottom w:val="none" w:sz="0" w:space="0" w:color="auto"/>
        <w:right w:val="none" w:sz="0" w:space="0" w:color="auto"/>
      </w:divBdr>
    </w:div>
    <w:div w:id="216864958">
      <w:bodyDiv w:val="1"/>
      <w:marLeft w:val="0"/>
      <w:marRight w:val="0"/>
      <w:marTop w:val="0"/>
      <w:marBottom w:val="0"/>
      <w:divBdr>
        <w:top w:val="none" w:sz="0" w:space="0" w:color="auto"/>
        <w:left w:val="none" w:sz="0" w:space="0" w:color="auto"/>
        <w:bottom w:val="none" w:sz="0" w:space="0" w:color="auto"/>
        <w:right w:val="none" w:sz="0" w:space="0" w:color="auto"/>
      </w:divBdr>
    </w:div>
    <w:div w:id="238833676">
      <w:bodyDiv w:val="1"/>
      <w:marLeft w:val="0"/>
      <w:marRight w:val="0"/>
      <w:marTop w:val="0"/>
      <w:marBottom w:val="0"/>
      <w:divBdr>
        <w:top w:val="none" w:sz="0" w:space="0" w:color="auto"/>
        <w:left w:val="none" w:sz="0" w:space="0" w:color="auto"/>
        <w:bottom w:val="none" w:sz="0" w:space="0" w:color="auto"/>
        <w:right w:val="none" w:sz="0" w:space="0" w:color="auto"/>
      </w:divBdr>
    </w:div>
    <w:div w:id="264115308">
      <w:bodyDiv w:val="1"/>
      <w:marLeft w:val="0"/>
      <w:marRight w:val="0"/>
      <w:marTop w:val="0"/>
      <w:marBottom w:val="0"/>
      <w:divBdr>
        <w:top w:val="none" w:sz="0" w:space="0" w:color="auto"/>
        <w:left w:val="none" w:sz="0" w:space="0" w:color="auto"/>
        <w:bottom w:val="none" w:sz="0" w:space="0" w:color="auto"/>
        <w:right w:val="none" w:sz="0" w:space="0" w:color="auto"/>
      </w:divBdr>
    </w:div>
    <w:div w:id="268004268">
      <w:bodyDiv w:val="1"/>
      <w:marLeft w:val="0"/>
      <w:marRight w:val="0"/>
      <w:marTop w:val="0"/>
      <w:marBottom w:val="0"/>
      <w:divBdr>
        <w:top w:val="none" w:sz="0" w:space="0" w:color="auto"/>
        <w:left w:val="none" w:sz="0" w:space="0" w:color="auto"/>
        <w:bottom w:val="none" w:sz="0" w:space="0" w:color="auto"/>
        <w:right w:val="none" w:sz="0" w:space="0" w:color="auto"/>
      </w:divBdr>
    </w:div>
    <w:div w:id="273828714">
      <w:bodyDiv w:val="1"/>
      <w:marLeft w:val="0"/>
      <w:marRight w:val="0"/>
      <w:marTop w:val="0"/>
      <w:marBottom w:val="0"/>
      <w:divBdr>
        <w:top w:val="none" w:sz="0" w:space="0" w:color="auto"/>
        <w:left w:val="none" w:sz="0" w:space="0" w:color="auto"/>
        <w:bottom w:val="none" w:sz="0" w:space="0" w:color="auto"/>
        <w:right w:val="none" w:sz="0" w:space="0" w:color="auto"/>
      </w:divBdr>
    </w:div>
    <w:div w:id="337124206">
      <w:bodyDiv w:val="1"/>
      <w:marLeft w:val="0"/>
      <w:marRight w:val="0"/>
      <w:marTop w:val="0"/>
      <w:marBottom w:val="0"/>
      <w:divBdr>
        <w:top w:val="none" w:sz="0" w:space="0" w:color="auto"/>
        <w:left w:val="none" w:sz="0" w:space="0" w:color="auto"/>
        <w:bottom w:val="none" w:sz="0" w:space="0" w:color="auto"/>
        <w:right w:val="none" w:sz="0" w:space="0" w:color="auto"/>
      </w:divBdr>
    </w:div>
    <w:div w:id="346830375">
      <w:bodyDiv w:val="1"/>
      <w:marLeft w:val="0"/>
      <w:marRight w:val="0"/>
      <w:marTop w:val="0"/>
      <w:marBottom w:val="0"/>
      <w:divBdr>
        <w:top w:val="none" w:sz="0" w:space="0" w:color="auto"/>
        <w:left w:val="none" w:sz="0" w:space="0" w:color="auto"/>
        <w:bottom w:val="none" w:sz="0" w:space="0" w:color="auto"/>
        <w:right w:val="none" w:sz="0" w:space="0" w:color="auto"/>
      </w:divBdr>
    </w:div>
    <w:div w:id="402873178">
      <w:bodyDiv w:val="1"/>
      <w:marLeft w:val="0"/>
      <w:marRight w:val="0"/>
      <w:marTop w:val="0"/>
      <w:marBottom w:val="0"/>
      <w:divBdr>
        <w:top w:val="none" w:sz="0" w:space="0" w:color="auto"/>
        <w:left w:val="none" w:sz="0" w:space="0" w:color="auto"/>
        <w:bottom w:val="none" w:sz="0" w:space="0" w:color="auto"/>
        <w:right w:val="none" w:sz="0" w:space="0" w:color="auto"/>
      </w:divBdr>
    </w:div>
    <w:div w:id="410395155">
      <w:bodyDiv w:val="1"/>
      <w:marLeft w:val="0"/>
      <w:marRight w:val="0"/>
      <w:marTop w:val="0"/>
      <w:marBottom w:val="0"/>
      <w:divBdr>
        <w:top w:val="none" w:sz="0" w:space="0" w:color="auto"/>
        <w:left w:val="none" w:sz="0" w:space="0" w:color="auto"/>
        <w:bottom w:val="none" w:sz="0" w:space="0" w:color="auto"/>
        <w:right w:val="none" w:sz="0" w:space="0" w:color="auto"/>
      </w:divBdr>
    </w:div>
    <w:div w:id="424229158">
      <w:bodyDiv w:val="1"/>
      <w:marLeft w:val="0"/>
      <w:marRight w:val="0"/>
      <w:marTop w:val="0"/>
      <w:marBottom w:val="0"/>
      <w:divBdr>
        <w:top w:val="none" w:sz="0" w:space="0" w:color="auto"/>
        <w:left w:val="none" w:sz="0" w:space="0" w:color="auto"/>
        <w:bottom w:val="none" w:sz="0" w:space="0" w:color="auto"/>
        <w:right w:val="none" w:sz="0" w:space="0" w:color="auto"/>
      </w:divBdr>
    </w:div>
    <w:div w:id="429929301">
      <w:bodyDiv w:val="1"/>
      <w:marLeft w:val="0"/>
      <w:marRight w:val="0"/>
      <w:marTop w:val="0"/>
      <w:marBottom w:val="0"/>
      <w:divBdr>
        <w:top w:val="none" w:sz="0" w:space="0" w:color="auto"/>
        <w:left w:val="none" w:sz="0" w:space="0" w:color="auto"/>
        <w:bottom w:val="none" w:sz="0" w:space="0" w:color="auto"/>
        <w:right w:val="none" w:sz="0" w:space="0" w:color="auto"/>
      </w:divBdr>
    </w:div>
    <w:div w:id="464087545">
      <w:bodyDiv w:val="1"/>
      <w:marLeft w:val="0"/>
      <w:marRight w:val="0"/>
      <w:marTop w:val="0"/>
      <w:marBottom w:val="0"/>
      <w:divBdr>
        <w:top w:val="none" w:sz="0" w:space="0" w:color="auto"/>
        <w:left w:val="none" w:sz="0" w:space="0" w:color="auto"/>
        <w:bottom w:val="none" w:sz="0" w:space="0" w:color="auto"/>
        <w:right w:val="none" w:sz="0" w:space="0" w:color="auto"/>
      </w:divBdr>
    </w:div>
    <w:div w:id="464472963">
      <w:bodyDiv w:val="1"/>
      <w:marLeft w:val="0"/>
      <w:marRight w:val="0"/>
      <w:marTop w:val="0"/>
      <w:marBottom w:val="0"/>
      <w:divBdr>
        <w:top w:val="none" w:sz="0" w:space="0" w:color="auto"/>
        <w:left w:val="none" w:sz="0" w:space="0" w:color="auto"/>
        <w:bottom w:val="none" w:sz="0" w:space="0" w:color="auto"/>
        <w:right w:val="none" w:sz="0" w:space="0" w:color="auto"/>
      </w:divBdr>
    </w:div>
    <w:div w:id="493226895">
      <w:bodyDiv w:val="1"/>
      <w:marLeft w:val="0"/>
      <w:marRight w:val="0"/>
      <w:marTop w:val="0"/>
      <w:marBottom w:val="0"/>
      <w:divBdr>
        <w:top w:val="none" w:sz="0" w:space="0" w:color="auto"/>
        <w:left w:val="none" w:sz="0" w:space="0" w:color="auto"/>
        <w:bottom w:val="none" w:sz="0" w:space="0" w:color="auto"/>
        <w:right w:val="none" w:sz="0" w:space="0" w:color="auto"/>
      </w:divBdr>
    </w:div>
    <w:div w:id="528571792">
      <w:bodyDiv w:val="1"/>
      <w:marLeft w:val="0"/>
      <w:marRight w:val="0"/>
      <w:marTop w:val="0"/>
      <w:marBottom w:val="0"/>
      <w:divBdr>
        <w:top w:val="none" w:sz="0" w:space="0" w:color="auto"/>
        <w:left w:val="none" w:sz="0" w:space="0" w:color="auto"/>
        <w:bottom w:val="none" w:sz="0" w:space="0" w:color="auto"/>
        <w:right w:val="none" w:sz="0" w:space="0" w:color="auto"/>
      </w:divBdr>
    </w:div>
    <w:div w:id="533806547">
      <w:bodyDiv w:val="1"/>
      <w:marLeft w:val="0"/>
      <w:marRight w:val="0"/>
      <w:marTop w:val="0"/>
      <w:marBottom w:val="0"/>
      <w:divBdr>
        <w:top w:val="none" w:sz="0" w:space="0" w:color="auto"/>
        <w:left w:val="none" w:sz="0" w:space="0" w:color="auto"/>
        <w:bottom w:val="none" w:sz="0" w:space="0" w:color="auto"/>
        <w:right w:val="none" w:sz="0" w:space="0" w:color="auto"/>
      </w:divBdr>
    </w:div>
    <w:div w:id="557741705">
      <w:bodyDiv w:val="1"/>
      <w:marLeft w:val="0"/>
      <w:marRight w:val="0"/>
      <w:marTop w:val="0"/>
      <w:marBottom w:val="0"/>
      <w:divBdr>
        <w:top w:val="none" w:sz="0" w:space="0" w:color="auto"/>
        <w:left w:val="none" w:sz="0" w:space="0" w:color="auto"/>
        <w:bottom w:val="none" w:sz="0" w:space="0" w:color="auto"/>
        <w:right w:val="none" w:sz="0" w:space="0" w:color="auto"/>
      </w:divBdr>
    </w:div>
    <w:div w:id="562447004">
      <w:bodyDiv w:val="1"/>
      <w:marLeft w:val="0"/>
      <w:marRight w:val="0"/>
      <w:marTop w:val="0"/>
      <w:marBottom w:val="0"/>
      <w:divBdr>
        <w:top w:val="none" w:sz="0" w:space="0" w:color="auto"/>
        <w:left w:val="none" w:sz="0" w:space="0" w:color="auto"/>
        <w:bottom w:val="none" w:sz="0" w:space="0" w:color="auto"/>
        <w:right w:val="none" w:sz="0" w:space="0" w:color="auto"/>
      </w:divBdr>
    </w:div>
    <w:div w:id="570388989">
      <w:bodyDiv w:val="1"/>
      <w:marLeft w:val="0"/>
      <w:marRight w:val="0"/>
      <w:marTop w:val="0"/>
      <w:marBottom w:val="0"/>
      <w:divBdr>
        <w:top w:val="none" w:sz="0" w:space="0" w:color="auto"/>
        <w:left w:val="none" w:sz="0" w:space="0" w:color="auto"/>
        <w:bottom w:val="none" w:sz="0" w:space="0" w:color="auto"/>
        <w:right w:val="none" w:sz="0" w:space="0" w:color="auto"/>
      </w:divBdr>
    </w:div>
    <w:div w:id="574508167">
      <w:bodyDiv w:val="1"/>
      <w:marLeft w:val="0"/>
      <w:marRight w:val="0"/>
      <w:marTop w:val="0"/>
      <w:marBottom w:val="0"/>
      <w:divBdr>
        <w:top w:val="none" w:sz="0" w:space="0" w:color="auto"/>
        <w:left w:val="none" w:sz="0" w:space="0" w:color="auto"/>
        <w:bottom w:val="none" w:sz="0" w:space="0" w:color="auto"/>
        <w:right w:val="none" w:sz="0" w:space="0" w:color="auto"/>
      </w:divBdr>
    </w:div>
    <w:div w:id="574826675">
      <w:bodyDiv w:val="1"/>
      <w:marLeft w:val="0"/>
      <w:marRight w:val="0"/>
      <w:marTop w:val="0"/>
      <w:marBottom w:val="0"/>
      <w:divBdr>
        <w:top w:val="none" w:sz="0" w:space="0" w:color="auto"/>
        <w:left w:val="none" w:sz="0" w:space="0" w:color="auto"/>
        <w:bottom w:val="none" w:sz="0" w:space="0" w:color="auto"/>
        <w:right w:val="none" w:sz="0" w:space="0" w:color="auto"/>
      </w:divBdr>
    </w:div>
    <w:div w:id="580021523">
      <w:bodyDiv w:val="1"/>
      <w:marLeft w:val="0"/>
      <w:marRight w:val="0"/>
      <w:marTop w:val="0"/>
      <w:marBottom w:val="0"/>
      <w:divBdr>
        <w:top w:val="none" w:sz="0" w:space="0" w:color="auto"/>
        <w:left w:val="none" w:sz="0" w:space="0" w:color="auto"/>
        <w:bottom w:val="none" w:sz="0" w:space="0" w:color="auto"/>
        <w:right w:val="none" w:sz="0" w:space="0" w:color="auto"/>
      </w:divBdr>
    </w:div>
    <w:div w:id="632712745">
      <w:bodyDiv w:val="1"/>
      <w:marLeft w:val="0"/>
      <w:marRight w:val="0"/>
      <w:marTop w:val="0"/>
      <w:marBottom w:val="0"/>
      <w:divBdr>
        <w:top w:val="none" w:sz="0" w:space="0" w:color="auto"/>
        <w:left w:val="none" w:sz="0" w:space="0" w:color="auto"/>
        <w:bottom w:val="none" w:sz="0" w:space="0" w:color="auto"/>
        <w:right w:val="none" w:sz="0" w:space="0" w:color="auto"/>
      </w:divBdr>
    </w:div>
    <w:div w:id="645672927">
      <w:bodyDiv w:val="1"/>
      <w:marLeft w:val="0"/>
      <w:marRight w:val="0"/>
      <w:marTop w:val="0"/>
      <w:marBottom w:val="0"/>
      <w:divBdr>
        <w:top w:val="none" w:sz="0" w:space="0" w:color="auto"/>
        <w:left w:val="none" w:sz="0" w:space="0" w:color="auto"/>
        <w:bottom w:val="none" w:sz="0" w:space="0" w:color="auto"/>
        <w:right w:val="none" w:sz="0" w:space="0" w:color="auto"/>
      </w:divBdr>
    </w:div>
    <w:div w:id="671493523">
      <w:bodyDiv w:val="1"/>
      <w:marLeft w:val="0"/>
      <w:marRight w:val="0"/>
      <w:marTop w:val="0"/>
      <w:marBottom w:val="0"/>
      <w:divBdr>
        <w:top w:val="none" w:sz="0" w:space="0" w:color="auto"/>
        <w:left w:val="none" w:sz="0" w:space="0" w:color="auto"/>
        <w:bottom w:val="none" w:sz="0" w:space="0" w:color="auto"/>
        <w:right w:val="none" w:sz="0" w:space="0" w:color="auto"/>
      </w:divBdr>
    </w:div>
    <w:div w:id="673993496">
      <w:bodyDiv w:val="1"/>
      <w:marLeft w:val="0"/>
      <w:marRight w:val="0"/>
      <w:marTop w:val="0"/>
      <w:marBottom w:val="0"/>
      <w:divBdr>
        <w:top w:val="none" w:sz="0" w:space="0" w:color="auto"/>
        <w:left w:val="none" w:sz="0" w:space="0" w:color="auto"/>
        <w:bottom w:val="none" w:sz="0" w:space="0" w:color="auto"/>
        <w:right w:val="none" w:sz="0" w:space="0" w:color="auto"/>
      </w:divBdr>
    </w:div>
    <w:div w:id="683020579">
      <w:bodyDiv w:val="1"/>
      <w:marLeft w:val="0"/>
      <w:marRight w:val="0"/>
      <w:marTop w:val="0"/>
      <w:marBottom w:val="0"/>
      <w:divBdr>
        <w:top w:val="none" w:sz="0" w:space="0" w:color="auto"/>
        <w:left w:val="none" w:sz="0" w:space="0" w:color="auto"/>
        <w:bottom w:val="none" w:sz="0" w:space="0" w:color="auto"/>
        <w:right w:val="none" w:sz="0" w:space="0" w:color="auto"/>
      </w:divBdr>
    </w:div>
    <w:div w:id="729546883">
      <w:bodyDiv w:val="1"/>
      <w:marLeft w:val="0"/>
      <w:marRight w:val="0"/>
      <w:marTop w:val="0"/>
      <w:marBottom w:val="0"/>
      <w:divBdr>
        <w:top w:val="none" w:sz="0" w:space="0" w:color="auto"/>
        <w:left w:val="none" w:sz="0" w:space="0" w:color="auto"/>
        <w:bottom w:val="none" w:sz="0" w:space="0" w:color="auto"/>
        <w:right w:val="none" w:sz="0" w:space="0" w:color="auto"/>
      </w:divBdr>
    </w:div>
    <w:div w:id="776414278">
      <w:bodyDiv w:val="1"/>
      <w:marLeft w:val="0"/>
      <w:marRight w:val="0"/>
      <w:marTop w:val="0"/>
      <w:marBottom w:val="0"/>
      <w:divBdr>
        <w:top w:val="none" w:sz="0" w:space="0" w:color="auto"/>
        <w:left w:val="none" w:sz="0" w:space="0" w:color="auto"/>
        <w:bottom w:val="none" w:sz="0" w:space="0" w:color="auto"/>
        <w:right w:val="none" w:sz="0" w:space="0" w:color="auto"/>
      </w:divBdr>
    </w:div>
    <w:div w:id="814568788">
      <w:bodyDiv w:val="1"/>
      <w:marLeft w:val="0"/>
      <w:marRight w:val="0"/>
      <w:marTop w:val="0"/>
      <w:marBottom w:val="0"/>
      <w:divBdr>
        <w:top w:val="none" w:sz="0" w:space="0" w:color="auto"/>
        <w:left w:val="none" w:sz="0" w:space="0" w:color="auto"/>
        <w:bottom w:val="none" w:sz="0" w:space="0" w:color="auto"/>
        <w:right w:val="none" w:sz="0" w:space="0" w:color="auto"/>
      </w:divBdr>
    </w:div>
    <w:div w:id="820119784">
      <w:bodyDiv w:val="1"/>
      <w:marLeft w:val="0"/>
      <w:marRight w:val="0"/>
      <w:marTop w:val="0"/>
      <w:marBottom w:val="0"/>
      <w:divBdr>
        <w:top w:val="none" w:sz="0" w:space="0" w:color="auto"/>
        <w:left w:val="none" w:sz="0" w:space="0" w:color="auto"/>
        <w:bottom w:val="none" w:sz="0" w:space="0" w:color="auto"/>
        <w:right w:val="none" w:sz="0" w:space="0" w:color="auto"/>
      </w:divBdr>
    </w:div>
    <w:div w:id="821048653">
      <w:bodyDiv w:val="1"/>
      <w:marLeft w:val="0"/>
      <w:marRight w:val="0"/>
      <w:marTop w:val="0"/>
      <w:marBottom w:val="0"/>
      <w:divBdr>
        <w:top w:val="none" w:sz="0" w:space="0" w:color="auto"/>
        <w:left w:val="none" w:sz="0" w:space="0" w:color="auto"/>
        <w:bottom w:val="none" w:sz="0" w:space="0" w:color="auto"/>
        <w:right w:val="none" w:sz="0" w:space="0" w:color="auto"/>
      </w:divBdr>
    </w:div>
    <w:div w:id="841552094">
      <w:bodyDiv w:val="1"/>
      <w:marLeft w:val="0"/>
      <w:marRight w:val="0"/>
      <w:marTop w:val="0"/>
      <w:marBottom w:val="0"/>
      <w:divBdr>
        <w:top w:val="none" w:sz="0" w:space="0" w:color="auto"/>
        <w:left w:val="none" w:sz="0" w:space="0" w:color="auto"/>
        <w:bottom w:val="none" w:sz="0" w:space="0" w:color="auto"/>
        <w:right w:val="none" w:sz="0" w:space="0" w:color="auto"/>
      </w:divBdr>
    </w:div>
    <w:div w:id="880442670">
      <w:bodyDiv w:val="1"/>
      <w:marLeft w:val="0"/>
      <w:marRight w:val="0"/>
      <w:marTop w:val="0"/>
      <w:marBottom w:val="0"/>
      <w:divBdr>
        <w:top w:val="none" w:sz="0" w:space="0" w:color="auto"/>
        <w:left w:val="none" w:sz="0" w:space="0" w:color="auto"/>
        <w:bottom w:val="none" w:sz="0" w:space="0" w:color="auto"/>
        <w:right w:val="none" w:sz="0" w:space="0" w:color="auto"/>
      </w:divBdr>
    </w:div>
    <w:div w:id="886184921">
      <w:bodyDiv w:val="1"/>
      <w:marLeft w:val="0"/>
      <w:marRight w:val="0"/>
      <w:marTop w:val="0"/>
      <w:marBottom w:val="0"/>
      <w:divBdr>
        <w:top w:val="none" w:sz="0" w:space="0" w:color="auto"/>
        <w:left w:val="none" w:sz="0" w:space="0" w:color="auto"/>
        <w:bottom w:val="none" w:sz="0" w:space="0" w:color="auto"/>
        <w:right w:val="none" w:sz="0" w:space="0" w:color="auto"/>
      </w:divBdr>
    </w:div>
    <w:div w:id="890962879">
      <w:bodyDiv w:val="1"/>
      <w:marLeft w:val="0"/>
      <w:marRight w:val="0"/>
      <w:marTop w:val="0"/>
      <w:marBottom w:val="0"/>
      <w:divBdr>
        <w:top w:val="none" w:sz="0" w:space="0" w:color="auto"/>
        <w:left w:val="none" w:sz="0" w:space="0" w:color="auto"/>
        <w:bottom w:val="none" w:sz="0" w:space="0" w:color="auto"/>
        <w:right w:val="none" w:sz="0" w:space="0" w:color="auto"/>
      </w:divBdr>
    </w:div>
    <w:div w:id="936911629">
      <w:bodyDiv w:val="1"/>
      <w:marLeft w:val="0"/>
      <w:marRight w:val="0"/>
      <w:marTop w:val="0"/>
      <w:marBottom w:val="0"/>
      <w:divBdr>
        <w:top w:val="none" w:sz="0" w:space="0" w:color="auto"/>
        <w:left w:val="none" w:sz="0" w:space="0" w:color="auto"/>
        <w:bottom w:val="none" w:sz="0" w:space="0" w:color="auto"/>
        <w:right w:val="none" w:sz="0" w:space="0" w:color="auto"/>
      </w:divBdr>
    </w:div>
    <w:div w:id="945498325">
      <w:bodyDiv w:val="1"/>
      <w:marLeft w:val="0"/>
      <w:marRight w:val="0"/>
      <w:marTop w:val="0"/>
      <w:marBottom w:val="0"/>
      <w:divBdr>
        <w:top w:val="none" w:sz="0" w:space="0" w:color="auto"/>
        <w:left w:val="none" w:sz="0" w:space="0" w:color="auto"/>
        <w:bottom w:val="none" w:sz="0" w:space="0" w:color="auto"/>
        <w:right w:val="none" w:sz="0" w:space="0" w:color="auto"/>
      </w:divBdr>
    </w:div>
    <w:div w:id="958683493">
      <w:bodyDiv w:val="1"/>
      <w:marLeft w:val="0"/>
      <w:marRight w:val="0"/>
      <w:marTop w:val="0"/>
      <w:marBottom w:val="0"/>
      <w:divBdr>
        <w:top w:val="none" w:sz="0" w:space="0" w:color="auto"/>
        <w:left w:val="none" w:sz="0" w:space="0" w:color="auto"/>
        <w:bottom w:val="none" w:sz="0" w:space="0" w:color="auto"/>
        <w:right w:val="none" w:sz="0" w:space="0" w:color="auto"/>
      </w:divBdr>
    </w:div>
    <w:div w:id="962004179">
      <w:bodyDiv w:val="1"/>
      <w:marLeft w:val="0"/>
      <w:marRight w:val="0"/>
      <w:marTop w:val="0"/>
      <w:marBottom w:val="0"/>
      <w:divBdr>
        <w:top w:val="none" w:sz="0" w:space="0" w:color="auto"/>
        <w:left w:val="none" w:sz="0" w:space="0" w:color="auto"/>
        <w:bottom w:val="none" w:sz="0" w:space="0" w:color="auto"/>
        <w:right w:val="none" w:sz="0" w:space="0" w:color="auto"/>
      </w:divBdr>
    </w:div>
    <w:div w:id="969478194">
      <w:bodyDiv w:val="1"/>
      <w:marLeft w:val="0"/>
      <w:marRight w:val="0"/>
      <w:marTop w:val="0"/>
      <w:marBottom w:val="0"/>
      <w:divBdr>
        <w:top w:val="none" w:sz="0" w:space="0" w:color="auto"/>
        <w:left w:val="none" w:sz="0" w:space="0" w:color="auto"/>
        <w:bottom w:val="none" w:sz="0" w:space="0" w:color="auto"/>
        <w:right w:val="none" w:sz="0" w:space="0" w:color="auto"/>
      </w:divBdr>
    </w:div>
    <w:div w:id="980115784">
      <w:bodyDiv w:val="1"/>
      <w:marLeft w:val="0"/>
      <w:marRight w:val="0"/>
      <w:marTop w:val="0"/>
      <w:marBottom w:val="0"/>
      <w:divBdr>
        <w:top w:val="none" w:sz="0" w:space="0" w:color="auto"/>
        <w:left w:val="none" w:sz="0" w:space="0" w:color="auto"/>
        <w:bottom w:val="none" w:sz="0" w:space="0" w:color="auto"/>
        <w:right w:val="none" w:sz="0" w:space="0" w:color="auto"/>
      </w:divBdr>
    </w:div>
    <w:div w:id="1036655908">
      <w:bodyDiv w:val="1"/>
      <w:marLeft w:val="0"/>
      <w:marRight w:val="0"/>
      <w:marTop w:val="0"/>
      <w:marBottom w:val="0"/>
      <w:divBdr>
        <w:top w:val="none" w:sz="0" w:space="0" w:color="auto"/>
        <w:left w:val="none" w:sz="0" w:space="0" w:color="auto"/>
        <w:bottom w:val="none" w:sz="0" w:space="0" w:color="auto"/>
        <w:right w:val="none" w:sz="0" w:space="0" w:color="auto"/>
      </w:divBdr>
    </w:div>
    <w:div w:id="1046293727">
      <w:bodyDiv w:val="1"/>
      <w:marLeft w:val="0"/>
      <w:marRight w:val="0"/>
      <w:marTop w:val="0"/>
      <w:marBottom w:val="0"/>
      <w:divBdr>
        <w:top w:val="none" w:sz="0" w:space="0" w:color="auto"/>
        <w:left w:val="none" w:sz="0" w:space="0" w:color="auto"/>
        <w:bottom w:val="none" w:sz="0" w:space="0" w:color="auto"/>
        <w:right w:val="none" w:sz="0" w:space="0" w:color="auto"/>
      </w:divBdr>
    </w:div>
    <w:div w:id="1128552732">
      <w:bodyDiv w:val="1"/>
      <w:marLeft w:val="0"/>
      <w:marRight w:val="0"/>
      <w:marTop w:val="0"/>
      <w:marBottom w:val="0"/>
      <w:divBdr>
        <w:top w:val="none" w:sz="0" w:space="0" w:color="auto"/>
        <w:left w:val="none" w:sz="0" w:space="0" w:color="auto"/>
        <w:bottom w:val="none" w:sz="0" w:space="0" w:color="auto"/>
        <w:right w:val="none" w:sz="0" w:space="0" w:color="auto"/>
      </w:divBdr>
    </w:div>
    <w:div w:id="1141462122">
      <w:bodyDiv w:val="1"/>
      <w:marLeft w:val="0"/>
      <w:marRight w:val="0"/>
      <w:marTop w:val="0"/>
      <w:marBottom w:val="0"/>
      <w:divBdr>
        <w:top w:val="none" w:sz="0" w:space="0" w:color="auto"/>
        <w:left w:val="none" w:sz="0" w:space="0" w:color="auto"/>
        <w:bottom w:val="none" w:sz="0" w:space="0" w:color="auto"/>
        <w:right w:val="none" w:sz="0" w:space="0" w:color="auto"/>
      </w:divBdr>
    </w:div>
    <w:div w:id="1144539996">
      <w:bodyDiv w:val="1"/>
      <w:marLeft w:val="0"/>
      <w:marRight w:val="0"/>
      <w:marTop w:val="0"/>
      <w:marBottom w:val="0"/>
      <w:divBdr>
        <w:top w:val="none" w:sz="0" w:space="0" w:color="auto"/>
        <w:left w:val="none" w:sz="0" w:space="0" w:color="auto"/>
        <w:bottom w:val="none" w:sz="0" w:space="0" w:color="auto"/>
        <w:right w:val="none" w:sz="0" w:space="0" w:color="auto"/>
      </w:divBdr>
    </w:div>
    <w:div w:id="1148596055">
      <w:bodyDiv w:val="1"/>
      <w:marLeft w:val="0"/>
      <w:marRight w:val="0"/>
      <w:marTop w:val="0"/>
      <w:marBottom w:val="0"/>
      <w:divBdr>
        <w:top w:val="none" w:sz="0" w:space="0" w:color="auto"/>
        <w:left w:val="none" w:sz="0" w:space="0" w:color="auto"/>
        <w:bottom w:val="none" w:sz="0" w:space="0" w:color="auto"/>
        <w:right w:val="none" w:sz="0" w:space="0" w:color="auto"/>
      </w:divBdr>
    </w:div>
    <w:div w:id="1154489333">
      <w:bodyDiv w:val="1"/>
      <w:marLeft w:val="0"/>
      <w:marRight w:val="0"/>
      <w:marTop w:val="0"/>
      <w:marBottom w:val="0"/>
      <w:divBdr>
        <w:top w:val="none" w:sz="0" w:space="0" w:color="auto"/>
        <w:left w:val="none" w:sz="0" w:space="0" w:color="auto"/>
        <w:bottom w:val="none" w:sz="0" w:space="0" w:color="auto"/>
        <w:right w:val="none" w:sz="0" w:space="0" w:color="auto"/>
      </w:divBdr>
    </w:div>
    <w:div w:id="1171873653">
      <w:bodyDiv w:val="1"/>
      <w:marLeft w:val="0"/>
      <w:marRight w:val="0"/>
      <w:marTop w:val="0"/>
      <w:marBottom w:val="0"/>
      <w:divBdr>
        <w:top w:val="none" w:sz="0" w:space="0" w:color="auto"/>
        <w:left w:val="none" w:sz="0" w:space="0" w:color="auto"/>
        <w:bottom w:val="none" w:sz="0" w:space="0" w:color="auto"/>
        <w:right w:val="none" w:sz="0" w:space="0" w:color="auto"/>
      </w:divBdr>
    </w:div>
    <w:div w:id="1180268052">
      <w:bodyDiv w:val="1"/>
      <w:marLeft w:val="0"/>
      <w:marRight w:val="0"/>
      <w:marTop w:val="0"/>
      <w:marBottom w:val="0"/>
      <w:divBdr>
        <w:top w:val="none" w:sz="0" w:space="0" w:color="auto"/>
        <w:left w:val="none" w:sz="0" w:space="0" w:color="auto"/>
        <w:bottom w:val="none" w:sz="0" w:space="0" w:color="auto"/>
        <w:right w:val="none" w:sz="0" w:space="0" w:color="auto"/>
      </w:divBdr>
    </w:div>
    <w:div w:id="1208487203">
      <w:bodyDiv w:val="1"/>
      <w:marLeft w:val="0"/>
      <w:marRight w:val="0"/>
      <w:marTop w:val="0"/>
      <w:marBottom w:val="0"/>
      <w:divBdr>
        <w:top w:val="none" w:sz="0" w:space="0" w:color="auto"/>
        <w:left w:val="none" w:sz="0" w:space="0" w:color="auto"/>
        <w:bottom w:val="none" w:sz="0" w:space="0" w:color="auto"/>
        <w:right w:val="none" w:sz="0" w:space="0" w:color="auto"/>
      </w:divBdr>
    </w:div>
    <w:div w:id="1209300773">
      <w:bodyDiv w:val="1"/>
      <w:marLeft w:val="0"/>
      <w:marRight w:val="0"/>
      <w:marTop w:val="0"/>
      <w:marBottom w:val="0"/>
      <w:divBdr>
        <w:top w:val="none" w:sz="0" w:space="0" w:color="auto"/>
        <w:left w:val="none" w:sz="0" w:space="0" w:color="auto"/>
        <w:bottom w:val="none" w:sz="0" w:space="0" w:color="auto"/>
        <w:right w:val="none" w:sz="0" w:space="0" w:color="auto"/>
      </w:divBdr>
    </w:div>
    <w:div w:id="1227765865">
      <w:bodyDiv w:val="1"/>
      <w:marLeft w:val="0"/>
      <w:marRight w:val="0"/>
      <w:marTop w:val="0"/>
      <w:marBottom w:val="0"/>
      <w:divBdr>
        <w:top w:val="none" w:sz="0" w:space="0" w:color="auto"/>
        <w:left w:val="none" w:sz="0" w:space="0" w:color="auto"/>
        <w:bottom w:val="none" w:sz="0" w:space="0" w:color="auto"/>
        <w:right w:val="none" w:sz="0" w:space="0" w:color="auto"/>
      </w:divBdr>
    </w:div>
    <w:div w:id="1244487507">
      <w:bodyDiv w:val="1"/>
      <w:marLeft w:val="0"/>
      <w:marRight w:val="0"/>
      <w:marTop w:val="0"/>
      <w:marBottom w:val="0"/>
      <w:divBdr>
        <w:top w:val="none" w:sz="0" w:space="0" w:color="auto"/>
        <w:left w:val="none" w:sz="0" w:space="0" w:color="auto"/>
        <w:bottom w:val="none" w:sz="0" w:space="0" w:color="auto"/>
        <w:right w:val="none" w:sz="0" w:space="0" w:color="auto"/>
      </w:divBdr>
    </w:div>
    <w:div w:id="1272318759">
      <w:bodyDiv w:val="1"/>
      <w:marLeft w:val="0"/>
      <w:marRight w:val="0"/>
      <w:marTop w:val="0"/>
      <w:marBottom w:val="0"/>
      <w:divBdr>
        <w:top w:val="none" w:sz="0" w:space="0" w:color="auto"/>
        <w:left w:val="none" w:sz="0" w:space="0" w:color="auto"/>
        <w:bottom w:val="none" w:sz="0" w:space="0" w:color="auto"/>
        <w:right w:val="none" w:sz="0" w:space="0" w:color="auto"/>
      </w:divBdr>
    </w:div>
    <w:div w:id="1300262492">
      <w:bodyDiv w:val="1"/>
      <w:marLeft w:val="0"/>
      <w:marRight w:val="0"/>
      <w:marTop w:val="0"/>
      <w:marBottom w:val="0"/>
      <w:divBdr>
        <w:top w:val="none" w:sz="0" w:space="0" w:color="auto"/>
        <w:left w:val="none" w:sz="0" w:space="0" w:color="auto"/>
        <w:bottom w:val="none" w:sz="0" w:space="0" w:color="auto"/>
        <w:right w:val="none" w:sz="0" w:space="0" w:color="auto"/>
      </w:divBdr>
    </w:div>
    <w:div w:id="1300767919">
      <w:bodyDiv w:val="1"/>
      <w:marLeft w:val="0"/>
      <w:marRight w:val="0"/>
      <w:marTop w:val="0"/>
      <w:marBottom w:val="0"/>
      <w:divBdr>
        <w:top w:val="none" w:sz="0" w:space="0" w:color="auto"/>
        <w:left w:val="none" w:sz="0" w:space="0" w:color="auto"/>
        <w:bottom w:val="none" w:sz="0" w:space="0" w:color="auto"/>
        <w:right w:val="none" w:sz="0" w:space="0" w:color="auto"/>
      </w:divBdr>
    </w:div>
    <w:div w:id="1305626372">
      <w:bodyDiv w:val="1"/>
      <w:marLeft w:val="0"/>
      <w:marRight w:val="0"/>
      <w:marTop w:val="0"/>
      <w:marBottom w:val="0"/>
      <w:divBdr>
        <w:top w:val="none" w:sz="0" w:space="0" w:color="auto"/>
        <w:left w:val="none" w:sz="0" w:space="0" w:color="auto"/>
        <w:bottom w:val="none" w:sz="0" w:space="0" w:color="auto"/>
        <w:right w:val="none" w:sz="0" w:space="0" w:color="auto"/>
      </w:divBdr>
    </w:div>
    <w:div w:id="1314796123">
      <w:bodyDiv w:val="1"/>
      <w:marLeft w:val="0"/>
      <w:marRight w:val="0"/>
      <w:marTop w:val="0"/>
      <w:marBottom w:val="0"/>
      <w:divBdr>
        <w:top w:val="none" w:sz="0" w:space="0" w:color="auto"/>
        <w:left w:val="none" w:sz="0" w:space="0" w:color="auto"/>
        <w:bottom w:val="none" w:sz="0" w:space="0" w:color="auto"/>
        <w:right w:val="none" w:sz="0" w:space="0" w:color="auto"/>
      </w:divBdr>
    </w:div>
    <w:div w:id="1329364102">
      <w:bodyDiv w:val="1"/>
      <w:marLeft w:val="0"/>
      <w:marRight w:val="0"/>
      <w:marTop w:val="0"/>
      <w:marBottom w:val="0"/>
      <w:divBdr>
        <w:top w:val="none" w:sz="0" w:space="0" w:color="auto"/>
        <w:left w:val="none" w:sz="0" w:space="0" w:color="auto"/>
        <w:bottom w:val="none" w:sz="0" w:space="0" w:color="auto"/>
        <w:right w:val="none" w:sz="0" w:space="0" w:color="auto"/>
      </w:divBdr>
    </w:div>
    <w:div w:id="1339037051">
      <w:bodyDiv w:val="1"/>
      <w:marLeft w:val="0"/>
      <w:marRight w:val="0"/>
      <w:marTop w:val="0"/>
      <w:marBottom w:val="0"/>
      <w:divBdr>
        <w:top w:val="none" w:sz="0" w:space="0" w:color="auto"/>
        <w:left w:val="none" w:sz="0" w:space="0" w:color="auto"/>
        <w:bottom w:val="none" w:sz="0" w:space="0" w:color="auto"/>
        <w:right w:val="none" w:sz="0" w:space="0" w:color="auto"/>
      </w:divBdr>
    </w:div>
    <w:div w:id="1353268098">
      <w:bodyDiv w:val="1"/>
      <w:marLeft w:val="0"/>
      <w:marRight w:val="0"/>
      <w:marTop w:val="0"/>
      <w:marBottom w:val="0"/>
      <w:divBdr>
        <w:top w:val="none" w:sz="0" w:space="0" w:color="auto"/>
        <w:left w:val="none" w:sz="0" w:space="0" w:color="auto"/>
        <w:bottom w:val="none" w:sz="0" w:space="0" w:color="auto"/>
        <w:right w:val="none" w:sz="0" w:space="0" w:color="auto"/>
      </w:divBdr>
    </w:div>
    <w:div w:id="1376850352">
      <w:bodyDiv w:val="1"/>
      <w:marLeft w:val="0"/>
      <w:marRight w:val="0"/>
      <w:marTop w:val="0"/>
      <w:marBottom w:val="0"/>
      <w:divBdr>
        <w:top w:val="none" w:sz="0" w:space="0" w:color="auto"/>
        <w:left w:val="none" w:sz="0" w:space="0" w:color="auto"/>
        <w:bottom w:val="none" w:sz="0" w:space="0" w:color="auto"/>
        <w:right w:val="none" w:sz="0" w:space="0" w:color="auto"/>
      </w:divBdr>
    </w:div>
    <w:div w:id="1381974203">
      <w:bodyDiv w:val="1"/>
      <w:marLeft w:val="0"/>
      <w:marRight w:val="0"/>
      <w:marTop w:val="0"/>
      <w:marBottom w:val="0"/>
      <w:divBdr>
        <w:top w:val="none" w:sz="0" w:space="0" w:color="auto"/>
        <w:left w:val="none" w:sz="0" w:space="0" w:color="auto"/>
        <w:bottom w:val="none" w:sz="0" w:space="0" w:color="auto"/>
        <w:right w:val="none" w:sz="0" w:space="0" w:color="auto"/>
      </w:divBdr>
    </w:div>
    <w:div w:id="1405689476">
      <w:bodyDiv w:val="1"/>
      <w:marLeft w:val="0"/>
      <w:marRight w:val="0"/>
      <w:marTop w:val="0"/>
      <w:marBottom w:val="0"/>
      <w:divBdr>
        <w:top w:val="none" w:sz="0" w:space="0" w:color="auto"/>
        <w:left w:val="none" w:sz="0" w:space="0" w:color="auto"/>
        <w:bottom w:val="none" w:sz="0" w:space="0" w:color="auto"/>
        <w:right w:val="none" w:sz="0" w:space="0" w:color="auto"/>
      </w:divBdr>
    </w:div>
    <w:div w:id="1443528223">
      <w:bodyDiv w:val="1"/>
      <w:marLeft w:val="0"/>
      <w:marRight w:val="0"/>
      <w:marTop w:val="0"/>
      <w:marBottom w:val="0"/>
      <w:divBdr>
        <w:top w:val="none" w:sz="0" w:space="0" w:color="auto"/>
        <w:left w:val="none" w:sz="0" w:space="0" w:color="auto"/>
        <w:bottom w:val="none" w:sz="0" w:space="0" w:color="auto"/>
        <w:right w:val="none" w:sz="0" w:space="0" w:color="auto"/>
      </w:divBdr>
    </w:div>
    <w:div w:id="1460343825">
      <w:bodyDiv w:val="1"/>
      <w:marLeft w:val="0"/>
      <w:marRight w:val="0"/>
      <w:marTop w:val="0"/>
      <w:marBottom w:val="0"/>
      <w:divBdr>
        <w:top w:val="none" w:sz="0" w:space="0" w:color="auto"/>
        <w:left w:val="none" w:sz="0" w:space="0" w:color="auto"/>
        <w:bottom w:val="none" w:sz="0" w:space="0" w:color="auto"/>
        <w:right w:val="none" w:sz="0" w:space="0" w:color="auto"/>
      </w:divBdr>
    </w:div>
    <w:div w:id="1471289148">
      <w:bodyDiv w:val="1"/>
      <w:marLeft w:val="0"/>
      <w:marRight w:val="0"/>
      <w:marTop w:val="0"/>
      <w:marBottom w:val="0"/>
      <w:divBdr>
        <w:top w:val="none" w:sz="0" w:space="0" w:color="auto"/>
        <w:left w:val="none" w:sz="0" w:space="0" w:color="auto"/>
        <w:bottom w:val="none" w:sz="0" w:space="0" w:color="auto"/>
        <w:right w:val="none" w:sz="0" w:space="0" w:color="auto"/>
      </w:divBdr>
    </w:div>
    <w:div w:id="1486582325">
      <w:bodyDiv w:val="1"/>
      <w:marLeft w:val="0"/>
      <w:marRight w:val="0"/>
      <w:marTop w:val="0"/>
      <w:marBottom w:val="0"/>
      <w:divBdr>
        <w:top w:val="none" w:sz="0" w:space="0" w:color="auto"/>
        <w:left w:val="none" w:sz="0" w:space="0" w:color="auto"/>
        <w:bottom w:val="none" w:sz="0" w:space="0" w:color="auto"/>
        <w:right w:val="none" w:sz="0" w:space="0" w:color="auto"/>
      </w:divBdr>
    </w:div>
    <w:div w:id="1516265347">
      <w:bodyDiv w:val="1"/>
      <w:marLeft w:val="0"/>
      <w:marRight w:val="0"/>
      <w:marTop w:val="0"/>
      <w:marBottom w:val="0"/>
      <w:divBdr>
        <w:top w:val="none" w:sz="0" w:space="0" w:color="auto"/>
        <w:left w:val="none" w:sz="0" w:space="0" w:color="auto"/>
        <w:bottom w:val="none" w:sz="0" w:space="0" w:color="auto"/>
        <w:right w:val="none" w:sz="0" w:space="0" w:color="auto"/>
      </w:divBdr>
    </w:div>
    <w:div w:id="1525051248">
      <w:bodyDiv w:val="1"/>
      <w:marLeft w:val="0"/>
      <w:marRight w:val="0"/>
      <w:marTop w:val="0"/>
      <w:marBottom w:val="0"/>
      <w:divBdr>
        <w:top w:val="none" w:sz="0" w:space="0" w:color="auto"/>
        <w:left w:val="none" w:sz="0" w:space="0" w:color="auto"/>
        <w:bottom w:val="none" w:sz="0" w:space="0" w:color="auto"/>
        <w:right w:val="none" w:sz="0" w:space="0" w:color="auto"/>
      </w:divBdr>
    </w:div>
    <w:div w:id="1528563151">
      <w:bodyDiv w:val="1"/>
      <w:marLeft w:val="0"/>
      <w:marRight w:val="0"/>
      <w:marTop w:val="0"/>
      <w:marBottom w:val="0"/>
      <w:divBdr>
        <w:top w:val="none" w:sz="0" w:space="0" w:color="auto"/>
        <w:left w:val="none" w:sz="0" w:space="0" w:color="auto"/>
        <w:bottom w:val="none" w:sz="0" w:space="0" w:color="auto"/>
        <w:right w:val="none" w:sz="0" w:space="0" w:color="auto"/>
      </w:divBdr>
    </w:div>
    <w:div w:id="1550217535">
      <w:bodyDiv w:val="1"/>
      <w:marLeft w:val="0"/>
      <w:marRight w:val="0"/>
      <w:marTop w:val="0"/>
      <w:marBottom w:val="0"/>
      <w:divBdr>
        <w:top w:val="none" w:sz="0" w:space="0" w:color="auto"/>
        <w:left w:val="none" w:sz="0" w:space="0" w:color="auto"/>
        <w:bottom w:val="none" w:sz="0" w:space="0" w:color="auto"/>
        <w:right w:val="none" w:sz="0" w:space="0" w:color="auto"/>
      </w:divBdr>
    </w:div>
    <w:div w:id="1561667796">
      <w:bodyDiv w:val="1"/>
      <w:marLeft w:val="0"/>
      <w:marRight w:val="0"/>
      <w:marTop w:val="0"/>
      <w:marBottom w:val="0"/>
      <w:divBdr>
        <w:top w:val="none" w:sz="0" w:space="0" w:color="auto"/>
        <w:left w:val="none" w:sz="0" w:space="0" w:color="auto"/>
        <w:bottom w:val="none" w:sz="0" w:space="0" w:color="auto"/>
        <w:right w:val="none" w:sz="0" w:space="0" w:color="auto"/>
      </w:divBdr>
    </w:div>
    <w:div w:id="1604996183">
      <w:bodyDiv w:val="1"/>
      <w:marLeft w:val="0"/>
      <w:marRight w:val="0"/>
      <w:marTop w:val="0"/>
      <w:marBottom w:val="0"/>
      <w:divBdr>
        <w:top w:val="none" w:sz="0" w:space="0" w:color="auto"/>
        <w:left w:val="none" w:sz="0" w:space="0" w:color="auto"/>
        <w:bottom w:val="none" w:sz="0" w:space="0" w:color="auto"/>
        <w:right w:val="none" w:sz="0" w:space="0" w:color="auto"/>
      </w:divBdr>
    </w:div>
    <w:div w:id="1608806731">
      <w:bodyDiv w:val="1"/>
      <w:marLeft w:val="0"/>
      <w:marRight w:val="0"/>
      <w:marTop w:val="0"/>
      <w:marBottom w:val="0"/>
      <w:divBdr>
        <w:top w:val="none" w:sz="0" w:space="0" w:color="auto"/>
        <w:left w:val="none" w:sz="0" w:space="0" w:color="auto"/>
        <w:bottom w:val="none" w:sz="0" w:space="0" w:color="auto"/>
        <w:right w:val="none" w:sz="0" w:space="0" w:color="auto"/>
      </w:divBdr>
    </w:div>
    <w:div w:id="1618635397">
      <w:bodyDiv w:val="1"/>
      <w:marLeft w:val="0"/>
      <w:marRight w:val="0"/>
      <w:marTop w:val="0"/>
      <w:marBottom w:val="0"/>
      <w:divBdr>
        <w:top w:val="none" w:sz="0" w:space="0" w:color="auto"/>
        <w:left w:val="none" w:sz="0" w:space="0" w:color="auto"/>
        <w:bottom w:val="none" w:sz="0" w:space="0" w:color="auto"/>
        <w:right w:val="none" w:sz="0" w:space="0" w:color="auto"/>
      </w:divBdr>
    </w:div>
    <w:div w:id="1629048426">
      <w:bodyDiv w:val="1"/>
      <w:marLeft w:val="0"/>
      <w:marRight w:val="0"/>
      <w:marTop w:val="0"/>
      <w:marBottom w:val="0"/>
      <w:divBdr>
        <w:top w:val="none" w:sz="0" w:space="0" w:color="auto"/>
        <w:left w:val="none" w:sz="0" w:space="0" w:color="auto"/>
        <w:bottom w:val="none" w:sz="0" w:space="0" w:color="auto"/>
        <w:right w:val="none" w:sz="0" w:space="0" w:color="auto"/>
      </w:divBdr>
    </w:div>
    <w:div w:id="1653869588">
      <w:bodyDiv w:val="1"/>
      <w:marLeft w:val="0"/>
      <w:marRight w:val="0"/>
      <w:marTop w:val="0"/>
      <w:marBottom w:val="0"/>
      <w:divBdr>
        <w:top w:val="none" w:sz="0" w:space="0" w:color="auto"/>
        <w:left w:val="none" w:sz="0" w:space="0" w:color="auto"/>
        <w:bottom w:val="none" w:sz="0" w:space="0" w:color="auto"/>
        <w:right w:val="none" w:sz="0" w:space="0" w:color="auto"/>
      </w:divBdr>
    </w:div>
    <w:div w:id="1669097189">
      <w:bodyDiv w:val="1"/>
      <w:marLeft w:val="0"/>
      <w:marRight w:val="0"/>
      <w:marTop w:val="0"/>
      <w:marBottom w:val="0"/>
      <w:divBdr>
        <w:top w:val="none" w:sz="0" w:space="0" w:color="auto"/>
        <w:left w:val="none" w:sz="0" w:space="0" w:color="auto"/>
        <w:bottom w:val="none" w:sz="0" w:space="0" w:color="auto"/>
        <w:right w:val="none" w:sz="0" w:space="0" w:color="auto"/>
      </w:divBdr>
    </w:div>
    <w:div w:id="1671374116">
      <w:bodyDiv w:val="1"/>
      <w:marLeft w:val="0"/>
      <w:marRight w:val="0"/>
      <w:marTop w:val="0"/>
      <w:marBottom w:val="0"/>
      <w:divBdr>
        <w:top w:val="none" w:sz="0" w:space="0" w:color="auto"/>
        <w:left w:val="none" w:sz="0" w:space="0" w:color="auto"/>
        <w:bottom w:val="none" w:sz="0" w:space="0" w:color="auto"/>
        <w:right w:val="none" w:sz="0" w:space="0" w:color="auto"/>
      </w:divBdr>
    </w:div>
    <w:div w:id="1678925254">
      <w:bodyDiv w:val="1"/>
      <w:marLeft w:val="0"/>
      <w:marRight w:val="0"/>
      <w:marTop w:val="0"/>
      <w:marBottom w:val="0"/>
      <w:divBdr>
        <w:top w:val="none" w:sz="0" w:space="0" w:color="auto"/>
        <w:left w:val="none" w:sz="0" w:space="0" w:color="auto"/>
        <w:bottom w:val="none" w:sz="0" w:space="0" w:color="auto"/>
        <w:right w:val="none" w:sz="0" w:space="0" w:color="auto"/>
      </w:divBdr>
    </w:div>
    <w:div w:id="1684672839">
      <w:bodyDiv w:val="1"/>
      <w:marLeft w:val="0"/>
      <w:marRight w:val="0"/>
      <w:marTop w:val="0"/>
      <w:marBottom w:val="0"/>
      <w:divBdr>
        <w:top w:val="none" w:sz="0" w:space="0" w:color="auto"/>
        <w:left w:val="none" w:sz="0" w:space="0" w:color="auto"/>
        <w:bottom w:val="none" w:sz="0" w:space="0" w:color="auto"/>
        <w:right w:val="none" w:sz="0" w:space="0" w:color="auto"/>
      </w:divBdr>
    </w:div>
    <w:div w:id="1746029054">
      <w:bodyDiv w:val="1"/>
      <w:marLeft w:val="0"/>
      <w:marRight w:val="0"/>
      <w:marTop w:val="0"/>
      <w:marBottom w:val="0"/>
      <w:divBdr>
        <w:top w:val="none" w:sz="0" w:space="0" w:color="auto"/>
        <w:left w:val="none" w:sz="0" w:space="0" w:color="auto"/>
        <w:bottom w:val="none" w:sz="0" w:space="0" w:color="auto"/>
        <w:right w:val="none" w:sz="0" w:space="0" w:color="auto"/>
      </w:divBdr>
    </w:div>
    <w:div w:id="1770848726">
      <w:bodyDiv w:val="1"/>
      <w:marLeft w:val="0"/>
      <w:marRight w:val="0"/>
      <w:marTop w:val="0"/>
      <w:marBottom w:val="0"/>
      <w:divBdr>
        <w:top w:val="none" w:sz="0" w:space="0" w:color="auto"/>
        <w:left w:val="none" w:sz="0" w:space="0" w:color="auto"/>
        <w:bottom w:val="none" w:sz="0" w:space="0" w:color="auto"/>
        <w:right w:val="none" w:sz="0" w:space="0" w:color="auto"/>
      </w:divBdr>
    </w:div>
    <w:div w:id="1776635901">
      <w:bodyDiv w:val="1"/>
      <w:marLeft w:val="0"/>
      <w:marRight w:val="0"/>
      <w:marTop w:val="0"/>
      <w:marBottom w:val="0"/>
      <w:divBdr>
        <w:top w:val="none" w:sz="0" w:space="0" w:color="auto"/>
        <w:left w:val="none" w:sz="0" w:space="0" w:color="auto"/>
        <w:bottom w:val="none" w:sz="0" w:space="0" w:color="auto"/>
        <w:right w:val="none" w:sz="0" w:space="0" w:color="auto"/>
      </w:divBdr>
    </w:div>
    <w:div w:id="1782991945">
      <w:bodyDiv w:val="1"/>
      <w:marLeft w:val="0"/>
      <w:marRight w:val="0"/>
      <w:marTop w:val="0"/>
      <w:marBottom w:val="0"/>
      <w:divBdr>
        <w:top w:val="none" w:sz="0" w:space="0" w:color="auto"/>
        <w:left w:val="none" w:sz="0" w:space="0" w:color="auto"/>
        <w:bottom w:val="none" w:sz="0" w:space="0" w:color="auto"/>
        <w:right w:val="none" w:sz="0" w:space="0" w:color="auto"/>
      </w:divBdr>
    </w:div>
    <w:div w:id="1788887276">
      <w:bodyDiv w:val="1"/>
      <w:marLeft w:val="0"/>
      <w:marRight w:val="0"/>
      <w:marTop w:val="0"/>
      <w:marBottom w:val="0"/>
      <w:divBdr>
        <w:top w:val="none" w:sz="0" w:space="0" w:color="auto"/>
        <w:left w:val="none" w:sz="0" w:space="0" w:color="auto"/>
        <w:bottom w:val="none" w:sz="0" w:space="0" w:color="auto"/>
        <w:right w:val="none" w:sz="0" w:space="0" w:color="auto"/>
      </w:divBdr>
    </w:div>
    <w:div w:id="1859588273">
      <w:bodyDiv w:val="1"/>
      <w:marLeft w:val="0"/>
      <w:marRight w:val="0"/>
      <w:marTop w:val="0"/>
      <w:marBottom w:val="0"/>
      <w:divBdr>
        <w:top w:val="none" w:sz="0" w:space="0" w:color="auto"/>
        <w:left w:val="none" w:sz="0" w:space="0" w:color="auto"/>
        <w:bottom w:val="none" w:sz="0" w:space="0" w:color="auto"/>
        <w:right w:val="none" w:sz="0" w:space="0" w:color="auto"/>
      </w:divBdr>
    </w:div>
    <w:div w:id="1893350832">
      <w:bodyDiv w:val="1"/>
      <w:marLeft w:val="0"/>
      <w:marRight w:val="0"/>
      <w:marTop w:val="0"/>
      <w:marBottom w:val="0"/>
      <w:divBdr>
        <w:top w:val="none" w:sz="0" w:space="0" w:color="auto"/>
        <w:left w:val="none" w:sz="0" w:space="0" w:color="auto"/>
        <w:bottom w:val="none" w:sz="0" w:space="0" w:color="auto"/>
        <w:right w:val="none" w:sz="0" w:space="0" w:color="auto"/>
      </w:divBdr>
    </w:div>
    <w:div w:id="1918132396">
      <w:bodyDiv w:val="1"/>
      <w:marLeft w:val="0"/>
      <w:marRight w:val="0"/>
      <w:marTop w:val="0"/>
      <w:marBottom w:val="0"/>
      <w:divBdr>
        <w:top w:val="none" w:sz="0" w:space="0" w:color="auto"/>
        <w:left w:val="none" w:sz="0" w:space="0" w:color="auto"/>
        <w:bottom w:val="none" w:sz="0" w:space="0" w:color="auto"/>
        <w:right w:val="none" w:sz="0" w:space="0" w:color="auto"/>
      </w:divBdr>
    </w:div>
    <w:div w:id="1927373411">
      <w:bodyDiv w:val="1"/>
      <w:marLeft w:val="0"/>
      <w:marRight w:val="0"/>
      <w:marTop w:val="0"/>
      <w:marBottom w:val="0"/>
      <w:divBdr>
        <w:top w:val="none" w:sz="0" w:space="0" w:color="auto"/>
        <w:left w:val="none" w:sz="0" w:space="0" w:color="auto"/>
        <w:bottom w:val="none" w:sz="0" w:space="0" w:color="auto"/>
        <w:right w:val="none" w:sz="0" w:space="0" w:color="auto"/>
      </w:divBdr>
    </w:div>
    <w:div w:id="1968007998">
      <w:bodyDiv w:val="1"/>
      <w:marLeft w:val="0"/>
      <w:marRight w:val="0"/>
      <w:marTop w:val="0"/>
      <w:marBottom w:val="0"/>
      <w:divBdr>
        <w:top w:val="none" w:sz="0" w:space="0" w:color="auto"/>
        <w:left w:val="none" w:sz="0" w:space="0" w:color="auto"/>
        <w:bottom w:val="none" w:sz="0" w:space="0" w:color="auto"/>
        <w:right w:val="none" w:sz="0" w:space="0" w:color="auto"/>
      </w:divBdr>
    </w:div>
    <w:div w:id="1982885739">
      <w:bodyDiv w:val="1"/>
      <w:marLeft w:val="0"/>
      <w:marRight w:val="0"/>
      <w:marTop w:val="0"/>
      <w:marBottom w:val="0"/>
      <w:divBdr>
        <w:top w:val="none" w:sz="0" w:space="0" w:color="auto"/>
        <w:left w:val="none" w:sz="0" w:space="0" w:color="auto"/>
        <w:bottom w:val="none" w:sz="0" w:space="0" w:color="auto"/>
        <w:right w:val="none" w:sz="0" w:space="0" w:color="auto"/>
      </w:divBdr>
    </w:div>
    <w:div w:id="2000576219">
      <w:bodyDiv w:val="1"/>
      <w:marLeft w:val="0"/>
      <w:marRight w:val="0"/>
      <w:marTop w:val="0"/>
      <w:marBottom w:val="0"/>
      <w:divBdr>
        <w:top w:val="none" w:sz="0" w:space="0" w:color="auto"/>
        <w:left w:val="none" w:sz="0" w:space="0" w:color="auto"/>
        <w:bottom w:val="none" w:sz="0" w:space="0" w:color="auto"/>
        <w:right w:val="none" w:sz="0" w:space="0" w:color="auto"/>
      </w:divBdr>
    </w:div>
    <w:div w:id="2041321118">
      <w:bodyDiv w:val="1"/>
      <w:marLeft w:val="0"/>
      <w:marRight w:val="0"/>
      <w:marTop w:val="0"/>
      <w:marBottom w:val="0"/>
      <w:divBdr>
        <w:top w:val="none" w:sz="0" w:space="0" w:color="auto"/>
        <w:left w:val="none" w:sz="0" w:space="0" w:color="auto"/>
        <w:bottom w:val="none" w:sz="0" w:space="0" w:color="auto"/>
        <w:right w:val="none" w:sz="0" w:space="0" w:color="auto"/>
      </w:divBdr>
    </w:div>
    <w:div w:id="2062435437">
      <w:bodyDiv w:val="1"/>
      <w:marLeft w:val="0"/>
      <w:marRight w:val="0"/>
      <w:marTop w:val="0"/>
      <w:marBottom w:val="0"/>
      <w:divBdr>
        <w:top w:val="none" w:sz="0" w:space="0" w:color="auto"/>
        <w:left w:val="none" w:sz="0" w:space="0" w:color="auto"/>
        <w:bottom w:val="none" w:sz="0" w:space="0" w:color="auto"/>
        <w:right w:val="none" w:sz="0" w:space="0" w:color="auto"/>
      </w:divBdr>
    </w:div>
    <w:div w:id="2068406389">
      <w:bodyDiv w:val="1"/>
      <w:marLeft w:val="0"/>
      <w:marRight w:val="0"/>
      <w:marTop w:val="0"/>
      <w:marBottom w:val="0"/>
      <w:divBdr>
        <w:top w:val="none" w:sz="0" w:space="0" w:color="auto"/>
        <w:left w:val="none" w:sz="0" w:space="0" w:color="auto"/>
        <w:bottom w:val="none" w:sz="0" w:space="0" w:color="auto"/>
        <w:right w:val="none" w:sz="0" w:space="0" w:color="auto"/>
      </w:divBdr>
    </w:div>
    <w:div w:id="2088262363">
      <w:bodyDiv w:val="1"/>
      <w:marLeft w:val="0"/>
      <w:marRight w:val="0"/>
      <w:marTop w:val="0"/>
      <w:marBottom w:val="0"/>
      <w:divBdr>
        <w:top w:val="none" w:sz="0" w:space="0" w:color="auto"/>
        <w:left w:val="none" w:sz="0" w:space="0" w:color="auto"/>
        <w:bottom w:val="none" w:sz="0" w:space="0" w:color="auto"/>
        <w:right w:val="none" w:sz="0" w:space="0" w:color="auto"/>
      </w:divBdr>
    </w:div>
    <w:div w:id="2110079402">
      <w:bodyDiv w:val="1"/>
      <w:marLeft w:val="0"/>
      <w:marRight w:val="0"/>
      <w:marTop w:val="0"/>
      <w:marBottom w:val="0"/>
      <w:divBdr>
        <w:top w:val="none" w:sz="0" w:space="0" w:color="auto"/>
        <w:left w:val="none" w:sz="0" w:space="0" w:color="auto"/>
        <w:bottom w:val="none" w:sz="0" w:space="0" w:color="auto"/>
        <w:right w:val="none" w:sz="0" w:space="0" w:color="auto"/>
      </w:divBdr>
    </w:div>
    <w:div w:id="2110661230">
      <w:bodyDiv w:val="1"/>
      <w:marLeft w:val="0"/>
      <w:marRight w:val="0"/>
      <w:marTop w:val="0"/>
      <w:marBottom w:val="0"/>
      <w:divBdr>
        <w:top w:val="none" w:sz="0" w:space="0" w:color="auto"/>
        <w:left w:val="none" w:sz="0" w:space="0" w:color="auto"/>
        <w:bottom w:val="none" w:sz="0" w:space="0" w:color="auto"/>
        <w:right w:val="none" w:sz="0" w:space="0" w:color="auto"/>
      </w:divBdr>
    </w:div>
    <w:div w:id="2110923503">
      <w:bodyDiv w:val="1"/>
      <w:marLeft w:val="0"/>
      <w:marRight w:val="0"/>
      <w:marTop w:val="0"/>
      <w:marBottom w:val="0"/>
      <w:divBdr>
        <w:top w:val="none" w:sz="0" w:space="0" w:color="auto"/>
        <w:left w:val="none" w:sz="0" w:space="0" w:color="auto"/>
        <w:bottom w:val="none" w:sz="0" w:space="0" w:color="auto"/>
        <w:right w:val="none" w:sz="0" w:space="0" w:color="auto"/>
      </w:divBdr>
    </w:div>
    <w:div w:id="2117483241">
      <w:bodyDiv w:val="1"/>
      <w:marLeft w:val="0"/>
      <w:marRight w:val="0"/>
      <w:marTop w:val="0"/>
      <w:marBottom w:val="0"/>
      <w:divBdr>
        <w:top w:val="none" w:sz="0" w:space="0" w:color="auto"/>
        <w:left w:val="none" w:sz="0" w:space="0" w:color="auto"/>
        <w:bottom w:val="none" w:sz="0" w:space="0" w:color="auto"/>
        <w:right w:val="none" w:sz="0" w:space="0" w:color="auto"/>
      </w:divBdr>
    </w:div>
    <w:div w:id="21393016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9.xml"/><Relationship Id="rId117" Type="http://schemas.openxmlformats.org/officeDocument/2006/relationships/footer" Target="footer3.xml"/><Relationship Id="rId21" Type="http://schemas.openxmlformats.org/officeDocument/2006/relationships/chart" Target="charts/chart14.xml"/><Relationship Id="rId42" Type="http://schemas.openxmlformats.org/officeDocument/2006/relationships/chart" Target="charts/chart35.xml"/><Relationship Id="rId47" Type="http://schemas.openxmlformats.org/officeDocument/2006/relationships/chart" Target="charts/chart40.xml"/><Relationship Id="rId63" Type="http://schemas.openxmlformats.org/officeDocument/2006/relationships/chart" Target="charts/chart55.xml"/><Relationship Id="rId68" Type="http://schemas.openxmlformats.org/officeDocument/2006/relationships/chart" Target="charts/chart60.xml"/><Relationship Id="rId84" Type="http://schemas.openxmlformats.org/officeDocument/2006/relationships/hyperlink" Target="http://archiv-nuv.npi.cz/t/stredni-vzdelavani.html" TargetMode="External"/><Relationship Id="rId89" Type="http://schemas.openxmlformats.org/officeDocument/2006/relationships/chart" Target="charts/chart80.xml"/><Relationship Id="rId112" Type="http://schemas.openxmlformats.org/officeDocument/2006/relationships/header" Target="header1.xml"/><Relationship Id="rId16" Type="http://schemas.openxmlformats.org/officeDocument/2006/relationships/chart" Target="charts/chart9.xml"/><Relationship Id="rId107" Type="http://schemas.openxmlformats.org/officeDocument/2006/relationships/chart" Target="charts/chart97.xml"/><Relationship Id="rId11" Type="http://schemas.openxmlformats.org/officeDocument/2006/relationships/chart" Target="charts/chart4.xml"/><Relationship Id="rId32" Type="http://schemas.openxmlformats.org/officeDocument/2006/relationships/chart" Target="charts/chart25.xml"/><Relationship Id="rId37" Type="http://schemas.openxmlformats.org/officeDocument/2006/relationships/chart" Target="charts/chart30.xml"/><Relationship Id="rId53" Type="http://schemas.openxmlformats.org/officeDocument/2006/relationships/chart" Target="charts/chart45.xml"/><Relationship Id="rId58" Type="http://schemas.openxmlformats.org/officeDocument/2006/relationships/chart" Target="charts/chart50.xml"/><Relationship Id="rId74" Type="http://schemas.openxmlformats.org/officeDocument/2006/relationships/chart" Target="charts/chart66.xml"/><Relationship Id="rId79" Type="http://schemas.openxmlformats.org/officeDocument/2006/relationships/chart" Target="charts/chart71.xml"/><Relationship Id="rId102" Type="http://schemas.openxmlformats.org/officeDocument/2006/relationships/chart" Target="charts/chart92.xml"/><Relationship Id="rId5" Type="http://schemas.openxmlformats.org/officeDocument/2006/relationships/webSettings" Target="webSettings.xml"/><Relationship Id="rId90" Type="http://schemas.openxmlformats.org/officeDocument/2006/relationships/chart" Target="charts/chart81.xml"/><Relationship Id="rId95" Type="http://schemas.openxmlformats.org/officeDocument/2006/relationships/chart" Target="charts/chart86.xml"/><Relationship Id="rId22" Type="http://schemas.openxmlformats.org/officeDocument/2006/relationships/chart" Target="charts/chart15.xml"/><Relationship Id="rId27" Type="http://schemas.openxmlformats.org/officeDocument/2006/relationships/chart" Target="charts/chart20.xml"/><Relationship Id="rId43" Type="http://schemas.openxmlformats.org/officeDocument/2006/relationships/chart" Target="charts/chart36.xml"/><Relationship Id="rId48" Type="http://schemas.openxmlformats.org/officeDocument/2006/relationships/chart" Target="charts/chart41.xml"/><Relationship Id="rId64" Type="http://schemas.openxmlformats.org/officeDocument/2006/relationships/chart" Target="charts/chart56.xml"/><Relationship Id="rId69" Type="http://schemas.openxmlformats.org/officeDocument/2006/relationships/chart" Target="charts/chart61.xml"/><Relationship Id="rId113" Type="http://schemas.openxmlformats.org/officeDocument/2006/relationships/header" Target="header2.xml"/><Relationship Id="rId118" Type="http://schemas.openxmlformats.org/officeDocument/2006/relationships/fontTable" Target="fontTable.xml"/><Relationship Id="rId80" Type="http://schemas.openxmlformats.org/officeDocument/2006/relationships/chart" Target="charts/chart72.xml"/><Relationship Id="rId85" Type="http://schemas.openxmlformats.org/officeDocument/2006/relationships/chart" Target="charts/chart76.xml"/><Relationship Id="rId12" Type="http://schemas.openxmlformats.org/officeDocument/2006/relationships/chart" Target="charts/chart5.xml"/><Relationship Id="rId17" Type="http://schemas.openxmlformats.org/officeDocument/2006/relationships/chart" Target="charts/chart10.xml"/><Relationship Id="rId33" Type="http://schemas.openxmlformats.org/officeDocument/2006/relationships/chart" Target="charts/chart26.xml"/><Relationship Id="rId38" Type="http://schemas.openxmlformats.org/officeDocument/2006/relationships/chart" Target="charts/chart31.xml"/><Relationship Id="rId59" Type="http://schemas.openxmlformats.org/officeDocument/2006/relationships/chart" Target="charts/chart51.xml"/><Relationship Id="rId103" Type="http://schemas.openxmlformats.org/officeDocument/2006/relationships/chart" Target="charts/chart93.xml"/><Relationship Id="rId108" Type="http://schemas.openxmlformats.org/officeDocument/2006/relationships/chart" Target="charts/chart98.xml"/><Relationship Id="rId54" Type="http://schemas.openxmlformats.org/officeDocument/2006/relationships/chart" Target="charts/chart46.xml"/><Relationship Id="rId70" Type="http://schemas.openxmlformats.org/officeDocument/2006/relationships/chart" Target="charts/chart62.xml"/><Relationship Id="rId75" Type="http://schemas.openxmlformats.org/officeDocument/2006/relationships/chart" Target="charts/chart67.xml"/><Relationship Id="rId91" Type="http://schemas.openxmlformats.org/officeDocument/2006/relationships/chart" Target="charts/chart82.xml"/><Relationship Id="rId96" Type="http://schemas.openxmlformats.org/officeDocument/2006/relationships/chart" Target="charts/chart87.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6.xml"/><Relationship Id="rId28" Type="http://schemas.openxmlformats.org/officeDocument/2006/relationships/chart" Target="charts/chart21.xml"/><Relationship Id="rId49" Type="http://schemas.openxmlformats.org/officeDocument/2006/relationships/chart" Target="charts/chart42.xml"/><Relationship Id="rId114" Type="http://schemas.openxmlformats.org/officeDocument/2006/relationships/footer" Target="footer1.xml"/><Relationship Id="rId119" Type="http://schemas.openxmlformats.org/officeDocument/2006/relationships/theme" Target="theme/theme1.xml"/><Relationship Id="rId10" Type="http://schemas.openxmlformats.org/officeDocument/2006/relationships/chart" Target="charts/chart3.xml"/><Relationship Id="rId31" Type="http://schemas.openxmlformats.org/officeDocument/2006/relationships/chart" Target="charts/chart24.xml"/><Relationship Id="rId44" Type="http://schemas.openxmlformats.org/officeDocument/2006/relationships/chart" Target="charts/chart37.xml"/><Relationship Id="rId52" Type="http://schemas.openxmlformats.org/officeDocument/2006/relationships/image" Target="media/image2.jpeg"/><Relationship Id="rId60" Type="http://schemas.openxmlformats.org/officeDocument/2006/relationships/chart" Target="charts/chart52.xml"/><Relationship Id="rId65" Type="http://schemas.openxmlformats.org/officeDocument/2006/relationships/chart" Target="charts/chart57.xml"/><Relationship Id="rId73" Type="http://schemas.openxmlformats.org/officeDocument/2006/relationships/chart" Target="charts/chart65.xml"/><Relationship Id="rId78" Type="http://schemas.openxmlformats.org/officeDocument/2006/relationships/chart" Target="charts/chart70.xml"/><Relationship Id="rId81" Type="http://schemas.openxmlformats.org/officeDocument/2006/relationships/chart" Target="charts/chart73.xml"/><Relationship Id="rId86" Type="http://schemas.openxmlformats.org/officeDocument/2006/relationships/chart" Target="charts/chart77.xml"/><Relationship Id="rId94" Type="http://schemas.openxmlformats.org/officeDocument/2006/relationships/chart" Target="charts/chart85.xml"/><Relationship Id="rId99" Type="http://schemas.openxmlformats.org/officeDocument/2006/relationships/chart" Target="charts/chart89.xml"/><Relationship Id="rId101" Type="http://schemas.openxmlformats.org/officeDocument/2006/relationships/chart" Target="charts/chart91.xml"/><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chart" Target="charts/chart6.xml"/><Relationship Id="rId18" Type="http://schemas.openxmlformats.org/officeDocument/2006/relationships/chart" Target="charts/chart11.xml"/><Relationship Id="rId39" Type="http://schemas.openxmlformats.org/officeDocument/2006/relationships/chart" Target="charts/chart32.xml"/><Relationship Id="rId109" Type="http://schemas.openxmlformats.org/officeDocument/2006/relationships/chart" Target="charts/chart99.xml"/><Relationship Id="rId34" Type="http://schemas.openxmlformats.org/officeDocument/2006/relationships/chart" Target="charts/chart27.xml"/><Relationship Id="rId50" Type="http://schemas.openxmlformats.org/officeDocument/2006/relationships/chart" Target="charts/chart43.xml"/><Relationship Id="rId55" Type="http://schemas.openxmlformats.org/officeDocument/2006/relationships/chart" Target="charts/chart47.xml"/><Relationship Id="rId76" Type="http://schemas.openxmlformats.org/officeDocument/2006/relationships/chart" Target="charts/chart68.xml"/><Relationship Id="rId97" Type="http://schemas.openxmlformats.org/officeDocument/2006/relationships/hyperlink" Target="https://www.czso.cz/csu/czso/studenti-a-absolventi-vysokych-skol-v-ceske-republice-2021" TargetMode="External"/><Relationship Id="rId104" Type="http://schemas.openxmlformats.org/officeDocument/2006/relationships/chart" Target="charts/chart94.xml"/><Relationship Id="rId7" Type="http://schemas.openxmlformats.org/officeDocument/2006/relationships/endnotes" Target="endnotes.xml"/><Relationship Id="rId71" Type="http://schemas.openxmlformats.org/officeDocument/2006/relationships/chart" Target="charts/chart63.xml"/><Relationship Id="rId92" Type="http://schemas.openxmlformats.org/officeDocument/2006/relationships/chart" Target="charts/chart83.xml"/><Relationship Id="rId2" Type="http://schemas.openxmlformats.org/officeDocument/2006/relationships/numbering" Target="numbering.xml"/><Relationship Id="rId29" Type="http://schemas.openxmlformats.org/officeDocument/2006/relationships/chart" Target="charts/chart22.xml"/><Relationship Id="rId24" Type="http://schemas.openxmlformats.org/officeDocument/2006/relationships/chart" Target="charts/chart17.xml"/><Relationship Id="rId40" Type="http://schemas.openxmlformats.org/officeDocument/2006/relationships/chart" Target="charts/chart33.xml"/><Relationship Id="rId45" Type="http://schemas.openxmlformats.org/officeDocument/2006/relationships/chart" Target="charts/chart38.xml"/><Relationship Id="rId66" Type="http://schemas.openxmlformats.org/officeDocument/2006/relationships/chart" Target="charts/chart58.xml"/><Relationship Id="rId87" Type="http://schemas.openxmlformats.org/officeDocument/2006/relationships/chart" Target="charts/chart78.xml"/><Relationship Id="rId110" Type="http://schemas.openxmlformats.org/officeDocument/2006/relationships/chart" Target="charts/chart100.xml"/><Relationship Id="rId115" Type="http://schemas.openxmlformats.org/officeDocument/2006/relationships/footer" Target="footer2.xml"/><Relationship Id="rId61" Type="http://schemas.openxmlformats.org/officeDocument/2006/relationships/chart" Target="charts/chart53.xml"/><Relationship Id="rId82" Type="http://schemas.openxmlformats.org/officeDocument/2006/relationships/chart" Target="charts/chart74.xml"/><Relationship Id="rId19" Type="http://schemas.openxmlformats.org/officeDocument/2006/relationships/chart" Target="charts/chart12.xml"/><Relationship Id="rId14" Type="http://schemas.openxmlformats.org/officeDocument/2006/relationships/chart" Target="charts/chart7.xml"/><Relationship Id="rId30" Type="http://schemas.openxmlformats.org/officeDocument/2006/relationships/chart" Target="charts/chart23.xml"/><Relationship Id="rId35" Type="http://schemas.openxmlformats.org/officeDocument/2006/relationships/chart" Target="charts/chart28.xml"/><Relationship Id="rId56" Type="http://schemas.openxmlformats.org/officeDocument/2006/relationships/chart" Target="charts/chart48.xml"/><Relationship Id="rId77" Type="http://schemas.openxmlformats.org/officeDocument/2006/relationships/chart" Target="charts/chart69.xml"/><Relationship Id="rId100" Type="http://schemas.openxmlformats.org/officeDocument/2006/relationships/chart" Target="charts/chart90.xml"/><Relationship Id="rId105" Type="http://schemas.openxmlformats.org/officeDocument/2006/relationships/chart" Target="charts/chart95.xml"/><Relationship Id="rId8" Type="http://schemas.openxmlformats.org/officeDocument/2006/relationships/chart" Target="charts/chart1.xml"/><Relationship Id="rId51" Type="http://schemas.openxmlformats.org/officeDocument/2006/relationships/chart" Target="charts/chart44.xml"/><Relationship Id="rId72" Type="http://schemas.openxmlformats.org/officeDocument/2006/relationships/chart" Target="charts/chart64.xml"/><Relationship Id="rId93" Type="http://schemas.openxmlformats.org/officeDocument/2006/relationships/chart" Target="charts/chart84.xml"/><Relationship Id="rId98" Type="http://schemas.openxmlformats.org/officeDocument/2006/relationships/chart" Target="charts/chart88.xml"/><Relationship Id="rId3" Type="http://schemas.openxmlformats.org/officeDocument/2006/relationships/styles" Target="styles.xml"/><Relationship Id="rId25" Type="http://schemas.openxmlformats.org/officeDocument/2006/relationships/chart" Target="charts/chart18.xml"/><Relationship Id="rId46" Type="http://schemas.openxmlformats.org/officeDocument/2006/relationships/chart" Target="charts/chart39.xml"/><Relationship Id="rId67" Type="http://schemas.openxmlformats.org/officeDocument/2006/relationships/chart" Target="charts/chart59.xml"/><Relationship Id="rId116" Type="http://schemas.openxmlformats.org/officeDocument/2006/relationships/header" Target="header3.xml"/><Relationship Id="rId20" Type="http://schemas.openxmlformats.org/officeDocument/2006/relationships/chart" Target="charts/chart13.xml"/><Relationship Id="rId41" Type="http://schemas.openxmlformats.org/officeDocument/2006/relationships/chart" Target="charts/chart34.xml"/><Relationship Id="rId62" Type="http://schemas.openxmlformats.org/officeDocument/2006/relationships/chart" Target="charts/chart54.xml"/><Relationship Id="rId83" Type="http://schemas.openxmlformats.org/officeDocument/2006/relationships/chart" Target="charts/chart75.xml"/><Relationship Id="rId88" Type="http://schemas.openxmlformats.org/officeDocument/2006/relationships/chart" Target="charts/chart79.xml"/><Relationship Id="rId111" Type="http://schemas.openxmlformats.org/officeDocument/2006/relationships/chart" Target="charts/chart101.xml"/><Relationship Id="rId15" Type="http://schemas.openxmlformats.org/officeDocument/2006/relationships/chart" Target="charts/chart8.xml"/><Relationship Id="rId36" Type="http://schemas.openxmlformats.org/officeDocument/2006/relationships/chart" Target="charts/chart29.xml"/><Relationship Id="rId57" Type="http://schemas.openxmlformats.org/officeDocument/2006/relationships/chart" Target="charts/chart49.xml"/><Relationship Id="rId106" Type="http://schemas.openxmlformats.org/officeDocument/2006/relationships/chart" Target="charts/chart96.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notes.xml.rels><?xml version="1.0" encoding="UTF-8" standalone="yes"?>
<Relationships xmlns="http://schemas.openxmlformats.org/package/2006/relationships"><Relationship Id="rId8" Type="http://schemas.openxmlformats.org/officeDocument/2006/relationships/hyperlink" Target="http://www.zakonyprolidi.cz/cs/2019-248" TargetMode="External"/><Relationship Id="rId13" Type="http://schemas.openxmlformats.org/officeDocument/2006/relationships/hyperlink" Target="https://data.cermat.cz/files/files/2022/JPZ/JPZ2022_prihlasky_FINAL.pdf" TargetMode="External"/><Relationship Id="rId18" Type="http://schemas.openxmlformats.org/officeDocument/2006/relationships/hyperlink" Target="https://infoabsolvent.cz/Temata/PublikaceAbsolventi?Stranka=9-0-178&amp;NazevSeo=Nezamestnanost-absolventu-skol-se-strednim-a-" TargetMode="External"/><Relationship Id="rId3" Type="http://schemas.openxmlformats.org/officeDocument/2006/relationships/hyperlink" Target="https://pages.pedf.cuni.cz/uvrv/files/2016/04/Spravedlivy_start.pdf" TargetMode="External"/><Relationship Id="rId21" Type="http://schemas.openxmlformats.org/officeDocument/2006/relationships/hyperlink" Target="https://www.czso.cz/csu/czso/klasifikace_vzdelani_cz_isced_2011" TargetMode="External"/><Relationship Id="rId7" Type="http://schemas.openxmlformats.org/officeDocument/2006/relationships/hyperlink" Target="https://www.edu.cz/strategie-msmt/strategie-vzdelavaci-politiky-cr-do-roku-2030/implementacni-karta-disparity/" TargetMode="External"/><Relationship Id="rId12" Type="http://schemas.openxmlformats.org/officeDocument/2006/relationships/hyperlink" Target="https://www.mapavzdelavani.cz/socialni-problemy" TargetMode="External"/><Relationship Id="rId17" Type="http://schemas.openxmlformats.org/officeDocument/2006/relationships/hyperlink" Target="http://www.czso.cz/csu/czso/klasifikace_kmenovych_oboru_vzdelani_-kkov-" TargetMode="External"/><Relationship Id="rId2" Type="http://schemas.openxmlformats.org/officeDocument/2006/relationships/hyperlink" Target="http://www.edu.cz/strategie-msmt/strategie-vzdelavaci-politiky-cr-do-roku-2030/implementacni-karta-disparity/" TargetMode="External"/><Relationship Id="rId16" Type="http://schemas.openxmlformats.org/officeDocument/2006/relationships/hyperlink" Target="https://data.cermat.cz/files/files/2022/MZ/MZ13-22_DIDAKTICKE_TESTY_signalni_vysledky.pdf" TargetMode="External"/><Relationship Id="rId20" Type="http://schemas.openxmlformats.org/officeDocument/2006/relationships/hyperlink" Target="https://www.czso.cz/csu/czso/prumerny-vek-zen-pri-narozeni-1-ditete-v-letech-1950-2019" TargetMode="External"/><Relationship Id="rId1" Type="http://schemas.openxmlformats.org/officeDocument/2006/relationships/hyperlink" Target="https://idea.cerge-ei.cz/zpravy/maminka-nebo-skolka" TargetMode="External"/><Relationship Id="rId6" Type="http://schemas.openxmlformats.org/officeDocument/2006/relationships/hyperlink" Target="http://www.msmt.cz/vzdelavani/skolstvi-v-cr/ekonomika-skolstvi/reforma-financovani-regionalniho-skolstvi" TargetMode="External"/><Relationship Id="rId11" Type="http://schemas.openxmlformats.org/officeDocument/2006/relationships/hyperlink" Target="https://www.csicr.cz/CSICR/media/Prilohy/2022_p%c5%99%c3%adlohy/Dokumenty/Ceske-skolstvi-v-mapach_everze.pdf" TargetMode="External"/><Relationship Id="rId24" Type="http://schemas.openxmlformats.org/officeDocument/2006/relationships/hyperlink" Target="https://infoabsolvent.cz/Temata/PublikaceAbsolventi?Stranka=9-0-178&amp;NazevSeo=Nezamestnanost-absolventu-skol-se-strednim-a-" TargetMode="External"/><Relationship Id="rId5" Type="http://schemas.openxmlformats.org/officeDocument/2006/relationships/hyperlink" Target="https://www.usoud.cz/fileadmin/user_upload/Tiskova_mluvci/Publikovane_nalezy/2019/Pl._US_34_17_vc._disentu.pdf" TargetMode="External"/><Relationship Id="rId15" Type="http://schemas.openxmlformats.org/officeDocument/2006/relationships/hyperlink" Target="https://idea.cerge-ei.cz/zpravy/spolecansky-status-ucnovskeho-vzdelavani-v-ceske-republice" TargetMode="External"/><Relationship Id="rId23" Type="http://schemas.openxmlformats.org/officeDocument/2006/relationships/hyperlink" Target="http://www.idnes.cz/jihlava/zpravy/skola-vyssi-odborna-vysocina-vzdelavani-studium-podpora.A220428_662245_jihlava-zpravy_mv" TargetMode="External"/><Relationship Id="rId10" Type="http://schemas.openxmlformats.org/officeDocument/2006/relationships/hyperlink" Target="https://www.czso.cz/csu/czso/cri/pohyb-obyvatelstva-rok-2021" TargetMode="External"/><Relationship Id="rId19" Type="http://schemas.openxmlformats.org/officeDocument/2006/relationships/hyperlink" Target="https://infoabsolvent.cz/Temata/PublikaceAbsolventi?Stranka=9-0-178&amp;NazevSeo=Nezamestnanost-absolventu-skol-se-strednim-a-" TargetMode="External"/><Relationship Id="rId4" Type="http://schemas.openxmlformats.org/officeDocument/2006/relationships/hyperlink" Target="https://www.msmt.cz/file/51673/" TargetMode="External"/><Relationship Id="rId9" Type="http://schemas.openxmlformats.org/officeDocument/2006/relationships/hyperlink" Target="https://cosiv.cz/wp-content/uploads/2022/06/Stanovisko-C%CC%8COSIV-k-parametrizaci-pozice-AP.pdf" TargetMode="External"/><Relationship Id="rId14" Type="http://schemas.openxmlformats.org/officeDocument/2006/relationships/hyperlink" Target="http://www.czso.cz/csu/czso/klasifikace_vzdelani_cz_isced_2011" TargetMode="External"/><Relationship Id="rId22" Type="http://schemas.openxmlformats.org/officeDocument/2006/relationships/hyperlink" Target="http://www.oecd-ilibrary.org/sites/a81152f4-en/1/3/1/index.html?itemId=/content/publication/a81152f4-en&amp;_csp_=6b3f27abfd94c3159a3215a6acc9141b&amp;itemIGO=oecd&amp;itemContentType=book"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ykysova23070\AppData\Local\Temp\Publikace%20bar%20CZ_lide%20a%20spolecnost_2017-08-14.dotx"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D:\kasparova3676\Desktop\&#352;a&#352;Z_2022\23004222t_pracVK1.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100.xml.rels><?xml version="1.0" encoding="UTF-8" standalone="yes"?>
<Relationships xmlns="http://schemas.openxmlformats.org/package/2006/relationships"><Relationship Id="rId3" Type="http://schemas.openxmlformats.org/officeDocument/2006/relationships/oleObject" Target="file:///D:\kasparova3676\Desktop\&#352;a&#352;Z_2022\23004222t_pracVK.xlsx" TargetMode="External"/><Relationship Id="rId2" Type="http://schemas.microsoft.com/office/2011/relationships/chartColorStyle" Target="colors38.xml"/><Relationship Id="rId1" Type="http://schemas.microsoft.com/office/2011/relationships/chartStyle" Target="style38.xml"/></Relationships>
</file>

<file path=word/charts/_rels/chart101.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D:\kasparova3676\Desktop\&#352;a&#352;Z_2022\23004222t_pracVK.xlsx" TargetMode="External"/></Relationships>
</file>

<file path=word/charts/_rels/chart12.xml.rels><?xml version="1.0" encoding="UTF-8" standalone="yes"?>
<Relationships xmlns="http://schemas.openxmlformats.org/package/2006/relationships"><Relationship Id="rId3" Type="http://schemas.openxmlformats.org/officeDocument/2006/relationships/oleObject" Target="file:///D:\kasparova3676\Desktop\&#352;a&#352;Z_2022\Se&#353;it1.xlsx" TargetMode="External"/><Relationship Id="rId2" Type="http://schemas.microsoft.com/office/2011/relationships/chartColorStyle" Target="colors7.xml"/><Relationship Id="rId1" Type="http://schemas.microsoft.com/office/2011/relationships/chartStyle" Target="style7.xml"/></Relationships>
</file>

<file path=word/charts/_rels/chart13.xml.rels><?xml version="1.0" encoding="UTF-8" standalone="yes"?>
<Relationships xmlns="http://schemas.openxmlformats.org/package/2006/relationships"><Relationship Id="rId3" Type="http://schemas.openxmlformats.org/officeDocument/2006/relationships/oleObject" Target="file:///D:\kasparova3676\Desktop\&#352;a&#352;Z_2022\grafy_&#269;l&#225;nek.xlsx" TargetMode="External"/><Relationship Id="rId2" Type="http://schemas.microsoft.com/office/2011/relationships/chartColorStyle" Target="colors8.xml"/><Relationship Id="rId1" Type="http://schemas.microsoft.com/office/2011/relationships/chartStyle" Target="style8.xml"/></Relationships>
</file>

<file path=word/charts/_rels/chart14.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kasparova3676\Desktop\&#352;a&#352;Z_2022\23004222t_kontrola.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D:\kasparova3676\Desktop\&#352;a&#352;Z_2022\23004222t_pracVK.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kasparova3676\Desktop\&#352;a&#352;Z_2022\23004222t_pracVK.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List_aplikace_Microsoft_Excel.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D:\kasparova3676\Desktop\&#352;a&#352;Z_2022\23004222t_pracVK.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1.xml"/><Relationship Id="rId1" Type="http://schemas.microsoft.com/office/2011/relationships/chartStyle" Target="style11.xml"/><Relationship Id="rId5" Type="http://schemas.openxmlformats.org/officeDocument/2006/relationships/chartUserShapes" Target="../drawings/drawing3.xml"/><Relationship Id="rId4" Type="http://schemas.openxmlformats.org/officeDocument/2006/relationships/oleObject" Target="file:///D:\kasparova3676\Desktop\&#352;a&#352;Z_2022\23004222t_pracVK.xlsx" TargetMode="External"/></Relationships>
</file>

<file path=word/charts/_rels/chart27.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4.xml"/></Relationships>
</file>

<file path=word/charts/_rels/chart28.xml.rels><?xml version="1.0" encoding="UTF-8" standalone="yes"?>
<Relationships xmlns="http://schemas.openxmlformats.org/package/2006/relationships"><Relationship Id="rId3" Type="http://schemas.openxmlformats.org/officeDocument/2006/relationships/oleObject" Target="file:///D:\kasparova3676\Desktop\&#352;a&#352;Z_2022\23004222t_pracVK.xlsx" TargetMode="Externa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5.xml"/></Relationships>
</file>

<file path=word/charts/_rels/chart29.xml.rels><?xml version="1.0" encoding="UTF-8" standalone="yes"?>
<Relationships xmlns="http://schemas.openxmlformats.org/package/2006/relationships"><Relationship Id="rId3" Type="http://schemas.openxmlformats.org/officeDocument/2006/relationships/oleObject" Target="file:///D:\kasparova3676\Desktop\&#352;a&#352;Z_2022\23004222t_pracVK.xlsx" TargetMode="Externa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6.xml"/></Relationships>
</file>

<file path=word/charts/_rels/chart3.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31.xml.rels><?xml version="1.0" encoding="UTF-8" standalone="yes"?>
<Relationships xmlns="http://schemas.openxmlformats.org/package/2006/relationships"><Relationship Id="rId2" Type="http://schemas.openxmlformats.org/officeDocument/2006/relationships/package" Target="../embeddings/List_aplikace_Microsoft_Excel1.xlsx"/><Relationship Id="rId1" Type="http://schemas.openxmlformats.org/officeDocument/2006/relationships/themeOverride" Target="../theme/themeOverride7.xml"/></Relationships>
</file>

<file path=word/charts/_rels/chart32.xml.rels><?xml version="1.0" encoding="UTF-8" standalone="yes"?>
<Relationships xmlns="http://schemas.openxmlformats.org/package/2006/relationships"><Relationship Id="rId3" Type="http://schemas.openxmlformats.org/officeDocument/2006/relationships/oleObject" Target="file:///D:\kasparova3676\Desktop\&#352;a&#352;Z_2022\23004222t_pracVK1.xlsx" TargetMode="External"/><Relationship Id="rId2" Type="http://schemas.microsoft.com/office/2011/relationships/chartColorStyle" Target="colors15.xml"/><Relationship Id="rId1" Type="http://schemas.microsoft.com/office/2011/relationships/chartStyle" Target="style15.xml"/></Relationships>
</file>

<file path=word/charts/_rels/chart33.xml.rels><?xml version="1.0" encoding="UTF-8" standalone="yes"?>
<Relationships xmlns="http://schemas.openxmlformats.org/package/2006/relationships"><Relationship Id="rId3" Type="http://schemas.openxmlformats.org/officeDocument/2006/relationships/package" Target="../embeddings/List_aplikace_Microsoft_Excel2.xlsx"/><Relationship Id="rId2" Type="http://schemas.microsoft.com/office/2011/relationships/chartColorStyle" Target="colors16.xml"/><Relationship Id="rId1" Type="http://schemas.microsoft.com/office/2011/relationships/chartStyle" Target="style16.xml"/></Relationships>
</file>

<file path=word/charts/_rels/chart34.xml.rels><?xml version="1.0" encoding="UTF-8" standalone="yes"?>
<Relationships xmlns="http://schemas.openxmlformats.org/package/2006/relationships"><Relationship Id="rId3" Type="http://schemas.openxmlformats.org/officeDocument/2006/relationships/package" Target="../embeddings/List_aplikace_Microsoft_Excel3.xlsx"/><Relationship Id="rId2" Type="http://schemas.microsoft.com/office/2011/relationships/chartColorStyle" Target="colors17.xml"/><Relationship Id="rId1" Type="http://schemas.microsoft.com/office/2011/relationships/chartStyle" Target="style17.xml"/></Relationships>
</file>

<file path=word/charts/_rels/chart35.xml.rels><?xml version="1.0" encoding="UTF-8" standalone="yes"?>
<Relationships xmlns="http://schemas.openxmlformats.org/package/2006/relationships"><Relationship Id="rId3" Type="http://schemas.openxmlformats.org/officeDocument/2006/relationships/package" Target="../embeddings/List_aplikace_Microsoft_Excel4.xlsx"/><Relationship Id="rId2" Type="http://schemas.microsoft.com/office/2011/relationships/chartColorStyle" Target="colors18.xml"/><Relationship Id="rId1" Type="http://schemas.microsoft.com/office/2011/relationships/chartStyle" Target="style18.xml"/></Relationships>
</file>

<file path=word/charts/_rels/chart36.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38.xml.rels><?xml version="1.0" encoding="UTF-8" standalone="yes"?>
<Relationships xmlns="http://schemas.openxmlformats.org/package/2006/relationships"><Relationship Id="rId1" Type="http://schemas.openxmlformats.org/officeDocument/2006/relationships/package" Target="../embeddings/List_aplikace_Microsoft_Excel5.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List_aplikace_Microsoft_Excel6.xlsx"/></Relationships>
</file>

<file path=word/charts/_rels/chart4.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41.xml.rels><?xml version="1.0" encoding="UTF-8" standalone="yes"?>
<Relationships xmlns="http://schemas.openxmlformats.org/package/2006/relationships"><Relationship Id="rId1" Type="http://schemas.openxmlformats.org/officeDocument/2006/relationships/package" Target="../embeddings/List_aplikace_Microsoft_Excel7.xlsx"/></Relationships>
</file>

<file path=word/charts/_rels/chart42.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43.xml.rels><?xml version="1.0" encoding="UTF-8" standalone="yes"?>
<Relationships xmlns="http://schemas.openxmlformats.org/package/2006/relationships"><Relationship Id="rId1" Type="http://schemas.openxmlformats.org/officeDocument/2006/relationships/package" Target="../embeddings/List_aplikace_Microsoft_Excel8.xlsx"/></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List_aplikace_Microsoft_Excel9.xlsx"/></Relationships>
</file>

<file path=word/charts/_rels/chart45.xml.rels><?xml version="1.0" encoding="UTF-8" standalone="yes"?>
<Relationships xmlns="http://schemas.openxmlformats.org/package/2006/relationships"><Relationship Id="rId1" Type="http://schemas.openxmlformats.org/officeDocument/2006/relationships/oleObject" Target="Se&#353;it1" TargetMode="External"/></Relationships>
</file>

<file path=word/charts/_rels/chart46.xml.rels><?xml version="1.0" encoding="UTF-8" standalone="yes"?>
<Relationships xmlns="http://schemas.openxmlformats.org/package/2006/relationships"><Relationship Id="rId2" Type="http://schemas.openxmlformats.org/officeDocument/2006/relationships/oleObject" Target="Se&#353;it1" TargetMode="External"/><Relationship Id="rId1" Type="http://schemas.openxmlformats.org/officeDocument/2006/relationships/themeOverride" Target="../theme/themeOverride9.xm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List_aplikace_Microsoft_Excel10.xlsx"/></Relationships>
</file>

<file path=word/charts/_rels/chart48.xml.rels><?xml version="1.0" encoding="UTF-8" standalone="yes"?>
<Relationships xmlns="http://schemas.openxmlformats.org/package/2006/relationships"><Relationship Id="rId2" Type="http://schemas.openxmlformats.org/officeDocument/2006/relationships/package" Target="../embeddings/List_aplikace_Microsoft_Excel11.xlsx"/><Relationship Id="rId1" Type="http://schemas.openxmlformats.org/officeDocument/2006/relationships/themeOverride" Target="../theme/themeOverride11.xml"/></Relationships>
</file>

<file path=word/charts/_rels/chart49.xml.rels><?xml version="1.0" encoding="UTF-8" standalone="yes"?>
<Relationships xmlns="http://schemas.openxmlformats.org/package/2006/relationships"><Relationship Id="rId1" Type="http://schemas.openxmlformats.org/officeDocument/2006/relationships/package" Target="../embeddings/List_aplikace_Microsoft_Excel12.xlsx"/></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50.xml.rels><?xml version="1.0" encoding="UTF-8" standalone="yes"?>
<Relationships xmlns="http://schemas.openxmlformats.org/package/2006/relationships"><Relationship Id="rId3" Type="http://schemas.openxmlformats.org/officeDocument/2006/relationships/oleObject" Target="file:///D:\kasparova3676\Desktop\&#352;a&#352;Z_2022\23004222t_pracVK.xlsx" TargetMode="External"/><Relationship Id="rId2" Type="http://schemas.microsoft.com/office/2011/relationships/chartColorStyle" Target="colors21.xml"/><Relationship Id="rId1" Type="http://schemas.microsoft.com/office/2011/relationships/chartStyle" Target="style21.xm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D:\kasparova3676\Desktop\&#352;a&#352;Z_2022\23004222t_pracVK.xlsx" TargetMode="External"/></Relationships>
</file>

<file path=word/charts/_rels/chart52.xml.rels><?xml version="1.0" encoding="UTF-8" standalone="yes"?>
<Relationships xmlns="http://schemas.openxmlformats.org/package/2006/relationships"><Relationship Id="rId2" Type="http://schemas.openxmlformats.org/officeDocument/2006/relationships/oleObject" Target="file:///D:\kasparova3676\Desktop\&#352;a&#352;Z_2022\23004222t_pracVK.xlsx" TargetMode="External"/><Relationship Id="rId1" Type="http://schemas.openxmlformats.org/officeDocument/2006/relationships/themeOverride" Target="../theme/themeOverride13.xml"/></Relationships>
</file>

<file path=word/charts/_rels/chart53.xml.rels><?xml version="1.0" encoding="UTF-8" standalone="yes"?>
<Relationships xmlns="http://schemas.openxmlformats.org/package/2006/relationships"><Relationship Id="rId2" Type="http://schemas.openxmlformats.org/officeDocument/2006/relationships/package" Target="../embeddings/List_aplikace_Microsoft_Excel13.xlsx"/><Relationship Id="rId1" Type="http://schemas.openxmlformats.org/officeDocument/2006/relationships/themeOverride" Target="../theme/themeOverride14.xml"/></Relationships>
</file>

<file path=word/charts/_rels/chart54.xml.rels><?xml version="1.0" encoding="UTF-8" standalone="yes"?>
<Relationships xmlns="http://schemas.openxmlformats.org/package/2006/relationships"><Relationship Id="rId2" Type="http://schemas.openxmlformats.org/officeDocument/2006/relationships/oleObject" Target="file:///D:\kasparova3676\Desktop\&#352;a&#352;Z_2022\23004222t_pracVK.xlsx" TargetMode="External"/><Relationship Id="rId1" Type="http://schemas.openxmlformats.org/officeDocument/2006/relationships/themeOverride" Target="../theme/themeOverride15.xml"/></Relationships>
</file>

<file path=word/charts/_rels/chart55.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56.xml.rels><?xml version="1.0" encoding="UTF-8" standalone="yes"?>
<Relationships xmlns="http://schemas.openxmlformats.org/package/2006/relationships"><Relationship Id="rId2" Type="http://schemas.openxmlformats.org/officeDocument/2006/relationships/oleObject" Target="file:///D:\kasparova3676\Desktop\&#352;a&#352;Z_2022\23004222t_pracVK.xlsx" TargetMode="External"/><Relationship Id="rId1" Type="http://schemas.openxmlformats.org/officeDocument/2006/relationships/themeOverride" Target="../theme/themeOverride16.xml"/></Relationships>
</file>

<file path=word/charts/_rels/chart5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D:\kasparova3676\Desktop\&#352;a&#352;Z_2022\23004222t_pracVK.xlsx" TargetMode="External"/></Relationships>
</file>

<file path=word/charts/_rels/chart58.xml.rels><?xml version="1.0" encoding="UTF-8" standalone="yes"?>
<Relationships xmlns="http://schemas.openxmlformats.org/package/2006/relationships"><Relationship Id="rId3" Type="http://schemas.openxmlformats.org/officeDocument/2006/relationships/oleObject" Target="file:///D:\kasparova3676\Desktop\&#352;a&#352;Z_2022\23004222t_pracVK.xlsx" TargetMode="External"/><Relationship Id="rId2" Type="http://schemas.microsoft.com/office/2011/relationships/chartColorStyle" Target="colors23.xml"/><Relationship Id="rId1" Type="http://schemas.microsoft.com/office/2011/relationships/chartStyle" Target="style23.xml"/></Relationships>
</file>

<file path=word/charts/_rels/chart59.xml.rels><?xml version="1.0" encoding="UTF-8" standalone="yes"?>
<Relationships xmlns="http://schemas.openxmlformats.org/package/2006/relationships"><Relationship Id="rId3" Type="http://schemas.openxmlformats.org/officeDocument/2006/relationships/package" Target="../embeddings/List_aplikace_Microsoft_Excel14.xlsx"/><Relationship Id="rId2" Type="http://schemas.microsoft.com/office/2011/relationships/chartColorStyle" Target="colors24.xml"/><Relationship Id="rId1" Type="http://schemas.microsoft.com/office/2011/relationships/chartStyle" Target="style24.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kasparova3676\AppData\Local\Temp\1300642204.xlsx" TargetMode="External"/></Relationships>
</file>

<file path=word/charts/_rels/chart60.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61.xml.rels><?xml version="1.0" encoding="UTF-8" standalone="yes"?>
<Relationships xmlns="http://schemas.openxmlformats.org/package/2006/relationships"><Relationship Id="rId3" Type="http://schemas.openxmlformats.org/officeDocument/2006/relationships/oleObject" Target="file:///D:\kasparova3676\Desktop\&#352;a&#352;Z_2022\23004222t_pracVK.xlsx" TargetMode="External"/><Relationship Id="rId2" Type="http://schemas.microsoft.com/office/2011/relationships/chartColorStyle" Target="colors25.xml"/><Relationship Id="rId1" Type="http://schemas.microsoft.com/office/2011/relationships/chartStyle" Target="style25.xml"/></Relationships>
</file>

<file path=word/charts/_rels/chart62.xml.rels><?xml version="1.0" encoding="UTF-8" standalone="yes"?>
<Relationships xmlns="http://schemas.openxmlformats.org/package/2006/relationships"><Relationship Id="rId3" Type="http://schemas.openxmlformats.org/officeDocument/2006/relationships/package" Target="../embeddings/List_aplikace_Microsoft_Excel15.xlsx"/><Relationship Id="rId2" Type="http://schemas.microsoft.com/office/2011/relationships/chartColorStyle" Target="colors26.xml"/><Relationship Id="rId1" Type="http://schemas.microsoft.com/office/2011/relationships/chartStyle" Target="style26.xml"/></Relationships>
</file>

<file path=word/charts/_rels/chart63.xml.rels><?xml version="1.0" encoding="UTF-8" standalone="yes"?>
<Relationships xmlns="http://schemas.openxmlformats.org/package/2006/relationships"><Relationship Id="rId3" Type="http://schemas.openxmlformats.org/officeDocument/2006/relationships/oleObject" Target="file:///D:\kasparova3676\Desktop\&#352;a&#352;Z_2022\23004222t_pracVK.xlsx" TargetMode="Externa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chartUserShapes" Target="../drawings/drawing8.xml"/></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file:///D:\kasparova3676\Desktop\&#352;a&#352;Z_2022\23004222t_pracVK1_p&#345;echody_z5.%20a7.%20ro&#269;n&#237;ku.xlsx" TargetMode="External"/></Relationships>
</file>

<file path=word/charts/_rels/chart65.xml.rels><?xml version="1.0" encoding="UTF-8" standalone="yes"?>
<Relationships xmlns="http://schemas.openxmlformats.org/package/2006/relationships"><Relationship Id="rId3" Type="http://schemas.openxmlformats.org/officeDocument/2006/relationships/oleObject" Target="file:///D:\kasparova3676\Desktop\&#352;a&#352;Z_2022\23004222t_pracVK.xlsx" TargetMode="External"/><Relationship Id="rId2" Type="http://schemas.microsoft.com/office/2011/relationships/chartColorStyle" Target="colors29.xml"/><Relationship Id="rId1" Type="http://schemas.microsoft.com/office/2011/relationships/chartStyle" Target="style29.xml"/></Relationships>
</file>

<file path=word/charts/_rels/chart66.xml.rels><?xml version="1.0" encoding="UTF-8" standalone="yes"?>
<Relationships xmlns="http://schemas.openxmlformats.org/package/2006/relationships"><Relationship Id="rId1" Type="http://schemas.openxmlformats.org/officeDocument/2006/relationships/oleObject" Target="file:///D:\kasparova3676\Desktop\&#352;a&#352;Z_2022\23004222t_pracVK1.xlsx"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68.xml.rels><?xml version="1.0" encoding="UTF-8" standalone="yes"?>
<Relationships xmlns="http://schemas.openxmlformats.org/package/2006/relationships"><Relationship Id="rId3" Type="http://schemas.openxmlformats.org/officeDocument/2006/relationships/oleObject" Target="file:///D:\kasparova3676\Desktop\&#352;a&#352;Z_2022\23004222t_pracVK.xlsx" TargetMode="External"/><Relationship Id="rId2" Type="http://schemas.microsoft.com/office/2011/relationships/chartColorStyle" Target="colors30.xml"/><Relationship Id="rId1" Type="http://schemas.microsoft.com/office/2011/relationships/chartStyle" Target="style30.xml"/></Relationships>
</file>

<file path=word/charts/_rels/chart69.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D:\kasparova3676\Desktop\&#352;a&#352;Z_2022\23004222t_pracVK1.xlsx" TargetMode="External"/><Relationship Id="rId2" Type="http://schemas.microsoft.com/office/2011/relationships/chartColorStyle" Target="colors3.xml"/><Relationship Id="rId1" Type="http://schemas.microsoft.com/office/2011/relationships/chartStyle" Target="style3.xml"/></Relationships>
</file>

<file path=word/charts/_rels/chart70.xml.rels><?xml version="1.0" encoding="UTF-8" standalone="yes"?>
<Relationships xmlns="http://schemas.openxmlformats.org/package/2006/relationships"><Relationship Id="rId3" Type="http://schemas.openxmlformats.org/officeDocument/2006/relationships/package" Target="../embeddings/List_aplikace_Microsoft_Excel16.xlsx"/><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chartUserShapes" Target="../drawings/drawing9.xml"/></Relationships>
</file>

<file path=word/charts/_rels/chart71.xml.rels><?xml version="1.0" encoding="UTF-8" standalone="yes"?>
<Relationships xmlns="http://schemas.openxmlformats.org/package/2006/relationships"><Relationship Id="rId3" Type="http://schemas.openxmlformats.org/officeDocument/2006/relationships/oleObject" Target="Graf%20v%20aplikaci%20Microsoft%20PowerPoint" TargetMode="Externa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chartUserShapes" Target="../drawings/drawing10.xml"/></Relationships>
</file>

<file path=word/charts/_rels/chart72.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73.xml.rels><?xml version="1.0" encoding="UTF-8" standalone="yes"?>
<Relationships xmlns="http://schemas.openxmlformats.org/package/2006/relationships"><Relationship Id="rId2" Type="http://schemas.openxmlformats.org/officeDocument/2006/relationships/package" Target="../embeddings/List_aplikace_Microsoft_Excel17.xlsx"/><Relationship Id="rId1" Type="http://schemas.openxmlformats.org/officeDocument/2006/relationships/themeOverride" Target="../theme/themeOverride18.xml"/></Relationships>
</file>

<file path=word/charts/_rels/chart74.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75.xml.rels><?xml version="1.0" encoding="UTF-8" standalone="yes"?>
<Relationships xmlns="http://schemas.openxmlformats.org/package/2006/relationships"><Relationship Id="rId3" Type="http://schemas.openxmlformats.org/officeDocument/2006/relationships/oleObject" Target="file:///D:\kasparova3676\Desktop\&#352;a&#352;Z_2022\23004222t_pracVK.xlsx" TargetMode="External"/><Relationship Id="rId2" Type="http://schemas.microsoft.com/office/2011/relationships/chartColorStyle" Target="colors33.xml"/><Relationship Id="rId1" Type="http://schemas.microsoft.com/office/2011/relationships/chartStyle" Target="style33.xml"/></Relationships>
</file>

<file path=word/charts/_rels/chart76.xml.rels><?xml version="1.0" encoding="UTF-8" standalone="yes"?>
<Relationships xmlns="http://schemas.openxmlformats.org/package/2006/relationships"><Relationship Id="rId2" Type="http://schemas.openxmlformats.org/officeDocument/2006/relationships/oleObject" Target="file:///D:\kasparova3676\Desktop\&#352;a&#352;Z_2022\23004222t_pracVK.xlsx" TargetMode="External"/><Relationship Id="rId1" Type="http://schemas.openxmlformats.org/officeDocument/2006/relationships/themeOverride" Target="../theme/themeOverride19.xml"/></Relationships>
</file>

<file path=word/charts/_rels/chart77.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List_aplikace_Microsoft_Excel18.xlsx"/></Relationships>
</file>

<file path=word/charts/_rels/chart78.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D:\kasparova3676\Desktop\&#352;a&#352;Z_2022\23004222t_pracVK1.xlsx" TargetMode="External"/></Relationships>
</file>

<file path=word/charts/_rels/chart79.xml.rels><?xml version="1.0" encoding="UTF-8" standalone="yes"?>
<Relationships xmlns="http://schemas.openxmlformats.org/package/2006/relationships"><Relationship Id="rId1" Type="http://schemas.openxmlformats.org/officeDocument/2006/relationships/oleObject" Target="Se&#353;it1"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file:///D:\kasparova3676\Desktop\&#352;a&#352;Z_2022\23004222t_pracVK.xlsx" TargetMode="External"/><Relationship Id="rId2" Type="http://schemas.microsoft.com/office/2011/relationships/chartColorStyle" Target="colors4.xml"/><Relationship Id="rId1" Type="http://schemas.microsoft.com/office/2011/relationships/chartStyle" Target="style4.xml"/></Relationships>
</file>

<file path=word/charts/_rels/chart80.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D:\kasparova3676\Desktop\&#352;a&#352;Z_2022\23004222t_pracVK1.xlsx" TargetMode="External"/></Relationships>
</file>

<file path=word/charts/_rels/chart81.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Se&#353;it2" TargetMode="External"/></Relationships>
</file>

<file path=word/charts/_rels/chart82.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Se&#353;it2" TargetMode="External"/></Relationships>
</file>

<file path=word/charts/_rels/chart83.xml.rels><?xml version="1.0" encoding="UTF-8" standalone="yes"?>
<Relationships xmlns="http://schemas.openxmlformats.org/package/2006/relationships"><Relationship Id="rId2" Type="http://schemas.openxmlformats.org/officeDocument/2006/relationships/package" Target="../embeddings/List_aplikace_Microsoft_Excel19.xlsx"/><Relationship Id="rId1" Type="http://schemas.openxmlformats.org/officeDocument/2006/relationships/themeOverride" Target="../theme/themeOverride21.xml"/></Relationships>
</file>

<file path=word/charts/_rels/chart84.xml.rels><?xml version="1.0" encoding="UTF-8" standalone="yes"?>
<Relationships xmlns="http://schemas.openxmlformats.org/package/2006/relationships"><Relationship Id="rId2" Type="http://schemas.openxmlformats.org/officeDocument/2006/relationships/package" Target="../embeddings/List_aplikace_Microsoft_Excel20.xlsx"/><Relationship Id="rId1" Type="http://schemas.openxmlformats.org/officeDocument/2006/relationships/themeOverride" Target="../theme/themeOverride22.xml"/></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D:\kasparova3676\Desktop\&#352;a&#352;Z_2022\23004222t_pracVK.xlsx" TargetMode="External"/></Relationships>
</file>

<file path=word/charts/_rels/chart86.xml.rels><?xml version="1.0" encoding="UTF-8" standalone="yes"?>
<Relationships xmlns="http://schemas.openxmlformats.org/package/2006/relationships"><Relationship Id="rId3" Type="http://schemas.openxmlformats.org/officeDocument/2006/relationships/chartUserShapes" Target="../drawings/drawing15.xml"/><Relationship Id="rId2" Type="http://schemas.openxmlformats.org/officeDocument/2006/relationships/oleObject" Target="file:///D:\kasparova3676\Desktop\&#352;a&#352;Z_2022\23004222t_pracVK.xlsx" TargetMode="External"/><Relationship Id="rId1" Type="http://schemas.openxmlformats.org/officeDocument/2006/relationships/themeOverride" Target="../theme/themeOverride24.xml"/></Relationships>
</file>

<file path=word/charts/_rels/chart87.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D:\kasparova3676\Desktop\&#352;a&#352;Z_2022\23004222t_pracVK.xlsx" TargetMode="External"/><Relationship Id="rId1" Type="http://schemas.openxmlformats.org/officeDocument/2006/relationships/themeOverride" Target="../theme/themeOverride25.xml"/></Relationships>
</file>

<file path=word/charts/_rels/chart88.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89.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D:\kasparova3676\Desktop\&#352;a&#352;Z_2022\23004222t_pracVK.xlsx" TargetMode="External"/><Relationship Id="rId2" Type="http://schemas.microsoft.com/office/2011/relationships/chartColorStyle" Target="colors5.xml"/><Relationship Id="rId1" Type="http://schemas.microsoft.com/office/2011/relationships/chartStyle" Target="style5.xml"/></Relationships>
</file>

<file path=word/charts/_rels/chart90.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91.xml.rels><?xml version="1.0" encoding="UTF-8" standalone="yes"?>
<Relationships xmlns="http://schemas.openxmlformats.org/package/2006/relationships"><Relationship Id="rId2" Type="http://schemas.openxmlformats.org/officeDocument/2006/relationships/oleObject" Target="file:///D:\kasparova3676\Desktop\&#352;a&#352;Z_2022\23004222t_pracVK.xlsx" TargetMode="External"/><Relationship Id="rId1" Type="http://schemas.openxmlformats.org/officeDocument/2006/relationships/themeOverride" Target="../theme/themeOverride26.xml"/></Relationships>
</file>

<file path=word/charts/_rels/chart92.xml.rels><?xml version="1.0" encoding="UTF-8" standalone="yes"?>
<Relationships xmlns="http://schemas.openxmlformats.org/package/2006/relationships"><Relationship Id="rId3" Type="http://schemas.openxmlformats.org/officeDocument/2006/relationships/chartUserShapes" Target="../drawings/drawing17.xml"/><Relationship Id="rId2" Type="http://schemas.openxmlformats.org/officeDocument/2006/relationships/oleObject" Target="file:///D:\kasparova3676\Desktop\&#352;a&#352;Z_2022\23004222t_pracVK1.xlsx" TargetMode="External"/><Relationship Id="rId1" Type="http://schemas.openxmlformats.org/officeDocument/2006/relationships/themeOverride" Target="../theme/themeOverride27.xml"/></Relationships>
</file>

<file path=word/charts/_rels/chart93.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94.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_rels/chart95.xml.rels><?xml version="1.0" encoding="UTF-8" standalone="yes"?>
<Relationships xmlns="http://schemas.openxmlformats.org/package/2006/relationships"><Relationship Id="rId3" Type="http://schemas.openxmlformats.org/officeDocument/2006/relationships/oleObject" Target="file:///D:\kasparova3676\Desktop\&#352;a&#352;Z_2022\23004222t_pracVK.xlsx" TargetMode="Externa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chartUserShapes" Target="../drawings/drawing18.xml"/></Relationships>
</file>

<file path=word/charts/_rels/chart96.xml.rels><?xml version="1.0" encoding="UTF-8" standalone="yes"?>
<Relationships xmlns="http://schemas.openxmlformats.org/package/2006/relationships"><Relationship Id="rId3" Type="http://schemas.openxmlformats.org/officeDocument/2006/relationships/oleObject" Target="file:///D:\kasparova3676\Desktop\&#352;a&#352;Z_2022\23004222t_pracVK.xlsx" TargetMode="External"/><Relationship Id="rId2" Type="http://schemas.microsoft.com/office/2011/relationships/chartColorStyle" Target="colors37.xml"/><Relationship Id="rId1" Type="http://schemas.microsoft.com/office/2011/relationships/chartStyle" Target="style37.xml"/></Relationships>
</file>

<file path=word/charts/_rels/chart97.xml.rels><?xml version="1.0" encoding="UTF-8" standalone="yes"?>
<Relationships xmlns="http://schemas.openxmlformats.org/package/2006/relationships"><Relationship Id="rId1" Type="http://schemas.openxmlformats.org/officeDocument/2006/relationships/oleObject" Target="file:///D:\kasparova3676\Desktop\&#352;a&#352;Z_2022\23004222t_pracVK1.xlsx" TargetMode="External"/></Relationships>
</file>

<file path=word/charts/_rels/chart98.xml.rels><?xml version="1.0" encoding="UTF-8" standalone="yes"?>
<Relationships xmlns="http://schemas.openxmlformats.org/package/2006/relationships"><Relationship Id="rId2" Type="http://schemas.openxmlformats.org/officeDocument/2006/relationships/oleObject" Target="file:///D:\kasparova3676\Desktop\&#352;a&#352;Z_2022\23004222t_pracVK.xlsx" TargetMode="External"/><Relationship Id="rId1" Type="http://schemas.openxmlformats.org/officeDocument/2006/relationships/themeOverride" Target="../theme/themeOverride28.xml"/></Relationships>
</file>

<file path=word/charts/_rels/chart99.xml.rels><?xml version="1.0" encoding="UTF-8" standalone="yes"?>
<Relationships xmlns="http://schemas.openxmlformats.org/package/2006/relationships"><Relationship Id="rId1" Type="http://schemas.openxmlformats.org/officeDocument/2006/relationships/oleObject" Target="file:///D:\kasparova3676\Desktop\&#352;a&#352;Z_2022\23004222t_pracVK.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List1!$D$7</c:f>
              <c:strCache>
                <c:ptCount val="1"/>
                <c:pt idx="0">
                  <c:v>veřejné</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List1!$C$8:$C$18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List1!$D$8:$D$18</c:f>
              <c:numCache>
                <c:formatCode>#\ ##0_ ;\-#\ ##0\ </c:formatCode>
                <c:ptCount val="11"/>
                <c:pt idx="0">
                  <c:v>4745</c:v>
                </c:pt>
                <c:pt idx="1">
                  <c:v>4778</c:v>
                </c:pt>
                <c:pt idx="2">
                  <c:v>4794</c:v>
                </c:pt>
                <c:pt idx="3">
                  <c:v>4812</c:v>
                </c:pt>
                <c:pt idx="4">
                  <c:v>4828</c:v>
                </c:pt>
                <c:pt idx="5">
                  <c:v>4820</c:v>
                </c:pt>
                <c:pt idx="6">
                  <c:v>4833</c:v>
                </c:pt>
                <c:pt idx="7">
                  <c:v>4838</c:v>
                </c:pt>
                <c:pt idx="8">
                  <c:v>4854</c:v>
                </c:pt>
                <c:pt idx="9">
                  <c:v>4863</c:v>
                </c:pt>
                <c:pt idx="10">
                  <c:v>4874</c:v>
                </c:pt>
              </c:numCache>
            </c:numRef>
          </c:val>
          <c:extLst>
            <c:ext xmlns:c16="http://schemas.microsoft.com/office/drawing/2014/chart" uri="{C3380CC4-5D6E-409C-BE32-E72D297353CC}">
              <c16:uniqueId val="{00000000-9D68-4762-9EFF-252F0E6F48C1}"/>
            </c:ext>
          </c:extLst>
        </c:ser>
        <c:ser>
          <c:idx val="1"/>
          <c:order val="1"/>
          <c:tx>
            <c:strRef>
              <c:f>List1!$E$7</c:f>
              <c:strCache>
                <c:ptCount val="1"/>
                <c:pt idx="0">
                  <c:v>soukromé</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List1!$C$8:$C$18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List1!$E$8:$E$18</c:f>
              <c:numCache>
                <c:formatCode>#\ ##0_ ;\-#\ ##0\ </c:formatCode>
                <c:ptCount val="11"/>
                <c:pt idx="0">
                  <c:v>150</c:v>
                </c:pt>
                <c:pt idx="1">
                  <c:v>194</c:v>
                </c:pt>
                <c:pt idx="2">
                  <c:v>249</c:v>
                </c:pt>
                <c:pt idx="3">
                  <c:v>300</c:v>
                </c:pt>
                <c:pt idx="4">
                  <c:v>333</c:v>
                </c:pt>
                <c:pt idx="5">
                  <c:v>340</c:v>
                </c:pt>
                <c:pt idx="6">
                  <c:v>386</c:v>
                </c:pt>
                <c:pt idx="7">
                  <c:v>399</c:v>
                </c:pt>
                <c:pt idx="8">
                  <c:v>401</c:v>
                </c:pt>
                <c:pt idx="9">
                  <c:v>404</c:v>
                </c:pt>
                <c:pt idx="10">
                  <c:v>425</c:v>
                </c:pt>
              </c:numCache>
            </c:numRef>
          </c:val>
          <c:extLst>
            <c:ext xmlns:c16="http://schemas.microsoft.com/office/drawing/2014/chart" uri="{C3380CC4-5D6E-409C-BE32-E72D297353CC}">
              <c16:uniqueId val="{00000001-9D68-4762-9EFF-252F0E6F48C1}"/>
            </c:ext>
          </c:extLst>
        </c:ser>
        <c:ser>
          <c:idx val="2"/>
          <c:order val="2"/>
          <c:tx>
            <c:strRef>
              <c:f>List1!$F$7</c:f>
              <c:strCache>
                <c:ptCount val="1"/>
                <c:pt idx="0">
                  <c:v>církevní</c:v>
                </c:pt>
              </c:strCache>
            </c:strRef>
          </c:tx>
          <c:spPr>
            <a:solidFill>
              <a:srgbClr val="70AD4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6"/>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List1!$C$8:$C$18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List1!$F$8:$F$18</c:f>
              <c:numCache>
                <c:formatCode>#\ ##0_ ;\-#\ ##0\ </c:formatCode>
                <c:ptCount val="11"/>
                <c:pt idx="0">
                  <c:v>36</c:v>
                </c:pt>
                <c:pt idx="1">
                  <c:v>39</c:v>
                </c:pt>
                <c:pt idx="2">
                  <c:v>42</c:v>
                </c:pt>
                <c:pt idx="3">
                  <c:v>46</c:v>
                </c:pt>
                <c:pt idx="4">
                  <c:v>48</c:v>
                </c:pt>
                <c:pt idx="5">
                  <c:v>49</c:v>
                </c:pt>
                <c:pt idx="6">
                  <c:v>50</c:v>
                </c:pt>
                <c:pt idx="7">
                  <c:v>50</c:v>
                </c:pt>
                <c:pt idx="8">
                  <c:v>49</c:v>
                </c:pt>
                <c:pt idx="9">
                  <c:v>50</c:v>
                </c:pt>
                <c:pt idx="10">
                  <c:v>50</c:v>
                </c:pt>
              </c:numCache>
            </c:numRef>
          </c:val>
          <c:extLst>
            <c:ext xmlns:c16="http://schemas.microsoft.com/office/drawing/2014/chart" uri="{C3380CC4-5D6E-409C-BE32-E72D297353CC}">
              <c16:uniqueId val="{00000002-9D68-4762-9EFF-252F0E6F48C1}"/>
            </c:ext>
          </c:extLst>
        </c:ser>
        <c:dLbls>
          <c:showLegendKey val="0"/>
          <c:showVal val="0"/>
          <c:showCatName val="0"/>
          <c:showSerName val="0"/>
          <c:showPercent val="0"/>
          <c:showBubbleSize val="0"/>
        </c:dLbls>
        <c:gapWidth val="70"/>
        <c:overlap val="100"/>
        <c:axId val="401820672"/>
        <c:axId val="146512064"/>
      </c:barChart>
      <c:lineChart>
        <c:grouping val="standard"/>
        <c:varyColors val="0"/>
        <c:ser>
          <c:idx val="3"/>
          <c:order val="3"/>
          <c:tx>
            <c:strRef>
              <c:f>List1!$G$7</c:f>
              <c:strCache>
                <c:ptCount val="1"/>
                <c:pt idx="0">
                  <c:v>podíl soukromých</c:v>
                </c:pt>
              </c:strCache>
            </c:strRef>
          </c:tx>
          <c:spPr>
            <a:ln w="28575" cap="rnd">
              <a:solidFill>
                <a:srgbClr val="FFCC66"/>
              </a:solidFill>
              <a:round/>
            </a:ln>
            <a:effectLst/>
          </c:spPr>
          <c:marker>
            <c:symbol val="none"/>
          </c:marker>
          <c:dLbls>
            <c:numFmt formatCode="0.0\ %" sourceLinked="0"/>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800" b="1" i="1"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List1!$C$8:$C$18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List1!$G$8:$G$18</c:f>
              <c:numCache>
                <c:formatCode>0.0%</c:formatCode>
                <c:ptCount val="11"/>
                <c:pt idx="0">
                  <c:v>3.0419793145406611E-2</c:v>
                </c:pt>
                <c:pt idx="1">
                  <c:v>3.8714827379764519E-2</c:v>
                </c:pt>
                <c:pt idx="2">
                  <c:v>4.8967551622418878E-2</c:v>
                </c:pt>
                <c:pt idx="3">
                  <c:v>5.8162078324932143E-2</c:v>
                </c:pt>
                <c:pt idx="4">
                  <c:v>6.3927817239393364E-2</c:v>
                </c:pt>
                <c:pt idx="5">
                  <c:v>6.5271645229410633E-2</c:v>
                </c:pt>
                <c:pt idx="6">
                  <c:v>7.3258682862023153E-2</c:v>
                </c:pt>
                <c:pt idx="7">
                  <c:v>7.5468129373936071E-2</c:v>
                </c:pt>
                <c:pt idx="8">
                  <c:v>7.5603318250377069E-2</c:v>
                </c:pt>
                <c:pt idx="9">
                  <c:v>7.5982697009591871E-2</c:v>
                </c:pt>
                <c:pt idx="10">
                  <c:v>7.9454103570760895E-2</c:v>
                </c:pt>
              </c:numCache>
            </c:numRef>
          </c:val>
          <c:smooth val="0"/>
          <c:extLst>
            <c:ext xmlns:c16="http://schemas.microsoft.com/office/drawing/2014/chart" uri="{C3380CC4-5D6E-409C-BE32-E72D297353CC}">
              <c16:uniqueId val="{00000003-9D68-4762-9EFF-252F0E6F48C1}"/>
            </c:ext>
          </c:extLst>
        </c:ser>
        <c:dLbls>
          <c:showLegendKey val="0"/>
          <c:showVal val="0"/>
          <c:showCatName val="0"/>
          <c:showSerName val="0"/>
          <c:showPercent val="0"/>
          <c:showBubbleSize val="0"/>
        </c:dLbls>
        <c:marker val="1"/>
        <c:smooth val="0"/>
        <c:axId val="1008969135"/>
        <c:axId val="1008976207"/>
      </c:lineChart>
      <c:catAx>
        <c:axId val="401820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46512064"/>
        <c:crosses val="autoZero"/>
        <c:auto val="1"/>
        <c:lblAlgn val="ctr"/>
        <c:lblOffset val="100"/>
        <c:noMultiLvlLbl val="0"/>
      </c:catAx>
      <c:valAx>
        <c:axId val="146512064"/>
        <c:scaling>
          <c:orientation val="minMax"/>
          <c:max val="5500"/>
          <c:min val="0"/>
        </c:scaling>
        <c:delete val="0"/>
        <c:axPos val="l"/>
        <c:majorGridlines>
          <c:spPr>
            <a:ln w="9525" cap="flat" cmpd="sng" algn="ctr">
              <a:solidFill>
                <a:schemeClr val="tx1">
                  <a:lumMod val="15000"/>
                  <a:lumOff val="85000"/>
                </a:schemeClr>
              </a:solidFill>
              <a:round/>
            </a:ln>
            <a:effectLst/>
          </c:spPr>
        </c:majorGridlines>
        <c:numFmt formatCode="#\ ##0_ ;\-#\ ##0\ " sourceLinked="1"/>
        <c:majorTickMark val="out"/>
        <c:minorTickMark val="none"/>
        <c:tickLblPos val="nextTo"/>
        <c:spPr>
          <a:noFill/>
          <a:ln>
            <a:solidFill>
              <a:sysClr val="window" lastClr="FFFFFF">
                <a:lumMod val="50000"/>
              </a:sysClr>
            </a:solid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01820672"/>
        <c:crosses val="autoZero"/>
        <c:crossBetween val="between"/>
        <c:majorUnit val="500"/>
      </c:valAx>
      <c:valAx>
        <c:axId val="1008976207"/>
        <c:scaling>
          <c:orientation val="minMax"/>
          <c:max val="0.11000000000000001"/>
          <c:min val="0"/>
        </c:scaling>
        <c:delete val="0"/>
        <c:axPos val="r"/>
        <c:numFmt formatCode="0\ %" sourceLinked="0"/>
        <c:majorTickMark val="out"/>
        <c:minorTickMark val="none"/>
        <c:tickLblPos val="nextTo"/>
        <c:txPr>
          <a:bodyPr/>
          <a:lstStyle/>
          <a:p>
            <a:pPr>
              <a:defRPr>
                <a:solidFill>
                  <a:schemeClr val="tx1">
                    <a:lumMod val="65000"/>
                    <a:lumOff val="35000"/>
                  </a:schemeClr>
                </a:solidFill>
              </a:defRPr>
            </a:pPr>
            <a:endParaRPr lang="cs-CZ"/>
          </a:p>
        </c:txPr>
        <c:crossAx val="1008969135"/>
        <c:crosses val="max"/>
        <c:crossBetween val="between"/>
        <c:majorUnit val="1.0000000000000002E-2"/>
      </c:valAx>
      <c:catAx>
        <c:axId val="1008969135"/>
        <c:scaling>
          <c:orientation val="minMax"/>
        </c:scaling>
        <c:delete val="1"/>
        <c:axPos val="b"/>
        <c:numFmt formatCode="General" sourceLinked="1"/>
        <c:majorTickMark val="out"/>
        <c:minorTickMark val="none"/>
        <c:tickLblPos val="nextTo"/>
        <c:crossAx val="1008976207"/>
        <c:crosses val="autoZero"/>
        <c:auto val="1"/>
        <c:lblAlgn val="ctr"/>
        <c:lblOffset val="100"/>
        <c:noMultiLvlLbl val="0"/>
      </c:catAx>
      <c:spPr>
        <a:noFill/>
        <a:ln w="25400">
          <a:noFill/>
        </a:ln>
        <a:effectLst/>
      </c:spPr>
    </c:plotArea>
    <c:legend>
      <c:legendPos val="b"/>
      <c:legendEntry>
        <c:idx val="3"/>
        <c:txPr>
          <a:bodyPr rot="0" spcFirstLastPara="1" vertOverflow="ellipsis" vert="horz" wrap="square" anchor="ctr" anchorCtr="1"/>
          <a:lstStyle/>
          <a:p>
            <a:pPr>
              <a:defRPr sz="800" b="0" i="1"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legendEntry>
      <c:layout>
        <c:manualLayout>
          <c:xMode val="edge"/>
          <c:yMode val="edge"/>
          <c:x val="0.11648184932942249"/>
          <c:y val="0.91828463131642057"/>
          <c:w val="0.77538599606997793"/>
          <c:h val="5.8195180522074098E-2"/>
        </c:manualLayout>
      </c:layout>
      <c:overlay val="0"/>
      <c:spPr>
        <a:noFill/>
        <a:ln>
          <a:solidFill>
            <a:schemeClr val="bg1">
              <a:lumMod val="50000"/>
            </a:schemeClr>
          </a:solid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List5!$I$5</c:f>
              <c:strCache>
                <c:ptCount val="1"/>
                <c:pt idx="0">
                  <c:v>mladší 3 let</c:v>
                </c:pt>
              </c:strCache>
            </c:strRef>
          </c:tx>
          <c:spPr>
            <a:solidFill>
              <a:srgbClr val="0070C0"/>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List5!$H$6:$H$16</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List5!$I$6:$I$16</c:f>
              <c:numCache>
                <c:formatCode>0.0</c:formatCode>
                <c:ptCount val="11"/>
                <c:pt idx="0">
                  <c:v>31.355</c:v>
                </c:pt>
                <c:pt idx="1">
                  <c:v>31.951000000000001</c:v>
                </c:pt>
                <c:pt idx="2">
                  <c:v>33.140999999999998</c:v>
                </c:pt>
                <c:pt idx="3">
                  <c:v>37.898000000000003</c:v>
                </c:pt>
                <c:pt idx="4">
                  <c:v>42.320999999999998</c:v>
                </c:pt>
                <c:pt idx="5">
                  <c:v>44.728999999999999</c:v>
                </c:pt>
                <c:pt idx="6">
                  <c:v>45.470999999999997</c:v>
                </c:pt>
                <c:pt idx="7">
                  <c:v>45.374000000000002</c:v>
                </c:pt>
                <c:pt idx="8">
                  <c:v>43.02</c:v>
                </c:pt>
                <c:pt idx="9">
                  <c:v>34.585999999999999</c:v>
                </c:pt>
                <c:pt idx="10">
                  <c:v>32.713999999999999</c:v>
                </c:pt>
              </c:numCache>
            </c:numRef>
          </c:val>
          <c:extLst>
            <c:ext xmlns:c16="http://schemas.microsoft.com/office/drawing/2014/chart" uri="{C3380CC4-5D6E-409C-BE32-E72D297353CC}">
              <c16:uniqueId val="{00000000-8FEC-4E5A-B7A9-25758BD9F7D2}"/>
            </c:ext>
          </c:extLst>
        </c:ser>
        <c:ser>
          <c:idx val="1"/>
          <c:order val="1"/>
          <c:tx>
            <c:strRef>
              <c:f>List5!$J$5</c:f>
              <c:strCache>
                <c:ptCount val="1"/>
                <c:pt idx="0">
                  <c:v>3leté</c:v>
                </c:pt>
              </c:strCache>
            </c:strRef>
          </c:tx>
          <c:spPr>
            <a:solidFill>
              <a:srgbClr val="C00000"/>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List5!$H$6:$H$16</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List5!$J$6:$J$16</c:f>
              <c:numCache>
                <c:formatCode>0.0</c:formatCode>
                <c:ptCount val="11"/>
                <c:pt idx="0">
                  <c:v>92.492000000000004</c:v>
                </c:pt>
                <c:pt idx="1">
                  <c:v>91.35</c:v>
                </c:pt>
                <c:pt idx="2">
                  <c:v>92.364999999999995</c:v>
                </c:pt>
                <c:pt idx="3">
                  <c:v>92.12</c:v>
                </c:pt>
                <c:pt idx="4">
                  <c:v>90.64</c:v>
                </c:pt>
                <c:pt idx="5">
                  <c:v>91.39</c:v>
                </c:pt>
                <c:pt idx="6">
                  <c:v>91.757999999999996</c:v>
                </c:pt>
                <c:pt idx="7">
                  <c:v>93.046000000000006</c:v>
                </c:pt>
                <c:pt idx="8">
                  <c:v>94.584999999999994</c:v>
                </c:pt>
                <c:pt idx="9">
                  <c:v>93.075000000000003</c:v>
                </c:pt>
                <c:pt idx="10">
                  <c:v>94.403000000000006</c:v>
                </c:pt>
              </c:numCache>
            </c:numRef>
          </c:val>
          <c:extLst>
            <c:ext xmlns:c16="http://schemas.microsoft.com/office/drawing/2014/chart" uri="{C3380CC4-5D6E-409C-BE32-E72D297353CC}">
              <c16:uniqueId val="{00000001-8FEC-4E5A-B7A9-25758BD9F7D2}"/>
            </c:ext>
          </c:extLst>
        </c:ser>
        <c:ser>
          <c:idx val="2"/>
          <c:order val="2"/>
          <c:tx>
            <c:strRef>
              <c:f>List5!$K$5</c:f>
              <c:strCache>
                <c:ptCount val="1"/>
                <c:pt idx="0">
                  <c:v>4leté</c:v>
                </c:pt>
              </c:strCache>
            </c:strRef>
          </c:tx>
          <c:spPr>
            <a:solidFill>
              <a:srgbClr val="70AD47"/>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List5!$H$6:$H$16</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List5!$K$6:$K$16</c:f>
              <c:numCache>
                <c:formatCode>0.0</c:formatCode>
                <c:ptCount val="11"/>
                <c:pt idx="0">
                  <c:v>99.884</c:v>
                </c:pt>
                <c:pt idx="1">
                  <c:v>106.78400000000001</c:v>
                </c:pt>
                <c:pt idx="2">
                  <c:v>106.163</c:v>
                </c:pt>
                <c:pt idx="3">
                  <c:v>107.065</c:v>
                </c:pt>
                <c:pt idx="4">
                  <c:v>103.501</c:v>
                </c:pt>
                <c:pt idx="5">
                  <c:v>100.11799999999999</c:v>
                </c:pt>
                <c:pt idx="6">
                  <c:v>99.914000000000001</c:v>
                </c:pt>
                <c:pt idx="7">
                  <c:v>99.858000000000004</c:v>
                </c:pt>
                <c:pt idx="8">
                  <c:v>101.407</c:v>
                </c:pt>
                <c:pt idx="9">
                  <c:v>102.494</c:v>
                </c:pt>
                <c:pt idx="10">
                  <c:v>102.985</c:v>
                </c:pt>
              </c:numCache>
            </c:numRef>
          </c:val>
          <c:extLst>
            <c:ext xmlns:c16="http://schemas.microsoft.com/office/drawing/2014/chart" uri="{C3380CC4-5D6E-409C-BE32-E72D297353CC}">
              <c16:uniqueId val="{00000002-8FEC-4E5A-B7A9-25758BD9F7D2}"/>
            </c:ext>
          </c:extLst>
        </c:ser>
        <c:ser>
          <c:idx val="3"/>
          <c:order val="3"/>
          <c:tx>
            <c:strRef>
              <c:f>List5!$L$5</c:f>
              <c:strCache>
                <c:ptCount val="1"/>
                <c:pt idx="0">
                  <c:v>5leté</c:v>
                </c:pt>
              </c:strCache>
            </c:strRef>
          </c:tx>
          <c:spPr>
            <a:solidFill>
              <a:srgbClr val="FFCC66"/>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List5!$H$6:$H$16</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List5!$L$6:$L$16</c:f>
              <c:numCache>
                <c:formatCode>0.0</c:formatCode>
                <c:ptCount val="11"/>
                <c:pt idx="0">
                  <c:v>96.959000000000003</c:v>
                </c:pt>
                <c:pt idx="1">
                  <c:v>104.369</c:v>
                </c:pt>
                <c:pt idx="2">
                  <c:v>111.217</c:v>
                </c:pt>
                <c:pt idx="3">
                  <c:v>110</c:v>
                </c:pt>
                <c:pt idx="4">
                  <c:v>109.98099999999999</c:v>
                </c:pt>
                <c:pt idx="5">
                  <c:v>105.869</c:v>
                </c:pt>
                <c:pt idx="6">
                  <c:v>104.901</c:v>
                </c:pt>
                <c:pt idx="7">
                  <c:v>104.749</c:v>
                </c:pt>
                <c:pt idx="8">
                  <c:v>104.52200000000001</c:v>
                </c:pt>
                <c:pt idx="9">
                  <c:v>106.30500000000001</c:v>
                </c:pt>
                <c:pt idx="10">
                  <c:v>107.541</c:v>
                </c:pt>
              </c:numCache>
            </c:numRef>
          </c:val>
          <c:extLst>
            <c:ext xmlns:c16="http://schemas.microsoft.com/office/drawing/2014/chart" uri="{C3380CC4-5D6E-409C-BE32-E72D297353CC}">
              <c16:uniqueId val="{00000003-8FEC-4E5A-B7A9-25758BD9F7D2}"/>
            </c:ext>
          </c:extLst>
        </c:ser>
        <c:ser>
          <c:idx val="4"/>
          <c:order val="4"/>
          <c:tx>
            <c:strRef>
              <c:f>List5!$M$5</c:f>
              <c:strCache>
                <c:ptCount val="1"/>
                <c:pt idx="0">
                  <c:v>6leté a starší</c:v>
                </c:pt>
              </c:strCache>
            </c:strRef>
          </c:tx>
          <c:spPr>
            <a:solidFill>
              <a:schemeClr val="tx1">
                <a:lumMod val="50000"/>
                <a:lumOff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List5!$H$6:$H$16</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List5!$M$6:$M$16</c:f>
              <c:numCache>
                <c:formatCode>0.0</c:formatCode>
                <c:ptCount val="11"/>
                <c:pt idx="0">
                  <c:v>21.831</c:v>
                </c:pt>
                <c:pt idx="1">
                  <c:v>19.885999999999999</c:v>
                </c:pt>
                <c:pt idx="2">
                  <c:v>20.681999999999999</c:v>
                </c:pt>
                <c:pt idx="3">
                  <c:v>20.52</c:v>
                </c:pt>
                <c:pt idx="4">
                  <c:v>20.917999999999999</c:v>
                </c:pt>
                <c:pt idx="5">
                  <c:v>20.547000000000001</c:v>
                </c:pt>
                <c:pt idx="6">
                  <c:v>20.712</c:v>
                </c:pt>
                <c:pt idx="7">
                  <c:v>20.748999999999999</c:v>
                </c:pt>
                <c:pt idx="8">
                  <c:v>21.375</c:v>
                </c:pt>
                <c:pt idx="9">
                  <c:v>21.138000000000002</c:v>
                </c:pt>
                <c:pt idx="10">
                  <c:v>22.847000000000001</c:v>
                </c:pt>
              </c:numCache>
            </c:numRef>
          </c:val>
          <c:extLst>
            <c:ext xmlns:c16="http://schemas.microsoft.com/office/drawing/2014/chart" uri="{C3380CC4-5D6E-409C-BE32-E72D297353CC}">
              <c16:uniqueId val="{00000004-8FEC-4E5A-B7A9-25758BD9F7D2}"/>
            </c:ext>
          </c:extLst>
        </c:ser>
        <c:dLbls>
          <c:showLegendKey val="0"/>
          <c:showVal val="0"/>
          <c:showCatName val="0"/>
          <c:showSerName val="0"/>
          <c:showPercent val="0"/>
          <c:showBubbleSize val="0"/>
        </c:dLbls>
        <c:gapWidth val="60"/>
        <c:overlap val="100"/>
        <c:axId val="374401536"/>
        <c:axId val="368149632"/>
      </c:barChart>
      <c:catAx>
        <c:axId val="374401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68149632"/>
        <c:crosses val="autoZero"/>
        <c:auto val="1"/>
        <c:lblAlgn val="ctr"/>
        <c:lblOffset val="100"/>
        <c:noMultiLvlLbl val="0"/>
      </c:catAx>
      <c:valAx>
        <c:axId val="368149632"/>
        <c:scaling>
          <c:orientation val="minMax"/>
          <c:max val="400"/>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74401536"/>
        <c:crosses val="autoZero"/>
        <c:crossBetween val="between"/>
        <c:majorUnit val="50"/>
      </c:valAx>
      <c:spPr>
        <a:noFill/>
        <a:ln>
          <a:noFill/>
        </a:ln>
        <a:effectLst/>
      </c:spPr>
    </c:plotArea>
    <c:legend>
      <c:legendPos val="b"/>
      <c:layout>
        <c:manualLayout>
          <c:xMode val="edge"/>
          <c:yMode val="edge"/>
          <c:x val="8.7582964876135552E-2"/>
          <c:y val="0.89856160315726963"/>
          <c:w val="0.83953361090258505"/>
          <c:h val="7.2241316550759618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916666666666665E-2"/>
          <c:y val="7.0970062752308263E-3"/>
          <c:w val="0.95416666666666672"/>
          <c:h val="0.80673238364288424"/>
        </c:manualLayout>
      </c:layout>
      <c:barChart>
        <c:barDir val="col"/>
        <c:grouping val="stacked"/>
        <c:varyColors val="0"/>
        <c:ser>
          <c:idx val="0"/>
          <c:order val="0"/>
          <c:tx>
            <c:strRef>
              <c:f>List61!$E$16</c:f>
              <c:strCache>
                <c:ptCount val="1"/>
                <c:pt idx="0">
                  <c:v>19letí a mladší</c:v>
                </c:pt>
              </c:strCache>
            </c:strRef>
          </c:tx>
          <c:spPr>
            <a:solidFill>
              <a:schemeClr val="accent1">
                <a:lumMod val="20000"/>
                <a:lumOff val="80000"/>
              </a:schemeClr>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List61!$D$17:$D$19</c:f>
              <c:strCache>
                <c:ptCount val="3"/>
                <c:pt idx="0">
                  <c:v>celkem</c:v>
                </c:pt>
                <c:pt idx="1">
                  <c:v>denní forma</c:v>
                </c:pt>
                <c:pt idx="2">
                  <c:v>ostatní formy</c:v>
                </c:pt>
              </c:strCache>
            </c:strRef>
          </c:cat>
          <c:val>
            <c:numRef>
              <c:f>List61!$E$17:$E$19</c:f>
              <c:numCache>
                <c:formatCode>0.0%</c:formatCode>
                <c:ptCount val="3"/>
                <c:pt idx="0">
                  <c:v>9.0280197083561442E-2</c:v>
                </c:pt>
                <c:pt idx="1">
                  <c:v>0.13537469782433523</c:v>
                </c:pt>
                <c:pt idx="2">
                  <c:v>1.7441103735519978E-2</c:v>
                </c:pt>
              </c:numCache>
            </c:numRef>
          </c:val>
          <c:extLst>
            <c:ext xmlns:c16="http://schemas.microsoft.com/office/drawing/2014/chart" uri="{C3380CC4-5D6E-409C-BE32-E72D297353CC}">
              <c16:uniqueId val="{00000000-A9FE-4C89-917E-AB9E9F923EAC}"/>
            </c:ext>
          </c:extLst>
        </c:ser>
        <c:ser>
          <c:idx val="1"/>
          <c:order val="1"/>
          <c:tx>
            <c:strRef>
              <c:f>List61!$F$16</c:f>
              <c:strCache>
                <c:ptCount val="1"/>
                <c:pt idx="0">
                  <c:v>20 až 24letí</c:v>
                </c:pt>
              </c:strCache>
            </c:strRef>
          </c:tx>
          <c:spPr>
            <a:solidFill>
              <a:srgbClr val="A0C6E8"/>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List61!$D$17:$D$19</c:f>
              <c:strCache>
                <c:ptCount val="3"/>
                <c:pt idx="0">
                  <c:v>celkem</c:v>
                </c:pt>
                <c:pt idx="1">
                  <c:v>denní forma</c:v>
                </c:pt>
                <c:pt idx="2">
                  <c:v>ostatní formy</c:v>
                </c:pt>
              </c:strCache>
            </c:strRef>
          </c:cat>
          <c:val>
            <c:numRef>
              <c:f>List61!$F$17:$F$19</c:f>
              <c:numCache>
                <c:formatCode>0.0%</c:formatCode>
                <c:ptCount val="3"/>
                <c:pt idx="0">
                  <c:v>0.57811178022196785</c:v>
                </c:pt>
                <c:pt idx="1">
                  <c:v>0.78195004029008863</c:v>
                </c:pt>
                <c:pt idx="2">
                  <c:v>0.24886112195756865</c:v>
                </c:pt>
              </c:numCache>
            </c:numRef>
          </c:val>
          <c:extLst>
            <c:ext xmlns:c16="http://schemas.microsoft.com/office/drawing/2014/chart" uri="{C3380CC4-5D6E-409C-BE32-E72D297353CC}">
              <c16:uniqueId val="{00000001-A9FE-4C89-917E-AB9E9F923EAC}"/>
            </c:ext>
          </c:extLst>
        </c:ser>
        <c:ser>
          <c:idx val="2"/>
          <c:order val="2"/>
          <c:tx>
            <c:strRef>
              <c:f>List61!$G$16</c:f>
              <c:strCache>
                <c:ptCount val="1"/>
                <c:pt idx="0">
                  <c:v>25 až 29letí</c:v>
                </c:pt>
              </c:strCache>
            </c:strRef>
          </c:tx>
          <c:spPr>
            <a:solidFill>
              <a:srgbClr val="3183CD"/>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List61!$D$17:$D$19</c:f>
              <c:strCache>
                <c:ptCount val="3"/>
                <c:pt idx="0">
                  <c:v>celkem</c:v>
                </c:pt>
                <c:pt idx="1">
                  <c:v>denní forma</c:v>
                </c:pt>
                <c:pt idx="2">
                  <c:v>ostatní formy</c:v>
                </c:pt>
              </c:strCache>
            </c:strRef>
          </c:cat>
          <c:val>
            <c:numRef>
              <c:f>List61!$G$17:$G$19</c:f>
              <c:numCache>
                <c:formatCode>0.0%</c:formatCode>
                <c:ptCount val="3"/>
                <c:pt idx="0">
                  <c:v>0.11461703080674862</c:v>
                </c:pt>
                <c:pt idx="1">
                  <c:v>5.4875100725221594E-2</c:v>
                </c:pt>
                <c:pt idx="2">
                  <c:v>0.2111154496941299</c:v>
                </c:pt>
              </c:numCache>
            </c:numRef>
          </c:val>
          <c:extLst>
            <c:ext xmlns:c16="http://schemas.microsoft.com/office/drawing/2014/chart" uri="{C3380CC4-5D6E-409C-BE32-E72D297353CC}">
              <c16:uniqueId val="{00000002-A9FE-4C89-917E-AB9E9F923EAC}"/>
            </c:ext>
          </c:extLst>
        </c:ser>
        <c:ser>
          <c:idx val="3"/>
          <c:order val="3"/>
          <c:tx>
            <c:strRef>
              <c:f>List61!$H$16</c:f>
              <c:strCache>
                <c:ptCount val="1"/>
                <c:pt idx="0">
                  <c:v>30 až 34letí</c:v>
                </c:pt>
              </c:strCache>
            </c:strRef>
          </c:tx>
          <c:spPr>
            <a:solidFill>
              <a:srgbClr val="FCD904"/>
            </a:solidFill>
            <a:ln>
              <a:noFill/>
            </a:ln>
            <a:effectLst/>
          </c:spPr>
          <c:invertIfNegative val="0"/>
          <c:dLbls>
            <c:dLbl>
              <c:idx val="1"/>
              <c:layout>
                <c:manualLayout>
                  <c:x val="-0.13510810367454071"/>
                  <c:y val="0.15420889544563138"/>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A9FE-4C89-917E-AB9E9F923EAC}"/>
                </c:ext>
              </c:extLst>
            </c:dLbl>
            <c:numFmt formatCode="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List61!$D$17:$D$19</c:f>
              <c:strCache>
                <c:ptCount val="3"/>
                <c:pt idx="0">
                  <c:v>celkem</c:v>
                </c:pt>
                <c:pt idx="1">
                  <c:v>denní forma</c:v>
                </c:pt>
                <c:pt idx="2">
                  <c:v>ostatní formy</c:v>
                </c:pt>
              </c:strCache>
            </c:strRef>
          </c:cat>
          <c:val>
            <c:numRef>
              <c:f>List61!$H$17:$H$19</c:f>
              <c:numCache>
                <c:formatCode>0.0%</c:formatCode>
                <c:ptCount val="3"/>
                <c:pt idx="0">
                  <c:v>6.4151694620016922E-2</c:v>
                </c:pt>
                <c:pt idx="1">
                  <c:v>1.0072522159548751E-2</c:v>
                </c:pt>
                <c:pt idx="2">
                  <c:v>0.15150331901600936</c:v>
                </c:pt>
              </c:numCache>
            </c:numRef>
          </c:val>
          <c:extLst>
            <c:ext xmlns:c16="http://schemas.microsoft.com/office/drawing/2014/chart" uri="{C3380CC4-5D6E-409C-BE32-E72D297353CC}">
              <c16:uniqueId val="{00000004-A9FE-4C89-917E-AB9E9F923EAC}"/>
            </c:ext>
          </c:extLst>
        </c:ser>
        <c:ser>
          <c:idx val="4"/>
          <c:order val="4"/>
          <c:tx>
            <c:strRef>
              <c:f>List61!$I$16</c:f>
              <c:strCache>
                <c:ptCount val="1"/>
                <c:pt idx="0">
                  <c:v>35 až 39letí</c:v>
                </c:pt>
              </c:strCache>
            </c:strRef>
          </c:tx>
          <c:spPr>
            <a:solidFill>
              <a:srgbClr val="F29D64"/>
            </a:solidFill>
            <a:ln>
              <a:noFill/>
            </a:ln>
            <a:effectLst/>
          </c:spPr>
          <c:invertIfNegative val="0"/>
          <c:dLbls>
            <c:dLbl>
              <c:idx val="1"/>
              <c:layout>
                <c:manualLayout>
                  <c:x val="-0.17248671259842518"/>
                  <c:y val="9.281574566158913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A9FE-4C89-917E-AB9E9F923EAC}"/>
                </c:ext>
              </c:extLst>
            </c:dLbl>
            <c:numFmt formatCode="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List61!$D$17:$D$19</c:f>
              <c:strCache>
                <c:ptCount val="3"/>
                <c:pt idx="0">
                  <c:v>celkem</c:v>
                </c:pt>
                <c:pt idx="1">
                  <c:v>denní forma</c:v>
                </c:pt>
                <c:pt idx="2">
                  <c:v>ostatní formy</c:v>
                </c:pt>
              </c:strCache>
            </c:strRef>
          </c:cat>
          <c:val>
            <c:numRef>
              <c:f>List61!$I$17:$I$19</c:f>
              <c:numCache>
                <c:formatCode>0.0%</c:formatCode>
                <c:ptCount val="3"/>
                <c:pt idx="0">
                  <c:v>4.9270890359826805E-2</c:v>
                </c:pt>
                <c:pt idx="1">
                  <c:v>6.6075745366639804E-3</c:v>
                </c:pt>
                <c:pt idx="2">
                  <c:v>0.1181830014317324</c:v>
                </c:pt>
              </c:numCache>
            </c:numRef>
          </c:val>
          <c:extLst>
            <c:ext xmlns:c16="http://schemas.microsoft.com/office/drawing/2014/chart" uri="{C3380CC4-5D6E-409C-BE32-E72D297353CC}">
              <c16:uniqueId val="{00000006-A9FE-4C89-917E-AB9E9F923EAC}"/>
            </c:ext>
          </c:extLst>
        </c:ser>
        <c:ser>
          <c:idx val="5"/>
          <c:order val="5"/>
          <c:tx>
            <c:strRef>
              <c:f>List61!$J$16</c:f>
              <c:strCache>
                <c:ptCount val="1"/>
                <c:pt idx="0">
                  <c:v>40letí a starší</c:v>
                </c:pt>
              </c:strCache>
            </c:strRef>
          </c:tx>
          <c:spPr>
            <a:solidFill>
              <a:schemeClr val="accent2">
                <a:lumMod val="75000"/>
              </a:schemeClr>
            </a:solidFill>
            <a:ln>
              <a:noFill/>
            </a:ln>
            <a:effectLst/>
          </c:spPr>
          <c:invertIfNegative val="0"/>
          <c:dLbls>
            <c:dLbl>
              <c:idx val="0"/>
              <c:numFmt formatCode="0.0\ %" sourceLinked="0"/>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extLst>
                <c:ext xmlns:c16="http://schemas.microsoft.com/office/drawing/2014/chart" uri="{C3380CC4-5D6E-409C-BE32-E72D297353CC}">
                  <c16:uniqueId val="{00000007-A9FE-4C89-917E-AB9E9F923EAC}"/>
                </c:ext>
              </c:extLst>
            </c:dLbl>
            <c:dLbl>
              <c:idx val="1"/>
              <c:layout>
                <c:manualLayout>
                  <c:x val="-0.17457004593175854"/>
                  <c:y val="4.8156508653122647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A9FE-4C89-917E-AB9E9F923EAC}"/>
                </c:ext>
              </c:extLst>
            </c:dLbl>
            <c:dLbl>
              <c:idx val="2"/>
              <c:numFmt formatCode="0.0\ %" sourceLinked="0"/>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extLst>
                <c:ext xmlns:c16="http://schemas.microsoft.com/office/drawing/2014/chart" uri="{C3380CC4-5D6E-409C-BE32-E72D297353CC}">
                  <c16:uniqueId val="{00000009-A9FE-4C89-917E-AB9E9F923EAC}"/>
                </c:ext>
              </c:extLst>
            </c:dLbl>
            <c:numFmt formatCode="0.0\ %"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List61!$D$17:$D$19</c:f>
              <c:strCache>
                <c:ptCount val="3"/>
                <c:pt idx="0">
                  <c:v>celkem</c:v>
                </c:pt>
                <c:pt idx="1">
                  <c:v>denní forma</c:v>
                </c:pt>
                <c:pt idx="2">
                  <c:v>ostatní formy</c:v>
                </c:pt>
              </c:strCache>
            </c:strRef>
          </c:cat>
          <c:val>
            <c:numRef>
              <c:f>List61!$J$17:$J$19</c:f>
              <c:numCache>
                <c:formatCode>0.0%</c:formatCode>
                <c:ptCount val="3"/>
                <c:pt idx="0">
                  <c:v>0.10356840690787837</c:v>
                </c:pt>
                <c:pt idx="1">
                  <c:v>1.1120064464141821E-2</c:v>
                </c:pt>
                <c:pt idx="2">
                  <c:v>0.25289600416503971</c:v>
                </c:pt>
              </c:numCache>
            </c:numRef>
          </c:val>
          <c:extLst>
            <c:ext xmlns:c16="http://schemas.microsoft.com/office/drawing/2014/chart" uri="{C3380CC4-5D6E-409C-BE32-E72D297353CC}">
              <c16:uniqueId val="{0000000A-A9FE-4C89-917E-AB9E9F923EAC}"/>
            </c:ext>
          </c:extLst>
        </c:ser>
        <c:dLbls>
          <c:showLegendKey val="0"/>
          <c:showVal val="0"/>
          <c:showCatName val="0"/>
          <c:showSerName val="0"/>
          <c:showPercent val="0"/>
          <c:showBubbleSize val="0"/>
        </c:dLbls>
        <c:gapWidth val="36"/>
        <c:overlap val="100"/>
        <c:axId val="201491536"/>
        <c:axId val="201489872"/>
      </c:barChart>
      <c:catAx>
        <c:axId val="201491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01489872"/>
        <c:crosses val="autoZero"/>
        <c:auto val="1"/>
        <c:lblAlgn val="ctr"/>
        <c:lblOffset val="100"/>
        <c:noMultiLvlLbl val="0"/>
      </c:catAx>
      <c:valAx>
        <c:axId val="201489872"/>
        <c:scaling>
          <c:orientation val="minMax"/>
          <c:max val="1"/>
        </c:scaling>
        <c:delete val="0"/>
        <c:axPos val="l"/>
        <c:numFmt formatCode="0\ %"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01491536"/>
        <c:crosses val="autoZero"/>
        <c:crossBetween val="between"/>
      </c:valAx>
      <c:spPr>
        <a:noFill/>
        <a:ln>
          <a:solidFill>
            <a:schemeClr val="bg1">
              <a:lumMod val="75000"/>
            </a:schemeClr>
          </a:solidFill>
        </a:ln>
        <a:effectLst/>
      </c:spPr>
    </c:plotArea>
    <c:legend>
      <c:legendPos val="b"/>
      <c:layout>
        <c:manualLayout>
          <c:xMode val="edge"/>
          <c:yMode val="edge"/>
          <c:x val="3.728838582677163E-3"/>
          <c:y val="0.91210329256393385"/>
          <c:w val="0.96582595144356953"/>
          <c:h val="7.1201873147151568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cs-CZ"/>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List62!$B$2</c:f>
              <c:strCache>
                <c:ptCount val="1"/>
                <c:pt idx="0">
                  <c:v>2021/22</c:v>
                </c:pt>
              </c:strCache>
            </c:strRef>
          </c:tx>
          <c:spPr>
            <a:solidFill>
              <a:schemeClr val="accent2">
                <a:lumMod val="75000"/>
              </a:schemeClr>
            </a:solidFill>
          </c:spPr>
          <c:invertIfNegative val="0"/>
          <c:dLbls>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List62!$A$3:$A$17</c:f>
              <c:strCache>
                <c:ptCount val="15"/>
                <c:pt idx="0">
                  <c:v>filozofie, teologie</c:v>
                </c:pt>
                <c:pt idx="1">
                  <c:v>doprava a spoje</c:v>
                </c:pt>
                <c:pt idx="2">
                  <c:v>veterinářství a veterinární prevence</c:v>
                </c:pt>
                <c:pt idx="3">
                  <c:v>publicistika, knihovnictví a informatika</c:v>
                </c:pt>
                <c:pt idx="4">
                  <c:v>strojírenství a strojírenská výroba</c:v>
                </c:pt>
                <c:pt idx="5">
                  <c:v>zemědělství a lesnictví</c:v>
                </c:pt>
                <c:pt idx="6">
                  <c:v>speciální a interdisciplinární obory</c:v>
                </c:pt>
                <c:pt idx="7">
                  <c:v>podnikání v oborech, odvětví</c:v>
                </c:pt>
                <c:pt idx="8">
                  <c:v>elektrotechnika, telekomunikační a výpočetní technika</c:v>
                </c:pt>
                <c:pt idx="9">
                  <c:v>gastronomie, hotelnictví a turismus</c:v>
                </c:pt>
                <c:pt idx="10">
                  <c:v>ekonomika a administrativa</c:v>
                </c:pt>
                <c:pt idx="11">
                  <c:v>umění a užité umění</c:v>
                </c:pt>
                <c:pt idx="12">
                  <c:v>právo, právní a veřejnosprávní činnost</c:v>
                </c:pt>
                <c:pt idx="13">
                  <c:v>pedagogika, učitelství a sociální péče</c:v>
                </c:pt>
                <c:pt idx="14">
                  <c:v>zdravotnictví</c:v>
                </c:pt>
              </c:strCache>
            </c:strRef>
          </c:cat>
          <c:val>
            <c:numRef>
              <c:f>List62!$B$3:$B$17</c:f>
              <c:numCache>
                <c:formatCode>#,##0</c:formatCode>
                <c:ptCount val="15"/>
                <c:pt idx="0">
                  <c:v>146</c:v>
                </c:pt>
                <c:pt idx="1">
                  <c:v>172</c:v>
                </c:pt>
                <c:pt idx="2">
                  <c:v>248</c:v>
                </c:pt>
                <c:pt idx="3">
                  <c:v>261</c:v>
                </c:pt>
                <c:pt idx="4">
                  <c:v>292</c:v>
                </c:pt>
                <c:pt idx="5">
                  <c:v>318</c:v>
                </c:pt>
                <c:pt idx="6">
                  <c:v>358</c:v>
                </c:pt>
                <c:pt idx="7">
                  <c:v>515</c:v>
                </c:pt>
                <c:pt idx="8">
                  <c:v>674</c:v>
                </c:pt>
                <c:pt idx="9">
                  <c:v>791</c:v>
                </c:pt>
                <c:pt idx="10">
                  <c:v>1022</c:v>
                </c:pt>
                <c:pt idx="11">
                  <c:v>1342</c:v>
                </c:pt>
                <c:pt idx="12">
                  <c:v>1503</c:v>
                </c:pt>
                <c:pt idx="13">
                  <c:v>5753</c:v>
                </c:pt>
                <c:pt idx="14">
                  <c:v>6341</c:v>
                </c:pt>
              </c:numCache>
            </c:numRef>
          </c:val>
          <c:extLst>
            <c:ext xmlns:c16="http://schemas.microsoft.com/office/drawing/2014/chart" uri="{C3380CC4-5D6E-409C-BE32-E72D297353CC}">
              <c16:uniqueId val="{00000000-54A9-435B-985D-176FADA3CADE}"/>
            </c:ext>
          </c:extLst>
        </c:ser>
        <c:ser>
          <c:idx val="1"/>
          <c:order val="1"/>
          <c:tx>
            <c:strRef>
              <c:f>List62!$C$2</c:f>
              <c:strCache>
                <c:ptCount val="1"/>
                <c:pt idx="0">
                  <c:v>2011/12</c:v>
                </c:pt>
              </c:strCache>
            </c:strRef>
          </c:tx>
          <c:spPr>
            <a:solidFill>
              <a:schemeClr val="accent2">
                <a:lumMod val="40000"/>
                <a:lumOff val="60000"/>
              </a:schemeClr>
            </a:solidFill>
          </c:spPr>
          <c:invertIfNegative val="0"/>
          <c:dLbls>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List62!$A$3:$A$17</c:f>
              <c:strCache>
                <c:ptCount val="15"/>
                <c:pt idx="0">
                  <c:v>filozofie, teologie</c:v>
                </c:pt>
                <c:pt idx="1">
                  <c:v>doprava a spoje</c:v>
                </c:pt>
                <c:pt idx="2">
                  <c:v>veterinářství a veterinární prevence</c:v>
                </c:pt>
                <c:pt idx="3">
                  <c:v>publicistika, knihovnictví a informatika</c:v>
                </c:pt>
                <c:pt idx="4">
                  <c:v>strojírenství a strojírenská výroba</c:v>
                </c:pt>
                <c:pt idx="5">
                  <c:v>zemědělství a lesnictví</c:v>
                </c:pt>
                <c:pt idx="6">
                  <c:v>speciální a interdisciplinární obory</c:v>
                </c:pt>
                <c:pt idx="7">
                  <c:v>podnikání v oborech, odvětví</c:v>
                </c:pt>
                <c:pt idx="8">
                  <c:v>elektrotechnika, telekomunikační a výpočetní technika</c:v>
                </c:pt>
                <c:pt idx="9">
                  <c:v>gastronomie, hotelnictví a turismus</c:v>
                </c:pt>
                <c:pt idx="10">
                  <c:v>ekonomika a administrativa</c:v>
                </c:pt>
                <c:pt idx="11">
                  <c:v>umění a užité umění</c:v>
                </c:pt>
                <c:pt idx="12">
                  <c:v>právo, právní a veřejnosprávní činnost</c:v>
                </c:pt>
                <c:pt idx="13">
                  <c:v>pedagogika, učitelství a sociální péče</c:v>
                </c:pt>
                <c:pt idx="14">
                  <c:v>zdravotnictví</c:v>
                </c:pt>
              </c:strCache>
            </c:strRef>
          </c:cat>
          <c:val>
            <c:numRef>
              <c:f>List62!$C$3:$C$17</c:f>
              <c:numCache>
                <c:formatCode>#\ ##0_ ;\-#\ ##0\ </c:formatCode>
                <c:ptCount val="15"/>
                <c:pt idx="0">
                  <c:v>185</c:v>
                </c:pt>
                <c:pt idx="1">
                  <c:v>241</c:v>
                </c:pt>
                <c:pt idx="2">
                  <c:v>0</c:v>
                </c:pt>
                <c:pt idx="3">
                  <c:v>613</c:v>
                </c:pt>
                <c:pt idx="4">
                  <c:v>642</c:v>
                </c:pt>
                <c:pt idx="5">
                  <c:v>697</c:v>
                </c:pt>
                <c:pt idx="6">
                  <c:v>763</c:v>
                </c:pt>
                <c:pt idx="7">
                  <c:v>1370</c:v>
                </c:pt>
                <c:pt idx="8">
                  <c:v>1191</c:v>
                </c:pt>
                <c:pt idx="9">
                  <c:v>1734</c:v>
                </c:pt>
                <c:pt idx="10">
                  <c:v>4057</c:v>
                </c:pt>
                <c:pt idx="11">
                  <c:v>1176</c:v>
                </c:pt>
                <c:pt idx="12">
                  <c:v>3572</c:v>
                </c:pt>
                <c:pt idx="13">
                  <c:v>5669</c:v>
                </c:pt>
                <c:pt idx="14">
                  <c:v>6258</c:v>
                </c:pt>
              </c:numCache>
            </c:numRef>
          </c:val>
          <c:extLst>
            <c:ext xmlns:c16="http://schemas.microsoft.com/office/drawing/2014/chart" uri="{C3380CC4-5D6E-409C-BE32-E72D297353CC}">
              <c16:uniqueId val="{00000001-54A9-435B-985D-176FADA3CADE}"/>
            </c:ext>
          </c:extLst>
        </c:ser>
        <c:dLbls>
          <c:showLegendKey val="0"/>
          <c:showVal val="0"/>
          <c:showCatName val="0"/>
          <c:showSerName val="0"/>
          <c:showPercent val="0"/>
          <c:showBubbleSize val="0"/>
        </c:dLbls>
        <c:gapWidth val="42"/>
        <c:axId val="351710208"/>
        <c:axId val="355187456"/>
      </c:barChart>
      <c:catAx>
        <c:axId val="351710208"/>
        <c:scaling>
          <c:orientation val="minMax"/>
        </c:scaling>
        <c:delete val="0"/>
        <c:axPos val="l"/>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55187456"/>
        <c:crosses val="autoZero"/>
        <c:auto val="1"/>
        <c:lblAlgn val="ctr"/>
        <c:lblOffset val="100"/>
        <c:noMultiLvlLbl val="0"/>
      </c:catAx>
      <c:valAx>
        <c:axId val="355187456"/>
        <c:scaling>
          <c:orientation val="minMax"/>
        </c:scaling>
        <c:delete val="0"/>
        <c:axPos val="b"/>
        <c:majorGridlines>
          <c:spPr>
            <a:ln>
              <a:noFill/>
            </a:ln>
          </c:spPr>
        </c:majorGridlines>
        <c:numFmt formatCode="#,##0" sourceLinked="1"/>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51710208"/>
        <c:crosses val="autoZero"/>
        <c:crossBetween val="between"/>
      </c:valAx>
    </c:plotArea>
    <c:legend>
      <c:legendPos val="b"/>
      <c:layout>
        <c:manualLayout>
          <c:xMode val="edge"/>
          <c:yMode val="edge"/>
          <c:x val="0.40295809757448658"/>
          <c:y val="0.9323424735842446"/>
          <c:w val="0.42858949164017812"/>
          <c:h val="4.8922163418097325E-2"/>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chemeClr val="bg1">
          <a:lumMod val="85000"/>
        </a:schemeClr>
      </a:solid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76003532733764E-2"/>
          <c:y val="3.5859820700896494E-2"/>
          <c:w val="0.91802697648575937"/>
          <c:h val="0.79119661178716294"/>
        </c:manualLayout>
      </c:layout>
      <c:barChart>
        <c:barDir val="col"/>
        <c:grouping val="percentStacked"/>
        <c:varyColors val="0"/>
        <c:ser>
          <c:idx val="0"/>
          <c:order val="0"/>
          <c:tx>
            <c:strRef>
              <c:f>List5!$B$18</c:f>
              <c:strCache>
                <c:ptCount val="1"/>
                <c:pt idx="0">
                  <c:v>mladší 3 let</c:v>
                </c:pt>
              </c:strCache>
            </c:strRef>
          </c:tx>
          <c:spPr>
            <a:solidFill>
              <a:srgbClr val="0070C0"/>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List5!$A$19:$A$29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List5!$B$19:$B$29</c:f>
              <c:numCache>
                <c:formatCode>0.0%</c:formatCode>
                <c:ptCount val="11"/>
                <c:pt idx="0">
                  <c:v>9.1541832471585691E-2</c:v>
                </c:pt>
                <c:pt idx="1">
                  <c:v>9.017045775244116E-2</c:v>
                </c:pt>
                <c:pt idx="2">
                  <c:v>9.1154887118778324E-2</c:v>
                </c:pt>
                <c:pt idx="3">
                  <c:v>0.10309491489460097</c:v>
                </c:pt>
                <c:pt idx="4">
                  <c:v>0.11520275696113633</c:v>
                </c:pt>
                <c:pt idx="5">
                  <c:v>0.12333828756414535</c:v>
                </c:pt>
                <c:pt idx="6">
                  <c:v>0.12534871924930255</c:v>
                </c:pt>
                <c:pt idx="7">
                  <c:v>0.12473060344827586</c:v>
                </c:pt>
                <c:pt idx="8">
                  <c:v>0.11789240605191979</c:v>
                </c:pt>
                <c:pt idx="9">
                  <c:v>9.671754316299308E-2</c:v>
                </c:pt>
                <c:pt idx="10">
                  <c:v>9.0748703154040336E-2</c:v>
                </c:pt>
              </c:numCache>
            </c:numRef>
          </c:val>
          <c:extLst>
            <c:ext xmlns:c16="http://schemas.microsoft.com/office/drawing/2014/chart" uri="{C3380CC4-5D6E-409C-BE32-E72D297353CC}">
              <c16:uniqueId val="{00000000-A13A-4C1E-81CD-ADB5F9882C56}"/>
            </c:ext>
          </c:extLst>
        </c:ser>
        <c:ser>
          <c:idx val="1"/>
          <c:order val="1"/>
          <c:tx>
            <c:strRef>
              <c:f>List5!$C$18</c:f>
              <c:strCache>
                <c:ptCount val="1"/>
                <c:pt idx="0">
                  <c:v>3leté</c:v>
                </c:pt>
              </c:strCache>
            </c:strRef>
          </c:tx>
          <c:spPr>
            <a:solidFill>
              <a:srgbClr val="C00000"/>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List5!$A$19:$A$29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List5!$C$19:$C$29</c:f>
              <c:numCache>
                <c:formatCode>0.0%</c:formatCode>
                <c:ptCount val="11"/>
                <c:pt idx="0">
                  <c:v>0.27003307826381451</c:v>
                </c:pt>
                <c:pt idx="1">
                  <c:v>0.25780323982615566</c:v>
                </c:pt>
                <c:pt idx="2">
                  <c:v>0.25405151168419665</c:v>
                </c:pt>
                <c:pt idx="3">
                  <c:v>0.25059643147634814</c:v>
                </c:pt>
                <c:pt idx="4">
                  <c:v>0.24673277783978156</c:v>
                </c:pt>
                <c:pt idx="5">
                  <c:v>0.25200398176769528</c:v>
                </c:pt>
                <c:pt idx="6">
                  <c:v>0.25294688440714969</c:v>
                </c:pt>
                <c:pt idx="7">
                  <c:v>0.2557782811400422</c:v>
                </c:pt>
                <c:pt idx="8">
                  <c:v>0.2592016091683132</c:v>
                </c:pt>
                <c:pt idx="9">
                  <c:v>0.26027830133278151</c:v>
                </c:pt>
                <c:pt idx="10">
                  <c:v>0.26187411578684566</c:v>
                </c:pt>
              </c:numCache>
            </c:numRef>
          </c:val>
          <c:extLst>
            <c:ext xmlns:c16="http://schemas.microsoft.com/office/drawing/2014/chart" uri="{C3380CC4-5D6E-409C-BE32-E72D297353CC}">
              <c16:uniqueId val="{00000001-A13A-4C1E-81CD-ADB5F9882C56}"/>
            </c:ext>
          </c:extLst>
        </c:ser>
        <c:ser>
          <c:idx val="2"/>
          <c:order val="2"/>
          <c:tx>
            <c:strRef>
              <c:f>List5!$D$18</c:f>
              <c:strCache>
                <c:ptCount val="1"/>
                <c:pt idx="0">
                  <c:v>4leté</c:v>
                </c:pt>
              </c:strCache>
            </c:strRef>
          </c:tx>
          <c:spPr>
            <a:solidFill>
              <a:schemeClr val="accent6"/>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List5!$A$19:$A$29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List5!$D$19:$D$29</c:f>
              <c:numCache>
                <c:formatCode>0.0%</c:formatCode>
                <c:ptCount val="11"/>
                <c:pt idx="0">
                  <c:v>0.29161423679132081</c:v>
                </c:pt>
                <c:pt idx="1">
                  <c:v>0.30136027544166621</c:v>
                </c:pt>
                <c:pt idx="2">
                  <c:v>0.29200314659155924</c:v>
                </c:pt>
                <c:pt idx="3">
                  <c:v>0.29125170360415992</c:v>
                </c:pt>
                <c:pt idx="4">
                  <c:v>0.28174193776693768</c:v>
                </c:pt>
                <c:pt idx="5">
                  <c:v>0.27607106517800761</c:v>
                </c:pt>
                <c:pt idx="6">
                  <c:v>0.27543031679696545</c:v>
                </c:pt>
                <c:pt idx="7">
                  <c:v>0.27450409042927515</c:v>
                </c:pt>
                <c:pt idx="8">
                  <c:v>0.27789668109035404</c:v>
                </c:pt>
                <c:pt idx="9">
                  <c:v>0.28661793410477687</c:v>
                </c:pt>
                <c:pt idx="10">
                  <c:v>0.28568060140364504</c:v>
                </c:pt>
              </c:numCache>
            </c:numRef>
          </c:val>
          <c:extLst>
            <c:ext xmlns:c16="http://schemas.microsoft.com/office/drawing/2014/chart" uri="{C3380CC4-5D6E-409C-BE32-E72D297353CC}">
              <c16:uniqueId val="{00000002-A13A-4C1E-81CD-ADB5F9882C56}"/>
            </c:ext>
          </c:extLst>
        </c:ser>
        <c:ser>
          <c:idx val="3"/>
          <c:order val="3"/>
          <c:tx>
            <c:strRef>
              <c:f>List5!$E$18</c:f>
              <c:strCache>
                <c:ptCount val="1"/>
                <c:pt idx="0">
                  <c:v>5leté</c:v>
                </c:pt>
              </c:strCache>
            </c:strRef>
          </c:tx>
          <c:spPr>
            <a:solidFill>
              <a:schemeClr val="accent4"/>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List5!$A$19:$A$29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List5!$E$19:$E$29</c:f>
              <c:numCache>
                <c:formatCode>0.0%</c:formatCode>
                <c:ptCount val="11"/>
                <c:pt idx="0">
                  <c:v>0.28307461440320447</c:v>
                </c:pt>
                <c:pt idx="1">
                  <c:v>0.29454478749223911</c:v>
                </c:pt>
                <c:pt idx="2">
                  <c:v>0.30590426000088017</c:v>
                </c:pt>
                <c:pt idx="3">
                  <c:v>0.29923586042551337</c:v>
                </c:pt>
                <c:pt idx="4">
                  <c:v>0.29938126257278264</c:v>
                </c:pt>
                <c:pt idx="5">
                  <c:v>0.29192919953785024</c:v>
                </c:pt>
                <c:pt idx="6">
                  <c:v>0.2891778495738182</c:v>
                </c:pt>
                <c:pt idx="7">
                  <c:v>0.28794917751583393</c:v>
                </c:pt>
                <c:pt idx="8">
                  <c:v>0.28643305591256996</c:v>
                </c:pt>
                <c:pt idx="9">
                  <c:v>0.29727515254559589</c:v>
                </c:pt>
                <c:pt idx="10">
                  <c:v>0.29831895475602654</c:v>
                </c:pt>
              </c:numCache>
            </c:numRef>
          </c:val>
          <c:extLst>
            <c:ext xmlns:c16="http://schemas.microsoft.com/office/drawing/2014/chart" uri="{C3380CC4-5D6E-409C-BE32-E72D297353CC}">
              <c16:uniqueId val="{00000003-A13A-4C1E-81CD-ADB5F9882C56}"/>
            </c:ext>
          </c:extLst>
        </c:ser>
        <c:ser>
          <c:idx val="4"/>
          <c:order val="4"/>
          <c:tx>
            <c:strRef>
              <c:f>List5!$F$18</c:f>
              <c:strCache>
                <c:ptCount val="1"/>
                <c:pt idx="0">
                  <c:v>6leté a starší</c:v>
                </c:pt>
              </c:strCache>
            </c:strRef>
          </c:tx>
          <c:spPr>
            <a:solidFill>
              <a:schemeClr val="bg1">
                <a:lumMod val="50000"/>
              </a:schemeClr>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List5!$A$19:$A$29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List5!$F$19:$F$29</c:f>
              <c:numCache>
                <c:formatCode>0.0%</c:formatCode>
                <c:ptCount val="11"/>
                <c:pt idx="0">
                  <c:v>6.373623807007453E-2</c:v>
                </c:pt>
                <c:pt idx="1">
                  <c:v>5.6121239487497886E-2</c:v>
                </c:pt>
                <c:pt idx="2">
                  <c:v>5.688619460458566E-2</c:v>
                </c:pt>
                <c:pt idx="3">
                  <c:v>5.5821089599377587E-2</c:v>
                </c:pt>
                <c:pt idx="4">
                  <c:v>5.6941264859361775E-2</c:v>
                </c:pt>
                <c:pt idx="5">
                  <c:v>5.6657465952301513E-2</c:v>
                </c:pt>
                <c:pt idx="6">
                  <c:v>5.7096229972764062E-2</c:v>
                </c:pt>
                <c:pt idx="7">
                  <c:v>5.7037847466572839E-2</c:v>
                </c:pt>
                <c:pt idx="8">
                  <c:v>5.8576247776842991E-2</c:v>
                </c:pt>
                <c:pt idx="9">
                  <c:v>5.9111068853852651E-2</c:v>
                </c:pt>
                <c:pt idx="10">
                  <c:v>6.3377624899442431E-2</c:v>
                </c:pt>
              </c:numCache>
            </c:numRef>
          </c:val>
          <c:extLst>
            <c:ext xmlns:c16="http://schemas.microsoft.com/office/drawing/2014/chart" uri="{C3380CC4-5D6E-409C-BE32-E72D297353CC}">
              <c16:uniqueId val="{00000004-A13A-4C1E-81CD-ADB5F9882C56}"/>
            </c:ext>
          </c:extLst>
        </c:ser>
        <c:dLbls>
          <c:showLegendKey val="0"/>
          <c:showVal val="0"/>
          <c:showCatName val="0"/>
          <c:showSerName val="0"/>
          <c:showPercent val="0"/>
          <c:showBubbleSize val="0"/>
        </c:dLbls>
        <c:gapWidth val="40"/>
        <c:overlap val="100"/>
        <c:axId val="1435400399"/>
        <c:axId val="1435398319"/>
      </c:barChart>
      <c:catAx>
        <c:axId val="1435400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435398319"/>
        <c:crosses val="autoZero"/>
        <c:auto val="1"/>
        <c:lblAlgn val="ctr"/>
        <c:lblOffset val="100"/>
        <c:noMultiLvlLbl val="0"/>
      </c:catAx>
      <c:valAx>
        <c:axId val="1435398319"/>
        <c:scaling>
          <c:orientation val="minMax"/>
          <c:max val="1"/>
        </c:scaling>
        <c:delete val="0"/>
        <c:axPos val="l"/>
        <c:numFmt formatCode="0\ %"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435400399"/>
        <c:crosses val="autoZero"/>
        <c:crossBetween val="between"/>
      </c:valAx>
      <c:spPr>
        <a:noFill/>
        <a:ln>
          <a:noFill/>
        </a:ln>
        <a:effectLst/>
      </c:spPr>
    </c:plotArea>
    <c:legend>
      <c:legendPos val="b"/>
      <c:layout>
        <c:manualLayout>
          <c:xMode val="edge"/>
          <c:yMode val="edge"/>
          <c:x val="7.353360450796731E-2"/>
          <c:y val="0.9363440694607551"/>
          <c:w val="0.87790606742877531"/>
          <c:h val="4.8396383214934321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List1!$A$16:$A$26</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List1!$B$16:$B$26</c:f>
              <c:numCache>
                <c:formatCode>0.0%</c:formatCode>
                <c:ptCount val="11"/>
                <c:pt idx="0">
                  <c:v>0.21221129659272811</c:v>
                </c:pt>
                <c:pt idx="1">
                  <c:v>0.18472450463723772</c:v>
                </c:pt>
                <c:pt idx="2">
                  <c:v>0.17861891051885506</c:v>
                </c:pt>
                <c:pt idx="3">
                  <c:v>0.16845750453577671</c:v>
                </c:pt>
                <c:pt idx="4">
                  <c:v>0.16922334701620684</c:v>
                </c:pt>
                <c:pt idx="5">
                  <c:v>0.16887924537677332</c:v>
                </c:pt>
                <c:pt idx="6">
                  <c:v>0.17903162657154043</c:v>
                </c:pt>
                <c:pt idx="7">
                  <c:v>0.18699733120313719</c:v>
                </c:pt>
                <c:pt idx="8">
                  <c:v>0.19321932193219321</c:v>
                </c:pt>
                <c:pt idx="9">
                  <c:v>0.18875039373621924</c:v>
                </c:pt>
                <c:pt idx="10">
                  <c:v>0.20504953890021838</c:v>
                </c:pt>
              </c:numCache>
            </c:numRef>
          </c:val>
          <c:extLst>
            <c:ext xmlns:c16="http://schemas.microsoft.com/office/drawing/2014/chart" uri="{C3380CC4-5D6E-409C-BE32-E72D297353CC}">
              <c16:uniqueId val="{00000000-D61D-49C0-B2C8-11F250662321}"/>
            </c:ext>
          </c:extLst>
        </c:ser>
        <c:dLbls>
          <c:showLegendKey val="0"/>
          <c:showVal val="0"/>
          <c:showCatName val="0"/>
          <c:showSerName val="0"/>
          <c:showPercent val="0"/>
          <c:showBubbleSize val="0"/>
        </c:dLbls>
        <c:gapWidth val="65"/>
        <c:overlap val="-27"/>
        <c:axId val="131732752"/>
        <c:axId val="131740240"/>
      </c:barChart>
      <c:catAx>
        <c:axId val="131732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31740240"/>
        <c:crosses val="autoZero"/>
        <c:auto val="1"/>
        <c:lblAlgn val="ctr"/>
        <c:lblOffset val="100"/>
        <c:noMultiLvlLbl val="0"/>
      </c:catAx>
      <c:valAx>
        <c:axId val="131740240"/>
        <c:scaling>
          <c:orientation val="minMax"/>
        </c:scaling>
        <c:delete val="0"/>
        <c:axPos val="l"/>
        <c:numFmt formatCode="0\ %"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31732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'graf 1'!$C$2</c:f>
              <c:strCache>
                <c:ptCount val="1"/>
                <c:pt idx="0">
                  <c:v>2letí</c:v>
                </c:pt>
              </c:strCache>
            </c:strRef>
          </c:tx>
          <c:spPr>
            <a:ln w="28575" cap="rnd">
              <a:solidFill>
                <a:srgbClr val="92D050"/>
              </a:solidFill>
              <a:round/>
            </a:ln>
            <a:effectLst/>
          </c:spPr>
          <c:marker>
            <c:symbol val="none"/>
          </c:marker>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 1'!$B$3:$B$8</c:f>
              <c:strCache>
                <c:ptCount val="6"/>
                <c:pt idx="0">
                  <c:v>2016/17</c:v>
                </c:pt>
                <c:pt idx="1">
                  <c:v>2017/18</c:v>
                </c:pt>
                <c:pt idx="2">
                  <c:v>2018/19</c:v>
                </c:pt>
                <c:pt idx="3">
                  <c:v>2019/20</c:v>
                </c:pt>
                <c:pt idx="4">
                  <c:v>2020/21</c:v>
                </c:pt>
                <c:pt idx="5">
                  <c:v>2021/22</c:v>
                </c:pt>
              </c:strCache>
            </c:strRef>
          </c:cat>
          <c:val>
            <c:numRef>
              <c:f>'graf 1'!$C$3:$C$8</c:f>
              <c:numCache>
                <c:formatCode>0.0%</c:formatCode>
                <c:ptCount val="6"/>
                <c:pt idx="0">
                  <c:v>0.40623949866036962</c:v>
                </c:pt>
                <c:pt idx="1">
                  <c:v>0.40659370137882933</c:v>
                </c:pt>
                <c:pt idx="2">
                  <c:v>0.40165356561150062</c:v>
                </c:pt>
                <c:pt idx="3">
                  <c:v>0.37561226895305283</c:v>
                </c:pt>
                <c:pt idx="4">
                  <c:v>0.30072429114243232</c:v>
                </c:pt>
                <c:pt idx="5">
                  <c:v>0.29215971707465194</c:v>
                </c:pt>
              </c:numCache>
            </c:numRef>
          </c:val>
          <c:smooth val="0"/>
          <c:extLst>
            <c:ext xmlns:c16="http://schemas.microsoft.com/office/drawing/2014/chart" uri="{C3380CC4-5D6E-409C-BE32-E72D297353CC}">
              <c16:uniqueId val="{00000000-D089-4620-94DA-C20ED8937503}"/>
            </c:ext>
          </c:extLst>
        </c:ser>
        <c:ser>
          <c:idx val="1"/>
          <c:order val="1"/>
          <c:tx>
            <c:strRef>
              <c:f>'graf 1'!$D$2</c:f>
              <c:strCache>
                <c:ptCount val="1"/>
                <c:pt idx="0">
                  <c:v>3letí</c:v>
                </c:pt>
              </c:strCache>
            </c:strRef>
          </c:tx>
          <c:spPr>
            <a:ln w="28575" cap="rnd">
              <a:solidFill>
                <a:schemeClr val="tx2">
                  <a:lumMod val="40000"/>
                  <a:lumOff val="60000"/>
                </a:schemeClr>
              </a:solidFill>
              <a:round/>
            </a:ln>
            <a:effectLst/>
          </c:spPr>
          <c:marker>
            <c:symbol val="none"/>
          </c:marker>
          <c:dLbls>
            <c:dLbl>
              <c:idx val="0"/>
              <c:layout>
                <c:manualLayout>
                  <c:x val="-8.611111111111111E-2"/>
                  <c:y val="4.1666666666666685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089-4620-94DA-C20ED8937503}"/>
                </c:ext>
              </c:extLst>
            </c:dLbl>
            <c:dLbl>
              <c:idx val="5"/>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D089-4620-94DA-C20ED8937503}"/>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1'!$B$3:$B$8</c:f>
              <c:strCache>
                <c:ptCount val="6"/>
                <c:pt idx="0">
                  <c:v>2016/17</c:v>
                </c:pt>
                <c:pt idx="1">
                  <c:v>2017/18</c:v>
                </c:pt>
                <c:pt idx="2">
                  <c:v>2018/19</c:v>
                </c:pt>
                <c:pt idx="3">
                  <c:v>2019/20</c:v>
                </c:pt>
                <c:pt idx="4">
                  <c:v>2020/21</c:v>
                </c:pt>
                <c:pt idx="5">
                  <c:v>2021/22</c:v>
                </c:pt>
              </c:strCache>
            </c:strRef>
          </c:cat>
          <c:val>
            <c:numRef>
              <c:f>'graf 1'!$D$3:$D$8</c:f>
              <c:numCache>
                <c:formatCode>0.0%</c:formatCode>
                <c:ptCount val="6"/>
                <c:pt idx="0">
                  <c:v>0.83532895819242092</c:v>
                </c:pt>
                <c:pt idx="1">
                  <c:v>0.83112624771290378</c:v>
                </c:pt>
                <c:pt idx="2">
                  <c:v>0.82956794636329589</c:v>
                </c:pt>
                <c:pt idx="3">
                  <c:v>0.83447290179713618</c:v>
                </c:pt>
                <c:pt idx="4">
                  <c:v>0.81034137507726867</c:v>
                </c:pt>
                <c:pt idx="5">
                  <c:v>0.83077830188679247</c:v>
                </c:pt>
              </c:numCache>
            </c:numRef>
          </c:val>
          <c:smooth val="0"/>
          <c:extLst>
            <c:ext xmlns:c16="http://schemas.microsoft.com/office/drawing/2014/chart" uri="{C3380CC4-5D6E-409C-BE32-E72D297353CC}">
              <c16:uniqueId val="{00000003-D089-4620-94DA-C20ED8937503}"/>
            </c:ext>
          </c:extLst>
        </c:ser>
        <c:ser>
          <c:idx val="2"/>
          <c:order val="2"/>
          <c:tx>
            <c:strRef>
              <c:f>'graf 1'!$E$2</c:f>
              <c:strCache>
                <c:ptCount val="1"/>
                <c:pt idx="0">
                  <c:v>4letí</c:v>
                </c:pt>
              </c:strCache>
            </c:strRef>
          </c:tx>
          <c:spPr>
            <a:ln w="28575" cap="rnd">
              <a:solidFill>
                <a:srgbClr val="2F70BF"/>
              </a:solidFill>
              <a:round/>
            </a:ln>
            <a:effectLst/>
          </c:spPr>
          <c:marker>
            <c:symbol val="none"/>
          </c:marker>
          <c:dLbls>
            <c:dLbl>
              <c:idx val="0"/>
              <c:layout>
                <c:manualLayout>
                  <c:x val="-8.6111111111111124E-2"/>
                  <c:y val="4.629629629629619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D089-4620-94DA-C20ED8937503}"/>
                </c:ext>
              </c:extLst>
            </c:dLbl>
            <c:dLbl>
              <c:idx val="5"/>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D089-4620-94DA-C20ED8937503}"/>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1'!$B$3:$B$8</c:f>
              <c:strCache>
                <c:ptCount val="6"/>
                <c:pt idx="0">
                  <c:v>2016/17</c:v>
                </c:pt>
                <c:pt idx="1">
                  <c:v>2017/18</c:v>
                </c:pt>
                <c:pt idx="2">
                  <c:v>2018/19</c:v>
                </c:pt>
                <c:pt idx="3">
                  <c:v>2019/20</c:v>
                </c:pt>
                <c:pt idx="4">
                  <c:v>2020/21</c:v>
                </c:pt>
                <c:pt idx="5">
                  <c:v>2021/22</c:v>
                </c:pt>
              </c:strCache>
            </c:strRef>
          </c:cat>
          <c:val>
            <c:numRef>
              <c:f>'graf 1'!$E$3:$E$8</c:f>
              <c:numCache>
                <c:formatCode>0.0%</c:formatCode>
                <c:ptCount val="6"/>
                <c:pt idx="0">
                  <c:v>0.91193101627163708</c:v>
                </c:pt>
                <c:pt idx="1">
                  <c:v>0.91201941942490028</c:v>
                </c:pt>
                <c:pt idx="2">
                  <c:v>0.90292543574166484</c:v>
                </c:pt>
                <c:pt idx="3">
                  <c:v>0.90204989105785049</c:v>
                </c:pt>
                <c:pt idx="4">
                  <c:v>0.90225848472046188</c:v>
                </c:pt>
                <c:pt idx="5">
                  <c:v>0.9061966676636698</c:v>
                </c:pt>
              </c:numCache>
            </c:numRef>
          </c:val>
          <c:smooth val="0"/>
          <c:extLst>
            <c:ext xmlns:c16="http://schemas.microsoft.com/office/drawing/2014/chart" uri="{C3380CC4-5D6E-409C-BE32-E72D297353CC}">
              <c16:uniqueId val="{00000006-D089-4620-94DA-C20ED8937503}"/>
            </c:ext>
          </c:extLst>
        </c:ser>
        <c:ser>
          <c:idx val="3"/>
          <c:order val="3"/>
          <c:tx>
            <c:strRef>
              <c:f>'graf 1'!$F$2</c:f>
              <c:strCache>
                <c:ptCount val="1"/>
                <c:pt idx="0">
                  <c:v>5letí</c:v>
                </c:pt>
              </c:strCache>
            </c:strRef>
          </c:tx>
          <c:spPr>
            <a:ln w="28575" cap="rnd">
              <a:solidFill>
                <a:schemeClr val="tx2">
                  <a:lumMod val="75000"/>
                </a:schemeClr>
              </a:solidFill>
              <a:round/>
            </a:ln>
            <a:effectLst/>
          </c:spPr>
          <c:marker>
            <c:symbol val="none"/>
          </c:marker>
          <c:dLbls>
            <c:dLbl>
              <c:idx val="0"/>
              <c:layout>
                <c:manualLayout>
                  <c:x val="-4.1666666666666664E-2"/>
                  <c:y val="-4.1666666666666664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D089-4620-94DA-C20ED8937503}"/>
                </c:ext>
              </c:extLst>
            </c:dLbl>
            <c:dLbl>
              <c:idx val="5"/>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D089-4620-94DA-C20ED8937503}"/>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1'!$B$3:$B$8</c:f>
              <c:strCache>
                <c:ptCount val="6"/>
                <c:pt idx="0">
                  <c:v>2016/17</c:v>
                </c:pt>
                <c:pt idx="1">
                  <c:v>2017/18</c:v>
                </c:pt>
                <c:pt idx="2">
                  <c:v>2018/19</c:v>
                </c:pt>
                <c:pt idx="3">
                  <c:v>2019/20</c:v>
                </c:pt>
                <c:pt idx="4">
                  <c:v>2020/21</c:v>
                </c:pt>
                <c:pt idx="5">
                  <c:v>2021/22</c:v>
                </c:pt>
              </c:strCache>
            </c:strRef>
          </c:cat>
          <c:val>
            <c:numRef>
              <c:f>'graf 1'!$F$3:$F$8</c:f>
              <c:numCache>
                <c:formatCode>0.0%</c:formatCode>
                <c:ptCount val="6"/>
                <c:pt idx="0">
                  <c:v>0.92269639435638395</c:v>
                </c:pt>
                <c:pt idx="1">
                  <c:v>0.95527830570433481</c:v>
                </c:pt>
                <c:pt idx="2">
                  <c:v>0.95520484035573694</c:v>
                </c:pt>
                <c:pt idx="3">
                  <c:v>0.95177168018623626</c:v>
                </c:pt>
                <c:pt idx="4">
                  <c:v>0.95194406487906158</c:v>
                </c:pt>
                <c:pt idx="5">
                  <c:v>0.97050228961388374</c:v>
                </c:pt>
              </c:numCache>
            </c:numRef>
          </c:val>
          <c:smooth val="0"/>
          <c:extLst>
            <c:ext xmlns:c16="http://schemas.microsoft.com/office/drawing/2014/chart" uri="{C3380CC4-5D6E-409C-BE32-E72D297353CC}">
              <c16:uniqueId val="{00000009-D089-4620-94DA-C20ED8937503}"/>
            </c:ext>
          </c:extLst>
        </c:ser>
        <c:ser>
          <c:idx val="4"/>
          <c:order val="4"/>
          <c:tx>
            <c:strRef>
              <c:f>'graf 1'!$G$2</c:f>
              <c:strCache>
                <c:ptCount val="1"/>
                <c:pt idx="0">
                  <c:v>6leté</c:v>
                </c:pt>
              </c:strCache>
            </c:strRef>
          </c:tx>
          <c:spPr>
            <a:ln w="28575" cap="rnd">
              <a:solidFill>
                <a:srgbClr val="C00000"/>
              </a:solidFill>
              <a:round/>
            </a:ln>
            <a:effectLst/>
          </c:spPr>
          <c:marker>
            <c:symbol val="none"/>
          </c:marker>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 1'!$B$3:$B$8</c:f>
              <c:strCache>
                <c:ptCount val="6"/>
                <c:pt idx="0">
                  <c:v>2016/17</c:v>
                </c:pt>
                <c:pt idx="1">
                  <c:v>2017/18</c:v>
                </c:pt>
                <c:pt idx="2">
                  <c:v>2018/19</c:v>
                </c:pt>
                <c:pt idx="3">
                  <c:v>2019/20</c:v>
                </c:pt>
                <c:pt idx="4">
                  <c:v>2020/21</c:v>
                </c:pt>
                <c:pt idx="5">
                  <c:v>2021/22</c:v>
                </c:pt>
              </c:strCache>
            </c:strRef>
          </c:cat>
          <c:val>
            <c:numRef>
              <c:f>'graf 1'!$G$3:$G$8</c:f>
              <c:numCache>
                <c:formatCode>0.0%</c:formatCode>
                <c:ptCount val="6"/>
                <c:pt idx="0">
                  <c:v>0.1934425957978948</c:v>
                </c:pt>
                <c:pt idx="1">
                  <c:v>0.20813503284465132</c:v>
                </c:pt>
                <c:pt idx="2">
                  <c:v>0.21568235870808447</c:v>
                </c:pt>
                <c:pt idx="3">
                  <c:v>0.22524979770704343</c:v>
                </c:pt>
                <c:pt idx="4">
                  <c:v>0.22078027269045583</c:v>
                </c:pt>
                <c:pt idx="5">
                  <c:v>0.24111638483333633</c:v>
                </c:pt>
              </c:numCache>
            </c:numRef>
          </c:val>
          <c:smooth val="0"/>
          <c:extLst>
            <c:ext xmlns:c16="http://schemas.microsoft.com/office/drawing/2014/chart" uri="{C3380CC4-5D6E-409C-BE32-E72D297353CC}">
              <c16:uniqueId val="{0000000A-D089-4620-94DA-C20ED8937503}"/>
            </c:ext>
          </c:extLst>
        </c:ser>
        <c:dLbls>
          <c:showLegendKey val="0"/>
          <c:showVal val="0"/>
          <c:showCatName val="0"/>
          <c:showSerName val="0"/>
          <c:showPercent val="0"/>
          <c:showBubbleSize val="0"/>
        </c:dLbls>
        <c:smooth val="0"/>
        <c:axId val="376521504"/>
        <c:axId val="376514016"/>
      </c:lineChart>
      <c:catAx>
        <c:axId val="376521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76514016"/>
        <c:crosses val="autoZero"/>
        <c:auto val="1"/>
        <c:lblAlgn val="ctr"/>
        <c:lblOffset val="100"/>
        <c:noMultiLvlLbl val="0"/>
      </c:catAx>
      <c:valAx>
        <c:axId val="37651401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76521504"/>
        <c:crosses val="autoZero"/>
        <c:crossBetween val="between"/>
      </c:valAx>
      <c:spPr>
        <a:noFill/>
        <a:ln>
          <a:noFill/>
        </a:ln>
        <a:effectLst/>
      </c:spPr>
    </c:plotArea>
    <c:legend>
      <c:legendPos val="b"/>
      <c:layout>
        <c:manualLayout>
          <c:xMode val="edge"/>
          <c:yMode val="edge"/>
          <c:x val="9.0999638660901119E-2"/>
          <c:y val="0.92648112951398298"/>
          <c:w val="0.84855643044619422"/>
          <c:h val="6.8729585885097699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888421129215214E-2"/>
          <c:y val="3.0278969619815483E-2"/>
          <c:w val="0.93011157887078477"/>
          <c:h val="0.74588900938280922"/>
        </c:manualLayout>
      </c:layout>
      <c:barChart>
        <c:barDir val="bar"/>
        <c:grouping val="percentStacked"/>
        <c:varyColors val="0"/>
        <c:ser>
          <c:idx val="0"/>
          <c:order val="0"/>
          <c:tx>
            <c:strRef>
              <c:f>List6!$B$23</c:f>
              <c:strCache>
                <c:ptCount val="1"/>
                <c:pt idx="0">
                  <c:v>mladší 3 let</c:v>
                </c:pt>
              </c:strCache>
            </c:strRef>
          </c:tx>
          <c:spPr>
            <a:solidFill>
              <a:srgbClr val="0070C0"/>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List6!$A$24:$A$25</c:f>
              <c:strCache>
                <c:ptCount val="2"/>
                <c:pt idx="0">
                  <c:v>dívky</c:v>
                </c:pt>
                <c:pt idx="1">
                  <c:v>chlapci</c:v>
                </c:pt>
              </c:strCache>
            </c:strRef>
          </c:cat>
          <c:val>
            <c:numRef>
              <c:f>List6!$B$24:$B$25</c:f>
              <c:numCache>
                <c:formatCode>0.0%</c:formatCode>
                <c:ptCount val="2"/>
                <c:pt idx="0">
                  <c:v>9.5618218259727689E-2</c:v>
                </c:pt>
                <c:pt idx="1">
                  <c:v>8.6224058396035572E-2</c:v>
                </c:pt>
              </c:numCache>
            </c:numRef>
          </c:val>
          <c:extLst>
            <c:ext xmlns:c16="http://schemas.microsoft.com/office/drawing/2014/chart" uri="{C3380CC4-5D6E-409C-BE32-E72D297353CC}">
              <c16:uniqueId val="{00000000-1C97-4376-812A-19A7544DFC35}"/>
            </c:ext>
          </c:extLst>
        </c:ser>
        <c:ser>
          <c:idx val="1"/>
          <c:order val="1"/>
          <c:tx>
            <c:strRef>
              <c:f>List6!$C$23</c:f>
              <c:strCache>
                <c:ptCount val="1"/>
                <c:pt idx="0">
                  <c:v>3leté</c:v>
                </c:pt>
              </c:strCache>
            </c:strRef>
          </c:tx>
          <c:spPr>
            <a:solidFill>
              <a:srgbClr val="ECBE14"/>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1" i="0" u="none" strike="noStrike" kern="1200" baseline="0">
                    <a:solidFill>
                      <a:schemeClr val="accent3">
                        <a:lumMod val="50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List6!$A$24:$A$25</c:f>
              <c:strCache>
                <c:ptCount val="2"/>
                <c:pt idx="0">
                  <c:v>dívky</c:v>
                </c:pt>
                <c:pt idx="1">
                  <c:v>chlapci</c:v>
                </c:pt>
              </c:strCache>
            </c:strRef>
          </c:cat>
          <c:val>
            <c:numRef>
              <c:f>List6!$C$24:$C$25</c:f>
              <c:numCache>
                <c:formatCode>0.0%</c:formatCode>
                <c:ptCount val="2"/>
                <c:pt idx="0">
                  <c:v>0.26783122537839521</c:v>
                </c:pt>
                <c:pt idx="1">
                  <c:v>0.25633890250559238</c:v>
                </c:pt>
              </c:numCache>
            </c:numRef>
          </c:val>
          <c:extLst>
            <c:ext xmlns:c16="http://schemas.microsoft.com/office/drawing/2014/chart" uri="{C3380CC4-5D6E-409C-BE32-E72D297353CC}">
              <c16:uniqueId val="{00000001-1C97-4376-812A-19A7544DFC35}"/>
            </c:ext>
          </c:extLst>
        </c:ser>
        <c:ser>
          <c:idx val="2"/>
          <c:order val="2"/>
          <c:tx>
            <c:strRef>
              <c:f>List6!$D$23</c:f>
              <c:strCache>
                <c:ptCount val="1"/>
                <c:pt idx="0">
                  <c:v>4leté</c:v>
                </c:pt>
              </c:strCache>
            </c:strRef>
          </c:tx>
          <c:spPr>
            <a:solidFill>
              <a:srgbClr val="70AD47"/>
            </a:solidFill>
            <a:ln>
              <a:noFill/>
            </a:ln>
            <a:effectLst/>
          </c:spPr>
          <c:invertIfNegative val="0"/>
          <c:dLbls>
            <c:numFmt formatCode="0.0\ %" sourceLinked="0"/>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List6!$A$24:$A$25</c:f>
              <c:strCache>
                <c:ptCount val="2"/>
                <c:pt idx="0">
                  <c:v>dívky</c:v>
                </c:pt>
                <c:pt idx="1">
                  <c:v>chlapci</c:v>
                </c:pt>
              </c:strCache>
            </c:strRef>
          </c:cat>
          <c:val>
            <c:numRef>
              <c:f>List6!$D$24:$D$25</c:f>
              <c:numCache>
                <c:formatCode>0.0%</c:formatCode>
                <c:ptCount val="2"/>
                <c:pt idx="0">
                  <c:v>0.28944064321422813</c:v>
                </c:pt>
                <c:pt idx="1">
                  <c:v>0.28218685447014374</c:v>
                </c:pt>
              </c:numCache>
            </c:numRef>
          </c:val>
          <c:extLst>
            <c:ext xmlns:c16="http://schemas.microsoft.com/office/drawing/2014/chart" uri="{C3380CC4-5D6E-409C-BE32-E72D297353CC}">
              <c16:uniqueId val="{00000002-1C97-4376-812A-19A7544DFC35}"/>
            </c:ext>
          </c:extLst>
        </c:ser>
        <c:ser>
          <c:idx val="3"/>
          <c:order val="3"/>
          <c:tx>
            <c:strRef>
              <c:f>List6!$E$23</c:f>
              <c:strCache>
                <c:ptCount val="1"/>
                <c:pt idx="0">
                  <c:v>5leté</c:v>
                </c:pt>
              </c:strCache>
            </c:strRef>
          </c:tx>
          <c:spPr>
            <a:solidFill>
              <a:schemeClr val="accent3">
                <a:lumMod val="50000"/>
              </a:schemeClr>
            </a:solidFill>
          </c:spPr>
          <c:invertIfNegative val="0"/>
          <c:dLbls>
            <c:spPr>
              <a:noFill/>
              <a:ln>
                <a:noFill/>
              </a:ln>
              <a:effectLst/>
            </c:spPr>
            <c:txPr>
              <a:bodyPr wrap="square" lIns="38100" tIns="19050" rIns="38100" bIns="19050" anchor="ctr">
                <a:spAutoFit/>
              </a:bodyPr>
              <a:lstStyle/>
              <a:p>
                <a:pPr>
                  <a:defRPr>
                    <a:solidFill>
                      <a:schemeClr val="bg1"/>
                    </a:solidFill>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List6!$A$24:$A$25</c:f>
              <c:strCache>
                <c:ptCount val="2"/>
                <c:pt idx="0">
                  <c:v>dívky</c:v>
                </c:pt>
                <c:pt idx="1">
                  <c:v>chlapci</c:v>
                </c:pt>
              </c:strCache>
            </c:strRef>
          </c:cat>
          <c:val>
            <c:numRef>
              <c:f>List6!$E$24:$E$25</c:f>
              <c:numCache>
                <c:formatCode>0.0%</c:formatCode>
                <c:ptCount val="2"/>
                <c:pt idx="0">
                  <c:v>0.30019927661437096</c:v>
                </c:pt>
                <c:pt idx="1">
                  <c:v>0.2965718016504158</c:v>
                </c:pt>
              </c:numCache>
            </c:numRef>
          </c:val>
          <c:extLst>
            <c:ext xmlns:c16="http://schemas.microsoft.com/office/drawing/2014/chart" uri="{C3380CC4-5D6E-409C-BE32-E72D297353CC}">
              <c16:uniqueId val="{00000003-1C97-4376-812A-19A7544DFC35}"/>
            </c:ext>
          </c:extLst>
        </c:ser>
        <c:ser>
          <c:idx val="4"/>
          <c:order val="4"/>
          <c:tx>
            <c:strRef>
              <c:f>List6!$F$23</c:f>
              <c:strCache>
                <c:ptCount val="1"/>
                <c:pt idx="0">
                  <c:v>6leté a starší</c:v>
                </c:pt>
              </c:strCache>
            </c:strRef>
          </c:tx>
          <c:invertIfNegative val="0"/>
          <c:dLbls>
            <c:dLbl>
              <c:idx val="1"/>
              <c:numFmt formatCode="0.0\ %" sourceLinked="0"/>
              <c:spPr>
                <a:noFill/>
                <a:ln>
                  <a:noFill/>
                </a:ln>
                <a:effectLst/>
              </c:spPr>
              <c:txPr>
                <a:bodyPr wrap="square" lIns="38100" tIns="19050" rIns="38100" bIns="19050" anchor="ctr">
                  <a:spAutoFit/>
                </a:bodyPr>
                <a:lstStyle/>
                <a:p>
                  <a:pPr>
                    <a:defRPr b="0">
                      <a:solidFill>
                        <a:sysClr val="windowText" lastClr="000000"/>
                      </a:solidFill>
                    </a:defRPr>
                  </a:pPr>
                  <a:endParaRPr lang="cs-CZ"/>
                </a:p>
              </c:txPr>
              <c:showLegendKey val="0"/>
              <c:showVal val="1"/>
              <c:showCatName val="0"/>
              <c:showSerName val="0"/>
              <c:showPercent val="0"/>
              <c:showBubbleSize val="0"/>
              <c:extLst>
                <c:ext xmlns:c16="http://schemas.microsoft.com/office/drawing/2014/chart" uri="{C3380CC4-5D6E-409C-BE32-E72D297353CC}">
                  <c16:uniqueId val="{00000000-6B8F-4A40-B297-4329172008C3}"/>
                </c:ext>
              </c:extLst>
            </c:dLbl>
            <c:spPr>
              <a:noFill/>
              <a:ln>
                <a:noFill/>
              </a:ln>
              <a:effectLst/>
            </c:spPr>
            <c:txPr>
              <a:bodyPr wrap="square" lIns="38100" tIns="19050" rIns="38100" bIns="19050" anchor="ctr">
                <a:spAutoFit/>
              </a:bodyPr>
              <a:lstStyle/>
              <a:p>
                <a:pPr>
                  <a:defRPr b="0">
                    <a:solidFill>
                      <a:sysClr val="windowText" lastClr="000000"/>
                    </a:solidFill>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List6!$A$24:$A$25</c:f>
              <c:strCache>
                <c:ptCount val="2"/>
                <c:pt idx="0">
                  <c:v>dívky</c:v>
                </c:pt>
                <c:pt idx="1">
                  <c:v>chlapci</c:v>
                </c:pt>
              </c:strCache>
            </c:strRef>
          </c:cat>
          <c:val>
            <c:numRef>
              <c:f>List6!$F$24:$F$25</c:f>
              <c:numCache>
                <c:formatCode>0.0%</c:formatCode>
                <c:ptCount val="2"/>
                <c:pt idx="0">
                  <c:v>4.6910636533278045E-2</c:v>
                </c:pt>
                <c:pt idx="1">
                  <c:v>7.8678382977812503E-2</c:v>
                </c:pt>
              </c:numCache>
            </c:numRef>
          </c:val>
          <c:extLst>
            <c:ext xmlns:c16="http://schemas.microsoft.com/office/drawing/2014/chart" uri="{C3380CC4-5D6E-409C-BE32-E72D297353CC}">
              <c16:uniqueId val="{00000004-1C97-4376-812A-19A7544DFC35}"/>
            </c:ext>
          </c:extLst>
        </c:ser>
        <c:dLbls>
          <c:showLegendKey val="0"/>
          <c:showVal val="0"/>
          <c:showCatName val="0"/>
          <c:showSerName val="0"/>
          <c:showPercent val="0"/>
          <c:showBubbleSize val="0"/>
        </c:dLbls>
        <c:gapWidth val="100"/>
        <c:overlap val="100"/>
        <c:axId val="370723328"/>
        <c:axId val="368151360"/>
      </c:barChart>
      <c:catAx>
        <c:axId val="370723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68151360"/>
        <c:crosses val="autoZero"/>
        <c:auto val="1"/>
        <c:lblAlgn val="ctr"/>
        <c:lblOffset val="100"/>
        <c:noMultiLvlLbl val="0"/>
      </c:catAx>
      <c:valAx>
        <c:axId val="3681513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370723328"/>
        <c:crosses val="autoZero"/>
        <c:crossBetween val="between"/>
      </c:valAx>
      <c:spPr>
        <a:noFill/>
        <a:ln>
          <a:noFill/>
        </a:ln>
        <a:effectLst/>
      </c:spPr>
    </c:plotArea>
    <c:legend>
      <c:legendPos val="b"/>
      <c:layout>
        <c:manualLayout>
          <c:xMode val="edge"/>
          <c:yMode val="edge"/>
          <c:x val="0.15056444879438835"/>
          <c:y val="0.805454124580671"/>
          <c:w val="0.74867380268066219"/>
          <c:h val="0.13854960850379003"/>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92580038163017"/>
          <c:y val="4.5362942913385829E-2"/>
          <c:w val="0.87597466160913007"/>
          <c:h val="0.77635785761154852"/>
        </c:manualLayout>
      </c:layout>
      <c:barChart>
        <c:barDir val="bar"/>
        <c:grouping val="percentStacked"/>
        <c:varyColors val="0"/>
        <c:ser>
          <c:idx val="0"/>
          <c:order val="0"/>
          <c:tx>
            <c:strRef>
              <c:f>List7!$D$26</c:f>
              <c:strCache>
                <c:ptCount val="1"/>
                <c:pt idx="0">
                  <c:v>mladší 3 let</c:v>
                </c:pt>
              </c:strCache>
            </c:strRef>
          </c:tx>
          <c:spPr>
            <a:solidFill>
              <a:srgbClr val="0070C0"/>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List7!$C$27:$C$29</c:f>
              <c:strCache>
                <c:ptCount val="3"/>
                <c:pt idx="0">
                  <c:v>církevní</c:v>
                </c:pt>
                <c:pt idx="1">
                  <c:v>soukromý</c:v>
                </c:pt>
                <c:pt idx="2">
                  <c:v>veřejný</c:v>
                </c:pt>
              </c:strCache>
            </c:strRef>
          </c:cat>
          <c:val>
            <c:numRef>
              <c:f>List7!$D$27:$D$29</c:f>
              <c:numCache>
                <c:formatCode>0.0%</c:formatCode>
                <c:ptCount val="3"/>
                <c:pt idx="0">
                  <c:v>9.393346379647749E-2</c:v>
                </c:pt>
                <c:pt idx="1">
                  <c:v>0.18057052525688008</c:v>
                </c:pt>
                <c:pt idx="2">
                  <c:v>8.7101521207213331E-2</c:v>
                </c:pt>
              </c:numCache>
            </c:numRef>
          </c:val>
          <c:extLst>
            <c:ext xmlns:c16="http://schemas.microsoft.com/office/drawing/2014/chart" uri="{C3380CC4-5D6E-409C-BE32-E72D297353CC}">
              <c16:uniqueId val="{00000000-4D6D-4C6D-97D3-BE4FCCC03643}"/>
            </c:ext>
          </c:extLst>
        </c:ser>
        <c:ser>
          <c:idx val="1"/>
          <c:order val="1"/>
          <c:tx>
            <c:strRef>
              <c:f>List7!$E$26</c:f>
              <c:strCache>
                <c:ptCount val="1"/>
                <c:pt idx="0">
                  <c:v>3leté</c:v>
                </c:pt>
              </c:strCache>
            </c:strRef>
          </c:tx>
          <c:spPr>
            <a:solidFill>
              <a:srgbClr val="ECBE14"/>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3">
                        <a:lumMod val="50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List7!$C$27:$C$29</c:f>
              <c:strCache>
                <c:ptCount val="3"/>
                <c:pt idx="0">
                  <c:v>církevní</c:v>
                </c:pt>
                <c:pt idx="1">
                  <c:v>soukromý</c:v>
                </c:pt>
                <c:pt idx="2">
                  <c:v>veřejný</c:v>
                </c:pt>
              </c:strCache>
            </c:strRef>
          </c:cat>
          <c:val>
            <c:numRef>
              <c:f>List7!$E$27:$E$29</c:f>
              <c:numCache>
                <c:formatCode>0.0%</c:formatCode>
                <c:ptCount val="3"/>
                <c:pt idx="0">
                  <c:v>0.24168297455968688</c:v>
                </c:pt>
                <c:pt idx="1">
                  <c:v>0.25005389092476826</c:v>
                </c:pt>
                <c:pt idx="2">
                  <c:v>0.2624713739627143</c:v>
                </c:pt>
              </c:numCache>
            </c:numRef>
          </c:val>
          <c:extLst>
            <c:ext xmlns:c16="http://schemas.microsoft.com/office/drawing/2014/chart" uri="{C3380CC4-5D6E-409C-BE32-E72D297353CC}">
              <c16:uniqueId val="{00000001-4D6D-4C6D-97D3-BE4FCCC03643}"/>
            </c:ext>
          </c:extLst>
        </c:ser>
        <c:ser>
          <c:idx val="2"/>
          <c:order val="2"/>
          <c:tx>
            <c:strRef>
              <c:f>List7!$F$26</c:f>
              <c:strCache>
                <c:ptCount val="1"/>
                <c:pt idx="0">
                  <c:v>4leté</c:v>
                </c:pt>
              </c:strCache>
            </c:strRef>
          </c:tx>
          <c:spPr>
            <a:solidFill>
              <a:srgbClr val="70AD47"/>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List7!$C$27:$C$29</c:f>
              <c:strCache>
                <c:ptCount val="3"/>
                <c:pt idx="0">
                  <c:v>církevní</c:v>
                </c:pt>
                <c:pt idx="1">
                  <c:v>soukromý</c:v>
                </c:pt>
                <c:pt idx="2">
                  <c:v>veřejný</c:v>
                </c:pt>
              </c:strCache>
            </c:strRef>
          </c:cat>
          <c:val>
            <c:numRef>
              <c:f>List7!$F$27:$F$29</c:f>
              <c:numCache>
                <c:formatCode>0.0%</c:formatCode>
                <c:ptCount val="3"/>
                <c:pt idx="0">
                  <c:v>0.29549902152641877</c:v>
                </c:pt>
                <c:pt idx="1">
                  <c:v>0.2568082201623913</c:v>
                </c:pt>
                <c:pt idx="2">
                  <c:v>0.2867886302749551</c:v>
                </c:pt>
              </c:numCache>
            </c:numRef>
          </c:val>
          <c:extLst>
            <c:ext xmlns:c16="http://schemas.microsoft.com/office/drawing/2014/chart" uri="{C3380CC4-5D6E-409C-BE32-E72D297353CC}">
              <c16:uniqueId val="{00000002-4D6D-4C6D-97D3-BE4FCCC03643}"/>
            </c:ext>
          </c:extLst>
        </c:ser>
        <c:ser>
          <c:idx val="3"/>
          <c:order val="3"/>
          <c:tx>
            <c:strRef>
              <c:f>List7!$G$26</c:f>
              <c:strCache>
                <c:ptCount val="1"/>
                <c:pt idx="0">
                  <c:v>5leté</c:v>
                </c:pt>
              </c:strCache>
            </c:strRef>
          </c:tx>
          <c:spPr>
            <a:solidFill>
              <a:schemeClr val="accent3">
                <a:lumMod val="50000"/>
              </a:schemeClr>
            </a:solidFill>
          </c:spPr>
          <c:invertIfNegative val="0"/>
          <c:dLbls>
            <c:spPr>
              <a:noFill/>
              <a:ln>
                <a:noFill/>
              </a:ln>
              <a:effectLst/>
            </c:spPr>
            <c:txPr>
              <a:bodyPr wrap="square" lIns="38100" tIns="19050" rIns="38100" bIns="19050" anchor="ctr">
                <a:spAutoFit/>
              </a:bodyPr>
              <a:lstStyle/>
              <a:p>
                <a:pPr>
                  <a:defRPr>
                    <a:solidFill>
                      <a:schemeClr val="bg1"/>
                    </a:solidFill>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List7!$C$27:$C$29</c:f>
              <c:strCache>
                <c:ptCount val="3"/>
                <c:pt idx="0">
                  <c:v>církevní</c:v>
                </c:pt>
                <c:pt idx="1">
                  <c:v>soukromý</c:v>
                </c:pt>
                <c:pt idx="2">
                  <c:v>veřejný</c:v>
                </c:pt>
              </c:strCache>
            </c:strRef>
          </c:cat>
          <c:val>
            <c:numRef>
              <c:f>List7!$G$27:$G$29</c:f>
              <c:numCache>
                <c:formatCode>0.0%</c:formatCode>
                <c:ptCount val="3"/>
                <c:pt idx="0">
                  <c:v>0.29500978473581213</c:v>
                </c:pt>
                <c:pt idx="1">
                  <c:v>0.26650858662067972</c:v>
                </c:pt>
                <c:pt idx="2">
                  <c:v>0.29962354402677277</c:v>
                </c:pt>
              </c:numCache>
            </c:numRef>
          </c:val>
          <c:extLst>
            <c:ext xmlns:c16="http://schemas.microsoft.com/office/drawing/2014/chart" uri="{C3380CC4-5D6E-409C-BE32-E72D297353CC}">
              <c16:uniqueId val="{00000003-4D6D-4C6D-97D3-BE4FCCC03643}"/>
            </c:ext>
          </c:extLst>
        </c:ser>
        <c:ser>
          <c:idx val="4"/>
          <c:order val="4"/>
          <c:tx>
            <c:strRef>
              <c:f>List7!$H$26</c:f>
              <c:strCache>
                <c:ptCount val="1"/>
                <c:pt idx="0">
                  <c:v>6leté a starší</c:v>
                </c:pt>
              </c:strCache>
            </c:strRef>
          </c:tx>
          <c:invertIfNegative val="0"/>
          <c:dLbls>
            <c:dLbl>
              <c:idx val="0"/>
              <c:numFmt formatCode="0.0\ %" sourceLinked="0"/>
              <c:spPr>
                <a:noFill/>
                <a:ln>
                  <a:noFill/>
                </a:ln>
                <a:effectLst/>
              </c:spPr>
              <c:txPr>
                <a:bodyPr wrap="square" lIns="38100" tIns="19050" rIns="38100" bIns="19050" anchor="ctr">
                  <a:spAutoFit/>
                </a:bodyPr>
                <a:lstStyle/>
                <a:p>
                  <a:pPr>
                    <a:defRPr b="0">
                      <a:solidFill>
                        <a:sysClr val="windowText" lastClr="000000"/>
                      </a:solidFill>
                    </a:defRPr>
                  </a:pPr>
                  <a:endParaRPr lang="cs-CZ"/>
                </a:p>
              </c:txPr>
              <c:showLegendKey val="0"/>
              <c:showVal val="1"/>
              <c:showCatName val="0"/>
              <c:showSerName val="0"/>
              <c:showPercent val="0"/>
              <c:showBubbleSize val="0"/>
              <c:extLst>
                <c:ext xmlns:c16="http://schemas.microsoft.com/office/drawing/2014/chart" uri="{C3380CC4-5D6E-409C-BE32-E72D297353CC}">
                  <c16:uniqueId val="{00000001-F452-4767-845F-62EED88B2A6E}"/>
                </c:ext>
              </c:extLst>
            </c:dLbl>
            <c:dLbl>
              <c:idx val="2"/>
              <c:numFmt formatCode="0.0\ %" sourceLinked="0"/>
              <c:spPr>
                <a:noFill/>
                <a:ln>
                  <a:noFill/>
                </a:ln>
                <a:effectLst/>
              </c:spPr>
              <c:txPr>
                <a:bodyPr wrap="square" lIns="38100" tIns="19050" rIns="38100" bIns="19050" anchor="ctr">
                  <a:spAutoFit/>
                </a:bodyPr>
                <a:lstStyle/>
                <a:p>
                  <a:pPr>
                    <a:defRPr b="0">
                      <a:solidFill>
                        <a:sysClr val="windowText" lastClr="000000"/>
                      </a:solidFill>
                    </a:defRPr>
                  </a:pPr>
                  <a:endParaRPr lang="cs-CZ"/>
                </a:p>
              </c:txPr>
              <c:showLegendKey val="0"/>
              <c:showVal val="1"/>
              <c:showCatName val="0"/>
              <c:showSerName val="0"/>
              <c:showPercent val="0"/>
              <c:showBubbleSize val="0"/>
              <c:extLst>
                <c:ext xmlns:c16="http://schemas.microsoft.com/office/drawing/2014/chart" uri="{C3380CC4-5D6E-409C-BE32-E72D297353CC}">
                  <c16:uniqueId val="{00000000-F452-4767-845F-62EED88B2A6E}"/>
                </c:ext>
              </c:extLst>
            </c:dLbl>
            <c:spPr>
              <a:noFill/>
              <a:ln>
                <a:noFill/>
              </a:ln>
              <a:effectLst/>
            </c:spPr>
            <c:txPr>
              <a:bodyPr wrap="square" lIns="38100" tIns="19050" rIns="38100" bIns="19050" anchor="ctr">
                <a:spAutoFit/>
              </a:bodyPr>
              <a:lstStyle/>
              <a:p>
                <a:pPr>
                  <a:defRPr b="0">
                    <a:solidFill>
                      <a:sysClr val="windowText" lastClr="000000"/>
                    </a:solidFill>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List7!$C$27:$C$29</c:f>
              <c:strCache>
                <c:ptCount val="3"/>
                <c:pt idx="0">
                  <c:v>církevní</c:v>
                </c:pt>
                <c:pt idx="1">
                  <c:v>soukromý</c:v>
                </c:pt>
                <c:pt idx="2">
                  <c:v>veřejný</c:v>
                </c:pt>
              </c:strCache>
            </c:strRef>
          </c:cat>
          <c:val>
            <c:numRef>
              <c:f>List7!$H$27:$H$29</c:f>
              <c:numCache>
                <c:formatCode>0.0%</c:formatCode>
                <c:ptCount val="3"/>
                <c:pt idx="0">
                  <c:v>7.3874755381604693E-2</c:v>
                </c:pt>
                <c:pt idx="1">
                  <c:v>4.6058777035280593E-2</c:v>
                </c:pt>
                <c:pt idx="2">
                  <c:v>6.4014930528344491E-2</c:v>
                </c:pt>
              </c:numCache>
            </c:numRef>
          </c:val>
          <c:extLst>
            <c:ext xmlns:c16="http://schemas.microsoft.com/office/drawing/2014/chart" uri="{C3380CC4-5D6E-409C-BE32-E72D297353CC}">
              <c16:uniqueId val="{00000004-4D6D-4C6D-97D3-BE4FCCC03643}"/>
            </c:ext>
          </c:extLst>
        </c:ser>
        <c:dLbls>
          <c:showLegendKey val="0"/>
          <c:showVal val="0"/>
          <c:showCatName val="0"/>
          <c:showSerName val="0"/>
          <c:showPercent val="0"/>
          <c:showBubbleSize val="0"/>
        </c:dLbls>
        <c:gapWidth val="65"/>
        <c:overlap val="100"/>
        <c:axId val="374401024"/>
        <c:axId val="368153088"/>
      </c:barChart>
      <c:catAx>
        <c:axId val="374401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68153088"/>
        <c:crosses val="autoZero"/>
        <c:auto val="1"/>
        <c:lblAlgn val="ctr"/>
        <c:lblOffset val="100"/>
        <c:noMultiLvlLbl val="0"/>
      </c:catAx>
      <c:valAx>
        <c:axId val="36815308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374401024"/>
        <c:crosses val="autoZero"/>
        <c:crossBetween val="between"/>
      </c:valAx>
      <c:spPr>
        <a:noFill/>
        <a:ln>
          <a:noFill/>
        </a:ln>
        <a:effectLst/>
      </c:spPr>
    </c:plotArea>
    <c:legend>
      <c:legendPos val="b"/>
      <c:layout>
        <c:manualLayout>
          <c:xMode val="edge"/>
          <c:yMode val="edge"/>
          <c:x val="0.1421818728979751"/>
          <c:y val="0.85523895450568677"/>
          <c:w val="0.77863482887822555"/>
          <c:h val="0.1030943788276465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38792731553717"/>
          <c:y val="3.8294168842471714E-2"/>
          <c:w val="0.83761207268446269"/>
          <c:h val="0.87358703490007306"/>
        </c:manualLayout>
      </c:layout>
      <c:barChart>
        <c:barDir val="bar"/>
        <c:grouping val="percentStacked"/>
        <c:varyColors val="0"/>
        <c:ser>
          <c:idx val="0"/>
          <c:order val="0"/>
          <c:tx>
            <c:strRef>
              <c:f>'1.1.9'!$L$25</c:f>
              <c:strCache>
                <c:ptCount val="1"/>
                <c:pt idx="0">
                  <c:v>mladší tří let</c:v>
                </c:pt>
              </c:strCache>
            </c:strRef>
          </c:tx>
          <c:spPr>
            <a:solidFill>
              <a:srgbClr val="0070C0"/>
            </a:solidFill>
            <a:ln>
              <a:noFill/>
            </a:ln>
            <a:effectLst/>
          </c:spPr>
          <c:invertIfNegative val="0"/>
          <c:dPt>
            <c:idx val="5"/>
            <c:invertIfNegative val="0"/>
            <c:bubble3D val="0"/>
            <c:spPr>
              <a:solidFill>
                <a:schemeClr val="accent1">
                  <a:lumMod val="40000"/>
                  <a:lumOff val="60000"/>
                </a:schemeClr>
              </a:solidFill>
              <a:ln>
                <a:noFill/>
              </a:ln>
              <a:effectLst/>
            </c:spPr>
            <c:extLst>
              <c:ext xmlns:c16="http://schemas.microsoft.com/office/drawing/2014/chart" uri="{C3380CC4-5D6E-409C-BE32-E72D297353CC}">
                <c16:uniqueId val="{00000001-B7FD-450D-8C15-407E90A7E8EF}"/>
              </c:ext>
            </c:extLst>
          </c:dPt>
          <c:dLbls>
            <c:dLbl>
              <c:idx val="5"/>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extLst>
                <c:ext xmlns:c16="http://schemas.microsoft.com/office/drawing/2014/chart" uri="{C3380CC4-5D6E-409C-BE32-E72D297353CC}">
                  <c16:uniqueId val="{00000001-B7FD-450D-8C15-407E90A7E8EF}"/>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'1.1.9'!$K$26:$K$40</c:f>
              <c:strCache>
                <c:ptCount val="15"/>
                <c:pt idx="0">
                  <c:v>Středočeský</c:v>
                </c:pt>
                <c:pt idx="1">
                  <c:v>Plzeňský</c:v>
                </c:pt>
                <c:pt idx="2">
                  <c:v>Jihomoravský</c:v>
                </c:pt>
                <c:pt idx="3">
                  <c:v>Praha</c:v>
                </c:pt>
                <c:pt idx="4">
                  <c:v>Liberecký</c:v>
                </c:pt>
                <c:pt idx="5">
                  <c:v>Česká republika</c:v>
                </c:pt>
                <c:pt idx="6">
                  <c:v>Ústecký</c:v>
                </c:pt>
                <c:pt idx="7">
                  <c:v>Pardubický</c:v>
                </c:pt>
                <c:pt idx="8">
                  <c:v>Královéhradecký</c:v>
                </c:pt>
                <c:pt idx="9">
                  <c:v>Zlínský</c:v>
                </c:pt>
                <c:pt idx="10">
                  <c:v>Vysočina</c:v>
                </c:pt>
                <c:pt idx="11">
                  <c:v>Moravskoslezský</c:v>
                </c:pt>
                <c:pt idx="12">
                  <c:v>Jihočeský</c:v>
                </c:pt>
                <c:pt idx="13">
                  <c:v>Olomoucký</c:v>
                </c:pt>
                <c:pt idx="14">
                  <c:v>Karlovarský</c:v>
                </c:pt>
              </c:strCache>
            </c:strRef>
          </c:cat>
          <c:val>
            <c:numRef>
              <c:f>'1.1.9'!$L$26:$L$40</c:f>
              <c:numCache>
                <c:formatCode>0.0%</c:formatCode>
                <c:ptCount val="15"/>
                <c:pt idx="0">
                  <c:v>7.1169502643052829E-2</c:v>
                </c:pt>
                <c:pt idx="1">
                  <c:v>7.1176996267675971E-2</c:v>
                </c:pt>
                <c:pt idx="2">
                  <c:v>7.5002403152936659E-2</c:v>
                </c:pt>
                <c:pt idx="3">
                  <c:v>7.6467825270079851E-2</c:v>
                </c:pt>
                <c:pt idx="4">
                  <c:v>8.7397170121750578E-2</c:v>
                </c:pt>
                <c:pt idx="5">
                  <c:v>9.0748703154040336E-2</c:v>
                </c:pt>
                <c:pt idx="6">
                  <c:v>9.6027035938015162E-2</c:v>
                </c:pt>
                <c:pt idx="7">
                  <c:v>9.7079276773296239E-2</c:v>
                </c:pt>
                <c:pt idx="8">
                  <c:v>9.7770804025538366E-2</c:v>
                </c:pt>
                <c:pt idx="9">
                  <c:v>0.10075528700906344</c:v>
                </c:pt>
                <c:pt idx="10">
                  <c:v>0.10506980161645849</c:v>
                </c:pt>
                <c:pt idx="11">
                  <c:v>0.1092596443797442</c:v>
                </c:pt>
                <c:pt idx="12">
                  <c:v>0.11168271556083191</c:v>
                </c:pt>
                <c:pt idx="13">
                  <c:v>0.111706163252555</c:v>
                </c:pt>
                <c:pt idx="14">
                  <c:v>0.1170696672252813</c:v>
                </c:pt>
              </c:numCache>
            </c:numRef>
          </c:val>
          <c:extLst>
            <c:ext xmlns:c16="http://schemas.microsoft.com/office/drawing/2014/chart" uri="{C3380CC4-5D6E-409C-BE32-E72D297353CC}">
              <c16:uniqueId val="{00000002-B7FD-450D-8C15-407E90A7E8EF}"/>
            </c:ext>
          </c:extLst>
        </c:ser>
        <c:ser>
          <c:idx val="1"/>
          <c:order val="1"/>
          <c:tx>
            <c:strRef>
              <c:f>'1.1.9'!$M$25</c:f>
              <c:strCache>
                <c:ptCount val="1"/>
                <c:pt idx="0">
                  <c:v>3leté</c:v>
                </c:pt>
              </c:strCache>
            </c:strRef>
          </c:tx>
          <c:spPr>
            <a:solidFill>
              <a:srgbClr val="ECBE14"/>
            </a:solidFill>
            <a:ln>
              <a:noFill/>
            </a:ln>
            <a:effectLst/>
          </c:spPr>
          <c:invertIfNegative val="0"/>
          <c:dPt>
            <c:idx val="5"/>
            <c:invertIfNegative val="0"/>
            <c:bubble3D val="0"/>
            <c:spPr>
              <a:solidFill>
                <a:srgbClr val="F3D66D"/>
              </a:solidFill>
              <a:ln>
                <a:noFill/>
              </a:ln>
              <a:effectLst/>
            </c:spPr>
            <c:extLst>
              <c:ext xmlns:c16="http://schemas.microsoft.com/office/drawing/2014/chart" uri="{C3380CC4-5D6E-409C-BE32-E72D297353CC}">
                <c16:uniqueId val="{00000004-B7FD-450D-8C15-407E90A7E8EF}"/>
              </c:ext>
            </c:extLst>
          </c:dPt>
          <c:dLbls>
            <c:dLbl>
              <c:idx val="5"/>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extLst>
                <c:ext xmlns:c16="http://schemas.microsoft.com/office/drawing/2014/chart" uri="{C3380CC4-5D6E-409C-BE32-E72D297353CC}">
                  <c16:uniqueId val="{00000004-B7FD-450D-8C15-407E90A7E8EF}"/>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3">
                        <a:lumMod val="50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'1.1.9'!$K$26:$K$40</c:f>
              <c:strCache>
                <c:ptCount val="15"/>
                <c:pt idx="0">
                  <c:v>Středočeský</c:v>
                </c:pt>
                <c:pt idx="1">
                  <c:v>Plzeňský</c:v>
                </c:pt>
                <c:pt idx="2">
                  <c:v>Jihomoravský</c:v>
                </c:pt>
                <c:pt idx="3">
                  <c:v>Praha</c:v>
                </c:pt>
                <c:pt idx="4">
                  <c:v>Liberecký</c:v>
                </c:pt>
                <c:pt idx="5">
                  <c:v>Česká republika</c:v>
                </c:pt>
                <c:pt idx="6">
                  <c:v>Ústecký</c:v>
                </c:pt>
                <c:pt idx="7">
                  <c:v>Pardubický</c:v>
                </c:pt>
                <c:pt idx="8">
                  <c:v>Královéhradecký</c:v>
                </c:pt>
                <c:pt idx="9">
                  <c:v>Zlínský</c:v>
                </c:pt>
                <c:pt idx="10">
                  <c:v>Vysočina</c:v>
                </c:pt>
                <c:pt idx="11">
                  <c:v>Moravskoslezský</c:v>
                </c:pt>
                <c:pt idx="12">
                  <c:v>Jihočeský</c:v>
                </c:pt>
                <c:pt idx="13">
                  <c:v>Olomoucký</c:v>
                </c:pt>
                <c:pt idx="14">
                  <c:v>Karlovarský</c:v>
                </c:pt>
              </c:strCache>
            </c:strRef>
          </c:cat>
          <c:val>
            <c:numRef>
              <c:f>'1.1.9'!$M$26:$M$40</c:f>
              <c:numCache>
                <c:formatCode>0.0%</c:formatCode>
                <c:ptCount val="15"/>
                <c:pt idx="0">
                  <c:v>0.26310915615233244</c:v>
                </c:pt>
                <c:pt idx="1">
                  <c:v>0.26552068548599062</c:v>
                </c:pt>
                <c:pt idx="2">
                  <c:v>0.26932134961068921</c:v>
                </c:pt>
                <c:pt idx="3">
                  <c:v>0.26932832315641148</c:v>
                </c:pt>
                <c:pt idx="4">
                  <c:v>0.25218821980914774</c:v>
                </c:pt>
                <c:pt idx="5">
                  <c:v>0.26187411578684566</c:v>
                </c:pt>
                <c:pt idx="6">
                  <c:v>0.25201945268710846</c:v>
                </c:pt>
                <c:pt idx="7">
                  <c:v>0.26442280945757995</c:v>
                </c:pt>
                <c:pt idx="8">
                  <c:v>0.2557623633805865</c:v>
                </c:pt>
                <c:pt idx="9">
                  <c:v>0.26042296072507554</c:v>
                </c:pt>
                <c:pt idx="10">
                  <c:v>0.26547222065223536</c:v>
                </c:pt>
                <c:pt idx="11">
                  <c:v>0.26162004783196424</c:v>
                </c:pt>
                <c:pt idx="12">
                  <c:v>0.25818933298157676</c:v>
                </c:pt>
                <c:pt idx="13">
                  <c:v>0.25581291560673003</c:v>
                </c:pt>
                <c:pt idx="14">
                  <c:v>0.24838400766100072</c:v>
                </c:pt>
              </c:numCache>
            </c:numRef>
          </c:val>
          <c:extLst>
            <c:ext xmlns:c16="http://schemas.microsoft.com/office/drawing/2014/chart" uri="{C3380CC4-5D6E-409C-BE32-E72D297353CC}">
              <c16:uniqueId val="{00000005-B7FD-450D-8C15-407E90A7E8EF}"/>
            </c:ext>
          </c:extLst>
        </c:ser>
        <c:ser>
          <c:idx val="2"/>
          <c:order val="2"/>
          <c:tx>
            <c:strRef>
              <c:f>'1.1.9'!$N$25</c:f>
              <c:strCache>
                <c:ptCount val="1"/>
                <c:pt idx="0">
                  <c:v>4leté</c:v>
                </c:pt>
              </c:strCache>
            </c:strRef>
          </c:tx>
          <c:spPr>
            <a:solidFill>
              <a:srgbClr val="70AD47"/>
            </a:solidFill>
            <a:ln>
              <a:noFill/>
            </a:ln>
            <a:effectLst/>
          </c:spPr>
          <c:invertIfNegative val="0"/>
          <c:dPt>
            <c:idx val="5"/>
            <c:invertIfNegative val="0"/>
            <c:bubble3D val="0"/>
            <c:spPr>
              <a:solidFill>
                <a:schemeClr val="accent3">
                  <a:lumMod val="40000"/>
                  <a:lumOff val="60000"/>
                </a:schemeClr>
              </a:solidFill>
              <a:ln>
                <a:noFill/>
              </a:ln>
              <a:effectLst/>
            </c:spPr>
            <c:extLst>
              <c:ext xmlns:c16="http://schemas.microsoft.com/office/drawing/2014/chart" uri="{C3380CC4-5D6E-409C-BE32-E72D297353CC}">
                <c16:uniqueId val="{00000007-B7FD-450D-8C15-407E90A7E8EF}"/>
              </c:ext>
            </c:extLst>
          </c:dPt>
          <c:dLbls>
            <c:dLbl>
              <c:idx val="5"/>
              <c:layout>
                <c:manualLayout>
                  <c:x val="2.0999580008398294E-3"/>
                  <c:y val="0"/>
                </c:manualLayout>
              </c:layout>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B7FD-450D-8C15-407E90A7E8EF}"/>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'1.1.9'!$K$26:$K$40</c:f>
              <c:strCache>
                <c:ptCount val="15"/>
                <c:pt idx="0">
                  <c:v>Středočeský</c:v>
                </c:pt>
                <c:pt idx="1">
                  <c:v>Plzeňský</c:v>
                </c:pt>
                <c:pt idx="2">
                  <c:v>Jihomoravský</c:v>
                </c:pt>
                <c:pt idx="3">
                  <c:v>Praha</c:v>
                </c:pt>
                <c:pt idx="4">
                  <c:v>Liberecký</c:v>
                </c:pt>
                <c:pt idx="5">
                  <c:v>Česká republika</c:v>
                </c:pt>
                <c:pt idx="6">
                  <c:v>Ústecký</c:v>
                </c:pt>
                <c:pt idx="7">
                  <c:v>Pardubický</c:v>
                </c:pt>
                <c:pt idx="8">
                  <c:v>Královéhradecký</c:v>
                </c:pt>
                <c:pt idx="9">
                  <c:v>Zlínský</c:v>
                </c:pt>
                <c:pt idx="10">
                  <c:v>Vysočina</c:v>
                </c:pt>
                <c:pt idx="11">
                  <c:v>Moravskoslezský</c:v>
                </c:pt>
                <c:pt idx="12">
                  <c:v>Jihočeský</c:v>
                </c:pt>
                <c:pt idx="13">
                  <c:v>Olomoucký</c:v>
                </c:pt>
                <c:pt idx="14">
                  <c:v>Karlovarský</c:v>
                </c:pt>
              </c:strCache>
            </c:strRef>
          </c:cat>
          <c:val>
            <c:numRef>
              <c:f>'1.1.9'!$N$26:$N$40</c:f>
              <c:numCache>
                <c:formatCode>0.0%</c:formatCode>
                <c:ptCount val="15"/>
                <c:pt idx="0">
                  <c:v>0.29590616197862407</c:v>
                </c:pt>
                <c:pt idx="1">
                  <c:v>0.28870314881984965</c:v>
                </c:pt>
                <c:pt idx="2">
                  <c:v>0.29647697779486687</c:v>
                </c:pt>
                <c:pt idx="3">
                  <c:v>0.29333020197275717</c:v>
                </c:pt>
                <c:pt idx="4">
                  <c:v>0.28318525830865415</c:v>
                </c:pt>
                <c:pt idx="5">
                  <c:v>0.28568060140364504</c:v>
                </c:pt>
                <c:pt idx="6">
                  <c:v>0.28449554896142432</c:v>
                </c:pt>
                <c:pt idx="7">
                  <c:v>0.28356050069541028</c:v>
                </c:pt>
                <c:pt idx="8">
                  <c:v>0.27767557623633804</c:v>
                </c:pt>
                <c:pt idx="9">
                  <c:v>0.28131923464249747</c:v>
                </c:pt>
                <c:pt idx="10">
                  <c:v>0.28112812976883511</c:v>
                </c:pt>
                <c:pt idx="11">
                  <c:v>0.27620359779557035</c:v>
                </c:pt>
                <c:pt idx="12">
                  <c:v>0.27881106274458073</c:v>
                </c:pt>
                <c:pt idx="13">
                  <c:v>0.26906770205739278</c:v>
                </c:pt>
                <c:pt idx="14">
                  <c:v>0.27974622935120902</c:v>
                </c:pt>
              </c:numCache>
            </c:numRef>
          </c:val>
          <c:extLst>
            <c:ext xmlns:c16="http://schemas.microsoft.com/office/drawing/2014/chart" uri="{C3380CC4-5D6E-409C-BE32-E72D297353CC}">
              <c16:uniqueId val="{00000008-B7FD-450D-8C15-407E90A7E8EF}"/>
            </c:ext>
          </c:extLst>
        </c:ser>
        <c:ser>
          <c:idx val="3"/>
          <c:order val="3"/>
          <c:tx>
            <c:strRef>
              <c:f>'1.1.9'!$O$25</c:f>
              <c:strCache>
                <c:ptCount val="1"/>
                <c:pt idx="0">
                  <c:v>5leté</c:v>
                </c:pt>
              </c:strCache>
            </c:strRef>
          </c:tx>
          <c:spPr>
            <a:solidFill>
              <a:schemeClr val="accent3">
                <a:lumMod val="50000"/>
              </a:schemeClr>
            </a:solidFill>
          </c:spPr>
          <c:invertIfNegative val="0"/>
          <c:dPt>
            <c:idx val="5"/>
            <c:invertIfNegative val="0"/>
            <c:bubble3D val="0"/>
            <c:spPr>
              <a:solidFill>
                <a:srgbClr val="B5CD85"/>
              </a:solidFill>
            </c:spPr>
            <c:extLst>
              <c:ext xmlns:c16="http://schemas.microsoft.com/office/drawing/2014/chart" uri="{C3380CC4-5D6E-409C-BE32-E72D297353CC}">
                <c16:uniqueId val="{0000000A-B7FD-450D-8C15-407E90A7E8EF}"/>
              </c:ext>
            </c:extLst>
          </c:dPt>
          <c:dLbls>
            <c:dLbl>
              <c:idx val="5"/>
              <c:numFmt formatCode="0.0\ %" sourceLinked="0"/>
              <c:spPr>
                <a:noFill/>
                <a:ln>
                  <a:noFill/>
                </a:ln>
                <a:effectLst/>
              </c:spPr>
              <c:txPr>
                <a:bodyPr wrap="square" lIns="38100" tIns="19050" rIns="38100" bIns="19050" anchor="ctr">
                  <a:spAutoFit/>
                </a:bodyPr>
                <a:lstStyle/>
                <a:p>
                  <a:pPr>
                    <a:defRPr b="1">
                      <a:solidFill>
                        <a:sysClr val="windowText" lastClr="000000"/>
                      </a:solidFill>
                    </a:defRPr>
                  </a:pPr>
                  <a:endParaRPr lang="cs-CZ"/>
                </a:p>
              </c:txPr>
              <c:showLegendKey val="0"/>
              <c:showVal val="1"/>
              <c:showCatName val="0"/>
              <c:showSerName val="0"/>
              <c:showPercent val="0"/>
              <c:showBubbleSize val="0"/>
              <c:extLst>
                <c:ext xmlns:c16="http://schemas.microsoft.com/office/drawing/2014/chart" uri="{C3380CC4-5D6E-409C-BE32-E72D297353CC}">
                  <c16:uniqueId val="{0000000A-B7FD-450D-8C15-407E90A7E8EF}"/>
                </c:ext>
              </c:extLst>
            </c:dLbl>
            <c:numFmt formatCode="0.0\ %" sourceLinked="0"/>
            <c:spPr>
              <a:noFill/>
              <a:ln>
                <a:noFill/>
              </a:ln>
              <a:effectLst/>
            </c:spPr>
            <c:txPr>
              <a:bodyPr wrap="square" lIns="38100" tIns="19050" rIns="38100" bIns="19050" anchor="ctr">
                <a:spAutoFit/>
              </a:bodyPr>
              <a:lstStyle/>
              <a:p>
                <a:pPr>
                  <a:defRPr>
                    <a:solidFill>
                      <a:schemeClr val="bg1"/>
                    </a:solidFill>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'1.1.9'!$K$26:$K$40</c:f>
              <c:strCache>
                <c:ptCount val="15"/>
                <c:pt idx="0">
                  <c:v>Středočeský</c:v>
                </c:pt>
                <c:pt idx="1">
                  <c:v>Plzeňský</c:v>
                </c:pt>
                <c:pt idx="2">
                  <c:v>Jihomoravský</c:v>
                </c:pt>
                <c:pt idx="3">
                  <c:v>Praha</c:v>
                </c:pt>
                <c:pt idx="4">
                  <c:v>Liberecký</c:v>
                </c:pt>
                <c:pt idx="5">
                  <c:v>Česká republika</c:v>
                </c:pt>
                <c:pt idx="6">
                  <c:v>Ústecký</c:v>
                </c:pt>
                <c:pt idx="7">
                  <c:v>Pardubický</c:v>
                </c:pt>
                <c:pt idx="8">
                  <c:v>Královéhradecký</c:v>
                </c:pt>
                <c:pt idx="9">
                  <c:v>Zlínský</c:v>
                </c:pt>
                <c:pt idx="10">
                  <c:v>Vysočina</c:v>
                </c:pt>
                <c:pt idx="11">
                  <c:v>Moravskoslezský</c:v>
                </c:pt>
                <c:pt idx="12">
                  <c:v>Jihočeský</c:v>
                </c:pt>
                <c:pt idx="13">
                  <c:v>Olomoucký</c:v>
                </c:pt>
                <c:pt idx="14">
                  <c:v>Karlovarský</c:v>
                </c:pt>
              </c:strCache>
            </c:strRef>
          </c:cat>
          <c:val>
            <c:numRef>
              <c:f>'1.1.9'!$O$26:$O$40</c:f>
              <c:numCache>
                <c:formatCode>0.0%</c:formatCode>
                <c:ptCount val="15"/>
                <c:pt idx="0">
                  <c:v>0.30819539298529924</c:v>
                </c:pt>
                <c:pt idx="1">
                  <c:v>0.30741733690795353</c:v>
                </c:pt>
                <c:pt idx="2">
                  <c:v>0.29734211285206191</c:v>
                </c:pt>
                <c:pt idx="3">
                  <c:v>0.31129638327853454</c:v>
                </c:pt>
                <c:pt idx="4">
                  <c:v>0.30997038499506419</c:v>
                </c:pt>
                <c:pt idx="5">
                  <c:v>0.29831895475602654</c:v>
                </c:pt>
                <c:pt idx="6">
                  <c:v>0.30794592812396965</c:v>
                </c:pt>
                <c:pt idx="7">
                  <c:v>0.29357440890125175</c:v>
                </c:pt>
                <c:pt idx="8">
                  <c:v>0.29369115896547993</c:v>
                </c:pt>
                <c:pt idx="9">
                  <c:v>0.28554884189325275</c:v>
                </c:pt>
                <c:pt idx="10">
                  <c:v>0.28808003165093538</c:v>
                </c:pt>
                <c:pt idx="11">
                  <c:v>0.28914942289695333</c:v>
                </c:pt>
                <c:pt idx="12">
                  <c:v>0.27977839335180055</c:v>
                </c:pt>
                <c:pt idx="13">
                  <c:v>0.28941848529477393</c:v>
                </c:pt>
                <c:pt idx="14">
                  <c:v>0.29494852765142449</c:v>
                </c:pt>
              </c:numCache>
            </c:numRef>
          </c:val>
          <c:extLst>
            <c:ext xmlns:c16="http://schemas.microsoft.com/office/drawing/2014/chart" uri="{C3380CC4-5D6E-409C-BE32-E72D297353CC}">
              <c16:uniqueId val="{0000000B-B7FD-450D-8C15-407E90A7E8EF}"/>
            </c:ext>
          </c:extLst>
        </c:ser>
        <c:ser>
          <c:idx val="4"/>
          <c:order val="4"/>
          <c:tx>
            <c:strRef>
              <c:f>'1.1.9'!$P$25</c:f>
              <c:strCache>
                <c:ptCount val="1"/>
                <c:pt idx="0">
                  <c:v>6leté a starší</c:v>
                </c:pt>
              </c:strCache>
            </c:strRef>
          </c:tx>
          <c:invertIfNegative val="0"/>
          <c:dPt>
            <c:idx val="5"/>
            <c:invertIfNegative val="0"/>
            <c:bubble3D val="0"/>
            <c:spPr>
              <a:solidFill>
                <a:srgbClr val="84C6D8"/>
              </a:solidFill>
            </c:spPr>
            <c:extLst>
              <c:ext xmlns:c16="http://schemas.microsoft.com/office/drawing/2014/chart" uri="{C3380CC4-5D6E-409C-BE32-E72D297353CC}">
                <c16:uniqueId val="{0000000D-B7FD-450D-8C15-407E90A7E8EF}"/>
              </c:ext>
            </c:extLst>
          </c:dPt>
          <c:dLbls>
            <c:dLbl>
              <c:idx val="5"/>
              <c:layout>
                <c:manualLayout>
                  <c:x val="-2.0999580008399833E-3"/>
                  <c:y val="-3.1821797931583136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B7FD-450D-8C15-407E90A7E8EF}"/>
                </c:ext>
              </c:extLst>
            </c:dLbl>
            <c:spPr>
              <a:noFill/>
              <a:ln>
                <a:noFill/>
              </a:ln>
              <a:effectLst/>
            </c:spPr>
            <c:txPr>
              <a:bodyPr wrap="square" lIns="38100" tIns="19050" rIns="38100" bIns="19050" anchor="ctr">
                <a:spAutoFit/>
              </a:bodyPr>
              <a:lstStyle/>
              <a:p>
                <a:pPr>
                  <a:defRPr b="1">
                    <a:solidFill>
                      <a:schemeClr val="bg1"/>
                    </a:solidFill>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'1.1.9'!$K$26:$K$40</c:f>
              <c:strCache>
                <c:ptCount val="15"/>
                <c:pt idx="0">
                  <c:v>Středočeský</c:v>
                </c:pt>
                <c:pt idx="1">
                  <c:v>Plzeňský</c:v>
                </c:pt>
                <c:pt idx="2">
                  <c:v>Jihomoravský</c:v>
                </c:pt>
                <c:pt idx="3">
                  <c:v>Praha</c:v>
                </c:pt>
                <c:pt idx="4">
                  <c:v>Liberecký</c:v>
                </c:pt>
                <c:pt idx="5">
                  <c:v>Česká republika</c:v>
                </c:pt>
                <c:pt idx="6">
                  <c:v>Ústecký</c:v>
                </c:pt>
                <c:pt idx="7">
                  <c:v>Pardubický</c:v>
                </c:pt>
                <c:pt idx="8">
                  <c:v>Královéhradecký</c:v>
                </c:pt>
                <c:pt idx="9">
                  <c:v>Zlínský</c:v>
                </c:pt>
                <c:pt idx="10">
                  <c:v>Vysočina</c:v>
                </c:pt>
                <c:pt idx="11">
                  <c:v>Moravskoslezský</c:v>
                </c:pt>
                <c:pt idx="12">
                  <c:v>Jihočeský</c:v>
                </c:pt>
                <c:pt idx="13">
                  <c:v>Olomoucký</c:v>
                </c:pt>
                <c:pt idx="14">
                  <c:v>Karlovarský</c:v>
                </c:pt>
              </c:strCache>
            </c:strRef>
          </c:cat>
          <c:val>
            <c:numRef>
              <c:f>'1.1.9'!$P$26:$P$40</c:f>
              <c:numCache>
                <c:formatCode>0.0%</c:formatCode>
                <c:ptCount val="15"/>
                <c:pt idx="0">
                  <c:v>6.1619786240691435E-2</c:v>
                </c:pt>
                <c:pt idx="1">
                  <c:v>6.7181832518530202E-2</c:v>
                </c:pt>
                <c:pt idx="2">
                  <c:v>6.185715658944535E-2</c:v>
                </c:pt>
                <c:pt idx="3">
                  <c:v>4.9577266322217005E-2</c:v>
                </c:pt>
                <c:pt idx="4">
                  <c:v>6.7258966765383343E-2</c:v>
                </c:pt>
                <c:pt idx="5">
                  <c:v>6.3377624899442431E-2</c:v>
                </c:pt>
                <c:pt idx="6">
                  <c:v>5.951203428948236E-2</c:v>
                </c:pt>
                <c:pt idx="7">
                  <c:v>6.1363004172461752E-2</c:v>
                </c:pt>
                <c:pt idx="8">
                  <c:v>7.5100097392057141E-2</c:v>
                </c:pt>
                <c:pt idx="9">
                  <c:v>7.1953675730110772E-2</c:v>
                </c:pt>
                <c:pt idx="10">
                  <c:v>6.0249816311535635E-2</c:v>
                </c:pt>
                <c:pt idx="11">
                  <c:v>6.3767287095767913E-2</c:v>
                </c:pt>
                <c:pt idx="12">
                  <c:v>7.1538495361210042E-2</c:v>
                </c:pt>
                <c:pt idx="13">
                  <c:v>7.399473378854822E-2</c:v>
                </c:pt>
                <c:pt idx="14">
                  <c:v>5.985156811108451E-2</c:v>
                </c:pt>
              </c:numCache>
            </c:numRef>
          </c:val>
          <c:extLst>
            <c:ext xmlns:c16="http://schemas.microsoft.com/office/drawing/2014/chart" uri="{C3380CC4-5D6E-409C-BE32-E72D297353CC}">
              <c16:uniqueId val="{0000000E-B7FD-450D-8C15-407E90A7E8EF}"/>
            </c:ext>
          </c:extLst>
        </c:ser>
        <c:dLbls>
          <c:showLegendKey val="0"/>
          <c:showVal val="0"/>
          <c:showCatName val="0"/>
          <c:showSerName val="0"/>
          <c:showPercent val="0"/>
          <c:showBubbleSize val="0"/>
        </c:dLbls>
        <c:gapWidth val="39"/>
        <c:overlap val="100"/>
        <c:axId val="370723840"/>
        <c:axId val="368154816"/>
      </c:barChart>
      <c:catAx>
        <c:axId val="3707238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68154816"/>
        <c:crosses val="autoZero"/>
        <c:auto val="1"/>
        <c:lblAlgn val="ctr"/>
        <c:lblOffset val="100"/>
        <c:noMultiLvlLbl val="0"/>
      </c:catAx>
      <c:valAx>
        <c:axId val="3681548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370723840"/>
        <c:crosses val="autoZero"/>
        <c:crossBetween val="between"/>
      </c:valAx>
      <c:spPr>
        <a:noFill/>
        <a:ln>
          <a:noFill/>
        </a:ln>
        <a:effectLst/>
      </c:spPr>
    </c:plotArea>
    <c:legend>
      <c:legendPos val="b"/>
      <c:layout>
        <c:manualLayout>
          <c:xMode val="edge"/>
          <c:yMode val="edge"/>
          <c:x val="0.19299821090192371"/>
          <c:y val="0.93091178224131921"/>
          <c:w val="0.75973520687066576"/>
          <c:h val="4.9609325150145704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'1.1.13'!$C$27</c:f>
              <c:strCache>
                <c:ptCount val="1"/>
                <c:pt idx="0">
                  <c:v>počet</c:v>
                </c:pt>
              </c:strCache>
            </c:strRef>
          </c:tx>
          <c:spPr>
            <a:solidFill>
              <a:srgbClr val="0070C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'1.1.13'!$B$28:$B$38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'1.1.13'!$C$28:$C$38</c:f>
              <c:numCache>
                <c:formatCode>#\ ##0_ ;\-#\ ##0\ </c:formatCode>
                <c:ptCount val="11"/>
                <c:pt idx="0">
                  <c:v>4714</c:v>
                </c:pt>
                <c:pt idx="1">
                  <c:v>5434</c:v>
                </c:pt>
                <c:pt idx="2">
                  <c:v>6307</c:v>
                </c:pt>
                <c:pt idx="3">
                  <c:v>7214</c:v>
                </c:pt>
                <c:pt idx="4">
                  <c:v>8302</c:v>
                </c:pt>
                <c:pt idx="5">
                  <c:v>9494</c:v>
                </c:pt>
                <c:pt idx="6">
                  <c:v>10469</c:v>
                </c:pt>
                <c:pt idx="7">
                  <c:v>11343</c:v>
                </c:pt>
                <c:pt idx="8">
                  <c:v>11942</c:v>
                </c:pt>
                <c:pt idx="9">
                  <c:v>11864</c:v>
                </c:pt>
                <c:pt idx="10">
                  <c:v>12103</c:v>
                </c:pt>
              </c:numCache>
            </c:numRef>
          </c:val>
          <c:extLst>
            <c:ext xmlns:c16="http://schemas.microsoft.com/office/drawing/2014/chart" uri="{C3380CC4-5D6E-409C-BE32-E72D297353CC}">
              <c16:uniqueId val="{00000000-9927-4B26-8F79-7D1B88C77620}"/>
            </c:ext>
          </c:extLst>
        </c:ser>
        <c:dLbls>
          <c:showLegendKey val="0"/>
          <c:showVal val="0"/>
          <c:showCatName val="0"/>
          <c:showSerName val="0"/>
          <c:showPercent val="0"/>
          <c:showBubbleSize val="0"/>
        </c:dLbls>
        <c:gapWidth val="99"/>
        <c:overlap val="3"/>
        <c:axId val="405275136"/>
        <c:axId val="443760640"/>
      </c:barChart>
      <c:lineChart>
        <c:grouping val="standard"/>
        <c:varyColors val="0"/>
        <c:ser>
          <c:idx val="1"/>
          <c:order val="1"/>
          <c:tx>
            <c:strRef>
              <c:f>'1.1.13'!$D$27</c:f>
              <c:strCache>
                <c:ptCount val="1"/>
                <c:pt idx="0">
                  <c:v>podíl na všech dětech v MŠ</c:v>
                </c:pt>
              </c:strCache>
            </c:strRef>
          </c:tx>
          <c:spPr>
            <a:ln w="28575" cap="rnd">
              <a:solidFill>
                <a:schemeClr val="accent2"/>
              </a:solidFill>
              <a:round/>
            </a:ln>
            <a:effectLst/>
          </c:spPr>
          <c:marker>
            <c:symbol val="none"/>
          </c:marker>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'1.1.13'!$B$28:$B$38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'1.1.13'!$D$28:$D$38</c:f>
              <c:numCache>
                <c:formatCode>0.0%</c:formatCode>
                <c:ptCount val="11"/>
                <c:pt idx="0">
                  <c:v>1.3762659807719818E-2</c:v>
                </c:pt>
                <c:pt idx="1">
                  <c:v>1.5335553423265791E-2</c:v>
                </c:pt>
                <c:pt idx="2">
                  <c:v>1.7347511332130441E-2</c:v>
                </c:pt>
                <c:pt idx="3">
                  <c:v>1.9624431791905941E-2</c:v>
                </c:pt>
                <c:pt idx="4">
                  <c:v>2.2599023848476021E-2</c:v>
                </c:pt>
                <c:pt idx="5">
                  <c:v>2.6179295359475864E-2</c:v>
                </c:pt>
                <c:pt idx="6">
                  <c:v>2.8859619137932935E-2</c:v>
                </c:pt>
                <c:pt idx="7">
                  <c:v>3.1181276389866293E-2</c:v>
                </c:pt>
                <c:pt idx="8">
                  <c:v>3.2725967295955977E-2</c:v>
                </c:pt>
                <c:pt idx="9">
                  <c:v>3.317691933400075E-2</c:v>
                </c:pt>
                <c:pt idx="10">
                  <c:v>3.3573746844572663E-2</c:v>
                </c:pt>
              </c:numCache>
            </c:numRef>
          </c:val>
          <c:smooth val="0"/>
          <c:extLst>
            <c:ext xmlns:c16="http://schemas.microsoft.com/office/drawing/2014/chart" uri="{C3380CC4-5D6E-409C-BE32-E72D297353CC}">
              <c16:uniqueId val="{00000001-9927-4B26-8F79-7D1B88C77620}"/>
            </c:ext>
          </c:extLst>
        </c:ser>
        <c:dLbls>
          <c:showLegendKey val="0"/>
          <c:showVal val="0"/>
          <c:showCatName val="0"/>
          <c:showSerName val="0"/>
          <c:showPercent val="0"/>
          <c:showBubbleSize val="0"/>
        </c:dLbls>
        <c:marker val="1"/>
        <c:smooth val="0"/>
        <c:axId val="403472384"/>
        <c:axId val="443761216"/>
      </c:lineChart>
      <c:catAx>
        <c:axId val="405275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43760640"/>
        <c:crosses val="autoZero"/>
        <c:auto val="1"/>
        <c:lblAlgn val="ctr"/>
        <c:lblOffset val="100"/>
        <c:noMultiLvlLbl val="0"/>
      </c:catAx>
      <c:valAx>
        <c:axId val="443760640"/>
        <c:scaling>
          <c:orientation val="minMax"/>
          <c:max val="15000"/>
          <c:min val="0"/>
        </c:scaling>
        <c:delete val="0"/>
        <c:axPos val="l"/>
        <c:numFmt formatCode="#\ ##0_ ;\-#\ ##0\ "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05275136"/>
        <c:crosses val="autoZero"/>
        <c:crossBetween val="between"/>
      </c:valAx>
      <c:valAx>
        <c:axId val="443761216"/>
        <c:scaling>
          <c:orientation val="minMax"/>
          <c:max val="4.0000000000000008E-2"/>
        </c:scaling>
        <c:delete val="0"/>
        <c:axPos val="r"/>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03472384"/>
        <c:crosses val="max"/>
        <c:crossBetween val="between"/>
      </c:valAx>
      <c:catAx>
        <c:axId val="403472384"/>
        <c:scaling>
          <c:orientation val="minMax"/>
        </c:scaling>
        <c:delete val="1"/>
        <c:axPos val="b"/>
        <c:numFmt formatCode="General" sourceLinked="1"/>
        <c:majorTickMark val="none"/>
        <c:minorTickMark val="none"/>
        <c:tickLblPos val="nextTo"/>
        <c:crossAx val="443761216"/>
        <c:crosses val="autoZero"/>
        <c:auto val="1"/>
        <c:lblAlgn val="ctr"/>
        <c:lblOffset val="100"/>
        <c:noMultiLvlLbl val="0"/>
      </c:catAx>
      <c:spPr>
        <a:noFill/>
        <a:ln>
          <a:noFill/>
        </a:ln>
        <a:effectLst/>
      </c:spPr>
    </c:plotArea>
    <c:legend>
      <c:legendPos val="b"/>
      <c:layout>
        <c:manualLayout>
          <c:xMode val="edge"/>
          <c:yMode val="edge"/>
          <c:x val="0.20735135476820016"/>
          <c:y val="0.89781573259224945"/>
          <c:w val="0.58107208712568903"/>
          <c:h val="7.277250270186815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119340525498711E-2"/>
          <c:y val="0.11851917703835407"/>
          <c:w val="0.9525442004229171"/>
          <c:h val="0.50633626679018062"/>
        </c:manualLayout>
      </c:layout>
      <c:barChart>
        <c:barDir val="col"/>
        <c:grouping val="clustered"/>
        <c:varyColors val="0"/>
        <c:ser>
          <c:idx val="0"/>
          <c:order val="0"/>
          <c:spPr>
            <a:solidFill>
              <a:srgbClr val="0070C0"/>
            </a:solidFill>
            <a:ln>
              <a:noFill/>
            </a:ln>
            <a:effectLst/>
          </c:spPr>
          <c:invertIfNegative val="0"/>
          <c:dPt>
            <c:idx val="4"/>
            <c:invertIfNegative val="0"/>
            <c:bubble3D val="0"/>
            <c:spPr>
              <a:solidFill>
                <a:srgbClr val="FF0000"/>
              </a:solidFill>
              <a:ln>
                <a:noFill/>
              </a:ln>
              <a:effectLst/>
            </c:spPr>
            <c:extLst>
              <c:ext xmlns:c16="http://schemas.microsoft.com/office/drawing/2014/chart" uri="{C3380CC4-5D6E-409C-BE32-E72D297353CC}">
                <c16:uniqueId val="{00000001-9E5C-4029-A407-8465BF8708E9}"/>
              </c:ext>
            </c:extLst>
          </c:dPt>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 1.1.14'!$A$26:$A$40</c:f>
              <c:strCache>
                <c:ptCount val="15"/>
                <c:pt idx="0">
                  <c:v>Praha</c:v>
                </c:pt>
                <c:pt idx="1">
                  <c:v>Karlovarský</c:v>
                </c:pt>
                <c:pt idx="2">
                  <c:v>Plzeňský</c:v>
                </c:pt>
                <c:pt idx="3">
                  <c:v>Středočeský</c:v>
                </c:pt>
                <c:pt idx="4">
                  <c:v>ČR celkem</c:v>
                </c:pt>
                <c:pt idx="5">
                  <c:v>Liberecký</c:v>
                </c:pt>
                <c:pt idx="6">
                  <c:v>Ústecký</c:v>
                </c:pt>
                <c:pt idx="7">
                  <c:v>Jihomoravský</c:v>
                </c:pt>
                <c:pt idx="8">
                  <c:v>Jihočeský</c:v>
                </c:pt>
                <c:pt idx="9">
                  <c:v>Pardubický</c:v>
                </c:pt>
                <c:pt idx="10">
                  <c:v>Královéhradecký</c:v>
                </c:pt>
                <c:pt idx="11">
                  <c:v>Vysočina</c:v>
                </c:pt>
                <c:pt idx="12">
                  <c:v>Olomoucký</c:v>
                </c:pt>
                <c:pt idx="13">
                  <c:v>Zlínský</c:v>
                </c:pt>
                <c:pt idx="14">
                  <c:v>Moravskoslezský</c:v>
                </c:pt>
              </c:strCache>
            </c:strRef>
          </c:cat>
          <c:val>
            <c:numRef>
              <c:f>' 1.1.14'!$B$26:$B$40</c:f>
              <c:numCache>
                <c:formatCode>0.0%</c:formatCode>
                <c:ptCount val="15"/>
                <c:pt idx="0">
                  <c:v>0.11491310474401127</c:v>
                </c:pt>
                <c:pt idx="1">
                  <c:v>4.7163035671534591E-2</c:v>
                </c:pt>
                <c:pt idx="2">
                  <c:v>4.3999369184671185E-2</c:v>
                </c:pt>
                <c:pt idx="3">
                  <c:v>3.6481845892657329E-2</c:v>
                </c:pt>
                <c:pt idx="4">
                  <c:v>3.3573746844572663E-2</c:v>
                </c:pt>
                <c:pt idx="5">
                  <c:v>2.9022704837117472E-2</c:v>
                </c:pt>
                <c:pt idx="6">
                  <c:v>2.6005605011539729E-2</c:v>
                </c:pt>
                <c:pt idx="7">
                  <c:v>2.3022205133134674E-2</c:v>
                </c:pt>
                <c:pt idx="8">
                  <c:v>2.0841577628281229E-2</c:v>
                </c:pt>
                <c:pt idx="9">
                  <c:v>1.8470097357440891E-2</c:v>
                </c:pt>
                <c:pt idx="10">
                  <c:v>1.5961476030732606E-2</c:v>
                </c:pt>
                <c:pt idx="11">
                  <c:v>1.1925620301814276E-2</c:v>
                </c:pt>
                <c:pt idx="12">
                  <c:v>9.8183603338242512E-3</c:v>
                </c:pt>
                <c:pt idx="13">
                  <c:v>9.3655589123867074E-3</c:v>
                </c:pt>
                <c:pt idx="14">
                  <c:v>8.8385151294582513E-3</c:v>
                </c:pt>
              </c:numCache>
            </c:numRef>
          </c:val>
          <c:extLst>
            <c:ext xmlns:c16="http://schemas.microsoft.com/office/drawing/2014/chart" uri="{C3380CC4-5D6E-409C-BE32-E72D297353CC}">
              <c16:uniqueId val="{00000002-9E5C-4029-A407-8465BF8708E9}"/>
            </c:ext>
          </c:extLst>
        </c:ser>
        <c:dLbls>
          <c:showLegendKey val="0"/>
          <c:showVal val="0"/>
          <c:showCatName val="0"/>
          <c:showSerName val="0"/>
          <c:showPercent val="0"/>
          <c:showBubbleSize val="0"/>
        </c:dLbls>
        <c:gapWidth val="109"/>
        <c:overlap val="-27"/>
        <c:axId val="403472896"/>
        <c:axId val="443763520"/>
      </c:barChart>
      <c:catAx>
        <c:axId val="403472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43763520"/>
        <c:crosses val="autoZero"/>
        <c:auto val="1"/>
        <c:lblAlgn val="ctr"/>
        <c:lblOffset val="100"/>
        <c:noMultiLvlLbl val="0"/>
      </c:catAx>
      <c:valAx>
        <c:axId val="443763520"/>
        <c:scaling>
          <c:orientation val="minMax"/>
          <c:max val="0.12000000000000001"/>
        </c:scaling>
        <c:delete val="0"/>
        <c:axPos val="l"/>
        <c:numFmt formatCode="0%"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03472896"/>
        <c:crosses val="autoZero"/>
        <c:crossBetween val="between"/>
        <c:majorUnit val="1.0000000000000002E-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49749162497064"/>
          <c:y val="3.1238271966753849E-2"/>
          <c:w val="0.83537023747714023"/>
          <c:h val="0.87182313535556688"/>
        </c:manualLayout>
      </c:layout>
      <c:barChart>
        <c:barDir val="bar"/>
        <c:grouping val="percentStacked"/>
        <c:varyColors val="0"/>
        <c:ser>
          <c:idx val="0"/>
          <c:order val="0"/>
          <c:tx>
            <c:strRef>
              <c:f>List69!$B$55</c:f>
              <c:strCache>
                <c:ptCount val="1"/>
                <c:pt idx="0">
                  <c:v>Slovensko</c:v>
                </c:pt>
              </c:strCache>
            </c:strRef>
          </c:tx>
          <c:spPr>
            <a:solidFill>
              <a:srgbClr val="0070C0"/>
            </a:solidFill>
            <a:ln>
              <a:noFill/>
            </a:ln>
            <a:effectLst/>
          </c:spPr>
          <c:invertIfNegative val="0"/>
          <c:dPt>
            <c:idx val="9"/>
            <c:invertIfNegative val="0"/>
            <c:bubble3D val="0"/>
            <c:spPr>
              <a:solidFill>
                <a:srgbClr val="0070C0"/>
              </a:solidFill>
              <a:ln w="15875">
                <a:noFill/>
              </a:ln>
              <a:effectLst/>
            </c:spPr>
            <c:extLst>
              <c:ext xmlns:c16="http://schemas.microsoft.com/office/drawing/2014/chart" uri="{C3380CC4-5D6E-409C-BE32-E72D297353CC}">
                <c16:uniqueId val="{00000001-9550-4EA6-96B7-1F0426452396}"/>
              </c:ext>
            </c:extLst>
          </c:dPt>
          <c:dPt>
            <c:idx val="10"/>
            <c:invertIfNegative val="0"/>
            <c:bubble3D val="0"/>
            <c:spPr>
              <a:solidFill>
                <a:srgbClr val="0070C0"/>
              </a:solidFill>
              <a:ln w="15875">
                <a:noFill/>
              </a:ln>
              <a:effectLst/>
            </c:spPr>
            <c:extLst>
              <c:ext xmlns:c16="http://schemas.microsoft.com/office/drawing/2014/chart" uri="{C3380CC4-5D6E-409C-BE32-E72D297353CC}">
                <c16:uniqueId val="{00000003-9550-4EA6-96B7-1F0426452396}"/>
              </c:ext>
            </c:extLst>
          </c:dPt>
          <c:dPt>
            <c:idx val="11"/>
            <c:invertIfNegative val="0"/>
            <c:bubble3D val="0"/>
            <c:extLst>
              <c:ext xmlns:c16="http://schemas.microsoft.com/office/drawing/2014/chart" uri="{C3380CC4-5D6E-409C-BE32-E72D297353CC}">
                <c16:uniqueId val="{00000004-9550-4EA6-96B7-1F0426452396}"/>
              </c:ext>
            </c:extLst>
          </c:dPt>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List69!$A$56:$A$70</c:f>
              <c:strCache>
                <c:ptCount val="15"/>
                <c:pt idx="0">
                  <c:v>Ústecký</c:v>
                </c:pt>
                <c:pt idx="1">
                  <c:v>Karlovarský</c:v>
                </c:pt>
                <c:pt idx="2">
                  <c:v>Jihočeský</c:v>
                </c:pt>
                <c:pt idx="3">
                  <c:v>Královéhradecký</c:v>
                </c:pt>
                <c:pt idx="4">
                  <c:v>Liberecký</c:v>
                </c:pt>
                <c:pt idx="5">
                  <c:v>Vysočina</c:v>
                </c:pt>
                <c:pt idx="6">
                  <c:v>Olomoucký</c:v>
                </c:pt>
                <c:pt idx="7">
                  <c:v>Pardubický</c:v>
                </c:pt>
                <c:pt idx="8">
                  <c:v>ČR</c:v>
                </c:pt>
                <c:pt idx="9">
                  <c:v>Praha</c:v>
                </c:pt>
                <c:pt idx="10">
                  <c:v>Zlínský</c:v>
                </c:pt>
                <c:pt idx="11">
                  <c:v>Plzeňský</c:v>
                </c:pt>
                <c:pt idx="12">
                  <c:v>Moravskoslezský</c:v>
                </c:pt>
                <c:pt idx="13">
                  <c:v>Jihomoravský</c:v>
                </c:pt>
                <c:pt idx="14">
                  <c:v>Středočeský</c:v>
                </c:pt>
              </c:strCache>
            </c:strRef>
          </c:cat>
          <c:val>
            <c:numRef>
              <c:f>List69!$B$56:$B$70</c:f>
              <c:numCache>
                <c:formatCode>0.0%</c:formatCode>
                <c:ptCount val="15"/>
                <c:pt idx="0">
                  <c:v>6.3391442155309036E-2</c:v>
                </c:pt>
                <c:pt idx="1">
                  <c:v>6.5989847715736044E-2</c:v>
                </c:pt>
                <c:pt idx="2">
                  <c:v>9.7046413502109699E-2</c:v>
                </c:pt>
                <c:pt idx="3">
                  <c:v>0.11525423728813559</c:v>
                </c:pt>
                <c:pt idx="4">
                  <c:v>0.11337868480725624</c:v>
                </c:pt>
                <c:pt idx="5">
                  <c:v>0.11374407582938388</c:v>
                </c:pt>
                <c:pt idx="6">
                  <c:v>0.13636363636363635</c:v>
                </c:pt>
                <c:pt idx="7">
                  <c:v>0.14156626506024098</c:v>
                </c:pt>
                <c:pt idx="8">
                  <c:v>0.18152524167561762</c:v>
                </c:pt>
                <c:pt idx="9">
                  <c:v>0.16472511751481708</c:v>
                </c:pt>
                <c:pt idx="10">
                  <c:v>0.26881720430107525</c:v>
                </c:pt>
                <c:pt idx="11">
                  <c:v>0.21385902031063322</c:v>
                </c:pt>
                <c:pt idx="12">
                  <c:v>0.24411764705882352</c:v>
                </c:pt>
                <c:pt idx="13">
                  <c:v>0.27870563674321502</c:v>
                </c:pt>
                <c:pt idx="14">
                  <c:v>0.27234267583289262</c:v>
                </c:pt>
              </c:numCache>
            </c:numRef>
          </c:val>
          <c:extLst>
            <c:ext xmlns:c16="http://schemas.microsoft.com/office/drawing/2014/chart" uri="{C3380CC4-5D6E-409C-BE32-E72D297353CC}">
              <c16:uniqueId val="{00000005-9550-4EA6-96B7-1F0426452396}"/>
            </c:ext>
          </c:extLst>
        </c:ser>
        <c:ser>
          <c:idx val="1"/>
          <c:order val="1"/>
          <c:tx>
            <c:strRef>
              <c:f>List69!$C$55</c:f>
              <c:strCache>
                <c:ptCount val="1"/>
                <c:pt idx="0">
                  <c:v>jiné státy EU</c:v>
                </c:pt>
              </c:strCache>
            </c:strRef>
          </c:tx>
          <c:spPr>
            <a:solidFill>
              <a:schemeClr val="accent1">
                <a:lumMod val="60000"/>
                <a:lumOff val="40000"/>
              </a:schemeClr>
            </a:solidFill>
            <a:ln>
              <a:noFill/>
            </a:ln>
            <a:effectLst/>
          </c:spPr>
          <c:invertIfNegative val="0"/>
          <c:dPt>
            <c:idx val="9"/>
            <c:invertIfNegative val="0"/>
            <c:bubble3D val="0"/>
            <c:spPr>
              <a:solidFill>
                <a:schemeClr val="accent1">
                  <a:lumMod val="60000"/>
                  <a:lumOff val="40000"/>
                </a:schemeClr>
              </a:solidFill>
              <a:ln w="15875">
                <a:noFill/>
              </a:ln>
              <a:effectLst/>
            </c:spPr>
            <c:extLst>
              <c:ext xmlns:c16="http://schemas.microsoft.com/office/drawing/2014/chart" uri="{C3380CC4-5D6E-409C-BE32-E72D297353CC}">
                <c16:uniqueId val="{00000007-9550-4EA6-96B7-1F0426452396}"/>
              </c:ext>
            </c:extLst>
          </c:dPt>
          <c:dPt>
            <c:idx val="10"/>
            <c:invertIfNegative val="0"/>
            <c:bubble3D val="0"/>
            <c:spPr>
              <a:solidFill>
                <a:schemeClr val="accent1">
                  <a:lumMod val="60000"/>
                  <a:lumOff val="40000"/>
                </a:schemeClr>
              </a:solidFill>
              <a:ln w="15875">
                <a:noFill/>
              </a:ln>
              <a:effectLst/>
            </c:spPr>
            <c:extLst>
              <c:ext xmlns:c16="http://schemas.microsoft.com/office/drawing/2014/chart" uri="{C3380CC4-5D6E-409C-BE32-E72D297353CC}">
                <c16:uniqueId val="{00000009-9550-4EA6-96B7-1F0426452396}"/>
              </c:ext>
            </c:extLst>
          </c:dPt>
          <c:dPt>
            <c:idx val="11"/>
            <c:invertIfNegative val="0"/>
            <c:bubble3D val="0"/>
            <c:extLst>
              <c:ext xmlns:c16="http://schemas.microsoft.com/office/drawing/2014/chart" uri="{C3380CC4-5D6E-409C-BE32-E72D297353CC}">
                <c16:uniqueId val="{0000000A-9550-4EA6-96B7-1F0426452396}"/>
              </c:ext>
            </c:extLst>
          </c:dPt>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List69!$A$56:$A$70</c:f>
              <c:strCache>
                <c:ptCount val="15"/>
                <c:pt idx="0">
                  <c:v>Ústecký</c:v>
                </c:pt>
                <c:pt idx="1">
                  <c:v>Karlovarský</c:v>
                </c:pt>
                <c:pt idx="2">
                  <c:v>Jihočeský</c:v>
                </c:pt>
                <c:pt idx="3">
                  <c:v>Královéhradecký</c:v>
                </c:pt>
                <c:pt idx="4">
                  <c:v>Liberecký</c:v>
                </c:pt>
                <c:pt idx="5">
                  <c:v>Vysočina</c:v>
                </c:pt>
                <c:pt idx="6">
                  <c:v>Olomoucký</c:v>
                </c:pt>
                <c:pt idx="7">
                  <c:v>Pardubický</c:v>
                </c:pt>
                <c:pt idx="8">
                  <c:v>ČR</c:v>
                </c:pt>
                <c:pt idx="9">
                  <c:v>Praha</c:v>
                </c:pt>
                <c:pt idx="10">
                  <c:v>Zlínský</c:v>
                </c:pt>
                <c:pt idx="11">
                  <c:v>Plzeňský</c:v>
                </c:pt>
                <c:pt idx="12">
                  <c:v>Moravskoslezský</c:v>
                </c:pt>
                <c:pt idx="13">
                  <c:v>Jihomoravský</c:v>
                </c:pt>
                <c:pt idx="14">
                  <c:v>Středočeský</c:v>
                </c:pt>
              </c:strCache>
            </c:strRef>
          </c:cat>
          <c:val>
            <c:numRef>
              <c:f>List69!$C$56:$C$70</c:f>
              <c:numCache>
                <c:formatCode>0.0%</c:formatCode>
                <c:ptCount val="15"/>
                <c:pt idx="0">
                  <c:v>6.8145800316957217E-2</c:v>
                </c:pt>
                <c:pt idx="1">
                  <c:v>0.10406091370558376</c:v>
                </c:pt>
                <c:pt idx="2">
                  <c:v>8.6497890295358648E-2</c:v>
                </c:pt>
                <c:pt idx="3">
                  <c:v>8.1355932203389825E-2</c:v>
                </c:pt>
                <c:pt idx="4">
                  <c:v>8.390022675736962E-2</c:v>
                </c:pt>
                <c:pt idx="5">
                  <c:v>0.10426540284360189</c:v>
                </c:pt>
                <c:pt idx="6">
                  <c:v>8.6363636363636365E-2</c:v>
                </c:pt>
                <c:pt idx="7">
                  <c:v>0.14156626506024098</c:v>
                </c:pt>
                <c:pt idx="8">
                  <c:v>0.12195323473518963</c:v>
                </c:pt>
                <c:pt idx="9">
                  <c:v>0.14101778050275904</c:v>
                </c:pt>
                <c:pt idx="10">
                  <c:v>5.3763440860215055E-2</c:v>
                </c:pt>
                <c:pt idx="11">
                  <c:v>0.14814814814814814</c:v>
                </c:pt>
                <c:pt idx="12">
                  <c:v>0.12352941176470589</c:v>
                </c:pt>
                <c:pt idx="13">
                  <c:v>0.11064718162839249</c:v>
                </c:pt>
                <c:pt idx="14">
                  <c:v>0.12162876784769963</c:v>
                </c:pt>
              </c:numCache>
            </c:numRef>
          </c:val>
          <c:extLst>
            <c:ext xmlns:c16="http://schemas.microsoft.com/office/drawing/2014/chart" uri="{C3380CC4-5D6E-409C-BE32-E72D297353CC}">
              <c16:uniqueId val="{0000000B-9550-4EA6-96B7-1F0426452396}"/>
            </c:ext>
          </c:extLst>
        </c:ser>
        <c:ser>
          <c:idx val="2"/>
          <c:order val="2"/>
          <c:tx>
            <c:strRef>
              <c:f>List69!$D$55</c:f>
              <c:strCache>
                <c:ptCount val="1"/>
                <c:pt idx="0">
                  <c:v>Ukrajina</c:v>
                </c:pt>
              </c:strCache>
            </c:strRef>
          </c:tx>
          <c:spPr>
            <a:solidFill>
              <a:srgbClr val="C00000"/>
            </a:solidFill>
            <a:ln>
              <a:noFill/>
            </a:ln>
            <a:effectLst/>
          </c:spPr>
          <c:invertIfNegative val="0"/>
          <c:dPt>
            <c:idx val="9"/>
            <c:invertIfNegative val="0"/>
            <c:bubble3D val="0"/>
            <c:spPr>
              <a:solidFill>
                <a:srgbClr val="C00000"/>
              </a:solidFill>
              <a:ln w="15875">
                <a:noFill/>
              </a:ln>
              <a:effectLst/>
            </c:spPr>
            <c:extLst>
              <c:ext xmlns:c16="http://schemas.microsoft.com/office/drawing/2014/chart" uri="{C3380CC4-5D6E-409C-BE32-E72D297353CC}">
                <c16:uniqueId val="{0000000D-9550-4EA6-96B7-1F0426452396}"/>
              </c:ext>
            </c:extLst>
          </c:dPt>
          <c:dPt>
            <c:idx val="10"/>
            <c:invertIfNegative val="0"/>
            <c:bubble3D val="0"/>
            <c:spPr>
              <a:solidFill>
                <a:srgbClr val="C00000"/>
              </a:solidFill>
              <a:ln w="15875">
                <a:noFill/>
              </a:ln>
              <a:effectLst/>
            </c:spPr>
            <c:extLst>
              <c:ext xmlns:c16="http://schemas.microsoft.com/office/drawing/2014/chart" uri="{C3380CC4-5D6E-409C-BE32-E72D297353CC}">
                <c16:uniqueId val="{0000000F-9550-4EA6-96B7-1F0426452396}"/>
              </c:ext>
            </c:extLst>
          </c:dPt>
          <c:dPt>
            <c:idx val="11"/>
            <c:invertIfNegative val="0"/>
            <c:bubble3D val="0"/>
            <c:extLst>
              <c:ext xmlns:c16="http://schemas.microsoft.com/office/drawing/2014/chart" uri="{C3380CC4-5D6E-409C-BE32-E72D297353CC}">
                <c16:uniqueId val="{00000010-9550-4EA6-96B7-1F0426452396}"/>
              </c:ext>
            </c:extLst>
          </c:dPt>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List69!$A$56:$A$70</c:f>
              <c:strCache>
                <c:ptCount val="15"/>
                <c:pt idx="0">
                  <c:v>Ústecký</c:v>
                </c:pt>
                <c:pt idx="1">
                  <c:v>Karlovarský</c:v>
                </c:pt>
                <c:pt idx="2">
                  <c:v>Jihočeský</c:v>
                </c:pt>
                <c:pt idx="3">
                  <c:v>Královéhradecký</c:v>
                </c:pt>
                <c:pt idx="4">
                  <c:v>Liberecký</c:v>
                </c:pt>
                <c:pt idx="5">
                  <c:v>Vysočina</c:v>
                </c:pt>
                <c:pt idx="6">
                  <c:v>Olomoucký</c:v>
                </c:pt>
                <c:pt idx="7">
                  <c:v>Pardubický</c:v>
                </c:pt>
                <c:pt idx="8">
                  <c:v>ČR</c:v>
                </c:pt>
                <c:pt idx="9">
                  <c:v>Praha</c:v>
                </c:pt>
                <c:pt idx="10">
                  <c:v>Zlínský</c:v>
                </c:pt>
                <c:pt idx="11">
                  <c:v>Plzeňský</c:v>
                </c:pt>
                <c:pt idx="12">
                  <c:v>Moravskoslezský</c:v>
                </c:pt>
                <c:pt idx="13">
                  <c:v>Jihomoravský</c:v>
                </c:pt>
                <c:pt idx="14">
                  <c:v>Středočeský</c:v>
                </c:pt>
              </c:strCache>
            </c:strRef>
          </c:cat>
          <c:val>
            <c:numRef>
              <c:f>List69!$D$56:$D$70</c:f>
              <c:numCache>
                <c:formatCode>0.0%</c:formatCode>
                <c:ptCount val="15"/>
                <c:pt idx="0">
                  <c:v>0.19175911251980982</c:v>
                </c:pt>
                <c:pt idx="1">
                  <c:v>0.18527918781725888</c:v>
                </c:pt>
                <c:pt idx="2">
                  <c:v>0.27426160337552741</c:v>
                </c:pt>
                <c:pt idx="3">
                  <c:v>0.30847457627118646</c:v>
                </c:pt>
                <c:pt idx="4">
                  <c:v>0.23809523809523808</c:v>
                </c:pt>
                <c:pt idx="5">
                  <c:v>0.31753554502369669</c:v>
                </c:pt>
                <c:pt idx="6">
                  <c:v>0.18636363636363637</c:v>
                </c:pt>
                <c:pt idx="7">
                  <c:v>0.2740963855421687</c:v>
                </c:pt>
                <c:pt idx="8">
                  <c:v>0.25225150789060563</c:v>
                </c:pt>
                <c:pt idx="9">
                  <c:v>0.28101369303086043</c:v>
                </c:pt>
                <c:pt idx="10">
                  <c:v>0.11827956989247312</c:v>
                </c:pt>
                <c:pt idx="11">
                  <c:v>0.24372759856630824</c:v>
                </c:pt>
                <c:pt idx="12">
                  <c:v>0.11470588235294117</c:v>
                </c:pt>
                <c:pt idx="13">
                  <c:v>0.20041753653444677</c:v>
                </c:pt>
                <c:pt idx="14">
                  <c:v>0.26546800634584877</c:v>
                </c:pt>
              </c:numCache>
            </c:numRef>
          </c:val>
          <c:extLst>
            <c:ext xmlns:c16="http://schemas.microsoft.com/office/drawing/2014/chart" uri="{C3380CC4-5D6E-409C-BE32-E72D297353CC}">
              <c16:uniqueId val="{00000011-9550-4EA6-96B7-1F0426452396}"/>
            </c:ext>
          </c:extLst>
        </c:ser>
        <c:ser>
          <c:idx val="3"/>
          <c:order val="3"/>
          <c:tx>
            <c:strRef>
              <c:f>List69!$E$55</c:f>
              <c:strCache>
                <c:ptCount val="1"/>
                <c:pt idx="0">
                  <c:v>jiné státy Evropy mimo EU</c:v>
                </c:pt>
              </c:strCache>
            </c:strRef>
          </c:tx>
          <c:spPr>
            <a:solidFill>
              <a:srgbClr val="FF6161"/>
            </a:solidFill>
            <a:ln>
              <a:noFill/>
            </a:ln>
            <a:effectLst/>
          </c:spPr>
          <c:invertIfNegative val="0"/>
          <c:dPt>
            <c:idx val="9"/>
            <c:invertIfNegative val="0"/>
            <c:bubble3D val="0"/>
            <c:spPr>
              <a:solidFill>
                <a:srgbClr val="FF6161"/>
              </a:solidFill>
              <a:ln w="15875">
                <a:noFill/>
              </a:ln>
              <a:effectLst/>
            </c:spPr>
            <c:extLst>
              <c:ext xmlns:c16="http://schemas.microsoft.com/office/drawing/2014/chart" uri="{C3380CC4-5D6E-409C-BE32-E72D297353CC}">
                <c16:uniqueId val="{00000013-9550-4EA6-96B7-1F0426452396}"/>
              </c:ext>
            </c:extLst>
          </c:dPt>
          <c:dPt>
            <c:idx val="10"/>
            <c:invertIfNegative val="0"/>
            <c:bubble3D val="0"/>
            <c:spPr>
              <a:solidFill>
                <a:srgbClr val="FF6161"/>
              </a:solidFill>
              <a:ln w="15875">
                <a:noFill/>
              </a:ln>
              <a:effectLst/>
            </c:spPr>
            <c:extLst>
              <c:ext xmlns:c16="http://schemas.microsoft.com/office/drawing/2014/chart" uri="{C3380CC4-5D6E-409C-BE32-E72D297353CC}">
                <c16:uniqueId val="{00000015-9550-4EA6-96B7-1F0426452396}"/>
              </c:ext>
            </c:extLst>
          </c:dPt>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List69!$A$56:$A$70</c:f>
              <c:strCache>
                <c:ptCount val="15"/>
                <c:pt idx="0">
                  <c:v>Ústecký</c:v>
                </c:pt>
                <c:pt idx="1">
                  <c:v>Karlovarský</c:v>
                </c:pt>
                <c:pt idx="2">
                  <c:v>Jihočeský</c:v>
                </c:pt>
                <c:pt idx="3">
                  <c:v>Královéhradecký</c:v>
                </c:pt>
                <c:pt idx="4">
                  <c:v>Liberecký</c:v>
                </c:pt>
                <c:pt idx="5">
                  <c:v>Vysočina</c:v>
                </c:pt>
                <c:pt idx="6">
                  <c:v>Olomoucký</c:v>
                </c:pt>
                <c:pt idx="7">
                  <c:v>Pardubický</c:v>
                </c:pt>
                <c:pt idx="8">
                  <c:v>ČR</c:v>
                </c:pt>
                <c:pt idx="9">
                  <c:v>Praha</c:v>
                </c:pt>
                <c:pt idx="10">
                  <c:v>Zlínský</c:v>
                </c:pt>
                <c:pt idx="11">
                  <c:v>Plzeňský</c:v>
                </c:pt>
                <c:pt idx="12">
                  <c:v>Moravskoslezský</c:v>
                </c:pt>
                <c:pt idx="13">
                  <c:v>Jihomoravský</c:v>
                </c:pt>
                <c:pt idx="14">
                  <c:v>Středočeský</c:v>
                </c:pt>
              </c:strCache>
            </c:strRef>
          </c:cat>
          <c:val>
            <c:numRef>
              <c:f>List69!$E$56:$E$70</c:f>
              <c:numCache>
                <c:formatCode>0.0%</c:formatCode>
                <c:ptCount val="15"/>
                <c:pt idx="0">
                  <c:v>6.8145800316957217E-2</c:v>
                </c:pt>
                <c:pt idx="1">
                  <c:v>0.10913705583756345</c:v>
                </c:pt>
                <c:pt idx="2">
                  <c:v>7.805907172995781E-2</c:v>
                </c:pt>
                <c:pt idx="3">
                  <c:v>5.0847457627118647E-2</c:v>
                </c:pt>
                <c:pt idx="4">
                  <c:v>7.9365079365079361E-2</c:v>
                </c:pt>
                <c:pt idx="5">
                  <c:v>6.1611374407582936E-2</c:v>
                </c:pt>
                <c:pt idx="6">
                  <c:v>6.8181818181818177E-2</c:v>
                </c:pt>
                <c:pt idx="7">
                  <c:v>3.614457831325301E-2</c:v>
                </c:pt>
                <c:pt idx="8">
                  <c:v>0.10782450632074692</c:v>
                </c:pt>
                <c:pt idx="9">
                  <c:v>0.15348456979358266</c:v>
                </c:pt>
                <c:pt idx="10">
                  <c:v>8.6021505376344093E-2</c:v>
                </c:pt>
                <c:pt idx="11">
                  <c:v>4.4205495818399047E-2</c:v>
                </c:pt>
                <c:pt idx="12">
                  <c:v>5.2941176470588235E-2</c:v>
                </c:pt>
                <c:pt idx="13">
                  <c:v>7.4112734864300631E-2</c:v>
                </c:pt>
                <c:pt idx="14">
                  <c:v>0.10523532522474881</c:v>
                </c:pt>
              </c:numCache>
            </c:numRef>
          </c:val>
          <c:extLst>
            <c:ext xmlns:c16="http://schemas.microsoft.com/office/drawing/2014/chart" uri="{C3380CC4-5D6E-409C-BE32-E72D297353CC}">
              <c16:uniqueId val="{00000016-9550-4EA6-96B7-1F0426452396}"/>
            </c:ext>
          </c:extLst>
        </c:ser>
        <c:ser>
          <c:idx val="4"/>
          <c:order val="4"/>
          <c:tx>
            <c:strRef>
              <c:f>List69!$F$55</c:f>
              <c:strCache>
                <c:ptCount val="1"/>
                <c:pt idx="0">
                  <c:v>Vietnam</c:v>
                </c:pt>
              </c:strCache>
            </c:strRef>
          </c:tx>
          <c:spPr>
            <a:solidFill>
              <a:srgbClr val="456A1C"/>
            </a:solidFill>
          </c:spPr>
          <c:invertIfNegative val="0"/>
          <c:dLbls>
            <c:numFmt formatCode="0.0\ %" sourceLinked="0"/>
            <c:spPr>
              <a:noFill/>
              <a:ln>
                <a:noFill/>
              </a:ln>
              <a:effectLst/>
            </c:spPr>
            <c:txPr>
              <a:bodyPr wrap="square" lIns="38100" tIns="19050" rIns="38100" bIns="19050" anchor="ctr">
                <a:spAutoFit/>
              </a:bodyPr>
              <a:lstStyle/>
              <a:p>
                <a:pPr>
                  <a:defRPr b="1">
                    <a:solidFill>
                      <a:schemeClr val="bg1"/>
                    </a:solidFill>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List69!$A$56:$A$70</c:f>
              <c:strCache>
                <c:ptCount val="15"/>
                <c:pt idx="0">
                  <c:v>Ústecký</c:v>
                </c:pt>
                <c:pt idx="1">
                  <c:v>Karlovarský</c:v>
                </c:pt>
                <c:pt idx="2">
                  <c:v>Jihočeský</c:v>
                </c:pt>
                <c:pt idx="3">
                  <c:v>Královéhradecký</c:v>
                </c:pt>
                <c:pt idx="4">
                  <c:v>Liberecký</c:v>
                </c:pt>
                <c:pt idx="5">
                  <c:v>Vysočina</c:v>
                </c:pt>
                <c:pt idx="6">
                  <c:v>Olomoucký</c:v>
                </c:pt>
                <c:pt idx="7">
                  <c:v>Pardubický</c:v>
                </c:pt>
                <c:pt idx="8">
                  <c:v>ČR</c:v>
                </c:pt>
                <c:pt idx="9">
                  <c:v>Praha</c:v>
                </c:pt>
                <c:pt idx="10">
                  <c:v>Zlínský</c:v>
                </c:pt>
                <c:pt idx="11">
                  <c:v>Plzeňský</c:v>
                </c:pt>
                <c:pt idx="12">
                  <c:v>Moravskoslezský</c:v>
                </c:pt>
                <c:pt idx="13">
                  <c:v>Jihomoravský</c:v>
                </c:pt>
                <c:pt idx="14">
                  <c:v>Středočeský</c:v>
                </c:pt>
              </c:strCache>
            </c:strRef>
          </c:cat>
          <c:val>
            <c:numRef>
              <c:f>List69!$F$56:$F$70</c:f>
              <c:numCache>
                <c:formatCode>0.0%</c:formatCode>
                <c:ptCount val="15"/>
                <c:pt idx="0">
                  <c:v>0.42947702060221871</c:v>
                </c:pt>
                <c:pt idx="1">
                  <c:v>0.45177664974619292</c:v>
                </c:pt>
                <c:pt idx="2">
                  <c:v>0.39873417721518989</c:v>
                </c:pt>
                <c:pt idx="3">
                  <c:v>0.33220338983050846</c:v>
                </c:pt>
                <c:pt idx="4">
                  <c:v>0.24036281179138322</c:v>
                </c:pt>
                <c:pt idx="5">
                  <c:v>0.27014218009478674</c:v>
                </c:pt>
                <c:pt idx="6">
                  <c:v>0.45454545454545453</c:v>
                </c:pt>
                <c:pt idx="7">
                  <c:v>0.23493975903614459</c:v>
                </c:pt>
                <c:pt idx="8">
                  <c:v>0.22746426505825001</c:v>
                </c:pt>
                <c:pt idx="9">
                  <c:v>0.14326589004700593</c:v>
                </c:pt>
                <c:pt idx="10">
                  <c:v>0.32258064516129031</c:v>
                </c:pt>
                <c:pt idx="11">
                  <c:v>0.31182795698924731</c:v>
                </c:pt>
                <c:pt idx="12">
                  <c:v>0.35588235294117648</c:v>
                </c:pt>
                <c:pt idx="13">
                  <c:v>0.22546972860125261</c:v>
                </c:pt>
                <c:pt idx="14">
                  <c:v>0.16763617133791645</c:v>
                </c:pt>
              </c:numCache>
            </c:numRef>
          </c:val>
          <c:extLst>
            <c:ext xmlns:c16="http://schemas.microsoft.com/office/drawing/2014/chart" uri="{C3380CC4-5D6E-409C-BE32-E72D297353CC}">
              <c16:uniqueId val="{00000017-9550-4EA6-96B7-1F0426452396}"/>
            </c:ext>
          </c:extLst>
        </c:ser>
        <c:ser>
          <c:idx val="5"/>
          <c:order val="5"/>
          <c:tx>
            <c:strRef>
              <c:f>List69!$G$55</c:f>
              <c:strCache>
                <c:ptCount val="1"/>
                <c:pt idx="0">
                  <c:v>jiné státy mimo Evropu</c:v>
                </c:pt>
              </c:strCache>
            </c:strRef>
          </c:tx>
          <c:spPr>
            <a:solidFill>
              <a:srgbClr val="92D050"/>
            </a:solidFill>
          </c:spPr>
          <c:invertIfNegative val="0"/>
          <c:dLbls>
            <c:numFmt formatCode="0.0\ %"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List69!$A$56:$A$70</c:f>
              <c:strCache>
                <c:ptCount val="15"/>
                <c:pt idx="0">
                  <c:v>Ústecký</c:v>
                </c:pt>
                <c:pt idx="1">
                  <c:v>Karlovarský</c:v>
                </c:pt>
                <c:pt idx="2">
                  <c:v>Jihočeský</c:v>
                </c:pt>
                <c:pt idx="3">
                  <c:v>Královéhradecký</c:v>
                </c:pt>
                <c:pt idx="4">
                  <c:v>Liberecký</c:v>
                </c:pt>
                <c:pt idx="5">
                  <c:v>Vysočina</c:v>
                </c:pt>
                <c:pt idx="6">
                  <c:v>Olomoucký</c:v>
                </c:pt>
                <c:pt idx="7">
                  <c:v>Pardubický</c:v>
                </c:pt>
                <c:pt idx="8">
                  <c:v>ČR</c:v>
                </c:pt>
                <c:pt idx="9">
                  <c:v>Praha</c:v>
                </c:pt>
                <c:pt idx="10">
                  <c:v>Zlínský</c:v>
                </c:pt>
                <c:pt idx="11">
                  <c:v>Plzeňský</c:v>
                </c:pt>
                <c:pt idx="12">
                  <c:v>Moravskoslezský</c:v>
                </c:pt>
                <c:pt idx="13">
                  <c:v>Jihomoravský</c:v>
                </c:pt>
                <c:pt idx="14">
                  <c:v>Středočeský</c:v>
                </c:pt>
              </c:strCache>
            </c:strRef>
          </c:cat>
          <c:val>
            <c:numRef>
              <c:f>List69!$G$56:$G$70</c:f>
              <c:numCache>
                <c:formatCode>0.0%</c:formatCode>
                <c:ptCount val="15"/>
                <c:pt idx="0">
                  <c:v>0.17908082408874801</c:v>
                </c:pt>
                <c:pt idx="1">
                  <c:v>8.3756345177664976E-2</c:v>
                </c:pt>
                <c:pt idx="2">
                  <c:v>6.5400843881856546E-2</c:v>
                </c:pt>
                <c:pt idx="3">
                  <c:v>0.11186440677966102</c:v>
                </c:pt>
                <c:pt idx="4">
                  <c:v>0.24489795918367346</c:v>
                </c:pt>
                <c:pt idx="5">
                  <c:v>0.13270142180094788</c:v>
                </c:pt>
                <c:pt idx="6">
                  <c:v>6.8181818181818177E-2</c:v>
                </c:pt>
                <c:pt idx="7">
                  <c:v>0.1716867469879518</c:v>
                </c:pt>
                <c:pt idx="8">
                  <c:v>0.10898124431959018</c:v>
                </c:pt>
                <c:pt idx="9">
                  <c:v>0.11649294911097487</c:v>
                </c:pt>
                <c:pt idx="10">
                  <c:v>0.15053763440860216</c:v>
                </c:pt>
                <c:pt idx="11">
                  <c:v>3.8231780167264036E-2</c:v>
                </c:pt>
                <c:pt idx="12">
                  <c:v>0.10882352941176471</c:v>
                </c:pt>
                <c:pt idx="13">
                  <c:v>0.11064718162839249</c:v>
                </c:pt>
                <c:pt idx="14">
                  <c:v>6.7689053410893707E-2</c:v>
                </c:pt>
              </c:numCache>
            </c:numRef>
          </c:val>
          <c:extLst>
            <c:ext xmlns:c16="http://schemas.microsoft.com/office/drawing/2014/chart" uri="{C3380CC4-5D6E-409C-BE32-E72D297353CC}">
              <c16:uniqueId val="{00000018-9550-4EA6-96B7-1F0426452396}"/>
            </c:ext>
          </c:extLst>
        </c:ser>
        <c:dLbls>
          <c:showLegendKey val="0"/>
          <c:showVal val="0"/>
          <c:showCatName val="0"/>
          <c:showSerName val="0"/>
          <c:showPercent val="0"/>
          <c:showBubbleSize val="0"/>
        </c:dLbls>
        <c:gapWidth val="90"/>
        <c:overlap val="100"/>
        <c:axId val="403473408"/>
        <c:axId val="443765248"/>
      </c:barChart>
      <c:catAx>
        <c:axId val="4034734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43765248"/>
        <c:crosses val="autoZero"/>
        <c:auto val="1"/>
        <c:lblAlgn val="ctr"/>
        <c:lblOffset val="100"/>
        <c:noMultiLvlLbl val="0"/>
      </c:catAx>
      <c:valAx>
        <c:axId val="443765248"/>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low"/>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03473408"/>
        <c:crosses val="autoZero"/>
        <c:crossBetween val="between"/>
      </c:valAx>
      <c:spPr>
        <a:noFill/>
        <a:ln>
          <a:noFill/>
        </a:ln>
        <a:effectLst/>
      </c:spPr>
    </c:plotArea>
    <c:legend>
      <c:legendPos val="b"/>
      <c:layout>
        <c:manualLayout>
          <c:xMode val="edge"/>
          <c:yMode val="edge"/>
          <c:x val="4.180437651089499E-2"/>
          <c:y val="0.95034610531695707"/>
          <c:w val="0.95609566548826508"/>
          <c:h val="4.0150346318272079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711546926199439E-2"/>
          <c:y val="3.8903625110521665E-2"/>
          <c:w val="0.85534226699923377"/>
          <c:h val="0.71456329497274396"/>
        </c:manualLayout>
      </c:layout>
      <c:barChart>
        <c:barDir val="col"/>
        <c:grouping val="stacked"/>
        <c:varyColors val="0"/>
        <c:ser>
          <c:idx val="0"/>
          <c:order val="0"/>
          <c:tx>
            <c:strRef>
              <c:f>List3!$C$3</c:f>
              <c:strCache>
                <c:ptCount val="1"/>
                <c:pt idx="0">
                  <c:v>třídy ve školách veřejného zřiz.</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List3!$A$4:$B$14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List3!$C$4:$C$14</c:f>
              <c:numCache>
                <c:formatCode>#\ ##0_ ;\-#\ ##0\ </c:formatCode>
                <c:ptCount val="11"/>
                <c:pt idx="0">
                  <c:v>14084</c:v>
                </c:pt>
                <c:pt idx="1">
                  <c:v>14494</c:v>
                </c:pt>
                <c:pt idx="2">
                  <c:v>14795</c:v>
                </c:pt>
                <c:pt idx="3">
                  <c:v>15021</c:v>
                </c:pt>
                <c:pt idx="4">
                  <c:v>15076</c:v>
                </c:pt>
                <c:pt idx="5">
                  <c:v>15069</c:v>
                </c:pt>
                <c:pt idx="6">
                  <c:v>15117</c:v>
                </c:pt>
                <c:pt idx="7">
                  <c:v>15195</c:v>
                </c:pt>
                <c:pt idx="8">
                  <c:v>15418</c:v>
                </c:pt>
                <c:pt idx="9">
                  <c:v>15626</c:v>
                </c:pt>
                <c:pt idx="10">
                  <c:v>15841</c:v>
                </c:pt>
              </c:numCache>
            </c:numRef>
          </c:val>
          <c:extLst>
            <c:ext xmlns:c16="http://schemas.microsoft.com/office/drawing/2014/chart" uri="{C3380CC4-5D6E-409C-BE32-E72D297353CC}">
              <c16:uniqueId val="{00000000-E359-44DB-850E-A92732614F36}"/>
            </c:ext>
          </c:extLst>
        </c:ser>
        <c:ser>
          <c:idx val="1"/>
          <c:order val="1"/>
          <c:tx>
            <c:strRef>
              <c:f>List3!$D$3</c:f>
              <c:strCache>
                <c:ptCount val="1"/>
                <c:pt idx="0">
                  <c:v>třídy ve školách soukromého zřiz.</c:v>
                </c:pt>
              </c:strCache>
            </c:strRef>
          </c:tx>
          <c:spPr>
            <a:solidFill>
              <a:schemeClr val="accent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List3!$A$4:$B$14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List3!$D$4:$D$14</c:f>
              <c:numCache>
                <c:formatCode>#\ ##0_ ;\-#\ ##0\ </c:formatCode>
                <c:ptCount val="11"/>
                <c:pt idx="0">
                  <c:v>325</c:v>
                </c:pt>
                <c:pt idx="1">
                  <c:v>397</c:v>
                </c:pt>
                <c:pt idx="2">
                  <c:v>509</c:v>
                </c:pt>
                <c:pt idx="3">
                  <c:v>615</c:v>
                </c:pt>
                <c:pt idx="4">
                  <c:v>676</c:v>
                </c:pt>
                <c:pt idx="5">
                  <c:v>686</c:v>
                </c:pt>
                <c:pt idx="6">
                  <c:v>748</c:v>
                </c:pt>
                <c:pt idx="7">
                  <c:v>764</c:v>
                </c:pt>
                <c:pt idx="8">
                  <c:v>774</c:v>
                </c:pt>
                <c:pt idx="9">
                  <c:v>795</c:v>
                </c:pt>
                <c:pt idx="10">
                  <c:v>853</c:v>
                </c:pt>
              </c:numCache>
            </c:numRef>
          </c:val>
          <c:extLst>
            <c:ext xmlns:c16="http://schemas.microsoft.com/office/drawing/2014/chart" uri="{C3380CC4-5D6E-409C-BE32-E72D297353CC}">
              <c16:uniqueId val="{00000001-E359-44DB-850E-A92732614F36}"/>
            </c:ext>
          </c:extLst>
        </c:ser>
        <c:ser>
          <c:idx val="2"/>
          <c:order val="2"/>
          <c:tx>
            <c:strRef>
              <c:f>List3!$E$3</c:f>
              <c:strCache>
                <c:ptCount val="1"/>
                <c:pt idx="0">
                  <c:v>třídy ve školách církevního zřiz.</c:v>
                </c:pt>
              </c:strCache>
            </c:strRef>
          </c:tx>
          <c:spPr>
            <a:solidFill>
              <a:srgbClr val="70AD4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70AD47"/>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List3!$A$4:$B$14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List3!$E$4:$E$14</c:f>
              <c:numCache>
                <c:formatCode>#\ ##0_ ;\-#\ ##0\ </c:formatCode>
                <c:ptCount val="11"/>
                <c:pt idx="0">
                  <c:v>72</c:v>
                </c:pt>
                <c:pt idx="1">
                  <c:v>81</c:v>
                </c:pt>
                <c:pt idx="2">
                  <c:v>86</c:v>
                </c:pt>
                <c:pt idx="3">
                  <c:v>93</c:v>
                </c:pt>
                <c:pt idx="4">
                  <c:v>96</c:v>
                </c:pt>
                <c:pt idx="5">
                  <c:v>101</c:v>
                </c:pt>
                <c:pt idx="6">
                  <c:v>104</c:v>
                </c:pt>
                <c:pt idx="7">
                  <c:v>105</c:v>
                </c:pt>
                <c:pt idx="8">
                  <c:v>103</c:v>
                </c:pt>
                <c:pt idx="9">
                  <c:v>105</c:v>
                </c:pt>
                <c:pt idx="10">
                  <c:v>106</c:v>
                </c:pt>
              </c:numCache>
            </c:numRef>
          </c:val>
          <c:extLst>
            <c:ext xmlns:c16="http://schemas.microsoft.com/office/drawing/2014/chart" uri="{C3380CC4-5D6E-409C-BE32-E72D297353CC}">
              <c16:uniqueId val="{00000002-E359-44DB-850E-A92732614F36}"/>
            </c:ext>
          </c:extLst>
        </c:ser>
        <c:dLbls>
          <c:showLegendKey val="0"/>
          <c:showVal val="0"/>
          <c:showCatName val="0"/>
          <c:showSerName val="0"/>
          <c:showPercent val="0"/>
          <c:showBubbleSize val="0"/>
        </c:dLbls>
        <c:gapWidth val="34"/>
        <c:overlap val="100"/>
        <c:axId val="370386432"/>
        <c:axId val="376808000"/>
      </c:barChart>
      <c:lineChart>
        <c:grouping val="standard"/>
        <c:varyColors val="0"/>
        <c:ser>
          <c:idx val="3"/>
          <c:order val="3"/>
          <c:tx>
            <c:strRef>
              <c:f>List3!$F$3</c:f>
              <c:strCache>
                <c:ptCount val="1"/>
                <c:pt idx="0">
                  <c:v>počet dětí v MŠ celkem (v tis.)</c:v>
                </c:pt>
              </c:strCache>
            </c:strRef>
          </c:tx>
          <c:spPr>
            <a:ln w="19050">
              <a:solidFill>
                <a:schemeClr val="tx1">
                  <a:lumMod val="50000"/>
                  <a:lumOff val="50000"/>
                </a:schemeClr>
              </a:solidFill>
            </a:ln>
          </c:spPr>
          <c:marker>
            <c:symbol val="none"/>
          </c:marker>
          <c:dLbls>
            <c:spPr>
              <a:noFill/>
              <a:ln>
                <a:noFill/>
              </a:ln>
              <a:effectLst/>
            </c:spPr>
            <c:txPr>
              <a:bodyPr wrap="square" lIns="38100" tIns="19050" rIns="38100" bIns="19050" anchor="ctr">
                <a:spAutoFit/>
              </a:bodyPr>
              <a:lstStyle/>
              <a:p>
                <a:pPr>
                  <a:defRPr b="1" i="1">
                    <a:solidFill>
                      <a:schemeClr val="tx1">
                        <a:lumMod val="50000"/>
                        <a:lumOff val="50000"/>
                      </a:schemeClr>
                    </a:solidFill>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List3!$A$4:$B$14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List3!$F$4:$F$14</c:f>
              <c:numCache>
                <c:formatCode>#\ ##0.0_ ;\-#\ ##0.0\ </c:formatCode>
                <c:ptCount val="11"/>
                <c:pt idx="0">
                  <c:v>342.52100000000002</c:v>
                </c:pt>
                <c:pt idx="1">
                  <c:v>354.34</c:v>
                </c:pt>
                <c:pt idx="2">
                  <c:v>363.56799999999998</c:v>
                </c:pt>
                <c:pt idx="3">
                  <c:v>367.60300000000001</c:v>
                </c:pt>
                <c:pt idx="4">
                  <c:v>367.36099999999999</c:v>
                </c:pt>
                <c:pt idx="5">
                  <c:v>362.65300000000002</c:v>
                </c:pt>
                <c:pt idx="6">
                  <c:v>362.75599999999997</c:v>
                </c:pt>
                <c:pt idx="7">
                  <c:v>363.77600000000001</c:v>
                </c:pt>
                <c:pt idx="8">
                  <c:v>364.90899999999999</c:v>
                </c:pt>
                <c:pt idx="9">
                  <c:v>357.59800000000001</c:v>
                </c:pt>
                <c:pt idx="10">
                  <c:v>360.49</c:v>
                </c:pt>
              </c:numCache>
            </c:numRef>
          </c:val>
          <c:smooth val="0"/>
          <c:extLst>
            <c:ext xmlns:c16="http://schemas.microsoft.com/office/drawing/2014/chart" uri="{C3380CC4-5D6E-409C-BE32-E72D297353CC}">
              <c16:uniqueId val="{00000004-E359-44DB-850E-A92732614F36}"/>
            </c:ext>
          </c:extLst>
        </c:ser>
        <c:dLbls>
          <c:showLegendKey val="0"/>
          <c:showVal val="0"/>
          <c:showCatName val="0"/>
          <c:showSerName val="0"/>
          <c:showPercent val="0"/>
          <c:showBubbleSize val="0"/>
        </c:dLbls>
        <c:marker val="1"/>
        <c:smooth val="0"/>
        <c:axId val="88381199"/>
        <c:axId val="88384111"/>
      </c:lineChart>
      <c:catAx>
        <c:axId val="370386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76808000"/>
        <c:crosses val="autoZero"/>
        <c:auto val="1"/>
        <c:lblAlgn val="ctr"/>
        <c:lblOffset val="100"/>
        <c:noMultiLvlLbl val="0"/>
      </c:catAx>
      <c:valAx>
        <c:axId val="376808000"/>
        <c:scaling>
          <c:orientation val="minMax"/>
          <c:max val="220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70386432"/>
        <c:crosses val="autoZero"/>
        <c:crossBetween val="between"/>
        <c:majorUnit val="2000"/>
        <c:minorUnit val="1000"/>
      </c:valAx>
      <c:valAx>
        <c:axId val="88384111"/>
        <c:scaling>
          <c:orientation val="minMax"/>
          <c:max val="400"/>
          <c:min val="0"/>
        </c:scaling>
        <c:delete val="0"/>
        <c:axPos val="r"/>
        <c:numFmt formatCode="#,##0" sourceLinked="0"/>
        <c:majorTickMark val="out"/>
        <c:minorTickMark val="none"/>
        <c:tickLblPos val="nextTo"/>
        <c:txPr>
          <a:bodyPr/>
          <a:lstStyle/>
          <a:p>
            <a:pPr>
              <a:defRPr i="1">
                <a:solidFill>
                  <a:sysClr val="windowText" lastClr="000000"/>
                </a:solidFill>
              </a:defRPr>
            </a:pPr>
            <a:endParaRPr lang="cs-CZ"/>
          </a:p>
        </c:txPr>
        <c:crossAx val="88381199"/>
        <c:crosses val="max"/>
        <c:crossBetween val="between"/>
      </c:valAx>
      <c:catAx>
        <c:axId val="88381199"/>
        <c:scaling>
          <c:orientation val="minMax"/>
        </c:scaling>
        <c:delete val="1"/>
        <c:axPos val="b"/>
        <c:numFmt formatCode="General" sourceLinked="1"/>
        <c:majorTickMark val="out"/>
        <c:minorTickMark val="none"/>
        <c:tickLblPos val="nextTo"/>
        <c:crossAx val="88384111"/>
        <c:crosses val="autoZero"/>
        <c:auto val="1"/>
        <c:lblAlgn val="ctr"/>
        <c:lblOffset val="100"/>
        <c:noMultiLvlLbl val="0"/>
      </c:catAx>
      <c:spPr>
        <a:noFill/>
        <a:ln w="25400">
          <a:noFill/>
        </a:ln>
        <a:effectLst/>
      </c:spPr>
    </c:plotArea>
    <c:legend>
      <c:legendPos val="b"/>
      <c:layout>
        <c:manualLayout>
          <c:xMode val="edge"/>
          <c:yMode val="edge"/>
          <c:x val="9.7966354399442027E-2"/>
          <c:y val="0.85764503574984163"/>
          <c:w val="0.81374847692913799"/>
          <c:h val="0.11834165291672759"/>
        </c:manualLayout>
      </c:layout>
      <c:overlay val="0"/>
      <c:spPr>
        <a:noFill/>
        <a:ln>
          <a:solidFill>
            <a:schemeClr val="bg1">
              <a:lumMod val="50000"/>
            </a:schemeClr>
          </a:solid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'1.1.16'!$AA$6</c:f>
              <c:strCache>
                <c:ptCount val="1"/>
                <c:pt idx="0">
                  <c:v>počet</c:v>
                </c:pt>
              </c:strCache>
            </c:strRef>
          </c:tx>
          <c:spPr>
            <a:solidFill>
              <a:srgbClr val="0070C0"/>
            </a:solidFill>
            <a:ln>
              <a:noFill/>
            </a:ln>
            <a:effectLst/>
          </c:spPr>
          <c:invertIfNegative val="0"/>
          <c:dLbls>
            <c:dLbl>
              <c:idx val="10"/>
              <c:layout>
                <c:manualLayout>
                  <c:x val="2.0610342266406866E-4"/>
                  <c:y val="7.9829294450402585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EBD0-4DD5-812A-783C2BC564D1}"/>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'1.1.16'!$Z$7:$Z$17</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'1.1.16'!$AA$7:$AA$17</c:f>
              <c:numCache>
                <c:formatCode>#\ ##0_ ;\-#\ ##0\ </c:formatCode>
                <c:ptCount val="11"/>
                <c:pt idx="0">
                  <c:v>9510</c:v>
                </c:pt>
                <c:pt idx="1">
                  <c:v>9767</c:v>
                </c:pt>
                <c:pt idx="2">
                  <c:v>10063</c:v>
                </c:pt>
                <c:pt idx="3">
                  <c:v>10312</c:v>
                </c:pt>
                <c:pt idx="4">
                  <c:v>10536</c:v>
                </c:pt>
                <c:pt idx="5">
                  <c:v>10486</c:v>
                </c:pt>
                <c:pt idx="6">
                  <c:v>10788</c:v>
                </c:pt>
                <c:pt idx="7">
                  <c:v>11245</c:v>
                </c:pt>
                <c:pt idx="8">
                  <c:v>11695</c:v>
                </c:pt>
                <c:pt idx="9">
                  <c:v>11547</c:v>
                </c:pt>
                <c:pt idx="10">
                  <c:v>12048</c:v>
                </c:pt>
              </c:numCache>
            </c:numRef>
          </c:val>
          <c:extLst>
            <c:ext xmlns:c16="http://schemas.microsoft.com/office/drawing/2014/chart" uri="{C3380CC4-5D6E-409C-BE32-E72D297353CC}">
              <c16:uniqueId val="{00000001-EBD0-4DD5-812A-783C2BC564D1}"/>
            </c:ext>
          </c:extLst>
        </c:ser>
        <c:dLbls>
          <c:showLegendKey val="0"/>
          <c:showVal val="0"/>
          <c:showCatName val="0"/>
          <c:showSerName val="0"/>
          <c:showPercent val="0"/>
          <c:showBubbleSize val="0"/>
        </c:dLbls>
        <c:gapWidth val="99"/>
        <c:overlap val="3"/>
        <c:axId val="370724352"/>
        <c:axId val="443766976"/>
      </c:barChart>
      <c:lineChart>
        <c:grouping val="standard"/>
        <c:varyColors val="0"/>
        <c:ser>
          <c:idx val="1"/>
          <c:order val="1"/>
          <c:tx>
            <c:strRef>
              <c:f>'1.1.16'!$AB$6</c:f>
              <c:strCache>
                <c:ptCount val="1"/>
                <c:pt idx="0">
                  <c:v>podíl na celkovém počtu dětí v MŠ</c:v>
                </c:pt>
              </c:strCache>
            </c:strRef>
          </c:tx>
          <c:spPr>
            <a:ln w="28575" cap="rnd">
              <a:solidFill>
                <a:schemeClr val="accent2"/>
              </a:solidFill>
              <a:round/>
            </a:ln>
            <a:effectLst/>
          </c:spPr>
          <c:marker>
            <c:symbol val="none"/>
          </c:marker>
          <c:dLbls>
            <c:numFmt formatCode="0.0\ %" sourceLinked="0"/>
            <c:spPr>
              <a:solidFill>
                <a:srgbClr val="FF0000"/>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'1.1.16'!$Z$7:$Z$17</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'1.1.16'!$AB$7:$AB$17</c:f>
              <c:numCache>
                <c:formatCode>0.0%</c:formatCode>
                <c:ptCount val="11"/>
                <c:pt idx="0">
                  <c:v>2.7764720995209054E-2</c:v>
                </c:pt>
                <c:pt idx="1">
                  <c:v>2.7563921657165435E-2</c:v>
                </c:pt>
                <c:pt idx="2">
                  <c:v>2.7678453549267262E-2</c:v>
                </c:pt>
                <c:pt idx="3">
                  <c:v>2.8052001751889946E-2</c:v>
                </c:pt>
                <c:pt idx="4">
                  <c:v>2.8680235517651573E-2</c:v>
                </c:pt>
                <c:pt idx="5">
                  <c:v>2.8914692557348208E-2</c:v>
                </c:pt>
                <c:pt idx="6">
                  <c:v>2.9738998114435047E-2</c:v>
                </c:pt>
                <c:pt idx="7">
                  <c:v>3.0911879838142153E-2</c:v>
                </c:pt>
                <c:pt idx="8">
                  <c:v>3.2049086210534684E-2</c:v>
                </c:pt>
                <c:pt idx="9">
                  <c:v>3.2290449051728475E-2</c:v>
                </c:pt>
                <c:pt idx="10">
                  <c:v>3.3421176731670783E-2</c:v>
                </c:pt>
              </c:numCache>
            </c:numRef>
          </c:val>
          <c:smooth val="0"/>
          <c:extLst>
            <c:ext xmlns:c16="http://schemas.microsoft.com/office/drawing/2014/chart" uri="{C3380CC4-5D6E-409C-BE32-E72D297353CC}">
              <c16:uniqueId val="{00000002-EBD0-4DD5-812A-783C2BC564D1}"/>
            </c:ext>
          </c:extLst>
        </c:ser>
        <c:dLbls>
          <c:showLegendKey val="0"/>
          <c:showVal val="0"/>
          <c:showCatName val="0"/>
          <c:showSerName val="0"/>
          <c:showPercent val="0"/>
          <c:showBubbleSize val="0"/>
        </c:dLbls>
        <c:marker val="1"/>
        <c:smooth val="0"/>
        <c:axId val="446736384"/>
        <c:axId val="443767552"/>
      </c:lineChart>
      <c:catAx>
        <c:axId val="370724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43766976"/>
        <c:crosses val="autoZero"/>
        <c:auto val="1"/>
        <c:lblAlgn val="ctr"/>
        <c:lblOffset val="100"/>
        <c:noMultiLvlLbl val="0"/>
      </c:catAx>
      <c:valAx>
        <c:axId val="443766976"/>
        <c:scaling>
          <c:orientation val="minMax"/>
          <c:max val="12100"/>
        </c:scaling>
        <c:delete val="0"/>
        <c:axPos val="l"/>
        <c:numFmt formatCode="#\ ##0_ ;\-#\ ##0\ "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370724352"/>
        <c:crosses val="autoZero"/>
        <c:crossBetween val="between"/>
        <c:majorUnit val="1000"/>
        <c:minorUnit val="500"/>
      </c:valAx>
      <c:valAx>
        <c:axId val="443767552"/>
        <c:scaling>
          <c:orientation val="minMax"/>
          <c:max val="6.0000000000000012E-2"/>
        </c:scaling>
        <c:delete val="0"/>
        <c:axPos val="r"/>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46736384"/>
        <c:crosses val="max"/>
        <c:crossBetween val="between"/>
      </c:valAx>
      <c:catAx>
        <c:axId val="446736384"/>
        <c:scaling>
          <c:orientation val="minMax"/>
        </c:scaling>
        <c:delete val="1"/>
        <c:axPos val="b"/>
        <c:numFmt formatCode="General" sourceLinked="1"/>
        <c:majorTickMark val="none"/>
        <c:minorTickMark val="none"/>
        <c:tickLblPos val="nextTo"/>
        <c:crossAx val="443767552"/>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238618358508503E-2"/>
          <c:y val="0.1116584564860427"/>
          <c:w val="0.95352276328298302"/>
          <c:h val="0.65775209133341095"/>
        </c:manualLayout>
      </c:layout>
      <c:barChart>
        <c:barDir val="col"/>
        <c:grouping val="clustered"/>
        <c:varyColors val="0"/>
        <c:ser>
          <c:idx val="0"/>
          <c:order val="0"/>
          <c:tx>
            <c:strRef>
              <c:f>'1.1.16'!$C$28</c:f>
              <c:strCache>
                <c:ptCount val="1"/>
                <c:pt idx="0">
                  <c:v>počet</c:v>
                </c:pt>
              </c:strCache>
            </c:strRef>
          </c:tx>
          <c:spPr>
            <a:solidFill>
              <a:srgbClr val="70AD4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'1.1.16'!$B$29:$B$39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'1.1.16'!$C$29:$C$39</c:f>
              <c:numCache>
                <c:formatCode>#\ ##0_ ;\-#\ ##0\ </c:formatCode>
                <c:ptCount val="11"/>
                <c:pt idx="0">
                  <c:v>2032</c:v>
                </c:pt>
                <c:pt idx="1">
                  <c:v>2156</c:v>
                </c:pt>
                <c:pt idx="2">
                  <c:v>2299</c:v>
                </c:pt>
                <c:pt idx="3">
                  <c:v>2484</c:v>
                </c:pt>
                <c:pt idx="4">
                  <c:v>2748</c:v>
                </c:pt>
                <c:pt idx="5">
                  <c:v>3029</c:v>
                </c:pt>
                <c:pt idx="6">
                  <c:v>3774</c:v>
                </c:pt>
                <c:pt idx="7">
                  <c:v>4367</c:v>
                </c:pt>
                <c:pt idx="8">
                  <c:v>4694</c:v>
                </c:pt>
                <c:pt idx="9">
                  <c:v>4841</c:v>
                </c:pt>
                <c:pt idx="10">
                  <c:v>5326</c:v>
                </c:pt>
              </c:numCache>
            </c:numRef>
          </c:val>
          <c:extLst>
            <c:ext xmlns:c16="http://schemas.microsoft.com/office/drawing/2014/chart" uri="{C3380CC4-5D6E-409C-BE32-E72D297353CC}">
              <c16:uniqueId val="{00000000-0EBD-443D-B094-65AF9C7EF2DB}"/>
            </c:ext>
          </c:extLst>
        </c:ser>
        <c:dLbls>
          <c:showLegendKey val="0"/>
          <c:showVal val="0"/>
          <c:showCatName val="0"/>
          <c:showSerName val="0"/>
          <c:showPercent val="0"/>
          <c:showBubbleSize val="0"/>
        </c:dLbls>
        <c:gapWidth val="69"/>
        <c:overlap val="3"/>
        <c:axId val="403474432"/>
        <c:axId val="446628416"/>
      </c:barChart>
      <c:lineChart>
        <c:grouping val="standard"/>
        <c:varyColors val="0"/>
        <c:ser>
          <c:idx val="1"/>
          <c:order val="1"/>
          <c:tx>
            <c:strRef>
              <c:f>'1.1.16'!$D$28</c:f>
              <c:strCache>
                <c:ptCount val="1"/>
                <c:pt idx="0">
                  <c:v>podíl na celkovém počtu dětí se zdravotním postižením</c:v>
                </c:pt>
              </c:strCache>
            </c:strRef>
          </c:tx>
          <c:spPr>
            <a:ln w="28575" cap="rnd">
              <a:solidFill>
                <a:schemeClr val="accent2"/>
              </a:solidFill>
              <a:round/>
            </a:ln>
            <a:effectLst/>
          </c:spPr>
          <c:marker>
            <c:symbol val="none"/>
          </c:marker>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'1.1.16'!$B$29:$B$39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'1.1.16'!$D$29:$D$39</c:f>
              <c:numCache>
                <c:formatCode>0%</c:formatCode>
                <c:ptCount val="11"/>
                <c:pt idx="0">
                  <c:v>0.21366982124079917</c:v>
                </c:pt>
                <c:pt idx="1">
                  <c:v>0.22074331934063685</c:v>
                </c:pt>
                <c:pt idx="2">
                  <c:v>0.22846069760508794</c:v>
                </c:pt>
                <c:pt idx="3">
                  <c:v>0.24088440651667958</c:v>
                </c:pt>
                <c:pt idx="4">
                  <c:v>0.26082004555808658</c:v>
                </c:pt>
                <c:pt idx="5">
                  <c:v>0.28886133892809462</c:v>
                </c:pt>
                <c:pt idx="6">
                  <c:v>0.34983314794215797</c:v>
                </c:pt>
                <c:pt idx="7">
                  <c:v>0.38835037794575367</c:v>
                </c:pt>
                <c:pt idx="8">
                  <c:v>0.40136810602821721</c:v>
                </c:pt>
                <c:pt idx="9">
                  <c:v>0.41924309344418464</c:v>
                </c:pt>
                <c:pt idx="10">
                  <c:v>0.44206507304116865</c:v>
                </c:pt>
              </c:numCache>
            </c:numRef>
          </c:val>
          <c:smooth val="0"/>
          <c:extLst>
            <c:ext xmlns:c16="http://schemas.microsoft.com/office/drawing/2014/chart" uri="{C3380CC4-5D6E-409C-BE32-E72D297353CC}">
              <c16:uniqueId val="{00000001-0EBD-443D-B094-65AF9C7EF2DB}"/>
            </c:ext>
          </c:extLst>
        </c:ser>
        <c:dLbls>
          <c:showLegendKey val="0"/>
          <c:showVal val="0"/>
          <c:showCatName val="0"/>
          <c:showSerName val="0"/>
          <c:showPercent val="0"/>
          <c:showBubbleSize val="0"/>
        </c:dLbls>
        <c:marker val="1"/>
        <c:smooth val="0"/>
        <c:axId val="445625344"/>
        <c:axId val="446628992"/>
      </c:lineChart>
      <c:catAx>
        <c:axId val="40347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46628416"/>
        <c:crosses val="autoZero"/>
        <c:auto val="1"/>
        <c:lblAlgn val="ctr"/>
        <c:lblOffset val="100"/>
        <c:noMultiLvlLbl val="0"/>
      </c:catAx>
      <c:valAx>
        <c:axId val="446628416"/>
        <c:scaling>
          <c:orientation val="minMax"/>
          <c:max val="5700"/>
          <c:min val="0"/>
        </c:scaling>
        <c:delete val="0"/>
        <c:axPos val="l"/>
        <c:numFmt formatCode="#\ ##0_ ;\-#\ ##0\ "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03474432"/>
        <c:crosses val="autoZero"/>
        <c:crossBetween val="between"/>
        <c:majorUnit val="500"/>
        <c:minorUnit val="100"/>
      </c:valAx>
      <c:valAx>
        <c:axId val="446628992"/>
        <c:scaling>
          <c:orientation val="minMax"/>
          <c:max val="0.45"/>
        </c:scaling>
        <c:delete val="0"/>
        <c:axPos val="r"/>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45625344"/>
        <c:crosses val="max"/>
        <c:crossBetween val="between"/>
      </c:valAx>
      <c:catAx>
        <c:axId val="445625344"/>
        <c:scaling>
          <c:orientation val="minMax"/>
        </c:scaling>
        <c:delete val="1"/>
        <c:axPos val="b"/>
        <c:numFmt formatCode="General" sourceLinked="1"/>
        <c:majorTickMark val="none"/>
        <c:minorTickMark val="none"/>
        <c:tickLblPos val="nextTo"/>
        <c:crossAx val="446628992"/>
        <c:crosses val="autoZero"/>
        <c:auto val="1"/>
        <c:lblAlgn val="ctr"/>
        <c:lblOffset val="100"/>
        <c:noMultiLvlLbl val="0"/>
      </c:catAx>
      <c:spPr>
        <a:noFill/>
        <a:ln>
          <a:noFill/>
        </a:ln>
        <a:effectLst/>
      </c:spPr>
    </c:plotArea>
    <c:legend>
      <c:legendPos val="b"/>
      <c:layout>
        <c:manualLayout>
          <c:xMode val="edge"/>
          <c:yMode val="edge"/>
          <c:x val="0.16683947304727823"/>
          <c:y val="0.89592387158501741"/>
          <c:w val="0.66632105390544361"/>
          <c:h val="9.7507983915803634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238618358508503E-2"/>
          <c:y val="0.12999071494893222"/>
          <c:w val="0.95352276328298302"/>
          <c:h val="0.667770344862881"/>
        </c:manualLayout>
      </c:layout>
      <c:barChart>
        <c:barDir val="col"/>
        <c:grouping val="clustered"/>
        <c:varyColors val="0"/>
        <c:ser>
          <c:idx val="0"/>
          <c:order val="0"/>
          <c:tx>
            <c:strRef>
              <c:f>List10!$B$1</c:f>
              <c:strCache>
                <c:ptCount val="1"/>
                <c:pt idx="0">
                  <c:v>dívky - počet v tis.</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List10!$A$2:$A$12</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List10!$B$2:$B$12</c:f>
              <c:numCache>
                <c:formatCode>#\ ##0.0_ ;\-#\ ##0.0\ </c:formatCode>
                <c:ptCount val="11"/>
                <c:pt idx="0">
                  <c:v>3.145</c:v>
                </c:pt>
                <c:pt idx="1">
                  <c:v>3.2090000000000001</c:v>
                </c:pt>
                <c:pt idx="2">
                  <c:v>3.294</c:v>
                </c:pt>
                <c:pt idx="3">
                  <c:v>3.3079999999999998</c:v>
                </c:pt>
                <c:pt idx="4">
                  <c:v>3.4</c:v>
                </c:pt>
                <c:pt idx="5">
                  <c:v>3.3330000000000002</c:v>
                </c:pt>
                <c:pt idx="6">
                  <c:v>3.3730000000000002</c:v>
                </c:pt>
                <c:pt idx="7">
                  <c:v>3.43</c:v>
                </c:pt>
                <c:pt idx="8">
                  <c:v>3.5819999999999999</c:v>
                </c:pt>
                <c:pt idx="9">
                  <c:v>3.5590000000000002</c:v>
                </c:pt>
                <c:pt idx="10">
                  <c:v>3.673</c:v>
                </c:pt>
              </c:numCache>
            </c:numRef>
          </c:val>
          <c:extLst>
            <c:ext xmlns:c16="http://schemas.microsoft.com/office/drawing/2014/chart" uri="{C3380CC4-5D6E-409C-BE32-E72D297353CC}">
              <c16:uniqueId val="{00000000-F21D-4E84-85BB-F1E5D587D2A0}"/>
            </c:ext>
          </c:extLst>
        </c:ser>
        <c:ser>
          <c:idx val="1"/>
          <c:order val="1"/>
          <c:tx>
            <c:strRef>
              <c:f>List10!$C$1</c:f>
              <c:strCache>
                <c:ptCount val="1"/>
                <c:pt idx="0">
                  <c:v>chlapci - počet v tis.</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List10!$A$2:$A$12</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List10!$C$2:$C$12</c:f>
              <c:numCache>
                <c:formatCode>#\ ##0.0_ ;\-#\ ##0.0\ </c:formatCode>
                <c:ptCount val="11"/>
                <c:pt idx="0">
                  <c:v>6.3650000000000002</c:v>
                </c:pt>
                <c:pt idx="1">
                  <c:v>6.5579999999999998</c:v>
                </c:pt>
                <c:pt idx="2">
                  <c:v>6.7690000000000001</c:v>
                </c:pt>
                <c:pt idx="3">
                  <c:v>7.0039999999999996</c:v>
                </c:pt>
                <c:pt idx="4">
                  <c:v>7.1360000000000001</c:v>
                </c:pt>
                <c:pt idx="5">
                  <c:v>7.1529999999999996</c:v>
                </c:pt>
                <c:pt idx="6">
                  <c:v>7.415</c:v>
                </c:pt>
                <c:pt idx="7">
                  <c:v>7.8150000000000004</c:v>
                </c:pt>
                <c:pt idx="8">
                  <c:v>8.1129999999999995</c:v>
                </c:pt>
                <c:pt idx="9">
                  <c:v>7.9880000000000004</c:v>
                </c:pt>
                <c:pt idx="10">
                  <c:v>8.375</c:v>
                </c:pt>
              </c:numCache>
            </c:numRef>
          </c:val>
          <c:extLst>
            <c:ext xmlns:c16="http://schemas.microsoft.com/office/drawing/2014/chart" uri="{C3380CC4-5D6E-409C-BE32-E72D297353CC}">
              <c16:uniqueId val="{00000001-F21D-4E84-85BB-F1E5D587D2A0}"/>
            </c:ext>
          </c:extLst>
        </c:ser>
        <c:dLbls>
          <c:showLegendKey val="0"/>
          <c:showVal val="0"/>
          <c:showCatName val="0"/>
          <c:showSerName val="0"/>
          <c:showPercent val="0"/>
          <c:showBubbleSize val="0"/>
        </c:dLbls>
        <c:gapWidth val="60"/>
        <c:axId val="445626368"/>
        <c:axId val="446630720"/>
      </c:barChart>
      <c:lineChart>
        <c:grouping val="standard"/>
        <c:varyColors val="0"/>
        <c:ser>
          <c:idx val="2"/>
          <c:order val="2"/>
          <c:tx>
            <c:strRef>
              <c:f>List10!$D$1</c:f>
              <c:strCache>
                <c:ptCount val="1"/>
                <c:pt idx="0">
                  <c:v>dívky - podíl na celkovém počtu dívek v MŠ</c:v>
                </c:pt>
              </c:strCache>
            </c:strRef>
          </c:tx>
          <c:spPr>
            <a:ln w="28575" cap="rnd">
              <a:solidFill>
                <a:srgbClr val="FF0000"/>
              </a:solidFill>
              <a:round/>
            </a:ln>
            <a:effectLst/>
          </c:spPr>
          <c:marker>
            <c:symbol val="none"/>
          </c:marker>
          <c:dLbls>
            <c:numFmt formatCode="0.0\ %" sourceLinked="0"/>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List10!$A$2:$A$12</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List10!$D$2:$D$12</c:f>
              <c:numCache>
                <c:formatCode>0.0%</c:formatCode>
                <c:ptCount val="11"/>
                <c:pt idx="0">
                  <c:v>1.9131683162293855E-2</c:v>
                </c:pt>
                <c:pt idx="1">
                  <c:v>1.8798512052956854E-2</c:v>
                </c:pt>
                <c:pt idx="2">
                  <c:v>1.8817588218156059E-2</c:v>
                </c:pt>
                <c:pt idx="3">
                  <c:v>1.873435500130257E-2</c:v>
                </c:pt>
                <c:pt idx="4">
                  <c:v>1.9272409844800418E-2</c:v>
                </c:pt>
                <c:pt idx="5">
                  <c:v>1.9148789483965114E-2</c:v>
                </c:pt>
                <c:pt idx="6">
                  <c:v>1.9348029346136417E-2</c:v>
                </c:pt>
                <c:pt idx="7">
                  <c:v>1.962556931316229E-2</c:v>
                </c:pt>
                <c:pt idx="8">
                  <c:v>2.0405605559986328E-2</c:v>
                </c:pt>
                <c:pt idx="9">
                  <c:v>2.0690537233083929E-2</c:v>
                </c:pt>
                <c:pt idx="10">
                  <c:v>2.1154422097818325E-2</c:v>
                </c:pt>
              </c:numCache>
            </c:numRef>
          </c:val>
          <c:smooth val="0"/>
          <c:extLst>
            <c:ext xmlns:c16="http://schemas.microsoft.com/office/drawing/2014/chart" uri="{C3380CC4-5D6E-409C-BE32-E72D297353CC}">
              <c16:uniqueId val="{00000002-F21D-4E84-85BB-F1E5D587D2A0}"/>
            </c:ext>
          </c:extLst>
        </c:ser>
        <c:ser>
          <c:idx val="3"/>
          <c:order val="3"/>
          <c:tx>
            <c:strRef>
              <c:f>List10!$E$1</c:f>
              <c:strCache>
                <c:ptCount val="1"/>
                <c:pt idx="0">
                  <c:v>chlapci - podíl na celkovém počtu chlapců v MŠ</c:v>
                </c:pt>
              </c:strCache>
            </c:strRef>
          </c:tx>
          <c:spPr>
            <a:ln w="28575" cap="rnd">
              <a:solidFill>
                <a:srgbClr val="0070C0"/>
              </a:solidFill>
              <a:round/>
            </a:ln>
            <a:effectLst/>
          </c:spPr>
          <c:marker>
            <c:symbol val="none"/>
          </c:marker>
          <c:dLbls>
            <c:numFmt formatCode="0.0\ %" sourceLinked="0"/>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List10!$A$2:$A$12</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List10!$E$2:$E$12</c:f>
              <c:numCache>
                <c:formatCode>0.0%</c:formatCode>
                <c:ptCount val="11"/>
                <c:pt idx="0">
                  <c:v>3.5731527950868446E-2</c:v>
                </c:pt>
                <c:pt idx="1">
                  <c:v>3.5712146377324581E-2</c:v>
                </c:pt>
                <c:pt idx="2">
                  <c:v>3.5906195131525202E-2</c:v>
                </c:pt>
                <c:pt idx="3">
                  <c:v>3.6664590193112037E-2</c:v>
                </c:pt>
                <c:pt idx="4">
                  <c:v>3.7372409567253052E-2</c:v>
                </c:pt>
                <c:pt idx="5">
                  <c:v>3.7927834778228482E-2</c:v>
                </c:pt>
                <c:pt idx="6">
                  <c:v>3.9352945234923553E-2</c:v>
                </c:pt>
                <c:pt idx="7">
                  <c:v>4.1348331252248627E-2</c:v>
                </c:pt>
                <c:pt idx="8">
                  <c:v>4.284228147162418E-2</c:v>
                </c:pt>
                <c:pt idx="9">
                  <c:v>4.3041807885250583E-2</c:v>
                </c:pt>
                <c:pt idx="10">
                  <c:v>4.4819171367105136E-2</c:v>
                </c:pt>
              </c:numCache>
            </c:numRef>
          </c:val>
          <c:smooth val="0"/>
          <c:extLst>
            <c:ext xmlns:c16="http://schemas.microsoft.com/office/drawing/2014/chart" uri="{C3380CC4-5D6E-409C-BE32-E72D297353CC}">
              <c16:uniqueId val="{00000003-F21D-4E84-85BB-F1E5D587D2A0}"/>
            </c:ext>
          </c:extLst>
        </c:ser>
        <c:dLbls>
          <c:showLegendKey val="0"/>
          <c:showVal val="0"/>
          <c:showCatName val="0"/>
          <c:showSerName val="0"/>
          <c:showPercent val="0"/>
          <c:showBubbleSize val="0"/>
        </c:dLbls>
        <c:marker val="1"/>
        <c:smooth val="0"/>
        <c:axId val="445626880"/>
        <c:axId val="446631296"/>
      </c:lineChart>
      <c:catAx>
        <c:axId val="44562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46630720"/>
        <c:crosses val="autoZero"/>
        <c:auto val="1"/>
        <c:lblAlgn val="ctr"/>
        <c:lblOffset val="100"/>
        <c:noMultiLvlLbl val="0"/>
      </c:catAx>
      <c:valAx>
        <c:axId val="446630720"/>
        <c:scaling>
          <c:orientation val="minMax"/>
          <c:max val="9"/>
        </c:scaling>
        <c:delete val="0"/>
        <c:axPos val="l"/>
        <c:numFmt formatCode="#\ ##0.0_ ;\-#\ ##0.0\ "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45626368"/>
        <c:crosses val="autoZero"/>
        <c:crossBetween val="between"/>
        <c:majorUnit val="1"/>
        <c:minorUnit val="0.1"/>
      </c:valAx>
      <c:valAx>
        <c:axId val="446631296"/>
        <c:scaling>
          <c:orientation val="minMax"/>
          <c:max val="4.5000000000000012E-2"/>
        </c:scaling>
        <c:delete val="0"/>
        <c:axPos val="r"/>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45626880"/>
        <c:crosses val="max"/>
        <c:crossBetween val="between"/>
      </c:valAx>
      <c:catAx>
        <c:axId val="445626880"/>
        <c:scaling>
          <c:orientation val="minMax"/>
        </c:scaling>
        <c:delete val="1"/>
        <c:axPos val="b"/>
        <c:numFmt formatCode="General" sourceLinked="1"/>
        <c:majorTickMark val="none"/>
        <c:minorTickMark val="none"/>
        <c:tickLblPos val="nextTo"/>
        <c:crossAx val="446631296"/>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455799577082923E-2"/>
          <c:y val="5.9379217273954114E-2"/>
          <c:w val="0.9525442004229171"/>
          <c:h val="0.59130351621027133"/>
        </c:manualLayout>
      </c:layout>
      <c:barChart>
        <c:barDir val="col"/>
        <c:grouping val="clustered"/>
        <c:varyColors val="0"/>
        <c:ser>
          <c:idx val="0"/>
          <c:order val="0"/>
          <c:spPr>
            <a:solidFill>
              <a:srgbClr val="0070C4"/>
            </a:solidFill>
            <a:ln>
              <a:noFill/>
            </a:ln>
            <a:effectLst/>
          </c:spPr>
          <c:invertIfNegative val="0"/>
          <c:dPt>
            <c:idx val="4"/>
            <c:invertIfNegative val="0"/>
            <c:bubble3D val="0"/>
            <c:extLst>
              <c:ext xmlns:c16="http://schemas.microsoft.com/office/drawing/2014/chart" uri="{C3380CC4-5D6E-409C-BE32-E72D297353CC}">
                <c16:uniqueId val="{00000000-2E1D-4D01-B0C3-9B8E2D8F63D1}"/>
              </c:ext>
            </c:extLst>
          </c:dPt>
          <c:dPt>
            <c:idx val="6"/>
            <c:invertIfNegative val="0"/>
            <c:bubble3D val="0"/>
            <c:spPr>
              <a:solidFill>
                <a:srgbClr val="A80000"/>
              </a:solidFill>
              <a:ln>
                <a:noFill/>
              </a:ln>
              <a:effectLst/>
            </c:spPr>
            <c:extLst>
              <c:ext xmlns:c16="http://schemas.microsoft.com/office/drawing/2014/chart" uri="{C3380CC4-5D6E-409C-BE32-E72D297353CC}">
                <c16:uniqueId val="{00000002-2E1D-4D01-B0C3-9B8E2D8F63D1}"/>
              </c:ext>
            </c:extLst>
          </c:dPt>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'1.1.20'!$A$38:$A$52</c:f>
              <c:strCache>
                <c:ptCount val="15"/>
                <c:pt idx="0">
                  <c:v>Moravskoslezský</c:v>
                </c:pt>
                <c:pt idx="1">
                  <c:v>Královéhradecký</c:v>
                </c:pt>
                <c:pt idx="2">
                  <c:v>Ústecký</c:v>
                </c:pt>
                <c:pt idx="3">
                  <c:v>Zlínský</c:v>
                </c:pt>
                <c:pt idx="4">
                  <c:v>Jihomoravský</c:v>
                </c:pt>
                <c:pt idx="5">
                  <c:v>Olomoucký</c:v>
                </c:pt>
                <c:pt idx="6">
                  <c:v>ČR</c:v>
                </c:pt>
                <c:pt idx="7">
                  <c:v>Liberecký</c:v>
                </c:pt>
                <c:pt idx="8">
                  <c:v>Plzeňský</c:v>
                </c:pt>
                <c:pt idx="9">
                  <c:v>Praha</c:v>
                </c:pt>
                <c:pt idx="10">
                  <c:v>Karlovarský</c:v>
                </c:pt>
                <c:pt idx="11">
                  <c:v>Vysočina</c:v>
                </c:pt>
                <c:pt idx="12">
                  <c:v>Jihočeský</c:v>
                </c:pt>
                <c:pt idx="13">
                  <c:v>Středočeský</c:v>
                </c:pt>
                <c:pt idx="14">
                  <c:v>Pardubický</c:v>
                </c:pt>
              </c:strCache>
            </c:strRef>
          </c:cat>
          <c:val>
            <c:numRef>
              <c:f>'1.1.20'!$B$38:$B$52</c:f>
              <c:numCache>
                <c:formatCode>0.0%</c:formatCode>
                <c:ptCount val="15"/>
                <c:pt idx="0">
                  <c:v>4.92357283976292E-2</c:v>
                </c:pt>
                <c:pt idx="1">
                  <c:v>4.7181041012877394E-2</c:v>
                </c:pt>
                <c:pt idx="2">
                  <c:v>4.3809759314210356E-2</c:v>
                </c:pt>
                <c:pt idx="3">
                  <c:v>4.1641490433031218E-2</c:v>
                </c:pt>
                <c:pt idx="4">
                  <c:v>3.799384792848217E-2</c:v>
                </c:pt>
                <c:pt idx="5">
                  <c:v>3.5703128486633644E-2</c:v>
                </c:pt>
                <c:pt idx="6">
                  <c:v>3.3421176731670783E-2</c:v>
                </c:pt>
                <c:pt idx="7">
                  <c:v>3.1852583086541625E-2</c:v>
                </c:pt>
                <c:pt idx="8">
                  <c:v>2.9543184566051622E-2</c:v>
                </c:pt>
                <c:pt idx="9">
                  <c:v>2.9379990605918272E-2</c:v>
                </c:pt>
                <c:pt idx="10">
                  <c:v>2.8728752693320564E-2</c:v>
                </c:pt>
                <c:pt idx="11">
                  <c:v>2.8485841858362063E-2</c:v>
                </c:pt>
                <c:pt idx="12">
                  <c:v>2.5722200237435693E-2</c:v>
                </c:pt>
                <c:pt idx="13">
                  <c:v>2.0102635335879925E-2</c:v>
                </c:pt>
                <c:pt idx="14">
                  <c:v>1.9082058414464535E-2</c:v>
                </c:pt>
              </c:numCache>
            </c:numRef>
          </c:val>
          <c:extLst>
            <c:ext xmlns:c16="http://schemas.microsoft.com/office/drawing/2014/chart" uri="{C3380CC4-5D6E-409C-BE32-E72D297353CC}">
              <c16:uniqueId val="{00000003-2E1D-4D01-B0C3-9B8E2D8F63D1}"/>
            </c:ext>
          </c:extLst>
        </c:ser>
        <c:dLbls>
          <c:showLegendKey val="0"/>
          <c:showVal val="0"/>
          <c:showCatName val="0"/>
          <c:showSerName val="0"/>
          <c:showPercent val="0"/>
          <c:showBubbleSize val="0"/>
        </c:dLbls>
        <c:gapWidth val="109"/>
        <c:overlap val="-27"/>
        <c:axId val="403472896"/>
        <c:axId val="443763520"/>
      </c:barChart>
      <c:catAx>
        <c:axId val="403472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43763520"/>
        <c:crosses val="autoZero"/>
        <c:auto val="1"/>
        <c:lblAlgn val="ctr"/>
        <c:lblOffset val="100"/>
        <c:noMultiLvlLbl val="0"/>
      </c:catAx>
      <c:valAx>
        <c:axId val="443763520"/>
        <c:scaling>
          <c:orientation val="minMax"/>
          <c:max val="6.0000000000000012E-2"/>
        </c:scaling>
        <c:delete val="0"/>
        <c:axPos val="l"/>
        <c:numFmt formatCode="0%"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03472896"/>
        <c:crosses val="autoZero"/>
        <c:crossBetween val="between"/>
        <c:majorUnit val="1.0000000000000002E-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4215108803467995E-2"/>
          <c:y val="4.6020572413887996E-2"/>
          <c:w val="0.94758863853224351"/>
          <c:h val="0.6521194785541794"/>
        </c:manualLayout>
      </c:layout>
      <c:barChart>
        <c:barDir val="col"/>
        <c:grouping val="clustered"/>
        <c:varyColors val="0"/>
        <c:ser>
          <c:idx val="0"/>
          <c:order val="0"/>
          <c:tx>
            <c:strRef>
              <c:f>List2!$I$2</c:f>
              <c:strCache>
                <c:ptCount val="1"/>
                <c:pt idx="0">
                  <c:v>počet dětí ve věku 6 let a více</c:v>
                </c:pt>
              </c:strCache>
            </c:strRef>
          </c:tx>
          <c:spPr>
            <a:solidFill>
              <a:srgbClr val="5B9BD5">
                <a:lumMod val="75000"/>
              </a:srgb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List2!$H$3:$H$8</c:f>
              <c:strCache>
                <c:ptCount val="6"/>
                <c:pt idx="0">
                  <c:v>2016/17</c:v>
                </c:pt>
                <c:pt idx="1">
                  <c:v>2017/18</c:v>
                </c:pt>
                <c:pt idx="2">
                  <c:v>2018/19</c:v>
                </c:pt>
                <c:pt idx="3">
                  <c:v>2019/20</c:v>
                </c:pt>
                <c:pt idx="4">
                  <c:v>2020/21</c:v>
                </c:pt>
                <c:pt idx="5">
                  <c:v>2021/22</c:v>
                </c:pt>
              </c:strCache>
            </c:strRef>
          </c:cat>
          <c:val>
            <c:numRef>
              <c:f>List2!$I$3:$I$8</c:f>
              <c:numCache>
                <c:formatCode>#\ ##0_ ;\-#\ ##0\ </c:formatCode>
                <c:ptCount val="6"/>
                <c:pt idx="0">
                  <c:v>23726</c:v>
                </c:pt>
                <c:pt idx="1">
                  <c:v>24171</c:v>
                </c:pt>
                <c:pt idx="2">
                  <c:v>23968</c:v>
                </c:pt>
                <c:pt idx="3">
                  <c:v>24964</c:v>
                </c:pt>
                <c:pt idx="4">
                  <c:v>24751</c:v>
                </c:pt>
                <c:pt idx="5">
                  <c:v>26919</c:v>
                </c:pt>
              </c:numCache>
            </c:numRef>
          </c:val>
          <c:extLst xmlns:c15="http://schemas.microsoft.com/office/drawing/2012/chart">
            <c:ext xmlns:c16="http://schemas.microsoft.com/office/drawing/2014/chart" uri="{C3380CC4-5D6E-409C-BE32-E72D297353CC}">
              <c16:uniqueId val="{00000000-7492-4AA7-AC18-0A3DA168B534}"/>
            </c:ext>
          </c:extLst>
        </c:ser>
        <c:dLbls>
          <c:showLegendKey val="0"/>
          <c:showVal val="0"/>
          <c:showCatName val="0"/>
          <c:showSerName val="0"/>
          <c:showPercent val="0"/>
          <c:showBubbleSize val="0"/>
        </c:dLbls>
        <c:gapWidth val="45"/>
        <c:overlap val="78"/>
        <c:axId val="289683695"/>
        <c:axId val="289687023"/>
      </c:barChart>
      <c:scatterChart>
        <c:scatterStyle val="lineMarker"/>
        <c:varyColors val="0"/>
        <c:ser>
          <c:idx val="1"/>
          <c:order val="1"/>
          <c:tx>
            <c:strRef>
              <c:f>List2!$J$2</c:f>
              <c:strCache>
                <c:ptCount val="1"/>
                <c:pt idx="0">
                  <c:v>podíl ze všech dětí v předškolním vzdělávání</c:v>
                </c:pt>
              </c:strCache>
            </c:strRef>
          </c:tx>
          <c:spPr>
            <a:ln w="25400" cap="rnd">
              <a:noFill/>
              <a:round/>
            </a:ln>
            <a:effectLst/>
          </c:spPr>
          <c:marker>
            <c:symbol val="circle"/>
            <c:size val="5"/>
            <c:spPr>
              <a:solidFill>
                <a:srgbClr val="BD1B21"/>
              </a:solidFill>
              <a:ln w="9525">
                <a:solidFill>
                  <a:schemeClr val="accent2"/>
                </a:solidFill>
              </a:ln>
              <a:effectLst/>
            </c:spPr>
          </c:marker>
          <c:dLbls>
            <c:numFmt formatCode="0.0\ %"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strRef>
              <c:f>List2!$H$3:$H$8</c:f>
              <c:strCache>
                <c:ptCount val="6"/>
                <c:pt idx="0">
                  <c:v>2016/17</c:v>
                </c:pt>
                <c:pt idx="1">
                  <c:v>2017/18</c:v>
                </c:pt>
                <c:pt idx="2">
                  <c:v>2018/19</c:v>
                </c:pt>
                <c:pt idx="3">
                  <c:v>2019/20</c:v>
                </c:pt>
                <c:pt idx="4">
                  <c:v>2020/21</c:v>
                </c:pt>
                <c:pt idx="5">
                  <c:v>2021/22</c:v>
                </c:pt>
              </c:strCache>
            </c:strRef>
          </c:xVal>
          <c:yVal>
            <c:numRef>
              <c:f>List2!$J$3:$J$8</c:f>
              <c:numCache>
                <c:formatCode>0.0%</c:formatCode>
                <c:ptCount val="6"/>
                <c:pt idx="0">
                  <c:v>6.456880199644581E-2</c:v>
                </c:pt>
                <c:pt idx="1">
                  <c:v>6.5970506917473415E-2</c:v>
                </c:pt>
                <c:pt idx="2">
                  <c:v>6.5291178826131724E-2</c:v>
                </c:pt>
                <c:pt idx="3">
                  <c:v>6.7564861075776361E-2</c:v>
                </c:pt>
                <c:pt idx="4">
                  <c:v>6.833347597657706E-2</c:v>
                </c:pt>
                <c:pt idx="5">
                  <c:v>7.3552797678574353E-2</c:v>
                </c:pt>
              </c:numCache>
            </c:numRef>
          </c:yVal>
          <c:smooth val="0"/>
          <c:extLst>
            <c:ext xmlns:c16="http://schemas.microsoft.com/office/drawing/2014/chart" uri="{C3380CC4-5D6E-409C-BE32-E72D297353CC}">
              <c16:uniqueId val="{00000001-7492-4AA7-AC18-0A3DA168B534}"/>
            </c:ext>
          </c:extLst>
        </c:ser>
        <c:dLbls>
          <c:showLegendKey val="0"/>
          <c:showVal val="0"/>
          <c:showCatName val="0"/>
          <c:showSerName val="0"/>
          <c:showPercent val="0"/>
          <c:showBubbleSize val="0"/>
        </c:dLbls>
        <c:axId val="1518103792"/>
        <c:axId val="1518084656"/>
      </c:scatterChart>
      <c:catAx>
        <c:axId val="289683695"/>
        <c:scaling>
          <c:orientation val="minMax"/>
        </c:scaling>
        <c:delete val="0"/>
        <c:axPos val="b"/>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89687023"/>
        <c:crosses val="autoZero"/>
        <c:auto val="1"/>
        <c:lblAlgn val="ctr"/>
        <c:lblOffset val="100"/>
        <c:noMultiLvlLbl val="0"/>
      </c:catAx>
      <c:valAx>
        <c:axId val="289687023"/>
        <c:scaling>
          <c:orientation val="minMax"/>
          <c:max val="35000"/>
          <c:min val="0"/>
        </c:scaling>
        <c:delete val="0"/>
        <c:axPos val="l"/>
        <c:numFmt formatCode="#\ ##0_ ;\-#\ ##0\ "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289683695"/>
        <c:crosses val="autoZero"/>
        <c:crossBetween val="between"/>
      </c:valAx>
      <c:valAx>
        <c:axId val="1518084656"/>
        <c:scaling>
          <c:orientation val="minMax"/>
          <c:min val="0"/>
        </c:scaling>
        <c:delete val="0"/>
        <c:axPos val="r"/>
        <c:numFmt formatCode="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518103792"/>
        <c:crosses val="max"/>
        <c:crossBetween val="midCat"/>
      </c:valAx>
      <c:valAx>
        <c:axId val="1518103792"/>
        <c:scaling>
          <c:orientation val="minMax"/>
        </c:scaling>
        <c:delete val="1"/>
        <c:axPos val="b"/>
        <c:numFmt formatCode="General" sourceLinked="1"/>
        <c:majorTickMark val="out"/>
        <c:minorTickMark val="none"/>
        <c:tickLblPos val="nextTo"/>
        <c:crossAx val="1518084656"/>
        <c:crosses val="autoZero"/>
        <c:crossBetween val="midCat"/>
      </c:valAx>
      <c:spPr>
        <a:noFill/>
        <a:ln>
          <a:noFill/>
        </a:ln>
        <a:effectLst/>
      </c:spPr>
    </c:plotArea>
    <c:legend>
      <c:legendPos val="b"/>
      <c:legendEntry>
        <c:idx val="0"/>
        <c:txPr>
          <a:bodyPr rot="0" spcFirstLastPara="1" vertOverflow="ellipsis" vert="horz" wrap="square" anchor="ctr" anchorCtr="1"/>
          <a:lstStyle/>
          <a:p>
            <a:pPr>
              <a:defRPr sz="800" b="1" i="0" u="none" strike="noStrike" kern="1200" baseline="0">
                <a:solidFill>
                  <a:schemeClr val="tx2">
                    <a:lumMod val="75000"/>
                  </a:schemeClr>
                </a:solidFill>
                <a:latin typeface="Arial" panose="020B0604020202020204" pitchFamily="34" charset="0"/>
                <a:ea typeface="+mn-ea"/>
                <a:cs typeface="Arial" panose="020B0604020202020204" pitchFamily="34" charset="0"/>
              </a:defRPr>
            </a:pPr>
            <a:endParaRPr lang="cs-CZ"/>
          </a:p>
        </c:txPr>
      </c:legendEntry>
      <c:legendEntry>
        <c:idx val="1"/>
        <c:txPr>
          <a:bodyPr rot="0" spcFirstLastPara="1" vertOverflow="ellipsis" vert="horz" wrap="square" anchor="ctr" anchorCtr="1"/>
          <a:lstStyle/>
          <a:p>
            <a:pPr>
              <a:defRPr sz="800" b="1" i="0" u="none" strike="noStrike" kern="1200" baseline="0">
                <a:solidFill>
                  <a:srgbClr val="C00000"/>
                </a:solidFill>
                <a:latin typeface="Arial" panose="020B0604020202020204" pitchFamily="34" charset="0"/>
                <a:ea typeface="+mn-ea"/>
                <a:cs typeface="Arial" panose="020B0604020202020204" pitchFamily="34" charset="0"/>
              </a:defRPr>
            </a:pPr>
            <a:endParaRPr lang="cs-CZ"/>
          </a:p>
        </c:txPr>
      </c:legendEntry>
      <c:layout>
        <c:manualLayout>
          <c:xMode val="edge"/>
          <c:yMode val="edge"/>
          <c:x val="0"/>
          <c:y val="0.81001426219509398"/>
          <c:w val="0.99886187467841014"/>
          <c:h val="0.14517263676344475"/>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noFill/>
    <a:ln w="6350" cap="flat" cmpd="sng" algn="ctr">
      <a:solidFill>
        <a:sysClr val="window" lastClr="FFFFFF">
          <a:lumMod val="50000"/>
        </a:sysClr>
      </a:solidFill>
      <a:round/>
    </a:ln>
    <a:effectLst/>
  </c:spPr>
  <c:txPr>
    <a:bodyPr/>
    <a:lstStyle/>
    <a:p>
      <a:pPr>
        <a:defRPr/>
      </a:pPr>
      <a:endParaRPr lang="cs-CZ"/>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079450623106401"/>
          <c:y val="0"/>
          <c:w val="0.87960318625136835"/>
          <c:h val="0.87740198891366994"/>
        </c:manualLayout>
      </c:layout>
      <c:barChart>
        <c:barDir val="bar"/>
        <c:grouping val="percentStacked"/>
        <c:varyColors val="0"/>
        <c:ser>
          <c:idx val="0"/>
          <c:order val="0"/>
          <c:tx>
            <c:strRef>
              <c:f>List16!$B$21</c:f>
              <c:strCache>
                <c:ptCount val="1"/>
                <c:pt idx="0">
                  <c:v>přípravné třídy a stupeň</c:v>
                </c:pt>
              </c:strCache>
            </c:strRef>
          </c:tx>
          <c:spPr>
            <a:solidFill>
              <a:srgbClr val="ED7D31">
                <a:lumMod val="75000"/>
              </a:srgbClr>
            </a:solidFill>
            <a:ln>
              <a:noFill/>
            </a:ln>
            <a:effectLst/>
          </c:spPr>
          <c:invertIfNegative val="0"/>
          <c:dPt>
            <c:idx val="0"/>
            <c:invertIfNegative val="0"/>
            <c:bubble3D val="0"/>
            <c:spPr>
              <a:solidFill>
                <a:srgbClr val="ED7D31">
                  <a:lumMod val="75000"/>
                </a:srgbClr>
              </a:solidFill>
              <a:ln>
                <a:noFill/>
              </a:ln>
              <a:effectLst/>
            </c:spPr>
            <c:extLst>
              <c:ext xmlns:c16="http://schemas.microsoft.com/office/drawing/2014/chart" uri="{C3380CC4-5D6E-409C-BE32-E72D297353CC}">
                <c16:uniqueId val="{00000001-D3A7-43EA-99CB-98DB7780026A}"/>
              </c:ext>
            </c:extLst>
          </c:dPt>
          <c:dLbls>
            <c:dLbl>
              <c:idx val="0"/>
              <c:layout>
                <c:manualLayout>
                  <c:x val="-2.2460758044761797E-17"/>
                  <c:y val="-1.166368186618909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3A7-43EA-99CB-98DB7780026A}"/>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List16!$A$22:$A$28</c:f>
              <c:strCache>
                <c:ptCount val="7"/>
                <c:pt idx="0">
                  <c:v>2021/22</c:v>
                </c:pt>
                <c:pt idx="1">
                  <c:v>2020/21</c:v>
                </c:pt>
                <c:pt idx="2">
                  <c:v>2019/20</c:v>
                </c:pt>
                <c:pt idx="3">
                  <c:v>2018/19</c:v>
                </c:pt>
                <c:pt idx="4">
                  <c:v>2017/18</c:v>
                </c:pt>
                <c:pt idx="5">
                  <c:v>2016/17</c:v>
                </c:pt>
                <c:pt idx="6">
                  <c:v>2015/16</c:v>
                </c:pt>
              </c:strCache>
            </c:strRef>
          </c:cat>
          <c:val>
            <c:numRef>
              <c:f>List16!$B$22:$B$28</c:f>
              <c:numCache>
                <c:formatCode>0.0%</c:formatCode>
                <c:ptCount val="7"/>
                <c:pt idx="0">
                  <c:v>0.15126862067684535</c:v>
                </c:pt>
                <c:pt idx="1">
                  <c:v>0.14597390004444266</c:v>
                </c:pt>
                <c:pt idx="2">
                  <c:v>0.14376702451530204</c:v>
                </c:pt>
                <c:pt idx="3">
                  <c:v>0.13430407209612816</c:v>
                </c:pt>
                <c:pt idx="4">
                  <c:v>0.14310537420876257</c:v>
                </c:pt>
                <c:pt idx="5">
                  <c:v>0.13398803000927254</c:v>
                </c:pt>
                <c:pt idx="6">
                  <c:v>0.12502614297067804</c:v>
                </c:pt>
              </c:numCache>
            </c:numRef>
          </c:val>
          <c:extLst>
            <c:ext xmlns:c16="http://schemas.microsoft.com/office/drawing/2014/chart" uri="{C3380CC4-5D6E-409C-BE32-E72D297353CC}">
              <c16:uniqueId val="{00000002-D3A7-43EA-99CB-98DB7780026A}"/>
            </c:ext>
          </c:extLst>
        </c:ser>
        <c:ser>
          <c:idx val="1"/>
          <c:order val="1"/>
          <c:tx>
            <c:strRef>
              <c:f>List16!$C$21</c:f>
              <c:strCache>
                <c:ptCount val="1"/>
                <c:pt idx="0">
                  <c:v>mateřské školy</c:v>
                </c:pt>
              </c:strCache>
            </c:strRef>
          </c:tx>
          <c:spPr>
            <a:solidFill>
              <a:srgbClr val="5195D3"/>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List16!$A$22:$A$28</c:f>
              <c:strCache>
                <c:ptCount val="7"/>
                <c:pt idx="0">
                  <c:v>2021/22</c:v>
                </c:pt>
                <c:pt idx="1">
                  <c:v>2020/21</c:v>
                </c:pt>
                <c:pt idx="2">
                  <c:v>2019/20</c:v>
                </c:pt>
                <c:pt idx="3">
                  <c:v>2018/19</c:v>
                </c:pt>
                <c:pt idx="4">
                  <c:v>2017/18</c:v>
                </c:pt>
                <c:pt idx="5">
                  <c:v>2016/17</c:v>
                </c:pt>
                <c:pt idx="6">
                  <c:v>2015/16</c:v>
                </c:pt>
              </c:strCache>
            </c:strRef>
          </c:cat>
          <c:val>
            <c:numRef>
              <c:f>List16!$C$22:$C$28</c:f>
              <c:numCache>
                <c:formatCode>0.0%</c:formatCode>
                <c:ptCount val="7"/>
                <c:pt idx="0">
                  <c:v>0.84873137932315468</c:v>
                </c:pt>
                <c:pt idx="1">
                  <c:v>0.85402609995555734</c:v>
                </c:pt>
                <c:pt idx="2">
                  <c:v>0.85623297548469801</c:v>
                </c:pt>
                <c:pt idx="3">
                  <c:v>0.86569592790387184</c:v>
                </c:pt>
                <c:pt idx="4">
                  <c:v>0.85689462579123743</c:v>
                </c:pt>
                <c:pt idx="5">
                  <c:v>0.86601196999072749</c:v>
                </c:pt>
                <c:pt idx="6">
                  <c:v>0.87497385702932196</c:v>
                </c:pt>
              </c:numCache>
            </c:numRef>
          </c:val>
          <c:extLst>
            <c:ext xmlns:c16="http://schemas.microsoft.com/office/drawing/2014/chart" uri="{C3380CC4-5D6E-409C-BE32-E72D297353CC}">
              <c16:uniqueId val="{00000003-D3A7-43EA-99CB-98DB7780026A}"/>
            </c:ext>
          </c:extLst>
        </c:ser>
        <c:dLbls>
          <c:showLegendKey val="0"/>
          <c:showVal val="0"/>
          <c:showCatName val="0"/>
          <c:showSerName val="0"/>
          <c:showPercent val="0"/>
          <c:showBubbleSize val="0"/>
        </c:dLbls>
        <c:gapWidth val="43"/>
        <c:overlap val="100"/>
        <c:axId val="1218422592"/>
        <c:axId val="1218425920"/>
      </c:barChart>
      <c:catAx>
        <c:axId val="1218422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218425920"/>
        <c:crosses val="autoZero"/>
        <c:auto val="1"/>
        <c:lblAlgn val="ctr"/>
        <c:lblOffset val="100"/>
        <c:noMultiLvlLbl val="0"/>
      </c:catAx>
      <c:valAx>
        <c:axId val="1218425920"/>
        <c:scaling>
          <c:orientation val="minMax"/>
        </c:scaling>
        <c:delete val="0"/>
        <c:axPos val="b"/>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18422592"/>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900" b="0" i="0" u="none" strike="noStrike" kern="1200" baseline="0">
                <a:solidFill>
                  <a:srgbClr val="C00000"/>
                </a:solidFill>
                <a:latin typeface="Arial" panose="020B0604020202020204" pitchFamily="34" charset="0"/>
                <a:ea typeface="+mn-ea"/>
                <a:cs typeface="Arial" panose="020B0604020202020204" pitchFamily="34" charset="0"/>
              </a:defRPr>
            </a:pPr>
            <a:endParaRPr lang="cs-CZ"/>
          </a:p>
        </c:txPr>
      </c:legendEntry>
      <c:legendEntry>
        <c:idx val="1"/>
        <c:txPr>
          <a:bodyPr rot="0" spcFirstLastPara="1" vertOverflow="ellipsis" vert="horz" wrap="square" anchor="ctr" anchorCtr="1"/>
          <a:lstStyle/>
          <a:p>
            <a:pPr>
              <a:defRPr sz="900" b="0" i="0" u="none" strike="noStrike" kern="1200" baseline="0">
                <a:solidFill>
                  <a:schemeClr val="accent1">
                    <a:lumMod val="75000"/>
                  </a:schemeClr>
                </a:solidFill>
                <a:latin typeface="Arial" panose="020B0604020202020204" pitchFamily="34" charset="0"/>
                <a:ea typeface="+mn-ea"/>
                <a:cs typeface="Arial" panose="020B0604020202020204" pitchFamily="34" charset="0"/>
              </a:defRPr>
            </a:pPr>
            <a:endParaRPr lang="cs-CZ"/>
          </a:p>
        </c:txPr>
      </c:legendEntry>
      <c:layout>
        <c:manualLayout>
          <c:xMode val="edge"/>
          <c:yMode val="edge"/>
          <c:x val="2.9035047456299326E-2"/>
          <c:y val="0.87127394199691977"/>
          <c:w val="0.96146714891079077"/>
          <c:h val="0.123968125321675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423166892658056"/>
          <c:y val="2.1964223702806381E-2"/>
          <c:w val="0.80392112610127553"/>
          <c:h val="0.89279904743244998"/>
        </c:manualLayout>
      </c:layout>
      <c:barChart>
        <c:barDir val="bar"/>
        <c:grouping val="percentStacked"/>
        <c:varyColors val="0"/>
        <c:ser>
          <c:idx val="0"/>
          <c:order val="0"/>
          <c:tx>
            <c:strRef>
              <c:f>List16!$C$97</c:f>
              <c:strCache>
                <c:ptCount val="1"/>
                <c:pt idx="0">
                  <c:v>přípravné třídy a stupeň</c:v>
                </c:pt>
              </c:strCache>
            </c:strRef>
          </c:tx>
          <c:spPr>
            <a:solidFill>
              <a:srgbClr val="C00000"/>
            </a:solidFill>
            <a:ln>
              <a:noFill/>
            </a:ln>
            <a:effectLst/>
          </c:spPr>
          <c:invertIfNegative val="0"/>
          <c:dLbls>
            <c:dLbl>
              <c:idx val="0"/>
              <c:layout>
                <c:manualLayout>
                  <c:x val="2.1082558703818383E-2"/>
                  <c:y val="0"/>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C124-40AC-93F7-C6D9590207AD}"/>
                </c:ext>
              </c:extLst>
            </c:dLbl>
            <c:dLbl>
              <c:idx val="1"/>
              <c:layout>
                <c:manualLayout>
                  <c:x val="1.8674603317249776E-2"/>
                  <c:y val="-2.4041351123933164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C124-40AC-93F7-C6D9590207AD}"/>
                </c:ext>
              </c:extLst>
            </c:dLbl>
            <c:dLbl>
              <c:idx val="2"/>
              <c:layout>
                <c:manualLayout>
                  <c:x val="1.400689201046381E-2"/>
                  <c:y val="2.4041351123933164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C124-40AC-93F7-C6D9590207AD}"/>
                </c:ext>
              </c:extLst>
            </c:dLbl>
            <c:dLbl>
              <c:idx val="3"/>
              <c:layout>
                <c:manualLayout>
                  <c:x val="7.4779457299109656E-3"/>
                  <c:y val="-8.8150602464473085E-17"/>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C124-40AC-93F7-C6D9590207AD}"/>
                </c:ext>
              </c:extLst>
            </c:dLbl>
            <c:dLbl>
              <c:idx val="11"/>
              <c:layout>
                <c:manualLayout>
                  <c:x val="4.9024635609309294E-3"/>
                  <c:y val="0"/>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C124-40AC-93F7-C6D9590207AD}"/>
                </c:ext>
              </c:extLst>
            </c:dLbl>
            <c:dLbl>
              <c:idx val="12"/>
              <c:layout>
                <c:manualLayout>
                  <c:x val="2.3648823435975401E-2"/>
                  <c:y val="0"/>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124-40AC-93F7-C6D9590207AD}"/>
                </c:ext>
              </c:extLst>
            </c:dLbl>
            <c:dLbl>
              <c:idx val="13"/>
              <c:layout>
                <c:manualLayout>
                  <c:x val="2.1783415401605059E-2"/>
                  <c:y val="0"/>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C124-40AC-93F7-C6D9590207AD}"/>
                </c:ext>
              </c:extLst>
            </c:dLbl>
            <c:dLbl>
              <c:idx val="14"/>
              <c:layout>
                <c:manualLayout>
                  <c:x val="2.1962377181238477E-2"/>
                  <c:y val="1.9129603060736402E-3"/>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C124-40AC-93F7-C6D9590207AD}"/>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List16!$B$98:$B$112</c:f>
              <c:strCache>
                <c:ptCount val="15"/>
                <c:pt idx="0">
                  <c:v>Jihočeský </c:v>
                </c:pt>
                <c:pt idx="1">
                  <c:v>Královéhradecký </c:v>
                </c:pt>
                <c:pt idx="2">
                  <c:v>Olomoucký </c:v>
                </c:pt>
                <c:pt idx="3">
                  <c:v>Zlínský </c:v>
                </c:pt>
                <c:pt idx="4">
                  <c:v>Moravskoslezský </c:v>
                </c:pt>
                <c:pt idx="5">
                  <c:v>Vysočina</c:v>
                </c:pt>
                <c:pt idx="6">
                  <c:v>Plzeňský </c:v>
                </c:pt>
                <c:pt idx="7">
                  <c:v>Liberecký </c:v>
                </c:pt>
                <c:pt idx="8">
                  <c:v>Středočeský </c:v>
                </c:pt>
                <c:pt idx="9">
                  <c:v>Pardubický </c:v>
                </c:pt>
                <c:pt idx="10">
                  <c:v>ČR</c:v>
                </c:pt>
                <c:pt idx="11">
                  <c:v>Jihomoravský </c:v>
                </c:pt>
                <c:pt idx="12">
                  <c:v>Karlovarský </c:v>
                </c:pt>
                <c:pt idx="13">
                  <c:v>Praha</c:v>
                </c:pt>
                <c:pt idx="14">
                  <c:v>Ústecký </c:v>
                </c:pt>
              </c:strCache>
            </c:strRef>
          </c:cat>
          <c:val>
            <c:numRef>
              <c:f>List16!$C$98:$C$112</c:f>
              <c:numCache>
                <c:formatCode>0.0%</c:formatCode>
                <c:ptCount val="15"/>
                <c:pt idx="0">
                  <c:v>1.7512077294685992E-2</c:v>
                </c:pt>
                <c:pt idx="1">
                  <c:v>2.1846370683579985E-2</c:v>
                </c:pt>
                <c:pt idx="2">
                  <c:v>3.604651162790698E-2</c:v>
                </c:pt>
                <c:pt idx="3">
                  <c:v>6.1103810775295662E-2</c:v>
                </c:pt>
                <c:pt idx="4">
                  <c:v>8.5042894442372244E-2</c:v>
                </c:pt>
                <c:pt idx="5">
                  <c:v>9.7375105842506346E-2</c:v>
                </c:pt>
                <c:pt idx="6">
                  <c:v>0.1031578947368421</c:v>
                </c:pt>
                <c:pt idx="7">
                  <c:v>0.11361665221162186</c:v>
                </c:pt>
                <c:pt idx="8">
                  <c:v>0.14047362755651238</c:v>
                </c:pt>
                <c:pt idx="9">
                  <c:v>0.14163424124513618</c:v>
                </c:pt>
                <c:pt idx="10">
                  <c:v>0.15126862067684535</c:v>
                </c:pt>
                <c:pt idx="11">
                  <c:v>0.16967741935483871</c:v>
                </c:pt>
                <c:pt idx="12">
                  <c:v>0.32705248990578734</c:v>
                </c:pt>
                <c:pt idx="13">
                  <c:v>0.32984126984126982</c:v>
                </c:pt>
                <c:pt idx="14">
                  <c:v>0.33394833948339481</c:v>
                </c:pt>
              </c:numCache>
            </c:numRef>
          </c:val>
          <c:extLst>
            <c:ext xmlns:c16="http://schemas.microsoft.com/office/drawing/2014/chart" uri="{C3380CC4-5D6E-409C-BE32-E72D297353CC}">
              <c16:uniqueId val="{00000004-C124-40AC-93F7-C6D9590207AD}"/>
            </c:ext>
          </c:extLst>
        </c:ser>
        <c:ser>
          <c:idx val="1"/>
          <c:order val="1"/>
          <c:tx>
            <c:strRef>
              <c:f>List16!$D$97</c:f>
              <c:strCache>
                <c:ptCount val="1"/>
                <c:pt idx="0">
                  <c:v>mateřské školy</c:v>
                </c:pt>
              </c:strCache>
            </c:strRef>
          </c:tx>
          <c:spPr>
            <a:solidFill>
              <a:srgbClr val="5195D3"/>
            </a:solidFill>
            <a:ln>
              <a:noFill/>
            </a:ln>
            <a:effectLst/>
          </c:spPr>
          <c:invertIfNegative val="0"/>
          <c:dLbls>
            <c:numFmt formatCode="0.0\ %" sourceLinked="0"/>
            <c:spPr>
              <a:solidFill>
                <a:srgbClr val="5B9BD5">
                  <a:lumMod val="50000"/>
                </a:srgbClr>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List16!$B$98:$B$112</c:f>
              <c:strCache>
                <c:ptCount val="15"/>
                <c:pt idx="0">
                  <c:v>Jihočeský </c:v>
                </c:pt>
                <c:pt idx="1">
                  <c:v>Královéhradecký </c:v>
                </c:pt>
                <c:pt idx="2">
                  <c:v>Olomoucký </c:v>
                </c:pt>
                <c:pt idx="3">
                  <c:v>Zlínský </c:v>
                </c:pt>
                <c:pt idx="4">
                  <c:v>Moravskoslezský </c:v>
                </c:pt>
                <c:pt idx="5">
                  <c:v>Vysočina</c:v>
                </c:pt>
                <c:pt idx="6">
                  <c:v>Plzeňský </c:v>
                </c:pt>
                <c:pt idx="7">
                  <c:v>Liberecký </c:v>
                </c:pt>
                <c:pt idx="8">
                  <c:v>Středočeský </c:v>
                </c:pt>
                <c:pt idx="9">
                  <c:v>Pardubický </c:v>
                </c:pt>
                <c:pt idx="10">
                  <c:v>ČR</c:v>
                </c:pt>
                <c:pt idx="11">
                  <c:v>Jihomoravský </c:v>
                </c:pt>
                <c:pt idx="12">
                  <c:v>Karlovarský </c:v>
                </c:pt>
                <c:pt idx="13">
                  <c:v>Praha</c:v>
                </c:pt>
                <c:pt idx="14">
                  <c:v>Ústecký </c:v>
                </c:pt>
              </c:strCache>
            </c:strRef>
          </c:cat>
          <c:val>
            <c:numRef>
              <c:f>List16!$D$98:$D$112</c:f>
              <c:numCache>
                <c:formatCode>0.0%</c:formatCode>
                <c:ptCount val="15"/>
                <c:pt idx="0">
                  <c:v>0.98248792270531404</c:v>
                </c:pt>
                <c:pt idx="1">
                  <c:v>0.97815362931642003</c:v>
                </c:pt>
                <c:pt idx="2">
                  <c:v>0.96395348837209305</c:v>
                </c:pt>
                <c:pt idx="3">
                  <c:v>0.9388961892247043</c:v>
                </c:pt>
                <c:pt idx="4">
                  <c:v>0.91495710555762777</c:v>
                </c:pt>
                <c:pt idx="5">
                  <c:v>0.9026248941574937</c:v>
                </c:pt>
                <c:pt idx="6">
                  <c:v>0.89684210526315788</c:v>
                </c:pt>
                <c:pt idx="7">
                  <c:v>0.88638334778837813</c:v>
                </c:pt>
                <c:pt idx="8">
                  <c:v>0.85952637244348762</c:v>
                </c:pt>
                <c:pt idx="9">
                  <c:v>0.85836575875486376</c:v>
                </c:pt>
                <c:pt idx="10">
                  <c:v>0.84873137932315468</c:v>
                </c:pt>
                <c:pt idx="11">
                  <c:v>0.83032258064516129</c:v>
                </c:pt>
                <c:pt idx="12">
                  <c:v>0.67294751009421261</c:v>
                </c:pt>
                <c:pt idx="13">
                  <c:v>0.67015873015873018</c:v>
                </c:pt>
                <c:pt idx="14">
                  <c:v>0.66605166051660514</c:v>
                </c:pt>
              </c:numCache>
            </c:numRef>
          </c:val>
          <c:extLst>
            <c:ext xmlns:c16="http://schemas.microsoft.com/office/drawing/2014/chart" uri="{C3380CC4-5D6E-409C-BE32-E72D297353CC}">
              <c16:uniqueId val="{00000005-C124-40AC-93F7-C6D9590207AD}"/>
            </c:ext>
          </c:extLst>
        </c:ser>
        <c:dLbls>
          <c:showLegendKey val="0"/>
          <c:showVal val="0"/>
          <c:showCatName val="0"/>
          <c:showSerName val="0"/>
          <c:showPercent val="0"/>
          <c:showBubbleSize val="0"/>
        </c:dLbls>
        <c:gapWidth val="75"/>
        <c:overlap val="100"/>
        <c:axId val="1218422592"/>
        <c:axId val="1218425920"/>
      </c:barChart>
      <c:catAx>
        <c:axId val="1218422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218425920"/>
        <c:crosses val="autoZero"/>
        <c:auto val="1"/>
        <c:lblAlgn val="ctr"/>
        <c:lblOffset val="100"/>
        <c:noMultiLvlLbl val="0"/>
      </c:catAx>
      <c:valAx>
        <c:axId val="1218425920"/>
        <c:scaling>
          <c:orientation val="minMax"/>
        </c:scaling>
        <c:delete val="0"/>
        <c:axPos val="b"/>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18422592"/>
        <c:crosses val="autoZero"/>
        <c:crossBetween val="between"/>
      </c:valAx>
      <c:spPr>
        <a:noFill/>
        <a:ln>
          <a:noFill/>
        </a:ln>
        <a:effectLst/>
      </c:spPr>
    </c:plotArea>
    <c:legend>
      <c:legendPos val="b"/>
      <c:layout>
        <c:manualLayout>
          <c:xMode val="edge"/>
          <c:yMode val="edge"/>
          <c:x val="0.15459785984938226"/>
          <c:y val="0.93488182350808746"/>
          <c:w val="0.67101254385119269"/>
          <c:h val="3.550256551820838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userShapes r:id="rId5"/>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cs-CZ" sz="1200" b="1">
                <a:solidFill>
                  <a:sysClr val="windowText" lastClr="000000"/>
                </a:solidFill>
                <a:latin typeface="Arial" panose="020B0604020202020204" pitchFamily="34" charset="0"/>
                <a:cs typeface="Arial" panose="020B0604020202020204" pitchFamily="34" charset="0"/>
              </a:rPr>
              <a:t>2020/21</a:t>
            </a:r>
          </a:p>
        </c:rich>
      </c:tx>
      <c:layout>
        <c:manualLayout>
          <c:xMode val="edge"/>
          <c:yMode val="edge"/>
          <c:x val="1.245071591616518E-2"/>
          <c:y val="5.663430420711974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3.1930204096971795E-2"/>
          <c:y val="0.12731090431877831"/>
          <c:w val="0.9452434833900587"/>
          <c:h val="0.38245406824146982"/>
        </c:manualLayout>
      </c:layout>
      <c:barChart>
        <c:barDir val="col"/>
        <c:grouping val="clustered"/>
        <c:varyColors val="0"/>
        <c:ser>
          <c:idx val="0"/>
          <c:order val="0"/>
          <c:spPr>
            <a:solidFill>
              <a:schemeClr val="accent1"/>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List1!$B$2:$B$16</c:f>
              <c:strCache>
                <c:ptCount val="15"/>
                <c:pt idx="0">
                  <c:v>Ústecký</c:v>
                </c:pt>
                <c:pt idx="1">
                  <c:v>Karlovarský</c:v>
                </c:pt>
                <c:pt idx="2">
                  <c:v>Praha</c:v>
                </c:pt>
                <c:pt idx="3">
                  <c:v>ČR</c:v>
                </c:pt>
                <c:pt idx="4">
                  <c:v>Jihomoravský</c:v>
                </c:pt>
                <c:pt idx="5">
                  <c:v>Pardubický</c:v>
                </c:pt>
                <c:pt idx="6">
                  <c:v>Středočeský</c:v>
                </c:pt>
                <c:pt idx="7">
                  <c:v>Liberecký</c:v>
                </c:pt>
                <c:pt idx="8">
                  <c:v>Moravskoslezský</c:v>
                </c:pt>
                <c:pt idx="9">
                  <c:v>Plzeňský</c:v>
                </c:pt>
                <c:pt idx="10">
                  <c:v>Kraj Vysočina</c:v>
                </c:pt>
                <c:pt idx="11">
                  <c:v>Zlínský</c:v>
                </c:pt>
                <c:pt idx="12">
                  <c:v>Olomoucký</c:v>
                </c:pt>
                <c:pt idx="13">
                  <c:v>Královéhradecký</c:v>
                </c:pt>
                <c:pt idx="14">
                  <c:v>Jihočeský</c:v>
                </c:pt>
              </c:strCache>
            </c:strRef>
          </c:cat>
          <c:val>
            <c:numRef>
              <c:f>List1!$C$2:$C$16</c:f>
              <c:numCache>
                <c:formatCode>General</c:formatCode>
                <c:ptCount val="15"/>
                <c:pt idx="0">
                  <c:v>6.1</c:v>
                </c:pt>
                <c:pt idx="1">
                  <c:v>6.4</c:v>
                </c:pt>
                <c:pt idx="2">
                  <c:v>7.1</c:v>
                </c:pt>
                <c:pt idx="3">
                  <c:v>15.7</c:v>
                </c:pt>
                <c:pt idx="4">
                  <c:v>16.399999999999999</c:v>
                </c:pt>
                <c:pt idx="5">
                  <c:v>17.3</c:v>
                </c:pt>
                <c:pt idx="6">
                  <c:v>18.3</c:v>
                </c:pt>
                <c:pt idx="7">
                  <c:v>19.5</c:v>
                </c:pt>
                <c:pt idx="8">
                  <c:v>24.8</c:v>
                </c:pt>
                <c:pt idx="9">
                  <c:v>26</c:v>
                </c:pt>
                <c:pt idx="10">
                  <c:v>32</c:v>
                </c:pt>
                <c:pt idx="11">
                  <c:v>34.299999999999997</c:v>
                </c:pt>
                <c:pt idx="12">
                  <c:v>52.6</c:v>
                </c:pt>
                <c:pt idx="13">
                  <c:v>62.2</c:v>
                </c:pt>
                <c:pt idx="14">
                  <c:v>121</c:v>
                </c:pt>
              </c:numCache>
            </c:numRef>
          </c:val>
          <c:extLst>
            <c:ext xmlns:c16="http://schemas.microsoft.com/office/drawing/2014/chart" uri="{C3380CC4-5D6E-409C-BE32-E72D297353CC}">
              <c16:uniqueId val="{00000000-45DB-459E-B09A-F3299A8925B3}"/>
            </c:ext>
          </c:extLst>
        </c:ser>
        <c:dLbls>
          <c:showLegendKey val="0"/>
          <c:showVal val="0"/>
          <c:showCatName val="0"/>
          <c:showSerName val="0"/>
          <c:showPercent val="0"/>
          <c:showBubbleSize val="0"/>
        </c:dLbls>
        <c:gapWidth val="57"/>
        <c:overlap val="-27"/>
        <c:axId val="1263551567"/>
        <c:axId val="1263553231"/>
      </c:barChart>
      <c:catAx>
        <c:axId val="1263551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263553231"/>
        <c:crosses val="autoZero"/>
        <c:auto val="1"/>
        <c:lblAlgn val="ctr"/>
        <c:lblOffset val="100"/>
        <c:noMultiLvlLbl val="0"/>
      </c:catAx>
      <c:valAx>
        <c:axId val="1263553231"/>
        <c:scaling>
          <c:orientation val="minMax"/>
        </c:scaling>
        <c:delete val="0"/>
        <c:axPos val="l"/>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2635515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userShapes r:id="rId4"/>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cs-CZ" sz="1200" b="1">
                <a:solidFill>
                  <a:sysClr val="windowText" lastClr="000000"/>
                </a:solidFill>
                <a:latin typeface="Arial" panose="020B0604020202020204" pitchFamily="34" charset="0"/>
                <a:cs typeface="Arial" panose="020B0604020202020204" pitchFamily="34" charset="0"/>
              </a:rPr>
              <a:t>2021/22</a:t>
            </a:r>
          </a:p>
        </c:rich>
      </c:tx>
      <c:layout>
        <c:manualLayout>
          <c:xMode val="edge"/>
          <c:yMode val="edge"/>
          <c:x val="1.4525835235526042E-2"/>
          <c:y val="4.8543689320388349E-2"/>
        </c:manualLayout>
      </c:layout>
      <c:overlay val="0"/>
      <c:spPr>
        <a:noFill/>
        <a:ln w="38100">
          <a:solidFill>
            <a:srgbClr val="C00000"/>
          </a:solid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3.5195167422914217E-2"/>
          <c:y val="6.3147567719083683E-2"/>
          <c:w val="0.94197852006411631"/>
          <c:h val="0.47338697347297609"/>
        </c:manualLayout>
      </c:layout>
      <c:barChart>
        <c:barDir val="col"/>
        <c:grouping val="clustered"/>
        <c:varyColors val="0"/>
        <c:ser>
          <c:idx val="0"/>
          <c:order val="0"/>
          <c:spPr>
            <a:solidFill>
              <a:schemeClr val="accent1"/>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'1.2.2'!$S$7:$S$21</c:f>
              <c:strCache>
                <c:ptCount val="15"/>
                <c:pt idx="0">
                  <c:v>Ústecký </c:v>
                </c:pt>
                <c:pt idx="1">
                  <c:v>Karlovarský </c:v>
                </c:pt>
                <c:pt idx="2">
                  <c:v>Praha</c:v>
                </c:pt>
                <c:pt idx="3">
                  <c:v>Jihomoravský </c:v>
                </c:pt>
                <c:pt idx="4">
                  <c:v>ČR</c:v>
                </c:pt>
                <c:pt idx="5">
                  <c:v>Pardubický </c:v>
                </c:pt>
                <c:pt idx="6">
                  <c:v>Liberecký </c:v>
                </c:pt>
                <c:pt idx="7">
                  <c:v>Středočeský </c:v>
                </c:pt>
                <c:pt idx="8">
                  <c:v>Plzeňský </c:v>
                </c:pt>
                <c:pt idx="9">
                  <c:v>Moravskoslezský </c:v>
                </c:pt>
                <c:pt idx="10">
                  <c:v>Zlínský </c:v>
                </c:pt>
                <c:pt idx="11">
                  <c:v>Vysočina</c:v>
                </c:pt>
                <c:pt idx="12">
                  <c:v>Olomoucký </c:v>
                </c:pt>
                <c:pt idx="13">
                  <c:v>Královéhradecký </c:v>
                </c:pt>
                <c:pt idx="14">
                  <c:v>Jihočeský </c:v>
                </c:pt>
              </c:strCache>
            </c:strRef>
          </c:cat>
          <c:val>
            <c:numRef>
              <c:f>'1.2.2'!$T$7:$T$21</c:f>
              <c:numCache>
                <c:formatCode>0.0</c:formatCode>
                <c:ptCount val="15"/>
                <c:pt idx="0">
                  <c:v>5.3809523809523814</c:v>
                </c:pt>
                <c:pt idx="1">
                  <c:v>5.75</c:v>
                </c:pt>
                <c:pt idx="2">
                  <c:v>6.595959595959596</c:v>
                </c:pt>
                <c:pt idx="3">
                  <c:v>13.410714285714286</c:v>
                </c:pt>
                <c:pt idx="4">
                  <c:v>13.76158940397351</c:v>
                </c:pt>
                <c:pt idx="5">
                  <c:v>13.913043478260869</c:v>
                </c:pt>
                <c:pt idx="6">
                  <c:v>14.611111111111111</c:v>
                </c:pt>
                <c:pt idx="7">
                  <c:v>14.913793103448276</c:v>
                </c:pt>
                <c:pt idx="8">
                  <c:v>21.733333333333334</c:v>
                </c:pt>
                <c:pt idx="9">
                  <c:v>21.806451612903224</c:v>
                </c:pt>
                <c:pt idx="10">
                  <c:v>27.692307692307693</c:v>
                </c:pt>
                <c:pt idx="11">
                  <c:v>32</c:v>
                </c:pt>
                <c:pt idx="12">
                  <c:v>41.666666666666664</c:v>
                </c:pt>
                <c:pt idx="13">
                  <c:v>66.2</c:v>
                </c:pt>
                <c:pt idx="14">
                  <c:v>95.25</c:v>
                </c:pt>
              </c:numCache>
            </c:numRef>
          </c:val>
          <c:extLst>
            <c:ext xmlns:c16="http://schemas.microsoft.com/office/drawing/2014/chart" uri="{C3380CC4-5D6E-409C-BE32-E72D297353CC}">
              <c16:uniqueId val="{00000000-1563-477C-8B9D-239757D5EDC8}"/>
            </c:ext>
          </c:extLst>
        </c:ser>
        <c:dLbls>
          <c:showLegendKey val="0"/>
          <c:showVal val="0"/>
          <c:showCatName val="0"/>
          <c:showSerName val="0"/>
          <c:showPercent val="0"/>
          <c:showBubbleSize val="0"/>
        </c:dLbls>
        <c:gapWidth val="57"/>
        <c:overlap val="-27"/>
        <c:axId val="1263551567"/>
        <c:axId val="1263553231"/>
      </c:barChart>
      <c:catAx>
        <c:axId val="1263551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263553231"/>
        <c:crosses val="autoZero"/>
        <c:auto val="1"/>
        <c:lblAlgn val="ctr"/>
        <c:lblOffset val="100"/>
        <c:noMultiLvlLbl val="0"/>
      </c:catAx>
      <c:valAx>
        <c:axId val="1263553231"/>
        <c:scaling>
          <c:orientation val="minMax"/>
        </c:scaling>
        <c:delete val="0"/>
        <c:axPos val="l"/>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2635515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userShapes r:id="rId4"/>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330165066306438E-2"/>
          <c:y val="7.3260073260073263E-2"/>
          <c:w val="0.89829496226466499"/>
          <c:h val="0.6943278244065646"/>
        </c:manualLayout>
      </c:layout>
      <c:barChart>
        <c:barDir val="col"/>
        <c:grouping val="stacked"/>
        <c:varyColors val="0"/>
        <c:ser>
          <c:idx val="0"/>
          <c:order val="0"/>
          <c:tx>
            <c:strRef>
              <c:f>List18!$B$3</c:f>
              <c:strCache>
                <c:ptCount val="1"/>
                <c:pt idx="0">
                  <c:v>individuálně se vzdělávající</c:v>
                </c:pt>
              </c:strCache>
            </c:strRef>
          </c:tx>
          <c:spPr>
            <a:solidFill>
              <a:srgbClr val="C00000"/>
            </a:solidFill>
            <a:ln>
              <a:noFill/>
            </a:ln>
            <a:effectLst/>
          </c:spPr>
          <c:invertIfNegative val="0"/>
          <c:dLbls>
            <c:dLbl>
              <c:idx val="10"/>
              <c:layout>
                <c:manualLayout>
                  <c:x val="2.306805074971165E-3"/>
                  <c:y val="-3.9655331545095325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C73B-4E94-ADE8-5BACA5190101}"/>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6969"/>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List18!$A$4:$A$14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List18!$B$4:$B$14</c:f>
              <c:numCache>
                <c:formatCode>General</c:formatCode>
                <c:ptCount val="11"/>
                <c:pt idx="0">
                  <c:v>0.55300000000000005</c:v>
                </c:pt>
                <c:pt idx="1">
                  <c:v>0.629</c:v>
                </c:pt>
                <c:pt idx="2">
                  <c:v>0.83199999999999996</c:v>
                </c:pt>
                <c:pt idx="3">
                  <c:v>1.038</c:v>
                </c:pt>
                <c:pt idx="4">
                  <c:v>1.339</c:v>
                </c:pt>
                <c:pt idx="5">
                  <c:v>2.0670000000000002</c:v>
                </c:pt>
                <c:pt idx="6">
                  <c:v>2.5910000000000002</c:v>
                </c:pt>
                <c:pt idx="7">
                  <c:v>3.2320000000000002</c:v>
                </c:pt>
                <c:pt idx="8">
                  <c:v>3.8740000000000001</c:v>
                </c:pt>
                <c:pt idx="9">
                  <c:v>4.5570000000000004</c:v>
                </c:pt>
                <c:pt idx="10">
                  <c:v>5.8150000000000004</c:v>
                </c:pt>
              </c:numCache>
            </c:numRef>
          </c:val>
          <c:extLst>
            <c:ext xmlns:c16="http://schemas.microsoft.com/office/drawing/2014/chart" uri="{C3380CC4-5D6E-409C-BE32-E72D297353CC}">
              <c16:uniqueId val="{00000001-C73B-4E94-ADE8-5BACA5190101}"/>
            </c:ext>
          </c:extLst>
        </c:ser>
        <c:ser>
          <c:idx val="1"/>
          <c:order val="1"/>
          <c:tx>
            <c:strRef>
              <c:f>List18!$C$3</c:f>
              <c:strCache>
                <c:ptCount val="1"/>
                <c:pt idx="0">
                  <c:v>na základních školách (1)</c:v>
                </c:pt>
              </c:strCache>
            </c:strRef>
          </c:tx>
          <c:spPr>
            <a:solidFill>
              <a:srgbClr val="4A7DBA"/>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List18!$A$4:$A$14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List18!$C$4:$C$14</c:f>
              <c:numCache>
                <c:formatCode>General</c:formatCode>
                <c:ptCount val="11"/>
                <c:pt idx="0">
                  <c:v>790.18399999999997</c:v>
                </c:pt>
                <c:pt idx="1">
                  <c:v>802.45500000000004</c:v>
                </c:pt>
                <c:pt idx="2">
                  <c:v>820.84299999999996</c:v>
                </c:pt>
                <c:pt idx="3">
                  <c:v>846.23699999999997</c:v>
                </c:pt>
                <c:pt idx="4">
                  <c:v>871.48199999999997</c:v>
                </c:pt>
                <c:pt idx="5">
                  <c:v>895.85799999999995</c:v>
                </c:pt>
                <c:pt idx="6">
                  <c:v>914.60299999999995</c:v>
                </c:pt>
                <c:pt idx="7">
                  <c:v>928.42200000000003</c:v>
                </c:pt>
                <c:pt idx="8">
                  <c:v>939.60900000000004</c:v>
                </c:pt>
                <c:pt idx="9">
                  <c:v>948.54499999999996</c:v>
                </c:pt>
                <c:pt idx="10">
                  <c:v>949.20600000000002</c:v>
                </c:pt>
              </c:numCache>
            </c:numRef>
          </c:val>
          <c:extLst>
            <c:ext xmlns:c16="http://schemas.microsoft.com/office/drawing/2014/chart" uri="{C3380CC4-5D6E-409C-BE32-E72D297353CC}">
              <c16:uniqueId val="{00000002-C73B-4E94-ADE8-5BACA5190101}"/>
            </c:ext>
          </c:extLst>
        </c:ser>
        <c:ser>
          <c:idx val="2"/>
          <c:order val="2"/>
          <c:tx>
            <c:strRef>
              <c:f>List18!$D$3</c:f>
              <c:strCache>
                <c:ptCount val="1"/>
                <c:pt idx="0">
                  <c:v>na víceletých gymnáziích a 8letých konzervatořích</c:v>
                </c:pt>
              </c:strCache>
            </c:strRef>
          </c:tx>
          <c:spPr>
            <a:solidFill>
              <a:srgbClr val="7ABC32"/>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List18!$A$4:$A$14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List18!$D$4:$D$14</c:f>
              <c:numCache>
                <c:formatCode>General</c:formatCode>
                <c:ptCount val="11"/>
                <c:pt idx="0">
                  <c:v>41.153999999999996</c:v>
                </c:pt>
                <c:pt idx="1">
                  <c:v>40.805</c:v>
                </c:pt>
                <c:pt idx="2">
                  <c:v>40.669999999999995</c:v>
                </c:pt>
                <c:pt idx="3">
                  <c:v>40.677999999999997</c:v>
                </c:pt>
                <c:pt idx="4">
                  <c:v>40.802999999999997</c:v>
                </c:pt>
                <c:pt idx="5">
                  <c:v>41.308999999999997</c:v>
                </c:pt>
                <c:pt idx="6">
                  <c:v>41.608999999999995</c:v>
                </c:pt>
                <c:pt idx="7">
                  <c:v>41.949999999999996</c:v>
                </c:pt>
                <c:pt idx="8">
                  <c:v>42.311</c:v>
                </c:pt>
                <c:pt idx="9">
                  <c:v>42.121000000000002</c:v>
                </c:pt>
                <c:pt idx="10">
                  <c:v>41.884</c:v>
                </c:pt>
              </c:numCache>
            </c:numRef>
          </c:val>
          <c:extLst>
            <c:ext xmlns:c16="http://schemas.microsoft.com/office/drawing/2014/chart" uri="{C3380CC4-5D6E-409C-BE32-E72D297353CC}">
              <c16:uniqueId val="{00000003-C73B-4E94-ADE8-5BACA5190101}"/>
            </c:ext>
          </c:extLst>
        </c:ser>
        <c:ser>
          <c:idx val="3"/>
          <c:order val="3"/>
          <c:tx>
            <c:strRef>
              <c:f>List18!$E$3</c:f>
              <c:strCache>
                <c:ptCount val="1"/>
                <c:pt idx="0">
                  <c:v>v zahraničí či na zahraniční škole v ČR</c:v>
                </c:pt>
              </c:strCache>
            </c:strRef>
          </c:tx>
          <c:spPr>
            <a:solidFill>
              <a:schemeClr val="accent4"/>
            </a:solidFill>
            <a:ln>
              <a:noFill/>
            </a:ln>
            <a:effectLst/>
          </c:spPr>
          <c:invertIfNegative val="0"/>
          <c:dLbls>
            <c:dLbl>
              <c:idx val="8"/>
              <c:numFmt formatCode="#,##0.0" sourceLinked="0"/>
              <c:spPr>
                <a:noFill/>
                <a:ln>
                  <a:noFill/>
                </a:ln>
                <a:effectLst/>
              </c:spPr>
              <c:txPr>
                <a:bodyPr rot="0" spcFirstLastPara="1" vertOverflow="ellipsis" horzOverflow="clip" vert="horz" wrap="square" lIns="38100" tIns="19050" rIns="38100" bIns="19050" anchor="ctr" anchorCtr="1">
                  <a:noAutofit/>
                </a:bodyPr>
                <a:lstStyle/>
                <a:p>
                  <a:pPr>
                    <a:defRPr sz="800" b="1" i="0" u="none" strike="noStrike" kern="1200" baseline="0">
                      <a:solidFill>
                        <a:schemeClr val="accent4">
                          <a:lumMod val="50000"/>
                        </a:schemeClr>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4-C73B-4E94-ADE8-5BACA5190101}"/>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4">
                        <a:lumMod val="50000"/>
                      </a:schemeClr>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List18!$A$4:$A$14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List18!$E$4:$E$14</c:f>
              <c:numCache>
                <c:formatCode>General</c:formatCode>
                <c:ptCount val="11"/>
                <c:pt idx="0">
                  <c:v>3.9049999999999998</c:v>
                </c:pt>
                <c:pt idx="1">
                  <c:v>4.8659999999999997</c:v>
                </c:pt>
                <c:pt idx="2">
                  <c:v>5.9790000000000001</c:v>
                </c:pt>
                <c:pt idx="3">
                  <c:v>6.8620000000000001</c:v>
                </c:pt>
                <c:pt idx="4">
                  <c:v>7.43</c:v>
                </c:pt>
                <c:pt idx="5">
                  <c:v>8.2629999999999999</c:v>
                </c:pt>
                <c:pt idx="6">
                  <c:v>8.9139999999999997</c:v>
                </c:pt>
                <c:pt idx="7">
                  <c:v>9.2739999999999991</c:v>
                </c:pt>
                <c:pt idx="8">
                  <c:v>9.4629999999999992</c:v>
                </c:pt>
                <c:pt idx="9">
                  <c:v>9.2460000000000004</c:v>
                </c:pt>
                <c:pt idx="10">
                  <c:v>9.5500000000000007</c:v>
                </c:pt>
              </c:numCache>
            </c:numRef>
          </c:val>
          <c:extLst>
            <c:ext xmlns:c16="http://schemas.microsoft.com/office/drawing/2014/chart" uri="{C3380CC4-5D6E-409C-BE32-E72D297353CC}">
              <c16:uniqueId val="{00000005-C73B-4E94-ADE8-5BACA5190101}"/>
            </c:ext>
          </c:extLst>
        </c:ser>
        <c:dLbls>
          <c:showLegendKey val="0"/>
          <c:showVal val="0"/>
          <c:showCatName val="0"/>
          <c:showSerName val="0"/>
          <c:showPercent val="0"/>
          <c:showBubbleSize val="0"/>
        </c:dLbls>
        <c:gapWidth val="51"/>
        <c:overlap val="100"/>
        <c:axId val="1341528128"/>
        <c:axId val="1341514816"/>
      </c:barChart>
      <c:catAx>
        <c:axId val="134152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41514816"/>
        <c:crosses val="autoZero"/>
        <c:auto val="1"/>
        <c:lblAlgn val="ctr"/>
        <c:lblOffset val="100"/>
        <c:noMultiLvlLbl val="0"/>
      </c:catAx>
      <c:valAx>
        <c:axId val="1341514816"/>
        <c:scaling>
          <c:orientation val="minMax"/>
          <c:max val="110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41528128"/>
        <c:crosses val="autoZero"/>
        <c:crossBetween val="between"/>
        <c:majorUnit val="100"/>
      </c:valAx>
      <c:spPr>
        <a:noFill/>
        <a:ln>
          <a:noFill/>
        </a:ln>
        <a:effectLst/>
      </c:spPr>
    </c:plotArea>
    <c:legend>
      <c:legendPos val="b"/>
      <c:layout>
        <c:manualLayout>
          <c:xMode val="edge"/>
          <c:yMode val="edge"/>
          <c:x val="5.9613837197685919E-2"/>
          <c:y val="0.86400969109630532"/>
          <c:w val="0.94038616280231402"/>
          <c:h val="0.1140122869256727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287950972520251E-2"/>
          <c:y val="4.7159699892818867E-2"/>
          <c:w val="0.9017499365131284"/>
          <c:h val="0.69370739034979123"/>
        </c:manualLayout>
      </c:layout>
      <c:barChart>
        <c:barDir val="col"/>
        <c:grouping val="clustered"/>
        <c:varyColors val="0"/>
        <c:ser>
          <c:idx val="0"/>
          <c:order val="0"/>
          <c:tx>
            <c:strRef>
              <c:f>'1.1.5'!$B$21</c:f>
              <c:strCache>
                <c:ptCount val="1"/>
                <c:pt idx="0">
                  <c:v>2011/12</c:v>
                </c:pt>
              </c:strCache>
            </c:strRef>
          </c:tx>
          <c:spPr>
            <a:solidFill>
              <a:srgbClr val="0070C0"/>
            </a:solidFill>
            <a:ln>
              <a:noFill/>
            </a:ln>
            <a:effectLst/>
          </c:spPr>
          <c:invertIfNegative val="0"/>
          <c:cat>
            <c:strRef>
              <c:f>'1.1.5'!$A$22:$A$35</c:f>
              <c:strCache>
                <c:ptCount val="14"/>
                <c:pt idx="0">
                  <c:v>Středočeský</c:v>
                </c:pt>
                <c:pt idx="1">
                  <c:v>Praha</c:v>
                </c:pt>
                <c:pt idx="2">
                  <c:v>Jihomoravský</c:v>
                </c:pt>
                <c:pt idx="3">
                  <c:v>Vysočina</c:v>
                </c:pt>
                <c:pt idx="4">
                  <c:v>Olomoucký</c:v>
                </c:pt>
                <c:pt idx="5">
                  <c:v>Jihočeský</c:v>
                </c:pt>
                <c:pt idx="6">
                  <c:v>Plzeňský</c:v>
                </c:pt>
                <c:pt idx="7">
                  <c:v>Liberecký</c:v>
                </c:pt>
                <c:pt idx="8">
                  <c:v>Zlínský</c:v>
                </c:pt>
                <c:pt idx="9">
                  <c:v>Pardubický</c:v>
                </c:pt>
                <c:pt idx="10">
                  <c:v>Ústecký</c:v>
                </c:pt>
                <c:pt idx="11">
                  <c:v>Moravskoslezský</c:v>
                </c:pt>
                <c:pt idx="12">
                  <c:v>Královéhradecký</c:v>
                </c:pt>
                <c:pt idx="13">
                  <c:v>Karlovarský</c:v>
                </c:pt>
              </c:strCache>
            </c:strRef>
          </c:cat>
          <c:val>
            <c:numRef>
              <c:f>'1.1.5'!$B$22:$B$35</c:f>
              <c:numCache>
                <c:formatCode>#\ ##0_ ;[Red]\-#\ ##0\ ;\–\ </c:formatCode>
                <c:ptCount val="14"/>
                <c:pt idx="0">
                  <c:v>1816</c:v>
                </c:pt>
                <c:pt idx="1">
                  <c:v>1499</c:v>
                </c:pt>
                <c:pt idx="2">
                  <c:v>1641</c:v>
                </c:pt>
                <c:pt idx="3">
                  <c:v>738</c:v>
                </c:pt>
                <c:pt idx="4">
                  <c:v>938</c:v>
                </c:pt>
                <c:pt idx="5">
                  <c:v>920</c:v>
                </c:pt>
                <c:pt idx="6">
                  <c:v>787</c:v>
                </c:pt>
                <c:pt idx="7">
                  <c:v>648</c:v>
                </c:pt>
                <c:pt idx="8">
                  <c:v>810</c:v>
                </c:pt>
                <c:pt idx="9">
                  <c:v>743</c:v>
                </c:pt>
                <c:pt idx="10">
                  <c:v>1075</c:v>
                </c:pt>
                <c:pt idx="11">
                  <c:v>1669</c:v>
                </c:pt>
                <c:pt idx="12">
                  <c:v>819</c:v>
                </c:pt>
                <c:pt idx="13">
                  <c:v>378</c:v>
                </c:pt>
              </c:numCache>
            </c:numRef>
          </c:val>
          <c:extLst>
            <c:ext xmlns:c16="http://schemas.microsoft.com/office/drawing/2014/chart" uri="{C3380CC4-5D6E-409C-BE32-E72D297353CC}">
              <c16:uniqueId val="{00000000-C51D-478E-862C-11C76149EC18}"/>
            </c:ext>
          </c:extLst>
        </c:ser>
        <c:ser>
          <c:idx val="1"/>
          <c:order val="1"/>
          <c:tx>
            <c:strRef>
              <c:f>'1.1.5'!$C$21</c:f>
              <c:strCache>
                <c:ptCount val="1"/>
                <c:pt idx="0">
                  <c:v>2016/17</c:v>
                </c:pt>
              </c:strCache>
            </c:strRef>
          </c:tx>
          <c:spPr>
            <a:solidFill>
              <a:srgbClr val="C00000"/>
            </a:solidFill>
            <a:ln>
              <a:noFill/>
            </a:ln>
            <a:effectLst/>
          </c:spPr>
          <c:invertIfNegative val="0"/>
          <c:cat>
            <c:strRef>
              <c:f>'1.1.5'!$A$22:$A$35</c:f>
              <c:strCache>
                <c:ptCount val="14"/>
                <c:pt idx="0">
                  <c:v>Středočeský</c:v>
                </c:pt>
                <c:pt idx="1">
                  <c:v>Praha</c:v>
                </c:pt>
                <c:pt idx="2">
                  <c:v>Jihomoravský</c:v>
                </c:pt>
                <c:pt idx="3">
                  <c:v>Vysočina</c:v>
                </c:pt>
                <c:pt idx="4">
                  <c:v>Olomoucký</c:v>
                </c:pt>
                <c:pt idx="5">
                  <c:v>Jihočeský</c:v>
                </c:pt>
                <c:pt idx="6">
                  <c:v>Plzeňský</c:v>
                </c:pt>
                <c:pt idx="7">
                  <c:v>Liberecký</c:v>
                </c:pt>
                <c:pt idx="8">
                  <c:v>Zlínský</c:v>
                </c:pt>
                <c:pt idx="9">
                  <c:v>Pardubický</c:v>
                </c:pt>
                <c:pt idx="10">
                  <c:v>Ústecký</c:v>
                </c:pt>
                <c:pt idx="11">
                  <c:v>Moravskoslezský</c:v>
                </c:pt>
                <c:pt idx="12">
                  <c:v>Královéhradecký</c:v>
                </c:pt>
                <c:pt idx="13">
                  <c:v>Karlovarský</c:v>
                </c:pt>
              </c:strCache>
            </c:strRef>
          </c:cat>
          <c:val>
            <c:numRef>
              <c:f>'1.1.5'!$C$22:$C$35</c:f>
              <c:numCache>
                <c:formatCode>#\ ##0_ ;[Red]\-#\ ##0\ ;\–\ </c:formatCode>
                <c:ptCount val="14"/>
                <c:pt idx="0">
                  <c:v>2188</c:v>
                </c:pt>
                <c:pt idx="1">
                  <c:v>1801</c:v>
                </c:pt>
                <c:pt idx="2">
                  <c:v>1799</c:v>
                </c:pt>
                <c:pt idx="3">
                  <c:v>791</c:v>
                </c:pt>
                <c:pt idx="4">
                  <c:v>1007</c:v>
                </c:pt>
                <c:pt idx="5">
                  <c:v>998</c:v>
                </c:pt>
                <c:pt idx="6">
                  <c:v>833</c:v>
                </c:pt>
                <c:pt idx="7">
                  <c:v>678</c:v>
                </c:pt>
                <c:pt idx="8">
                  <c:v>854</c:v>
                </c:pt>
                <c:pt idx="9">
                  <c:v>778</c:v>
                </c:pt>
                <c:pt idx="10">
                  <c:v>1136</c:v>
                </c:pt>
                <c:pt idx="11">
                  <c:v>1747</c:v>
                </c:pt>
                <c:pt idx="12">
                  <c:v>865</c:v>
                </c:pt>
                <c:pt idx="13">
                  <c:v>381</c:v>
                </c:pt>
              </c:numCache>
            </c:numRef>
          </c:val>
          <c:extLst>
            <c:ext xmlns:c16="http://schemas.microsoft.com/office/drawing/2014/chart" uri="{C3380CC4-5D6E-409C-BE32-E72D297353CC}">
              <c16:uniqueId val="{00000001-C51D-478E-862C-11C76149EC18}"/>
            </c:ext>
          </c:extLst>
        </c:ser>
        <c:ser>
          <c:idx val="2"/>
          <c:order val="2"/>
          <c:tx>
            <c:strRef>
              <c:f>'1.1.5'!$D$21</c:f>
              <c:strCache>
                <c:ptCount val="1"/>
                <c:pt idx="0">
                  <c:v>2021/22</c:v>
                </c:pt>
              </c:strCache>
            </c:strRef>
          </c:tx>
          <c:spPr>
            <a:solidFill>
              <a:srgbClr val="70AD47"/>
            </a:solidFill>
            <a:ln>
              <a:noFill/>
            </a:ln>
            <a:effectLst/>
          </c:spPr>
          <c:invertIfNegative val="0"/>
          <c:cat>
            <c:strRef>
              <c:f>'1.1.5'!$A$22:$A$35</c:f>
              <c:strCache>
                <c:ptCount val="14"/>
                <c:pt idx="0">
                  <c:v>Středočeský</c:v>
                </c:pt>
                <c:pt idx="1">
                  <c:v>Praha</c:v>
                </c:pt>
                <c:pt idx="2">
                  <c:v>Jihomoravský</c:v>
                </c:pt>
                <c:pt idx="3">
                  <c:v>Vysočina</c:v>
                </c:pt>
                <c:pt idx="4">
                  <c:v>Olomoucký</c:v>
                </c:pt>
                <c:pt idx="5">
                  <c:v>Jihočeský</c:v>
                </c:pt>
                <c:pt idx="6">
                  <c:v>Plzeňský</c:v>
                </c:pt>
                <c:pt idx="7">
                  <c:v>Liberecký</c:v>
                </c:pt>
                <c:pt idx="8">
                  <c:v>Zlínský</c:v>
                </c:pt>
                <c:pt idx="9">
                  <c:v>Pardubický</c:v>
                </c:pt>
                <c:pt idx="10">
                  <c:v>Ústecký</c:v>
                </c:pt>
                <c:pt idx="11">
                  <c:v>Moravskoslezský</c:v>
                </c:pt>
                <c:pt idx="12">
                  <c:v>Královéhradecký</c:v>
                </c:pt>
                <c:pt idx="13">
                  <c:v>Karlovarský</c:v>
                </c:pt>
              </c:strCache>
            </c:strRef>
          </c:cat>
          <c:val>
            <c:numRef>
              <c:f>'1.1.5'!$D$22:$D$35</c:f>
              <c:numCache>
                <c:formatCode>#\ ##0_ ;[Red]\-#\ ##0\ ;\–\ </c:formatCode>
                <c:ptCount val="14"/>
                <c:pt idx="0">
                  <c:v>2402</c:v>
                </c:pt>
                <c:pt idx="1">
                  <c:v>1928</c:v>
                </c:pt>
                <c:pt idx="2">
                  <c:v>1919</c:v>
                </c:pt>
                <c:pt idx="3">
                  <c:v>853</c:v>
                </c:pt>
                <c:pt idx="4">
                  <c:v>1078</c:v>
                </c:pt>
                <c:pt idx="5">
                  <c:v>1053</c:v>
                </c:pt>
                <c:pt idx="6">
                  <c:v>884</c:v>
                </c:pt>
                <c:pt idx="7">
                  <c:v>723</c:v>
                </c:pt>
                <c:pt idx="8">
                  <c:v>898</c:v>
                </c:pt>
                <c:pt idx="9">
                  <c:v>813</c:v>
                </c:pt>
                <c:pt idx="10">
                  <c:v>1170</c:v>
                </c:pt>
                <c:pt idx="11">
                  <c:v>1807</c:v>
                </c:pt>
                <c:pt idx="12">
                  <c:v>886</c:v>
                </c:pt>
                <c:pt idx="13">
                  <c:v>386</c:v>
                </c:pt>
              </c:numCache>
            </c:numRef>
          </c:val>
          <c:extLst>
            <c:ext xmlns:c16="http://schemas.microsoft.com/office/drawing/2014/chart" uri="{C3380CC4-5D6E-409C-BE32-E72D297353CC}">
              <c16:uniqueId val="{00000002-C51D-478E-862C-11C76149EC18}"/>
            </c:ext>
          </c:extLst>
        </c:ser>
        <c:dLbls>
          <c:showLegendKey val="0"/>
          <c:showVal val="0"/>
          <c:showCatName val="0"/>
          <c:showSerName val="0"/>
          <c:showPercent val="0"/>
          <c:showBubbleSize val="0"/>
        </c:dLbls>
        <c:gapWidth val="99"/>
        <c:axId val="374400512"/>
        <c:axId val="446076544"/>
      </c:barChart>
      <c:scatterChart>
        <c:scatterStyle val="lineMarker"/>
        <c:varyColors val="0"/>
        <c:ser>
          <c:idx val="3"/>
          <c:order val="3"/>
          <c:tx>
            <c:strRef>
              <c:f>'1.1.5'!$E$21</c:f>
              <c:strCache>
                <c:ptCount val="1"/>
                <c:pt idx="0">
                  <c:v>nárůst za posledních 10 let</c:v>
                </c:pt>
              </c:strCache>
            </c:strRef>
          </c:tx>
          <c:spPr>
            <a:ln w="25400" cap="rnd">
              <a:noFill/>
              <a:round/>
            </a:ln>
            <a:effectLst/>
          </c:spPr>
          <c:marker>
            <c:symbol val="diamond"/>
            <c:size val="8"/>
            <c:spPr>
              <a:solidFill>
                <a:srgbClr val="FFCC66"/>
              </a:solidFill>
              <a:ln w="9525">
                <a:solidFill>
                  <a:schemeClr val="tx1"/>
                </a:solidFill>
              </a:ln>
              <a:effectLst/>
            </c:spPr>
          </c:marker>
          <c:dLbls>
            <c:dLbl>
              <c:idx val="3"/>
              <c:layout>
                <c:manualLayout>
                  <c:x val="-3.991232647949066E-2"/>
                  <c:y val="-5.409828488420079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9BE-479B-B25E-CDB7D564554A}"/>
                </c:ext>
              </c:extLst>
            </c:dLbl>
            <c:dLbl>
              <c:idx val="4"/>
              <c:layout>
                <c:manualLayout>
                  <c:x val="-3.9912326479490695E-2"/>
                  <c:y val="-5.829115700160129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09BE-479B-B25E-CDB7D564554A}"/>
                </c:ext>
              </c:extLst>
            </c:dLbl>
            <c:dLbl>
              <c:idx val="5"/>
              <c:layout>
                <c:manualLayout>
                  <c:x val="-3.9912326479490737E-2"/>
                  <c:y val="-5.829115700160121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09BE-479B-B25E-CDB7D564554A}"/>
                </c:ext>
              </c:extLst>
            </c:dLbl>
            <c:dLbl>
              <c:idx val="6"/>
              <c:layout>
                <c:manualLayout>
                  <c:x val="-3.991232647949066E-2"/>
                  <c:y val="-6.667690123640204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09BE-479B-B25E-CDB7D564554A}"/>
                </c:ext>
              </c:extLst>
            </c:dLbl>
            <c:dLbl>
              <c:idx val="7"/>
              <c:layout>
                <c:manualLayout>
                  <c:x val="-3.5737396931426857E-2"/>
                  <c:y val="-7.925551758860338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09BE-479B-B25E-CDB7D564554A}"/>
                </c:ext>
              </c:extLst>
            </c:dLbl>
            <c:dLbl>
              <c:idx val="8"/>
              <c:layout>
                <c:manualLayout>
                  <c:x val="-3.3649932157394841E-2"/>
                  <c:y val="-5.8291157001601215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09BE-479B-B25E-CDB7D564554A}"/>
                </c:ext>
              </c:extLst>
            </c:dLbl>
            <c:dLbl>
              <c:idx val="9"/>
              <c:layout>
                <c:manualLayout>
                  <c:x val="-3.3180334766890182E-2"/>
                  <c:y val="-4.9905412766800453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09BE-479B-B25E-CDB7D564554A}"/>
                </c:ext>
              </c:extLst>
            </c:dLbl>
            <c:dLbl>
              <c:idx val="13"/>
              <c:layout>
                <c:manualLayout>
                  <c:x val="-3.4512038672339533E-2"/>
                  <c:y val="-0.13714088230074445"/>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C51D-478E-862C-11C76149EC18}"/>
                </c:ext>
              </c:extLst>
            </c:dLbl>
            <c:numFmt formatCode="0\ %" sourceLinked="0"/>
            <c:spPr>
              <a:solidFill>
                <a:schemeClr val="accent4">
                  <a:lumMod val="20000"/>
                  <a:lumOff val="80000"/>
                </a:schemeClr>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strRef>
              <c:f>'1.1.5'!$A$22:$A$35</c:f>
              <c:strCache>
                <c:ptCount val="14"/>
                <c:pt idx="0">
                  <c:v>Středočeský</c:v>
                </c:pt>
                <c:pt idx="1">
                  <c:v>Praha</c:v>
                </c:pt>
                <c:pt idx="2">
                  <c:v>Jihomoravský</c:v>
                </c:pt>
                <c:pt idx="3">
                  <c:v>Vysočina</c:v>
                </c:pt>
                <c:pt idx="4">
                  <c:v>Olomoucký</c:v>
                </c:pt>
                <c:pt idx="5">
                  <c:v>Jihočeský</c:v>
                </c:pt>
                <c:pt idx="6">
                  <c:v>Plzeňský</c:v>
                </c:pt>
                <c:pt idx="7">
                  <c:v>Liberecký</c:v>
                </c:pt>
                <c:pt idx="8">
                  <c:v>Zlínský</c:v>
                </c:pt>
                <c:pt idx="9">
                  <c:v>Pardubický</c:v>
                </c:pt>
                <c:pt idx="10">
                  <c:v>Ústecký</c:v>
                </c:pt>
                <c:pt idx="11">
                  <c:v>Moravskoslezský</c:v>
                </c:pt>
                <c:pt idx="12">
                  <c:v>Královéhradecký</c:v>
                </c:pt>
                <c:pt idx="13">
                  <c:v>Karlovarský</c:v>
                </c:pt>
              </c:strCache>
            </c:strRef>
          </c:xVal>
          <c:yVal>
            <c:numRef>
              <c:f>'1.1.5'!$E$22:$E$35</c:f>
              <c:numCache>
                <c:formatCode>0.0%</c:formatCode>
                <c:ptCount val="14"/>
                <c:pt idx="0">
                  <c:v>0.32268722466960353</c:v>
                </c:pt>
                <c:pt idx="1">
                  <c:v>0.28619079386257495</c:v>
                </c:pt>
                <c:pt idx="2">
                  <c:v>0.16940889701401574</c:v>
                </c:pt>
                <c:pt idx="3">
                  <c:v>0.15582655826558267</c:v>
                </c:pt>
                <c:pt idx="4">
                  <c:v>0.14925373134328357</c:v>
                </c:pt>
                <c:pt idx="5">
                  <c:v>0.14456521739130435</c:v>
                </c:pt>
                <c:pt idx="6">
                  <c:v>0.12325285895806859</c:v>
                </c:pt>
                <c:pt idx="7">
                  <c:v>0.1157407407407407</c:v>
                </c:pt>
                <c:pt idx="8">
                  <c:v>0.10864197530864206</c:v>
                </c:pt>
                <c:pt idx="9">
                  <c:v>9.4212651413189796E-2</c:v>
                </c:pt>
                <c:pt idx="10">
                  <c:v>8.8372093023255882E-2</c:v>
                </c:pt>
                <c:pt idx="11">
                  <c:v>8.2684242061114466E-2</c:v>
                </c:pt>
                <c:pt idx="12">
                  <c:v>8.1807081807081738E-2</c:v>
                </c:pt>
                <c:pt idx="13">
                  <c:v>2.1164021164021163E-2</c:v>
                </c:pt>
              </c:numCache>
            </c:numRef>
          </c:yVal>
          <c:smooth val="0"/>
          <c:extLst>
            <c:ext xmlns:c16="http://schemas.microsoft.com/office/drawing/2014/chart" uri="{C3380CC4-5D6E-409C-BE32-E72D297353CC}">
              <c16:uniqueId val="{00000004-C51D-478E-862C-11C76149EC18}"/>
            </c:ext>
          </c:extLst>
        </c:ser>
        <c:dLbls>
          <c:showLegendKey val="0"/>
          <c:showVal val="0"/>
          <c:showCatName val="0"/>
          <c:showSerName val="0"/>
          <c:showPercent val="0"/>
          <c:showBubbleSize val="0"/>
        </c:dLbls>
        <c:axId val="446077696"/>
        <c:axId val="446077120"/>
      </c:scatterChart>
      <c:catAx>
        <c:axId val="374400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46076544"/>
        <c:crosses val="autoZero"/>
        <c:auto val="1"/>
        <c:lblAlgn val="ctr"/>
        <c:lblOffset val="100"/>
        <c:noMultiLvlLbl val="0"/>
      </c:catAx>
      <c:valAx>
        <c:axId val="44607654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74400512"/>
        <c:crosses val="autoZero"/>
        <c:crossBetween val="between"/>
      </c:valAx>
      <c:valAx>
        <c:axId val="446077120"/>
        <c:scaling>
          <c:orientation val="minMax"/>
        </c:scaling>
        <c:delete val="0"/>
        <c:axPos val="r"/>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46077696"/>
        <c:crosses val="max"/>
        <c:crossBetween val="midCat"/>
      </c:valAx>
      <c:valAx>
        <c:axId val="446077696"/>
        <c:scaling>
          <c:orientation val="minMax"/>
        </c:scaling>
        <c:delete val="1"/>
        <c:axPos val="b"/>
        <c:numFmt formatCode="General" sourceLinked="1"/>
        <c:majorTickMark val="out"/>
        <c:minorTickMark val="none"/>
        <c:tickLblPos val="nextTo"/>
        <c:crossAx val="446077120"/>
        <c:crosses val="autoZero"/>
        <c:crossBetween val="midCat"/>
      </c:valAx>
      <c:spPr>
        <a:noFill/>
        <a:ln>
          <a:noFill/>
        </a:ln>
        <a:effectLst/>
      </c:spPr>
    </c:plotArea>
    <c:legend>
      <c:legendPos val="b"/>
      <c:layout>
        <c:manualLayout>
          <c:xMode val="edge"/>
          <c:yMode val="edge"/>
          <c:x val="0.34855237605266987"/>
          <c:y val="6.1755238794507658E-2"/>
          <c:w val="0.57426566851881222"/>
          <c:h val="6.3646690465942554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Absolutní počty</a:t>
            </a:r>
            <a:endParaRPr lang="en-US" sz="800" b="1">
              <a:solidFill>
                <a:sysClr val="windowText" lastClr="000000"/>
              </a:solidFill>
            </a:endParaRPr>
          </a:p>
        </c:rich>
      </c:tx>
      <c:layout/>
      <c:overlay val="0"/>
      <c:spPr>
        <a:noFill/>
        <a:ln>
          <a:noFill/>
        </a:ln>
        <a:effectLst/>
      </c:spPr>
    </c:title>
    <c:autoTitleDeleted val="0"/>
    <c:plotArea>
      <c:layout/>
      <c:lineChart>
        <c:grouping val="standard"/>
        <c:varyColors val="0"/>
        <c:ser>
          <c:idx val="0"/>
          <c:order val="0"/>
          <c:tx>
            <c:strRef>
              <c:f>'2.2.29'!$B$42</c:f>
              <c:strCache>
                <c:ptCount val="1"/>
                <c:pt idx="0">
                  <c:v>školy pro žáky se SVP</c:v>
                </c:pt>
              </c:strCache>
            </c:strRef>
          </c:tx>
          <c:spPr>
            <a:ln w="28575" cap="rnd">
              <a:solidFill>
                <a:schemeClr val="accent1"/>
              </a:solidFill>
              <a:round/>
            </a:ln>
            <a:effectLst/>
          </c:spPr>
          <c:marker>
            <c:symbol val="none"/>
          </c:marker>
          <c:cat>
            <c:strRef>
              <c:f>'2.2.29'!$A$43:$A$53</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'2.2.29'!$B$43:$B$53</c:f>
              <c:numCache>
                <c:formatCode>General</c:formatCode>
                <c:ptCount val="11"/>
                <c:pt idx="0">
                  <c:v>404</c:v>
                </c:pt>
                <c:pt idx="1">
                  <c:v>394</c:v>
                </c:pt>
                <c:pt idx="2">
                  <c:v>385</c:v>
                </c:pt>
                <c:pt idx="3">
                  <c:v>383</c:v>
                </c:pt>
                <c:pt idx="4">
                  <c:v>376</c:v>
                </c:pt>
                <c:pt idx="5">
                  <c:v>349</c:v>
                </c:pt>
                <c:pt idx="6">
                  <c:v>332</c:v>
                </c:pt>
                <c:pt idx="7">
                  <c:v>329</c:v>
                </c:pt>
                <c:pt idx="8">
                  <c:v>321</c:v>
                </c:pt>
                <c:pt idx="9">
                  <c:v>322</c:v>
                </c:pt>
                <c:pt idx="10">
                  <c:v>321</c:v>
                </c:pt>
              </c:numCache>
            </c:numRef>
          </c:val>
          <c:smooth val="0"/>
          <c:extLst>
            <c:ext xmlns:c16="http://schemas.microsoft.com/office/drawing/2014/chart" uri="{C3380CC4-5D6E-409C-BE32-E72D297353CC}">
              <c16:uniqueId val="{00000000-EDFA-4CC4-A8AB-5CB9CF6F8346}"/>
            </c:ext>
          </c:extLst>
        </c:ser>
        <c:dLbls>
          <c:showLegendKey val="0"/>
          <c:showVal val="0"/>
          <c:showCatName val="0"/>
          <c:showSerName val="0"/>
          <c:showPercent val="0"/>
          <c:showBubbleSize val="0"/>
        </c:dLbls>
        <c:marker val="1"/>
        <c:smooth val="0"/>
        <c:axId val="68830336"/>
        <c:axId val="68850048"/>
      </c:lineChart>
      <c:lineChart>
        <c:grouping val="standard"/>
        <c:varyColors val="0"/>
        <c:ser>
          <c:idx val="1"/>
          <c:order val="1"/>
          <c:tx>
            <c:strRef>
              <c:f>'2.2.29'!$C$42</c:f>
              <c:strCache>
                <c:ptCount val="1"/>
                <c:pt idx="0">
                  <c:v>žáci v těchto školách</c:v>
                </c:pt>
              </c:strCache>
            </c:strRef>
          </c:tx>
          <c:spPr>
            <a:ln w="28575" cap="rnd">
              <a:solidFill>
                <a:schemeClr val="accent2"/>
              </a:solidFill>
              <a:round/>
            </a:ln>
            <a:effectLst/>
          </c:spPr>
          <c:marker>
            <c:symbol val="none"/>
          </c:marker>
          <c:cat>
            <c:strRef>
              <c:f>'2.2.29'!$A$43:$A$53</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'2.2.29'!$C$43:$C$53</c:f>
              <c:numCache>
                <c:formatCode>General</c:formatCode>
                <c:ptCount val="11"/>
                <c:pt idx="0">
                  <c:v>26162</c:v>
                </c:pt>
                <c:pt idx="1">
                  <c:v>24851</c:v>
                </c:pt>
                <c:pt idx="2">
                  <c:v>24035</c:v>
                </c:pt>
                <c:pt idx="3">
                  <c:v>23877</c:v>
                </c:pt>
                <c:pt idx="4">
                  <c:v>23880</c:v>
                </c:pt>
                <c:pt idx="5">
                  <c:v>22721</c:v>
                </c:pt>
                <c:pt idx="6">
                  <c:v>21953</c:v>
                </c:pt>
                <c:pt idx="7">
                  <c:v>21295</c:v>
                </c:pt>
                <c:pt idx="8">
                  <c:v>22235</c:v>
                </c:pt>
                <c:pt idx="9">
                  <c:v>22345</c:v>
                </c:pt>
                <c:pt idx="10">
                  <c:v>23148</c:v>
                </c:pt>
              </c:numCache>
            </c:numRef>
          </c:val>
          <c:smooth val="0"/>
          <c:extLst>
            <c:ext xmlns:c16="http://schemas.microsoft.com/office/drawing/2014/chart" uri="{C3380CC4-5D6E-409C-BE32-E72D297353CC}">
              <c16:uniqueId val="{00000001-EDFA-4CC4-A8AB-5CB9CF6F8346}"/>
            </c:ext>
          </c:extLst>
        </c:ser>
        <c:dLbls>
          <c:showLegendKey val="0"/>
          <c:showVal val="0"/>
          <c:showCatName val="0"/>
          <c:showSerName val="0"/>
          <c:showPercent val="0"/>
          <c:showBubbleSize val="0"/>
        </c:dLbls>
        <c:marker val="1"/>
        <c:smooth val="0"/>
        <c:axId val="103040128"/>
        <c:axId val="68852736"/>
      </c:lineChart>
      <c:catAx>
        <c:axId val="68830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68850048"/>
        <c:crosses val="autoZero"/>
        <c:auto val="1"/>
        <c:lblAlgn val="ctr"/>
        <c:lblOffset val="100"/>
        <c:tickLblSkip val="2"/>
        <c:noMultiLvlLbl val="0"/>
      </c:catAx>
      <c:valAx>
        <c:axId val="68850048"/>
        <c:scaling>
          <c:orientation val="minMax"/>
          <c:max val="4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a:solidFill>
                      <a:sysClr val="windowText" lastClr="000000"/>
                    </a:solidFill>
                  </a:rPr>
                  <a:t>počet škol</a:t>
                </a:r>
                <a:endParaRPr lang="en-US">
                  <a:solidFill>
                    <a:sysClr val="windowText" lastClr="000000"/>
                  </a:solidFill>
                </a:endParaRPr>
              </a:p>
            </c:rich>
          </c:tx>
          <c:layout>
            <c:manualLayout>
              <c:xMode val="edge"/>
              <c:yMode val="edge"/>
              <c:x val="2.9399412011759767E-2"/>
              <c:y val="0.34514928352402546"/>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68830336"/>
        <c:crosses val="autoZero"/>
        <c:crossBetween val="between"/>
      </c:valAx>
      <c:valAx>
        <c:axId val="68852736"/>
        <c:scaling>
          <c:orientation val="minMax"/>
          <c:max val="45000"/>
        </c:scaling>
        <c:delete val="0"/>
        <c:axPos val="r"/>
        <c:title>
          <c:tx>
            <c:rich>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a:solidFill>
                      <a:sysClr val="windowText" lastClr="000000"/>
                    </a:solidFill>
                  </a:rPr>
                  <a:t>počet žáků</a:t>
                </a:r>
                <a:endParaRPr lang="en-US">
                  <a:solidFill>
                    <a:sysClr val="windowText" lastClr="000000"/>
                  </a:solidFill>
                </a:endParaRPr>
              </a:p>
            </c:rich>
          </c:tx>
          <c:layout>
            <c:manualLayout>
              <c:xMode val="edge"/>
              <c:yMode val="edge"/>
              <c:x val="0.91518253099504943"/>
              <c:y val="0.33937806317899577"/>
            </c:manualLayout>
          </c:layout>
          <c:overlay val="0"/>
          <c:spPr>
            <a:noFill/>
            <a:ln>
              <a:noFill/>
            </a:ln>
            <a:effectLst/>
          </c:spPr>
        </c:title>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03040128"/>
        <c:crosses val="max"/>
        <c:crossBetween val="between"/>
      </c:valAx>
      <c:catAx>
        <c:axId val="103040128"/>
        <c:scaling>
          <c:orientation val="minMax"/>
        </c:scaling>
        <c:delete val="1"/>
        <c:axPos val="b"/>
        <c:numFmt formatCode="General" sourceLinked="1"/>
        <c:majorTickMark val="out"/>
        <c:minorTickMark val="none"/>
        <c:tickLblPos val="none"/>
        <c:crossAx val="68852736"/>
        <c:crosses val="autoZero"/>
        <c:auto val="1"/>
        <c:lblAlgn val="ctr"/>
        <c:lblOffset val="100"/>
        <c:noMultiLvlLbl val="0"/>
      </c:catAx>
      <c:spPr>
        <a:noFill/>
        <a:ln>
          <a:noFill/>
        </a:ln>
        <a:effectLst/>
      </c:spPr>
    </c:plotArea>
    <c:legend>
      <c:legendPos val="b"/>
      <c:layout>
        <c:manualLayout>
          <c:xMode val="edge"/>
          <c:yMode val="edge"/>
          <c:x val="1.7448170721624929E-2"/>
          <c:y val="0.87226569184743497"/>
          <c:w val="0.98255182927837503"/>
          <c:h val="0.12720104166666671"/>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Podíl na ZŠ celkem</a:t>
            </a:r>
            <a:endParaRPr lang="en-US" sz="800" b="1">
              <a:solidFill>
                <a:sysClr val="windowText" lastClr="000000"/>
              </a:solidFill>
            </a:endParaRPr>
          </a:p>
        </c:rich>
      </c:tx>
      <c:layout/>
      <c:overlay val="0"/>
      <c:spPr>
        <a:noFill/>
        <a:ln>
          <a:noFill/>
        </a:ln>
        <a:effectLst/>
      </c:spPr>
    </c:title>
    <c:autoTitleDeleted val="0"/>
    <c:plotArea>
      <c:layout>
        <c:manualLayout>
          <c:layoutTarget val="inner"/>
          <c:xMode val="edge"/>
          <c:yMode val="edge"/>
          <c:x val="0.12962743055555556"/>
          <c:y val="0.10669340277777779"/>
          <c:w val="0.82186562500000004"/>
          <c:h val="0.62577240246440557"/>
        </c:manualLayout>
      </c:layout>
      <c:lineChart>
        <c:grouping val="standard"/>
        <c:varyColors val="0"/>
        <c:ser>
          <c:idx val="0"/>
          <c:order val="0"/>
          <c:tx>
            <c:strRef>
              <c:f>'2.2.29'!$G$42</c:f>
              <c:strCache>
                <c:ptCount val="1"/>
                <c:pt idx="0">
                  <c:v>podíl škol pro žáky se SVP ze všech ZŠ</c:v>
                </c:pt>
              </c:strCache>
            </c:strRef>
          </c:tx>
          <c:spPr>
            <a:ln w="28575" cap="rnd">
              <a:solidFill>
                <a:schemeClr val="accent1"/>
              </a:solidFill>
              <a:round/>
            </a:ln>
            <a:effectLst/>
          </c:spPr>
          <c:marker>
            <c:symbol val="none"/>
          </c:marker>
          <c:cat>
            <c:strRef>
              <c:f>'2.2.29'!$F$43:$F$53</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'2.2.29'!$G$43:$G$53</c:f>
              <c:numCache>
                <c:formatCode>0.0%</c:formatCode>
                <c:ptCount val="11"/>
                <c:pt idx="0">
                  <c:v>9.8272926295305277E-2</c:v>
                </c:pt>
                <c:pt idx="1">
                  <c:v>9.621489621489622E-2</c:v>
                </c:pt>
                <c:pt idx="2">
                  <c:v>9.4017094017094016E-2</c:v>
                </c:pt>
                <c:pt idx="3">
                  <c:v>9.3278129566488066E-2</c:v>
                </c:pt>
                <c:pt idx="4">
                  <c:v>9.1373025516403403E-2</c:v>
                </c:pt>
                <c:pt idx="5">
                  <c:v>8.4299516908212566E-2</c:v>
                </c:pt>
                <c:pt idx="6">
                  <c:v>7.9903730445246693E-2</c:v>
                </c:pt>
                <c:pt idx="7">
                  <c:v>7.8859060402684561E-2</c:v>
                </c:pt>
                <c:pt idx="8">
                  <c:v>7.657442748091603E-2</c:v>
                </c:pt>
                <c:pt idx="9">
                  <c:v>7.6411960132890366E-2</c:v>
                </c:pt>
                <c:pt idx="10">
                  <c:v>7.5743275129778201E-2</c:v>
                </c:pt>
              </c:numCache>
            </c:numRef>
          </c:val>
          <c:smooth val="0"/>
          <c:extLst>
            <c:ext xmlns:c16="http://schemas.microsoft.com/office/drawing/2014/chart" uri="{C3380CC4-5D6E-409C-BE32-E72D297353CC}">
              <c16:uniqueId val="{00000000-2117-4577-B62B-9068C6F62E31}"/>
            </c:ext>
          </c:extLst>
        </c:ser>
        <c:ser>
          <c:idx val="1"/>
          <c:order val="1"/>
          <c:tx>
            <c:strRef>
              <c:f>'2.2.29'!$H$42</c:f>
              <c:strCache>
                <c:ptCount val="1"/>
                <c:pt idx="0">
                  <c:v>podíl žáků v těchto školách ze všech žáků ZŠ</c:v>
                </c:pt>
              </c:strCache>
            </c:strRef>
          </c:tx>
          <c:spPr>
            <a:ln w="28575" cap="rnd">
              <a:solidFill>
                <a:schemeClr val="accent2"/>
              </a:solidFill>
              <a:round/>
            </a:ln>
            <a:effectLst/>
          </c:spPr>
          <c:marker>
            <c:symbol val="none"/>
          </c:marker>
          <c:cat>
            <c:strRef>
              <c:f>'2.2.29'!$F$43:$F$53</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'2.2.29'!$H$43:$H$53</c:f>
              <c:numCache>
                <c:formatCode>0.0%</c:formatCode>
                <c:ptCount val="11"/>
                <c:pt idx="0">
                  <c:v>3.2923001804586217E-2</c:v>
                </c:pt>
                <c:pt idx="1">
                  <c:v>3.0758091466056067E-2</c:v>
                </c:pt>
                <c:pt idx="2">
                  <c:v>2.9039912813808667E-2</c:v>
                </c:pt>
                <c:pt idx="3">
                  <c:v>2.7954531884229344E-2</c:v>
                </c:pt>
                <c:pt idx="4">
                  <c:v>2.7128625812410323E-2</c:v>
                </c:pt>
                <c:pt idx="5">
                  <c:v>2.5073163626090834E-2</c:v>
                </c:pt>
                <c:pt idx="6">
                  <c:v>2.3704578731638212E-2</c:v>
                </c:pt>
                <c:pt idx="7">
                  <c:v>2.2631912324853763E-2</c:v>
                </c:pt>
                <c:pt idx="8">
                  <c:v>2.3332906586522217E-2</c:v>
                </c:pt>
                <c:pt idx="9">
                  <c:v>2.3219251247989292E-2</c:v>
                </c:pt>
                <c:pt idx="10">
                  <c:v>2.3998233411537357E-2</c:v>
                </c:pt>
              </c:numCache>
            </c:numRef>
          </c:val>
          <c:smooth val="0"/>
          <c:extLst>
            <c:ext xmlns:c16="http://schemas.microsoft.com/office/drawing/2014/chart" uri="{C3380CC4-5D6E-409C-BE32-E72D297353CC}">
              <c16:uniqueId val="{00000001-2117-4577-B62B-9068C6F62E31}"/>
            </c:ext>
          </c:extLst>
        </c:ser>
        <c:dLbls>
          <c:showLegendKey val="0"/>
          <c:showVal val="0"/>
          <c:showCatName val="0"/>
          <c:showSerName val="0"/>
          <c:showPercent val="0"/>
          <c:showBubbleSize val="0"/>
        </c:dLbls>
        <c:smooth val="0"/>
        <c:axId val="103266944"/>
        <c:axId val="103500032"/>
      </c:lineChart>
      <c:catAx>
        <c:axId val="10326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03500032"/>
        <c:crosses val="autoZero"/>
        <c:auto val="1"/>
        <c:lblAlgn val="ctr"/>
        <c:lblOffset val="100"/>
        <c:tickLblSkip val="2"/>
        <c:noMultiLvlLbl val="0"/>
      </c:catAx>
      <c:valAx>
        <c:axId val="103500032"/>
        <c:scaling>
          <c:orientation val="minMax"/>
          <c:max val="0.11000000000000001"/>
          <c:min val="2.0000000000000011E-2"/>
        </c:scaling>
        <c:delete val="0"/>
        <c:axPos val="l"/>
        <c:majorGridlines>
          <c:spPr>
            <a:ln w="9525" cap="flat" cmpd="sng" algn="ctr">
              <a:solidFill>
                <a:schemeClr val="tx1">
                  <a:lumMod val="15000"/>
                  <a:lumOff val="85000"/>
                </a:schemeClr>
              </a:solidFill>
              <a:round/>
            </a:ln>
            <a:effectLst/>
          </c:spPr>
        </c:majorGridlines>
        <c:numFmt formatCode="0\ %"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03266944"/>
        <c:crosses val="autoZero"/>
        <c:crossBetween val="between"/>
        <c:majorUnit val="1.0000000000000005E-2"/>
      </c:valAx>
      <c:spPr>
        <a:noFill/>
        <a:ln>
          <a:noFill/>
        </a:ln>
        <a:effectLst/>
      </c:spPr>
    </c:plotArea>
    <c:legend>
      <c:legendPos val="b"/>
      <c:layout>
        <c:manualLayout>
          <c:xMode val="edge"/>
          <c:yMode val="edge"/>
          <c:x val="2.255780756441875E-2"/>
          <c:y val="0.82932170919517878"/>
          <c:w val="0.97744219243558128"/>
          <c:h val="0.157040065209925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Počet škol</a:t>
            </a:r>
          </a:p>
          <a:p>
            <a:pPr>
              <a:defRPr sz="800" b="1">
                <a:solidFill>
                  <a:sysClr val="windowText" lastClr="000000"/>
                </a:solidFill>
              </a:defRPr>
            </a:pPr>
            <a:r>
              <a:rPr lang="cs-CZ" sz="800" b="1">
                <a:solidFill>
                  <a:sysClr val="windowText" lastClr="000000"/>
                </a:solidFill>
              </a:rPr>
              <a:t>dle zřizovatele</a:t>
            </a:r>
            <a:endParaRPr lang="en-US" sz="800" b="1">
              <a:solidFill>
                <a:sysClr val="windowText" lastClr="000000"/>
              </a:solidFill>
            </a:endParaRPr>
          </a:p>
        </c:rich>
      </c:tx>
      <c:layout>
        <c:manualLayout>
          <c:xMode val="edge"/>
          <c:yMode val="edge"/>
          <c:x val="0.75109313977017211"/>
          <c:y val="4.2105263157894736E-2"/>
        </c:manualLayout>
      </c:layout>
      <c:overlay val="0"/>
      <c:spPr>
        <a:noFill/>
        <a:ln>
          <a:noFill/>
        </a:ln>
        <a:effectLst/>
      </c:spPr>
      <c:txPr>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cs-CZ"/>
        </a:p>
      </c:txPr>
    </c:title>
    <c:autoTitleDeleted val="0"/>
    <c:plotArea>
      <c:layout>
        <c:manualLayout>
          <c:layoutTarget val="inner"/>
          <c:xMode val="edge"/>
          <c:yMode val="edge"/>
          <c:x val="5.6279011886882835E-2"/>
          <c:y val="2.8640419947506563E-2"/>
          <c:w val="0.66228501584519961"/>
          <c:h val="0.83664263019754115"/>
        </c:manualLayout>
      </c:layout>
      <c:barChart>
        <c:barDir val="col"/>
        <c:grouping val="stacked"/>
        <c:varyColors val="0"/>
        <c:ser>
          <c:idx val="0"/>
          <c:order val="0"/>
          <c:tx>
            <c:strRef>
              <c:f>'2.2.2'!$A$36</c:f>
              <c:strCache>
                <c:ptCount val="1"/>
                <c:pt idx="0">
                  <c:v>veřejné</c:v>
                </c:pt>
              </c:strCache>
            </c:strRef>
          </c:tx>
          <c:spPr>
            <a:solidFill>
              <a:srgbClr val="0070C0"/>
            </a:solidFill>
            <a:ln w="3175">
              <a:solidFill>
                <a:schemeClr val="bg1">
                  <a:lumMod val="50000"/>
                </a:schemeClr>
              </a:solid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'2.2.2'!$B$35:$D$35</c:f>
              <c:strCache>
                <c:ptCount val="3"/>
                <c:pt idx="0">
                  <c:v>2011/12</c:v>
                </c:pt>
                <c:pt idx="1">
                  <c:v>2016/17</c:v>
                </c:pt>
                <c:pt idx="2">
                  <c:v>2021/22</c:v>
                </c:pt>
              </c:strCache>
            </c:strRef>
          </c:cat>
          <c:val>
            <c:numRef>
              <c:f>'2.2.2'!$B$36:$D$36</c:f>
              <c:numCache>
                <c:formatCode>General</c:formatCode>
                <c:ptCount val="3"/>
                <c:pt idx="0">
                  <c:v>3984</c:v>
                </c:pt>
                <c:pt idx="1">
                  <c:v>3915</c:v>
                </c:pt>
                <c:pt idx="2">
                  <c:v>3911</c:v>
                </c:pt>
              </c:numCache>
            </c:numRef>
          </c:val>
          <c:extLst>
            <c:ext xmlns:c16="http://schemas.microsoft.com/office/drawing/2014/chart" uri="{C3380CC4-5D6E-409C-BE32-E72D297353CC}">
              <c16:uniqueId val="{00000000-566F-4108-AE7E-8E3D6026D62F}"/>
            </c:ext>
          </c:extLst>
        </c:ser>
        <c:ser>
          <c:idx val="1"/>
          <c:order val="1"/>
          <c:tx>
            <c:strRef>
              <c:f>'2.2.2'!$A$37</c:f>
              <c:strCache>
                <c:ptCount val="1"/>
                <c:pt idx="0">
                  <c:v>soukromé</c:v>
                </c:pt>
              </c:strCache>
            </c:strRef>
          </c:tx>
          <c:spPr>
            <a:solidFill>
              <a:srgbClr val="FFFF00"/>
            </a:solidFill>
            <a:ln w="3175">
              <a:solidFill>
                <a:schemeClr val="bg1">
                  <a:lumMod val="50000"/>
                </a:schemeClr>
              </a:solidFill>
            </a:ln>
            <a:effectLst/>
          </c:spPr>
          <c:invertIfNegative val="0"/>
          <c:dLbls>
            <c:dLbl>
              <c:idx val="2"/>
              <c:layout>
                <c:manualLayout>
                  <c:x val="-7.9381344652733445E-17"/>
                  <c:y val="6.1552700649260918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80D1-4210-B236-24C64AC96EDA}"/>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FF00"/>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'2.2.2'!$B$35:$D$35</c:f>
              <c:strCache>
                <c:ptCount val="3"/>
                <c:pt idx="0">
                  <c:v>2011/12</c:v>
                </c:pt>
                <c:pt idx="1">
                  <c:v>2016/17</c:v>
                </c:pt>
                <c:pt idx="2">
                  <c:v>2021/22</c:v>
                </c:pt>
              </c:strCache>
            </c:strRef>
          </c:cat>
          <c:val>
            <c:numRef>
              <c:f>'2.2.2'!$B$37:$D$37</c:f>
              <c:numCache>
                <c:formatCode>General</c:formatCode>
                <c:ptCount val="3"/>
                <c:pt idx="0">
                  <c:v>85</c:v>
                </c:pt>
                <c:pt idx="1">
                  <c:v>180</c:v>
                </c:pt>
                <c:pt idx="2">
                  <c:v>279</c:v>
                </c:pt>
              </c:numCache>
            </c:numRef>
          </c:val>
          <c:extLst>
            <c:ext xmlns:c16="http://schemas.microsoft.com/office/drawing/2014/chart" uri="{C3380CC4-5D6E-409C-BE32-E72D297353CC}">
              <c16:uniqueId val="{00000001-566F-4108-AE7E-8E3D6026D62F}"/>
            </c:ext>
          </c:extLst>
        </c:ser>
        <c:ser>
          <c:idx val="2"/>
          <c:order val="2"/>
          <c:tx>
            <c:strRef>
              <c:f>'2.2.2'!$A$38</c:f>
              <c:strCache>
                <c:ptCount val="1"/>
                <c:pt idx="0">
                  <c:v>církevní</c:v>
                </c:pt>
              </c:strCache>
            </c:strRef>
          </c:tx>
          <c:spPr>
            <a:solidFill>
              <a:schemeClr val="tx1"/>
            </a:solidFill>
            <a:ln w="3175">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'2.2.2'!$B$35:$D$35</c:f>
              <c:strCache>
                <c:ptCount val="3"/>
                <c:pt idx="0">
                  <c:v>2011/12</c:v>
                </c:pt>
                <c:pt idx="1">
                  <c:v>2016/17</c:v>
                </c:pt>
                <c:pt idx="2">
                  <c:v>2021/22</c:v>
                </c:pt>
              </c:strCache>
            </c:strRef>
          </c:cat>
          <c:val>
            <c:numRef>
              <c:f>'2.2.2'!$B$38:$D$38</c:f>
              <c:numCache>
                <c:formatCode>General</c:formatCode>
                <c:ptCount val="3"/>
                <c:pt idx="0">
                  <c:v>42</c:v>
                </c:pt>
                <c:pt idx="1">
                  <c:v>45</c:v>
                </c:pt>
                <c:pt idx="2">
                  <c:v>48</c:v>
                </c:pt>
              </c:numCache>
            </c:numRef>
          </c:val>
          <c:extLst>
            <c:ext xmlns:c16="http://schemas.microsoft.com/office/drawing/2014/chart" uri="{C3380CC4-5D6E-409C-BE32-E72D297353CC}">
              <c16:uniqueId val="{00000002-566F-4108-AE7E-8E3D6026D62F}"/>
            </c:ext>
          </c:extLst>
        </c:ser>
        <c:dLbls>
          <c:showLegendKey val="0"/>
          <c:showVal val="0"/>
          <c:showCatName val="0"/>
          <c:showSerName val="0"/>
          <c:showPercent val="0"/>
          <c:showBubbleSize val="0"/>
        </c:dLbls>
        <c:gapWidth val="49"/>
        <c:overlap val="100"/>
        <c:axId val="70723264"/>
        <c:axId val="466848416"/>
      </c:barChart>
      <c:catAx>
        <c:axId val="70723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66848416"/>
        <c:crosses val="autoZero"/>
        <c:auto val="1"/>
        <c:lblAlgn val="ctr"/>
        <c:lblOffset val="100"/>
        <c:noMultiLvlLbl val="0"/>
      </c:catAx>
      <c:valAx>
        <c:axId val="466848416"/>
        <c:scaling>
          <c:orientation val="minMax"/>
          <c:min val="0"/>
        </c:scaling>
        <c:delete val="0"/>
        <c:axPos val="l"/>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70723264"/>
        <c:crosses val="autoZero"/>
        <c:crossBetween val="between"/>
      </c:valAx>
      <c:spPr>
        <a:noFill/>
        <a:ln>
          <a:noFill/>
        </a:ln>
        <a:effectLst/>
      </c:spPr>
    </c:plotArea>
    <c:legend>
      <c:legendPos val="r"/>
      <c:layout>
        <c:manualLayout>
          <c:xMode val="edge"/>
          <c:yMode val="edge"/>
          <c:x val="0.75503270469628192"/>
          <c:y val="0.24022820831606576"/>
          <c:w val="0.21291004461203553"/>
          <c:h val="0.3125387484459179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Počet tříd</a:t>
            </a:r>
          </a:p>
          <a:p>
            <a:pPr>
              <a:defRPr sz="800" b="1">
                <a:solidFill>
                  <a:sysClr val="windowText" lastClr="000000"/>
                </a:solidFill>
              </a:defRPr>
            </a:pPr>
            <a:r>
              <a:rPr lang="cs-CZ" sz="800" b="1">
                <a:solidFill>
                  <a:sysClr val="windowText" lastClr="000000"/>
                </a:solidFill>
              </a:rPr>
              <a:t>dle zřizovatele</a:t>
            </a:r>
            <a:endParaRPr lang="en-US" sz="800" b="1">
              <a:solidFill>
                <a:sysClr val="windowText" lastClr="000000"/>
              </a:solidFill>
            </a:endParaRPr>
          </a:p>
        </c:rich>
      </c:tx>
      <c:layout>
        <c:manualLayout>
          <c:xMode val="edge"/>
          <c:yMode val="edge"/>
          <c:x val="2.1757785797450791E-2"/>
          <c:y val="2.8792092477801977E-2"/>
        </c:manualLayout>
      </c:layout>
      <c:overlay val="0"/>
      <c:spPr>
        <a:noFill/>
        <a:ln>
          <a:noFill/>
        </a:ln>
        <a:effectLst/>
      </c:spPr>
      <c:txPr>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cs-CZ"/>
        </a:p>
      </c:txPr>
    </c:title>
    <c:autoTitleDeleted val="0"/>
    <c:plotArea>
      <c:layout>
        <c:manualLayout>
          <c:layoutTarget val="inner"/>
          <c:xMode val="edge"/>
          <c:yMode val="edge"/>
          <c:x val="0.36803480318370035"/>
          <c:y val="4.9693051526453931E-2"/>
          <c:w val="0.59300595111257337"/>
          <c:h val="0.82521729520652021"/>
        </c:manualLayout>
      </c:layout>
      <c:barChart>
        <c:barDir val="col"/>
        <c:grouping val="stacked"/>
        <c:varyColors val="0"/>
        <c:ser>
          <c:idx val="0"/>
          <c:order val="0"/>
          <c:tx>
            <c:strRef>
              <c:f>'2.2.2'!$A$42</c:f>
              <c:strCache>
                <c:ptCount val="1"/>
                <c:pt idx="0">
                  <c:v>ve veřejných ZŠ</c:v>
                </c:pt>
              </c:strCache>
            </c:strRef>
          </c:tx>
          <c:spPr>
            <a:solidFill>
              <a:srgbClr val="0070C0"/>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'2.2.2'!$B$41:$D$41</c:f>
              <c:strCache>
                <c:ptCount val="3"/>
                <c:pt idx="0">
                  <c:v>2011/12</c:v>
                </c:pt>
                <c:pt idx="1">
                  <c:v>2016/17</c:v>
                </c:pt>
                <c:pt idx="2">
                  <c:v>2021/22</c:v>
                </c:pt>
              </c:strCache>
            </c:strRef>
          </c:cat>
          <c:val>
            <c:numRef>
              <c:f>'2.2.2'!$B$42:$D$42</c:f>
              <c:numCache>
                <c:formatCode>General</c:formatCode>
                <c:ptCount val="3"/>
                <c:pt idx="0">
                  <c:v>41150</c:v>
                </c:pt>
                <c:pt idx="1">
                  <c:v>43691</c:v>
                </c:pt>
                <c:pt idx="2">
                  <c:v>47690</c:v>
                </c:pt>
              </c:numCache>
            </c:numRef>
          </c:val>
          <c:extLst>
            <c:ext xmlns:c16="http://schemas.microsoft.com/office/drawing/2014/chart" uri="{C3380CC4-5D6E-409C-BE32-E72D297353CC}">
              <c16:uniqueId val="{00000000-4B3C-4025-9692-35C78743972F}"/>
            </c:ext>
          </c:extLst>
        </c:ser>
        <c:ser>
          <c:idx val="1"/>
          <c:order val="1"/>
          <c:tx>
            <c:strRef>
              <c:f>'2.2.2'!$A$43</c:f>
              <c:strCache>
                <c:ptCount val="1"/>
                <c:pt idx="0">
                  <c:v>v soukromých ZŠ</c:v>
                </c:pt>
              </c:strCache>
            </c:strRef>
          </c:tx>
          <c:spPr>
            <a:solidFill>
              <a:srgbClr val="FFFF00"/>
            </a:solidFill>
            <a:ln w="3175">
              <a:solidFill>
                <a:schemeClr val="bg1">
                  <a:lumMod val="50000"/>
                </a:schemeClr>
              </a:solid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FF00"/>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'2.2.2'!$B$41:$D$41</c:f>
              <c:strCache>
                <c:ptCount val="3"/>
                <c:pt idx="0">
                  <c:v>2011/12</c:v>
                </c:pt>
                <c:pt idx="1">
                  <c:v>2016/17</c:v>
                </c:pt>
                <c:pt idx="2">
                  <c:v>2021/22</c:v>
                </c:pt>
              </c:strCache>
            </c:strRef>
          </c:cat>
          <c:val>
            <c:numRef>
              <c:f>'2.2.2'!$B$43:$D$43</c:f>
              <c:numCache>
                <c:formatCode>General</c:formatCode>
                <c:ptCount val="3"/>
                <c:pt idx="0">
                  <c:v>586</c:v>
                </c:pt>
                <c:pt idx="1">
                  <c:v>988</c:v>
                </c:pt>
                <c:pt idx="2">
                  <c:v>1891</c:v>
                </c:pt>
              </c:numCache>
            </c:numRef>
          </c:val>
          <c:extLst>
            <c:ext xmlns:c16="http://schemas.microsoft.com/office/drawing/2014/chart" uri="{C3380CC4-5D6E-409C-BE32-E72D297353CC}">
              <c16:uniqueId val="{00000001-4B3C-4025-9692-35C78743972F}"/>
            </c:ext>
          </c:extLst>
        </c:ser>
        <c:ser>
          <c:idx val="2"/>
          <c:order val="2"/>
          <c:tx>
            <c:strRef>
              <c:f>'2.2.2'!$A$44</c:f>
              <c:strCache>
                <c:ptCount val="1"/>
                <c:pt idx="0">
                  <c:v>v církevních ZŠ</c:v>
                </c:pt>
              </c:strCache>
            </c:strRef>
          </c:tx>
          <c:spPr>
            <a:solidFill>
              <a:schemeClr val="tx1"/>
            </a:solidFill>
            <a:ln w="3175">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'2.2.2'!$B$41:$D$41</c:f>
              <c:strCache>
                <c:ptCount val="3"/>
                <c:pt idx="0">
                  <c:v>2011/12</c:v>
                </c:pt>
                <c:pt idx="1">
                  <c:v>2016/17</c:v>
                </c:pt>
                <c:pt idx="2">
                  <c:v>2021/22</c:v>
                </c:pt>
              </c:strCache>
            </c:strRef>
          </c:cat>
          <c:val>
            <c:numRef>
              <c:f>'2.2.2'!$B$44:$D$44</c:f>
              <c:numCache>
                <c:formatCode>General</c:formatCode>
                <c:ptCount val="3"/>
                <c:pt idx="0">
                  <c:v>369</c:v>
                </c:pt>
                <c:pt idx="1">
                  <c:v>437</c:v>
                </c:pt>
                <c:pt idx="2">
                  <c:v>469</c:v>
                </c:pt>
              </c:numCache>
            </c:numRef>
          </c:val>
          <c:extLst>
            <c:ext xmlns:c16="http://schemas.microsoft.com/office/drawing/2014/chart" uri="{C3380CC4-5D6E-409C-BE32-E72D297353CC}">
              <c16:uniqueId val="{00000002-4B3C-4025-9692-35C78743972F}"/>
            </c:ext>
          </c:extLst>
        </c:ser>
        <c:dLbls>
          <c:showLegendKey val="0"/>
          <c:showVal val="0"/>
          <c:showCatName val="0"/>
          <c:showSerName val="0"/>
          <c:showPercent val="0"/>
          <c:showBubbleSize val="0"/>
        </c:dLbls>
        <c:gapWidth val="49"/>
        <c:overlap val="100"/>
        <c:axId val="70723264"/>
        <c:axId val="466848416"/>
      </c:barChart>
      <c:catAx>
        <c:axId val="70723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66848416"/>
        <c:crosses val="autoZero"/>
        <c:auto val="1"/>
        <c:lblAlgn val="ctr"/>
        <c:lblOffset val="100"/>
        <c:noMultiLvlLbl val="0"/>
      </c:catAx>
      <c:valAx>
        <c:axId val="466848416"/>
        <c:scaling>
          <c:orientation val="minMax"/>
          <c:min val="0"/>
        </c:scaling>
        <c:delete val="0"/>
        <c:axPos val="l"/>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70723264"/>
        <c:crosses val="autoZero"/>
        <c:crossBetween val="between"/>
      </c:valAx>
      <c:spPr>
        <a:noFill/>
        <a:ln>
          <a:noFill/>
        </a:ln>
        <a:effectLst/>
      </c:spPr>
    </c:plotArea>
    <c:legend>
      <c:legendPos val="r"/>
      <c:layout>
        <c:manualLayout>
          <c:xMode val="edge"/>
          <c:yMode val="edge"/>
          <c:x val="2.3272583457918595E-2"/>
          <c:y val="0.24757078237560731"/>
          <c:w val="0.32839026751879008"/>
          <c:h val="0.3125387484459179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rgbClr val="C00000"/>
                </a:solidFill>
                <a:latin typeface="+mn-lt"/>
                <a:ea typeface="+mn-ea"/>
                <a:cs typeface="+mn-cs"/>
              </a:defRPr>
            </a:pPr>
            <a:r>
              <a:rPr lang="cs-CZ" sz="800" b="1" i="1">
                <a:solidFill>
                  <a:srgbClr val="C00000"/>
                </a:solidFill>
                <a:latin typeface="Arial" panose="020B0604020202020204" pitchFamily="34" charset="0"/>
                <a:cs typeface="Arial" panose="020B0604020202020204" pitchFamily="34" charset="0"/>
              </a:rPr>
              <a:t>podíl souromých škol ze všech ZŠ</a:t>
            </a:r>
          </a:p>
        </c:rich>
      </c:tx>
      <c:layout>
        <c:manualLayout>
          <c:xMode val="edge"/>
          <c:yMode val="edge"/>
          <c:x val="3.6446731287301949E-2"/>
          <c:y val="3.4443472343734814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rgbClr val="C00000"/>
              </a:solidFill>
              <a:latin typeface="+mn-lt"/>
              <a:ea typeface="+mn-ea"/>
              <a:cs typeface="+mn-cs"/>
            </a:defRPr>
          </a:pPr>
          <a:endParaRPr lang="cs-CZ"/>
        </a:p>
      </c:txPr>
    </c:title>
    <c:autoTitleDeleted val="0"/>
    <c:plotArea>
      <c:layout>
        <c:manualLayout>
          <c:layoutTarget val="inner"/>
          <c:xMode val="edge"/>
          <c:yMode val="edge"/>
          <c:x val="9.939519936245593E-2"/>
          <c:y val="0.24298214256960216"/>
          <c:w val="0.80120967015421629"/>
          <c:h val="0.47041463375360287"/>
        </c:manualLayout>
      </c:layout>
      <c:lineChart>
        <c:grouping val="standard"/>
        <c:varyColors val="0"/>
        <c:ser>
          <c:idx val="0"/>
          <c:order val="0"/>
          <c:spPr>
            <a:ln w="28575" cap="rnd">
              <a:solidFill>
                <a:srgbClr val="C00000"/>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0-95A2-48EA-B460-5E4C1B397E27}"/>
                </c:ext>
              </c:extLst>
            </c:dLbl>
            <c:dLbl>
              <c:idx val="2"/>
              <c:delete val="1"/>
              <c:extLst>
                <c:ext xmlns:c15="http://schemas.microsoft.com/office/drawing/2012/chart" uri="{CE6537A1-D6FC-4f65-9D91-7224C49458BB}"/>
                <c:ext xmlns:c16="http://schemas.microsoft.com/office/drawing/2014/chart" uri="{C3380CC4-5D6E-409C-BE32-E72D297353CC}">
                  <c16:uniqueId val="{00000001-95A2-48EA-B460-5E4C1B397E27}"/>
                </c:ext>
              </c:extLst>
            </c:dLbl>
            <c:dLbl>
              <c:idx val="3"/>
              <c:delete val="1"/>
              <c:extLst>
                <c:ext xmlns:c15="http://schemas.microsoft.com/office/drawing/2012/chart" uri="{CE6537A1-D6FC-4f65-9D91-7224C49458BB}"/>
                <c:ext xmlns:c16="http://schemas.microsoft.com/office/drawing/2014/chart" uri="{C3380CC4-5D6E-409C-BE32-E72D297353CC}">
                  <c16:uniqueId val="{00000002-95A2-48EA-B460-5E4C1B397E27}"/>
                </c:ext>
              </c:extLst>
            </c:dLbl>
            <c:dLbl>
              <c:idx val="4"/>
              <c:delete val="1"/>
              <c:extLst>
                <c:ext xmlns:c15="http://schemas.microsoft.com/office/drawing/2012/chart" uri="{CE6537A1-D6FC-4f65-9D91-7224C49458BB}"/>
                <c:ext xmlns:c16="http://schemas.microsoft.com/office/drawing/2014/chart" uri="{C3380CC4-5D6E-409C-BE32-E72D297353CC}">
                  <c16:uniqueId val="{00000003-95A2-48EA-B460-5E4C1B397E27}"/>
                </c:ext>
              </c:extLst>
            </c:dLbl>
            <c:dLbl>
              <c:idx val="6"/>
              <c:delete val="1"/>
              <c:extLst>
                <c:ext xmlns:c15="http://schemas.microsoft.com/office/drawing/2012/chart" uri="{CE6537A1-D6FC-4f65-9D91-7224C49458BB}"/>
                <c:ext xmlns:c16="http://schemas.microsoft.com/office/drawing/2014/chart" uri="{C3380CC4-5D6E-409C-BE32-E72D297353CC}">
                  <c16:uniqueId val="{00000004-95A2-48EA-B460-5E4C1B397E27}"/>
                </c:ext>
              </c:extLst>
            </c:dLbl>
            <c:dLbl>
              <c:idx val="7"/>
              <c:delete val="1"/>
              <c:extLst>
                <c:ext xmlns:c15="http://schemas.microsoft.com/office/drawing/2012/chart" uri="{CE6537A1-D6FC-4f65-9D91-7224C49458BB}"/>
                <c:ext xmlns:c16="http://schemas.microsoft.com/office/drawing/2014/chart" uri="{C3380CC4-5D6E-409C-BE32-E72D297353CC}">
                  <c16:uniqueId val="{00000005-95A2-48EA-B460-5E4C1B397E27}"/>
                </c:ext>
              </c:extLst>
            </c:dLbl>
            <c:dLbl>
              <c:idx val="8"/>
              <c:delete val="1"/>
              <c:extLst>
                <c:ext xmlns:c15="http://schemas.microsoft.com/office/drawing/2012/chart" uri="{CE6537A1-D6FC-4f65-9D91-7224C49458BB}"/>
                <c:ext xmlns:c16="http://schemas.microsoft.com/office/drawing/2014/chart" uri="{C3380CC4-5D6E-409C-BE32-E72D297353CC}">
                  <c16:uniqueId val="{00000006-95A2-48EA-B460-5E4C1B397E27}"/>
                </c:ext>
              </c:extLst>
            </c:dLbl>
            <c:dLbl>
              <c:idx val="9"/>
              <c:delete val="1"/>
              <c:extLst>
                <c:ext xmlns:c15="http://schemas.microsoft.com/office/drawing/2012/chart" uri="{CE6537A1-D6FC-4f65-9D91-7224C49458BB}"/>
                <c:ext xmlns:c16="http://schemas.microsoft.com/office/drawing/2014/chart" uri="{C3380CC4-5D6E-409C-BE32-E72D297353CC}">
                  <c16:uniqueId val="{00000007-95A2-48EA-B460-5E4C1B397E27}"/>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1" u="none" strike="noStrike" kern="1200" baseline="0">
                    <a:solidFill>
                      <a:srgbClr val="C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'2.2.2'!$V$27:$V$37</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'2.2.2'!$W$27:$W$37</c:f>
              <c:numCache>
                <c:formatCode>0.0%</c:formatCode>
                <c:ptCount val="11"/>
                <c:pt idx="0">
                  <c:v>2.067623449282413E-2</c:v>
                </c:pt>
                <c:pt idx="1">
                  <c:v>2.2222222222222223E-2</c:v>
                </c:pt>
                <c:pt idx="2">
                  <c:v>2.564102564102564E-2</c:v>
                </c:pt>
                <c:pt idx="3">
                  <c:v>3.019970774476376E-2</c:v>
                </c:pt>
                <c:pt idx="4">
                  <c:v>3.5236938031591739E-2</c:v>
                </c:pt>
                <c:pt idx="5">
                  <c:v>4.3478260869565216E-2</c:v>
                </c:pt>
                <c:pt idx="6">
                  <c:v>4.717208182912154E-2</c:v>
                </c:pt>
                <c:pt idx="7">
                  <c:v>5.1534036433365293E-2</c:v>
                </c:pt>
                <c:pt idx="8">
                  <c:v>5.7013358778625955E-2</c:v>
                </c:pt>
                <c:pt idx="9">
                  <c:v>6.0512577123872806E-2</c:v>
                </c:pt>
                <c:pt idx="10">
                  <c:v>6.5832940066068907E-2</c:v>
                </c:pt>
              </c:numCache>
            </c:numRef>
          </c:val>
          <c:smooth val="0"/>
          <c:extLst>
            <c:ext xmlns:c16="http://schemas.microsoft.com/office/drawing/2014/chart" uri="{C3380CC4-5D6E-409C-BE32-E72D297353CC}">
              <c16:uniqueId val="{00000008-95A2-48EA-B460-5E4C1B397E27}"/>
            </c:ext>
          </c:extLst>
        </c:ser>
        <c:dLbls>
          <c:showLegendKey val="0"/>
          <c:showVal val="0"/>
          <c:showCatName val="0"/>
          <c:showSerName val="0"/>
          <c:showPercent val="0"/>
          <c:showBubbleSize val="0"/>
        </c:dLbls>
        <c:smooth val="0"/>
        <c:axId val="1239828415"/>
        <c:axId val="1239815103"/>
      </c:lineChart>
      <c:catAx>
        <c:axId val="1239828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239815103"/>
        <c:crosses val="autoZero"/>
        <c:auto val="1"/>
        <c:lblAlgn val="ctr"/>
        <c:lblOffset val="100"/>
        <c:tickLblSkip val="5"/>
        <c:noMultiLvlLbl val="0"/>
      </c:catAx>
      <c:valAx>
        <c:axId val="1239815103"/>
        <c:scaling>
          <c:orientation val="minMax"/>
          <c:max val="7.0000000000000007E-2"/>
          <c:min val="0"/>
        </c:scaling>
        <c:delete val="0"/>
        <c:axPos val="l"/>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3982841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1" u="none" strike="noStrike" kern="1200" spc="0" baseline="0">
                <a:solidFill>
                  <a:schemeClr val="tx1">
                    <a:lumMod val="65000"/>
                    <a:lumOff val="35000"/>
                  </a:schemeClr>
                </a:solidFill>
                <a:latin typeface="+mn-lt"/>
                <a:ea typeface="+mn-ea"/>
                <a:cs typeface="+mn-cs"/>
              </a:defRPr>
            </a:pPr>
            <a:r>
              <a:rPr lang="cs-CZ" sz="800" b="1" i="1">
                <a:solidFill>
                  <a:srgbClr val="C00000"/>
                </a:solidFill>
                <a:latin typeface="Arial" panose="020B0604020202020204" pitchFamily="34" charset="0"/>
                <a:cs typeface="Arial" panose="020B0604020202020204" pitchFamily="34" charset="0"/>
              </a:rPr>
              <a:t>podíl tříd v soukromých ZŠ ze všech tříd</a:t>
            </a:r>
          </a:p>
        </c:rich>
      </c:tx>
      <c:layout>
        <c:manualLayout>
          <c:xMode val="edge"/>
          <c:yMode val="edge"/>
          <c:x val="0.278470933707544"/>
          <c:y val="5.9628525433703117E-2"/>
        </c:manualLayout>
      </c:layout>
      <c:overlay val="0"/>
      <c:spPr>
        <a:noFill/>
        <a:ln>
          <a:noFill/>
        </a:ln>
        <a:effectLst/>
      </c:spPr>
      <c:txPr>
        <a:bodyPr rot="0" spcFirstLastPara="1" vertOverflow="ellipsis" vert="horz" wrap="square" anchor="ctr" anchorCtr="1"/>
        <a:lstStyle/>
        <a:p>
          <a:pPr>
            <a:defRPr sz="1400" b="1" i="1"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10819604196147295"/>
          <c:y val="0.14823646235813084"/>
          <c:w val="0.80120967015421629"/>
          <c:h val="0.5648902921087976"/>
        </c:manualLayout>
      </c:layout>
      <c:lineChart>
        <c:grouping val="standard"/>
        <c:varyColors val="0"/>
        <c:ser>
          <c:idx val="0"/>
          <c:order val="0"/>
          <c:spPr>
            <a:ln w="28575" cap="rnd">
              <a:solidFill>
                <a:srgbClr val="C00000"/>
              </a:solidFill>
              <a:round/>
            </a:ln>
            <a:effectLst/>
          </c:spPr>
          <c:marker>
            <c:symbol val="none"/>
          </c:marker>
          <c:dLbls>
            <c:dLbl>
              <c:idx val="0"/>
              <c:numFmt formatCode="0.0\ %" sourceLinked="0"/>
              <c:spPr>
                <a:noFill/>
                <a:ln>
                  <a:noFill/>
                </a:ln>
                <a:effectLst/>
              </c:spPr>
              <c:txPr>
                <a:bodyPr rot="0" spcFirstLastPara="1" vertOverflow="ellipsis" vert="horz" wrap="square" lIns="38100" tIns="19050" rIns="38100" bIns="19050" anchor="ctr" anchorCtr="1">
                  <a:spAutoFit/>
                </a:bodyPr>
                <a:lstStyle/>
                <a:p>
                  <a:pPr>
                    <a:defRPr sz="800" b="0" i="1" u="none" strike="noStrike" kern="1200" baseline="0">
                      <a:solidFill>
                        <a:srgbClr val="C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extLst>
                <c:ext xmlns:c16="http://schemas.microsoft.com/office/drawing/2014/chart" uri="{C3380CC4-5D6E-409C-BE32-E72D297353CC}">
                  <c16:uniqueId val="{00000009-CA55-4D8F-9050-CF57917A7416}"/>
                </c:ext>
              </c:extLst>
            </c:dLbl>
            <c:dLbl>
              <c:idx val="1"/>
              <c:delete val="1"/>
              <c:extLst>
                <c:ext xmlns:c15="http://schemas.microsoft.com/office/drawing/2012/chart" uri="{CE6537A1-D6FC-4f65-9D91-7224C49458BB}"/>
                <c:ext xmlns:c16="http://schemas.microsoft.com/office/drawing/2014/chart" uri="{C3380CC4-5D6E-409C-BE32-E72D297353CC}">
                  <c16:uniqueId val="{00000000-CA55-4D8F-9050-CF57917A7416}"/>
                </c:ext>
              </c:extLst>
            </c:dLbl>
            <c:dLbl>
              <c:idx val="2"/>
              <c:delete val="1"/>
              <c:extLst>
                <c:ext xmlns:c15="http://schemas.microsoft.com/office/drawing/2012/chart" uri="{CE6537A1-D6FC-4f65-9D91-7224C49458BB}"/>
                <c:ext xmlns:c16="http://schemas.microsoft.com/office/drawing/2014/chart" uri="{C3380CC4-5D6E-409C-BE32-E72D297353CC}">
                  <c16:uniqueId val="{00000001-CA55-4D8F-9050-CF57917A7416}"/>
                </c:ext>
              </c:extLst>
            </c:dLbl>
            <c:dLbl>
              <c:idx val="3"/>
              <c:delete val="1"/>
              <c:extLst>
                <c:ext xmlns:c15="http://schemas.microsoft.com/office/drawing/2012/chart" uri="{CE6537A1-D6FC-4f65-9D91-7224C49458BB}"/>
                <c:ext xmlns:c16="http://schemas.microsoft.com/office/drawing/2014/chart" uri="{C3380CC4-5D6E-409C-BE32-E72D297353CC}">
                  <c16:uniqueId val="{00000002-CA55-4D8F-9050-CF57917A7416}"/>
                </c:ext>
              </c:extLst>
            </c:dLbl>
            <c:dLbl>
              <c:idx val="4"/>
              <c:delete val="1"/>
              <c:extLst>
                <c:ext xmlns:c15="http://schemas.microsoft.com/office/drawing/2012/chart" uri="{CE6537A1-D6FC-4f65-9D91-7224C49458BB}"/>
                <c:ext xmlns:c16="http://schemas.microsoft.com/office/drawing/2014/chart" uri="{C3380CC4-5D6E-409C-BE32-E72D297353CC}">
                  <c16:uniqueId val="{00000003-CA55-4D8F-9050-CF57917A7416}"/>
                </c:ext>
              </c:extLst>
            </c:dLbl>
            <c:dLbl>
              <c:idx val="5"/>
              <c:numFmt formatCode="0.0\ %" sourceLinked="0"/>
              <c:spPr>
                <a:noFill/>
                <a:ln>
                  <a:noFill/>
                </a:ln>
                <a:effectLst/>
              </c:spPr>
              <c:txPr>
                <a:bodyPr rot="0" spcFirstLastPara="1" vertOverflow="ellipsis" vert="horz" wrap="square" lIns="38100" tIns="19050" rIns="38100" bIns="19050" anchor="ctr" anchorCtr="1">
                  <a:spAutoFit/>
                </a:bodyPr>
                <a:lstStyle/>
                <a:p>
                  <a:pPr>
                    <a:defRPr sz="800" b="0" i="1" u="none" strike="noStrike" kern="1200" baseline="0">
                      <a:solidFill>
                        <a:srgbClr val="C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extLst>
                <c:ext xmlns:c16="http://schemas.microsoft.com/office/drawing/2014/chart" uri="{C3380CC4-5D6E-409C-BE32-E72D297353CC}">
                  <c16:uniqueId val="{0000000A-CA55-4D8F-9050-CF57917A7416}"/>
                </c:ext>
              </c:extLst>
            </c:dLbl>
            <c:dLbl>
              <c:idx val="6"/>
              <c:delete val="1"/>
              <c:extLst>
                <c:ext xmlns:c15="http://schemas.microsoft.com/office/drawing/2012/chart" uri="{CE6537A1-D6FC-4f65-9D91-7224C49458BB}"/>
                <c:ext xmlns:c16="http://schemas.microsoft.com/office/drawing/2014/chart" uri="{C3380CC4-5D6E-409C-BE32-E72D297353CC}">
                  <c16:uniqueId val="{00000004-CA55-4D8F-9050-CF57917A7416}"/>
                </c:ext>
              </c:extLst>
            </c:dLbl>
            <c:dLbl>
              <c:idx val="7"/>
              <c:delete val="1"/>
              <c:extLst>
                <c:ext xmlns:c15="http://schemas.microsoft.com/office/drawing/2012/chart" uri="{CE6537A1-D6FC-4f65-9D91-7224C49458BB}"/>
                <c:ext xmlns:c16="http://schemas.microsoft.com/office/drawing/2014/chart" uri="{C3380CC4-5D6E-409C-BE32-E72D297353CC}">
                  <c16:uniqueId val="{00000005-CA55-4D8F-9050-CF57917A7416}"/>
                </c:ext>
              </c:extLst>
            </c:dLbl>
            <c:dLbl>
              <c:idx val="8"/>
              <c:delete val="1"/>
              <c:extLst>
                <c:ext xmlns:c15="http://schemas.microsoft.com/office/drawing/2012/chart" uri="{CE6537A1-D6FC-4f65-9D91-7224C49458BB}"/>
                <c:ext xmlns:c16="http://schemas.microsoft.com/office/drawing/2014/chart" uri="{C3380CC4-5D6E-409C-BE32-E72D297353CC}">
                  <c16:uniqueId val="{00000006-CA55-4D8F-9050-CF57917A7416}"/>
                </c:ext>
              </c:extLst>
            </c:dLbl>
            <c:dLbl>
              <c:idx val="9"/>
              <c:delete val="1"/>
              <c:extLst>
                <c:ext xmlns:c15="http://schemas.microsoft.com/office/drawing/2012/chart" uri="{CE6537A1-D6FC-4f65-9D91-7224C49458BB}"/>
                <c:ext xmlns:c16="http://schemas.microsoft.com/office/drawing/2014/chart" uri="{C3380CC4-5D6E-409C-BE32-E72D297353CC}">
                  <c16:uniqueId val="{00000007-CA55-4D8F-9050-CF57917A7416}"/>
                </c:ext>
              </c:extLst>
            </c:dLbl>
            <c:dLbl>
              <c:idx val="10"/>
              <c:numFmt formatCode="0.0\ %" sourceLinked="0"/>
              <c:spPr>
                <a:noFill/>
                <a:ln>
                  <a:noFill/>
                </a:ln>
                <a:effectLst/>
              </c:spPr>
              <c:txPr>
                <a:bodyPr rot="0" spcFirstLastPara="1" vertOverflow="ellipsis" vert="horz" wrap="square" lIns="38100" tIns="19050" rIns="38100" bIns="19050" anchor="ctr" anchorCtr="1">
                  <a:spAutoFit/>
                </a:bodyPr>
                <a:lstStyle/>
                <a:p>
                  <a:pPr>
                    <a:defRPr sz="800" b="0" i="1" u="none" strike="noStrike" kern="1200" baseline="0">
                      <a:solidFill>
                        <a:srgbClr val="C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extLst>
                <c:ext xmlns:c16="http://schemas.microsoft.com/office/drawing/2014/chart" uri="{C3380CC4-5D6E-409C-BE32-E72D297353CC}">
                  <c16:uniqueId val="{0000000B-CA55-4D8F-9050-CF57917A7416}"/>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1"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'2.2.2'!$V$41:$V$51</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'2.2.2'!$W$41:$W$51</c:f>
              <c:numCache>
                <c:formatCode>0.0%</c:formatCode>
                <c:ptCount val="11"/>
                <c:pt idx="0">
                  <c:v>1.3917586984918656E-2</c:v>
                </c:pt>
                <c:pt idx="1">
                  <c:v>1.4351086513812023E-2</c:v>
                </c:pt>
                <c:pt idx="2">
                  <c:v>1.5354088911985638E-2</c:v>
                </c:pt>
                <c:pt idx="3">
                  <c:v>1.7661064749531889E-2</c:v>
                </c:pt>
                <c:pt idx="4">
                  <c:v>1.9119548207117098E-2</c:v>
                </c:pt>
                <c:pt idx="5">
                  <c:v>2.1899104530543487E-2</c:v>
                </c:pt>
                <c:pt idx="6">
                  <c:v>2.4444299589335767E-2</c:v>
                </c:pt>
                <c:pt idx="7">
                  <c:v>2.7643562663017915E-2</c:v>
                </c:pt>
                <c:pt idx="8">
                  <c:v>3.1340274746970924E-2</c:v>
                </c:pt>
                <c:pt idx="9">
                  <c:v>3.4186297026483202E-2</c:v>
                </c:pt>
                <c:pt idx="10">
                  <c:v>3.7782217782217783E-2</c:v>
                </c:pt>
              </c:numCache>
            </c:numRef>
          </c:val>
          <c:smooth val="0"/>
          <c:extLst>
            <c:ext xmlns:c16="http://schemas.microsoft.com/office/drawing/2014/chart" uri="{C3380CC4-5D6E-409C-BE32-E72D297353CC}">
              <c16:uniqueId val="{00000008-CA55-4D8F-9050-CF57917A7416}"/>
            </c:ext>
          </c:extLst>
        </c:ser>
        <c:dLbls>
          <c:showLegendKey val="0"/>
          <c:showVal val="0"/>
          <c:showCatName val="0"/>
          <c:showSerName val="0"/>
          <c:showPercent val="0"/>
          <c:showBubbleSize val="0"/>
        </c:dLbls>
        <c:smooth val="0"/>
        <c:axId val="1239828415"/>
        <c:axId val="1239815103"/>
      </c:lineChart>
      <c:catAx>
        <c:axId val="1239828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239815103"/>
        <c:crosses val="autoZero"/>
        <c:auto val="1"/>
        <c:lblAlgn val="ctr"/>
        <c:lblOffset val="100"/>
        <c:tickLblSkip val="5"/>
        <c:noMultiLvlLbl val="0"/>
      </c:catAx>
      <c:valAx>
        <c:axId val="1239815103"/>
        <c:scaling>
          <c:orientation val="minMax"/>
          <c:max val="7.0000000000000007E-2"/>
          <c:min val="0"/>
        </c:scaling>
        <c:delete val="0"/>
        <c:axPos val="l"/>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23982841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na 1 třídu</a:t>
            </a:r>
            <a:endParaRPr lang="en-US" sz="800" b="1">
              <a:solidFill>
                <a:sysClr val="windowText" lastClr="000000"/>
              </a:solidFill>
            </a:endParaRPr>
          </a:p>
        </c:rich>
      </c:tx>
      <c:layout>
        <c:manualLayout>
          <c:xMode val="edge"/>
          <c:yMode val="edge"/>
          <c:x val="0.38039841793969303"/>
          <c:y val="1.1637391479911167E-2"/>
        </c:manualLayout>
      </c:layout>
      <c:overlay val="0"/>
      <c:spPr>
        <a:noFill/>
        <a:ln>
          <a:noFill/>
        </a:ln>
        <a:effectLst/>
      </c:spPr>
    </c:title>
    <c:autoTitleDeleted val="0"/>
    <c:plotArea>
      <c:layout>
        <c:manualLayout>
          <c:layoutTarget val="inner"/>
          <c:xMode val="edge"/>
          <c:yMode val="edge"/>
          <c:x val="0.1021246693121695"/>
          <c:y val="0.10648148148148175"/>
          <c:w val="0.86652711640211777"/>
          <c:h val="0.57922753726930365"/>
        </c:manualLayout>
      </c:layout>
      <c:lineChart>
        <c:grouping val="standard"/>
        <c:varyColors val="0"/>
        <c:ser>
          <c:idx val="0"/>
          <c:order val="0"/>
          <c:tx>
            <c:strRef>
              <c:f>List21!$B$37</c:f>
              <c:strCache>
                <c:ptCount val="1"/>
                <c:pt idx="0">
                  <c:v>veřejný</c:v>
                </c:pt>
              </c:strCache>
            </c:strRef>
          </c:tx>
          <c:spPr>
            <a:ln w="28575" cap="rnd">
              <a:solidFill>
                <a:srgbClr val="0070C0"/>
              </a:solidFill>
              <a:round/>
            </a:ln>
            <a:effectLst/>
          </c:spPr>
          <c:marker>
            <c:symbol val="none"/>
          </c:marker>
          <c:dLbls>
            <c:numFmt formatCode="#,##0.0" sourceLinked="0"/>
            <c:spPr>
              <a:noFill/>
              <a:ln>
                <a:noFill/>
              </a:ln>
              <a:effectLst/>
            </c:spPr>
            <c:txPr>
              <a:bodyPr wrap="square" lIns="38100" tIns="19050" rIns="38100" bIns="19050" anchor="ctr">
                <a:spAutoFit/>
              </a:bodyPr>
              <a:lstStyle/>
              <a:p>
                <a:pPr>
                  <a:defRPr sz="750">
                    <a:solidFill>
                      <a:sysClr val="windowText" lastClr="000000"/>
                    </a:solidFill>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List21!$A$38:$A$48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List21!$B$38:$B$48</c:f>
              <c:numCache>
                <c:formatCode>#\ ##0.0_ ;\-#\ ##0.0\ </c:formatCode>
                <c:ptCount val="11"/>
                <c:pt idx="0">
                  <c:v>19.018833535844472</c:v>
                </c:pt>
                <c:pt idx="1">
                  <c:v>19.509568204121688</c:v>
                </c:pt>
                <c:pt idx="2">
                  <c:v>19.714195751689395</c:v>
                </c:pt>
                <c:pt idx="3">
                  <c:v>19.934400912352395</c:v>
                </c:pt>
                <c:pt idx="4">
                  <c:v>20.163269594452615</c:v>
                </c:pt>
                <c:pt idx="5">
                  <c:v>20.309606097365592</c:v>
                </c:pt>
                <c:pt idx="6">
                  <c:v>20.363634318621497</c:v>
                </c:pt>
                <c:pt idx="7">
                  <c:v>20.382194883638302</c:v>
                </c:pt>
                <c:pt idx="8">
                  <c:v>20.093246404435973</c:v>
                </c:pt>
                <c:pt idx="9">
                  <c:v>19.867712051674317</c:v>
                </c:pt>
                <c:pt idx="10">
                  <c:v>19.60268400083875</c:v>
                </c:pt>
              </c:numCache>
            </c:numRef>
          </c:val>
          <c:smooth val="0"/>
          <c:extLst>
            <c:ext xmlns:c16="http://schemas.microsoft.com/office/drawing/2014/chart" uri="{C3380CC4-5D6E-409C-BE32-E72D297353CC}">
              <c16:uniqueId val="{00000000-44AE-4C20-A240-80AC4B8526BA}"/>
            </c:ext>
          </c:extLst>
        </c:ser>
        <c:ser>
          <c:idx val="1"/>
          <c:order val="1"/>
          <c:tx>
            <c:strRef>
              <c:f>List21!$C$37</c:f>
              <c:strCache>
                <c:ptCount val="1"/>
                <c:pt idx="0">
                  <c:v>soukromý</c:v>
                </c:pt>
              </c:strCache>
            </c:strRef>
          </c:tx>
          <c:spPr>
            <a:ln w="28575" cap="rnd">
              <a:solidFill>
                <a:srgbClr val="C00000"/>
              </a:solidFill>
              <a:round/>
            </a:ln>
            <a:effectLst/>
          </c:spPr>
          <c:marker>
            <c:symbol val="none"/>
          </c:marker>
          <c:dLbls>
            <c:numFmt formatCode="#,##0.0" sourceLinked="0"/>
            <c:spPr>
              <a:noFill/>
              <a:ln>
                <a:noFill/>
              </a:ln>
              <a:effectLst/>
            </c:spPr>
            <c:txPr>
              <a:bodyPr wrap="square" lIns="38100" tIns="19050" rIns="38100" bIns="19050" anchor="ctr">
                <a:spAutoFit/>
              </a:bodyPr>
              <a:lstStyle/>
              <a:p>
                <a:pPr>
                  <a:defRPr sz="750">
                    <a:solidFill>
                      <a:sysClr val="windowText" lastClr="000000"/>
                    </a:solidFill>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List21!$A$38:$A$48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List21!$C$38:$C$48</c:f>
              <c:numCache>
                <c:formatCode>#\ ##0.0_ ;\-#\ ##0.0\ </c:formatCode>
                <c:ptCount val="11"/>
                <c:pt idx="0">
                  <c:v>11.16382252559727</c:v>
                </c:pt>
                <c:pt idx="1">
                  <c:v>11.714524207011687</c:v>
                </c:pt>
                <c:pt idx="2">
                  <c:v>11.893846153846154</c:v>
                </c:pt>
                <c:pt idx="3">
                  <c:v>11.524869109947645</c:v>
                </c:pt>
                <c:pt idx="4">
                  <c:v>11.930011862396205</c:v>
                </c:pt>
                <c:pt idx="5">
                  <c:v>12.09412955465587</c:v>
                </c:pt>
                <c:pt idx="6">
                  <c:v>12.179555555555556</c:v>
                </c:pt>
                <c:pt idx="7">
                  <c:v>12.183294663573086</c:v>
                </c:pt>
                <c:pt idx="8">
                  <c:v>11.904509283819628</c:v>
                </c:pt>
                <c:pt idx="9">
                  <c:v>11.806777645659929</c:v>
                </c:pt>
                <c:pt idx="10">
                  <c:v>11.775780010576415</c:v>
                </c:pt>
              </c:numCache>
            </c:numRef>
          </c:val>
          <c:smooth val="0"/>
          <c:extLst>
            <c:ext xmlns:c16="http://schemas.microsoft.com/office/drawing/2014/chart" uri="{C3380CC4-5D6E-409C-BE32-E72D297353CC}">
              <c16:uniqueId val="{00000001-44AE-4C20-A240-80AC4B8526BA}"/>
            </c:ext>
          </c:extLst>
        </c:ser>
        <c:ser>
          <c:idx val="2"/>
          <c:order val="2"/>
          <c:tx>
            <c:strRef>
              <c:f>List21!$D$37</c:f>
              <c:strCache>
                <c:ptCount val="1"/>
                <c:pt idx="0">
                  <c:v>církevní</c:v>
                </c:pt>
              </c:strCache>
            </c:strRef>
          </c:tx>
          <c:spPr>
            <a:ln w="28575" cap="rnd">
              <a:solidFill>
                <a:srgbClr val="70AD47"/>
              </a:solidFill>
              <a:round/>
            </a:ln>
            <a:effectLst/>
          </c:spPr>
          <c:marker>
            <c:symbol val="none"/>
          </c:marker>
          <c:dLbls>
            <c:numFmt formatCode="#,##0.0" sourceLinked="0"/>
            <c:spPr>
              <a:noFill/>
              <a:ln>
                <a:noFill/>
              </a:ln>
              <a:effectLst/>
            </c:spPr>
            <c:txPr>
              <a:bodyPr wrap="square" lIns="38100" tIns="19050" rIns="38100" bIns="19050" anchor="ctr">
                <a:spAutoFit/>
              </a:bodyPr>
              <a:lstStyle/>
              <a:p>
                <a:pPr>
                  <a:defRPr sz="750">
                    <a:solidFill>
                      <a:sysClr val="windowText" lastClr="000000"/>
                    </a:solidFill>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List21!$A$38:$A$48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List21!$D$38:$D$48</c:f>
              <c:numCache>
                <c:formatCode>#\ ##0.0_ ;\-#\ ##0.0\ </c:formatCode>
                <c:ptCount val="11"/>
                <c:pt idx="0">
                  <c:v>14.83739837398374</c:v>
                </c:pt>
                <c:pt idx="1">
                  <c:v>15.060526315789474</c:v>
                </c:pt>
                <c:pt idx="2">
                  <c:v>15.070528967254408</c:v>
                </c:pt>
                <c:pt idx="3">
                  <c:v>15.549261083743842</c:v>
                </c:pt>
                <c:pt idx="4">
                  <c:v>15.781774580335732</c:v>
                </c:pt>
                <c:pt idx="5">
                  <c:v>15.77116704805492</c:v>
                </c:pt>
                <c:pt idx="6">
                  <c:v>16.128378378378379</c:v>
                </c:pt>
                <c:pt idx="7">
                  <c:v>16.311804008908688</c:v>
                </c:pt>
                <c:pt idx="8">
                  <c:v>16.61904761904762</c:v>
                </c:pt>
                <c:pt idx="9">
                  <c:v>16.340659340659339</c:v>
                </c:pt>
                <c:pt idx="10">
                  <c:v>15.886993603411513</c:v>
                </c:pt>
              </c:numCache>
            </c:numRef>
          </c:val>
          <c:smooth val="0"/>
          <c:extLst>
            <c:ext xmlns:c16="http://schemas.microsoft.com/office/drawing/2014/chart" uri="{C3380CC4-5D6E-409C-BE32-E72D297353CC}">
              <c16:uniqueId val="{00000002-44AE-4C20-A240-80AC4B8526BA}"/>
            </c:ext>
          </c:extLst>
        </c:ser>
        <c:dLbls>
          <c:showLegendKey val="0"/>
          <c:showVal val="0"/>
          <c:showCatName val="0"/>
          <c:showSerName val="0"/>
          <c:showPercent val="0"/>
          <c:showBubbleSize val="0"/>
        </c:dLbls>
        <c:smooth val="0"/>
        <c:axId val="109893504"/>
        <c:axId val="109895040"/>
      </c:lineChart>
      <c:catAx>
        <c:axId val="109893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09895040"/>
        <c:crosses val="autoZero"/>
        <c:auto val="1"/>
        <c:lblAlgn val="ctr"/>
        <c:lblOffset val="100"/>
        <c:noMultiLvlLbl val="0"/>
      </c:catAx>
      <c:valAx>
        <c:axId val="109895040"/>
        <c:scaling>
          <c:orientation val="minMax"/>
          <c:max val="22"/>
          <c:min val="8"/>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09893504"/>
        <c:crosses val="autoZero"/>
        <c:crossBetween val="between"/>
        <c:majorUnit val="2"/>
        <c:minorUnit val="1"/>
      </c:valAx>
      <c:spPr>
        <a:noFill/>
        <a:ln>
          <a:noFill/>
        </a:ln>
        <a:effectLst/>
      </c:spPr>
    </c:plotArea>
    <c:legend>
      <c:legendPos val="b"/>
      <c:layout>
        <c:manualLayout>
          <c:xMode val="edge"/>
          <c:yMode val="edge"/>
          <c:x val="1.5894164255860981E-2"/>
          <c:y val="0.90340544274071022"/>
          <c:w val="0.97980432064760237"/>
          <c:h val="8.6695584104618501E-2"/>
        </c:manualLayout>
      </c:layout>
      <c:overlay val="0"/>
      <c:spPr>
        <a:solidFill>
          <a:schemeClr val="bg1"/>
        </a:solidFill>
        <a:ln>
          <a:solidFill>
            <a:schemeClr val="bg1">
              <a:lumMod val="50000"/>
            </a:schemeClr>
          </a:solid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na 1 učitele</a:t>
            </a:r>
            <a:endParaRPr lang="en-US" sz="800" b="1">
              <a:solidFill>
                <a:sysClr val="windowText" lastClr="000000"/>
              </a:solidFill>
            </a:endParaRPr>
          </a:p>
        </c:rich>
      </c:tx>
      <c:layout>
        <c:manualLayout>
          <c:xMode val="edge"/>
          <c:yMode val="edge"/>
          <c:x val="0.38039858904723217"/>
          <c:y val="5.2271350696547559E-3"/>
        </c:manualLayout>
      </c:layout>
      <c:overlay val="0"/>
      <c:spPr>
        <a:noFill/>
        <a:ln>
          <a:noFill/>
        </a:ln>
        <a:effectLst/>
      </c:spPr>
    </c:title>
    <c:autoTitleDeleted val="0"/>
    <c:plotArea>
      <c:layout>
        <c:manualLayout>
          <c:layoutTarget val="inner"/>
          <c:xMode val="edge"/>
          <c:yMode val="edge"/>
          <c:x val="0.1021246693121695"/>
          <c:y val="0.10648148148148175"/>
          <c:w val="0.86652711640211777"/>
          <c:h val="0.56245510977794444"/>
        </c:manualLayout>
      </c:layout>
      <c:lineChart>
        <c:grouping val="standard"/>
        <c:varyColors val="0"/>
        <c:ser>
          <c:idx val="0"/>
          <c:order val="0"/>
          <c:tx>
            <c:strRef>
              <c:f>List21!$G$37</c:f>
              <c:strCache>
                <c:ptCount val="1"/>
                <c:pt idx="0">
                  <c:v>veřejný</c:v>
                </c:pt>
              </c:strCache>
            </c:strRef>
          </c:tx>
          <c:spPr>
            <a:ln w="28575" cap="rnd">
              <a:solidFill>
                <a:srgbClr val="0070C0"/>
              </a:solidFill>
              <a:round/>
            </a:ln>
            <a:effectLst/>
          </c:spPr>
          <c:marker>
            <c:symbol val="none"/>
          </c:marker>
          <c:dLbls>
            <c:numFmt formatCode="#,##0.0" sourceLinked="0"/>
            <c:spPr>
              <a:noFill/>
              <a:ln>
                <a:noFill/>
              </a:ln>
              <a:effectLst/>
            </c:spPr>
            <c:txPr>
              <a:bodyPr wrap="square" lIns="38100" tIns="19050" rIns="38100" bIns="19050" anchor="ctr">
                <a:spAutoFit/>
              </a:bodyPr>
              <a:lstStyle/>
              <a:p>
                <a:pPr>
                  <a:defRPr sz="750">
                    <a:solidFill>
                      <a:sysClr val="windowText" lastClr="000000"/>
                    </a:solidFill>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List21!$F$38:$F$48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List21!$G$38:$G$48</c:f>
              <c:numCache>
                <c:formatCode>#\ ##0.0_ ;\-#\ ##0.0\ </c:formatCode>
                <c:ptCount val="11"/>
                <c:pt idx="0">
                  <c:v>13.836684252213493</c:v>
                </c:pt>
                <c:pt idx="1">
                  <c:v>14.109725154811121</c:v>
                </c:pt>
                <c:pt idx="2">
                  <c:v>14.308315959343119</c:v>
                </c:pt>
                <c:pt idx="3">
                  <c:v>14.5559158308915</c:v>
                </c:pt>
                <c:pt idx="4">
                  <c:v>14.739007777286636</c:v>
                </c:pt>
                <c:pt idx="5">
                  <c:v>14.838901180125989</c:v>
                </c:pt>
                <c:pt idx="6">
                  <c:v>14.838427847387504</c:v>
                </c:pt>
                <c:pt idx="7">
                  <c:v>14.767724548489602</c:v>
                </c:pt>
                <c:pt idx="8">
                  <c:v>14.36374137167525</c:v>
                </c:pt>
                <c:pt idx="9">
                  <c:v>13.992096044580583</c:v>
                </c:pt>
                <c:pt idx="10">
                  <c:v>13.676984793466779</c:v>
                </c:pt>
              </c:numCache>
            </c:numRef>
          </c:val>
          <c:smooth val="0"/>
          <c:extLst>
            <c:ext xmlns:c16="http://schemas.microsoft.com/office/drawing/2014/chart" uri="{C3380CC4-5D6E-409C-BE32-E72D297353CC}">
              <c16:uniqueId val="{00000000-DB8A-409E-871D-D899C3AB0B52}"/>
            </c:ext>
          </c:extLst>
        </c:ser>
        <c:ser>
          <c:idx val="1"/>
          <c:order val="1"/>
          <c:tx>
            <c:strRef>
              <c:f>List21!$H$37</c:f>
              <c:strCache>
                <c:ptCount val="1"/>
                <c:pt idx="0">
                  <c:v>soukromý</c:v>
                </c:pt>
              </c:strCache>
            </c:strRef>
          </c:tx>
          <c:spPr>
            <a:ln w="28575" cap="rnd">
              <a:solidFill>
                <a:srgbClr val="C00000"/>
              </a:solidFill>
              <a:round/>
            </a:ln>
            <a:effectLst/>
          </c:spPr>
          <c:marker>
            <c:symbol val="none"/>
          </c:marker>
          <c:dLbls>
            <c:numFmt formatCode="#,##0.0" sourceLinked="0"/>
            <c:spPr>
              <a:noFill/>
              <a:ln>
                <a:noFill/>
              </a:ln>
              <a:effectLst/>
            </c:spPr>
            <c:txPr>
              <a:bodyPr wrap="square" lIns="38100" tIns="19050" rIns="38100" bIns="19050" anchor="ctr">
                <a:spAutoFit/>
              </a:bodyPr>
              <a:lstStyle/>
              <a:p>
                <a:pPr>
                  <a:defRPr sz="750">
                    <a:solidFill>
                      <a:sysClr val="windowText" lastClr="000000"/>
                    </a:solidFill>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List21!$F$38:$F$48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List21!$H$38:$H$48</c:f>
              <c:numCache>
                <c:formatCode>#\ ##0.0_ ;\-#\ ##0.0\ </c:formatCode>
                <c:ptCount val="11"/>
                <c:pt idx="0">
                  <c:v>8.5071521456436923</c:v>
                </c:pt>
                <c:pt idx="1">
                  <c:v>8.5406523855890946</c:v>
                </c:pt>
                <c:pt idx="2">
                  <c:v>8.829374143444495</c:v>
                </c:pt>
                <c:pt idx="3">
                  <c:v>9.0810643564356432</c:v>
                </c:pt>
                <c:pt idx="4">
                  <c:v>9.2768194815976397</c:v>
                </c:pt>
                <c:pt idx="5">
                  <c:v>9.3592856583379014</c:v>
                </c:pt>
                <c:pt idx="6">
                  <c:v>9.6827079358349231</c:v>
                </c:pt>
                <c:pt idx="7">
                  <c:v>9.9038098830629959</c:v>
                </c:pt>
                <c:pt idx="8">
                  <c:v>9.6391752577319583</c:v>
                </c:pt>
                <c:pt idx="9">
                  <c:v>9.4914687186349944</c:v>
                </c:pt>
                <c:pt idx="10">
                  <c:v>9.4914965261497812</c:v>
                </c:pt>
              </c:numCache>
            </c:numRef>
          </c:val>
          <c:smooth val="0"/>
          <c:extLst>
            <c:ext xmlns:c16="http://schemas.microsoft.com/office/drawing/2014/chart" uri="{C3380CC4-5D6E-409C-BE32-E72D297353CC}">
              <c16:uniqueId val="{00000001-DB8A-409E-871D-D899C3AB0B52}"/>
            </c:ext>
          </c:extLst>
        </c:ser>
        <c:ser>
          <c:idx val="2"/>
          <c:order val="2"/>
          <c:tx>
            <c:strRef>
              <c:f>List21!$I$37</c:f>
              <c:strCache>
                <c:ptCount val="1"/>
                <c:pt idx="0">
                  <c:v>církevní</c:v>
                </c:pt>
              </c:strCache>
            </c:strRef>
          </c:tx>
          <c:spPr>
            <a:ln w="28575" cap="rnd">
              <a:solidFill>
                <a:srgbClr val="70AD47"/>
              </a:solidFill>
              <a:round/>
            </a:ln>
            <a:effectLst/>
          </c:spPr>
          <c:marker>
            <c:symbol val="none"/>
          </c:marker>
          <c:dLbls>
            <c:numFmt formatCode="#,##0.0" sourceLinked="0"/>
            <c:spPr>
              <a:noFill/>
              <a:ln>
                <a:noFill/>
              </a:ln>
              <a:effectLst/>
            </c:spPr>
            <c:txPr>
              <a:bodyPr wrap="square" lIns="38100" tIns="19050" rIns="38100" bIns="19050" anchor="ctr">
                <a:spAutoFit/>
              </a:bodyPr>
              <a:lstStyle/>
              <a:p>
                <a:pPr>
                  <a:defRPr sz="750">
                    <a:solidFill>
                      <a:sysClr val="windowText" lastClr="000000"/>
                    </a:solidFill>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List21!$F$38:$F$48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List21!$I$38:$I$48</c:f>
              <c:numCache>
                <c:formatCode>#\ ##0.0_ ;\-#\ ##0.0\ </c:formatCode>
                <c:ptCount val="11"/>
                <c:pt idx="0">
                  <c:v>11.307311028500619</c:v>
                </c:pt>
                <c:pt idx="1">
                  <c:v>11.720253942248616</c:v>
                </c:pt>
                <c:pt idx="2">
                  <c:v>11.78451841638763</c:v>
                </c:pt>
                <c:pt idx="3">
                  <c:v>12.187258687258687</c:v>
                </c:pt>
                <c:pt idx="4">
                  <c:v>12.121937741757231</c:v>
                </c:pt>
                <c:pt idx="5">
                  <c:v>12.318141197497766</c:v>
                </c:pt>
                <c:pt idx="6">
                  <c:v>12.285126093669584</c:v>
                </c:pt>
                <c:pt idx="7">
                  <c:v>12.162072401195616</c:v>
                </c:pt>
                <c:pt idx="8">
                  <c:v>12.323860770136202</c:v>
                </c:pt>
                <c:pt idx="9">
                  <c:v>12.083536486266862</c:v>
                </c:pt>
                <c:pt idx="10">
                  <c:v>11.883572567783094</c:v>
                </c:pt>
              </c:numCache>
            </c:numRef>
          </c:val>
          <c:smooth val="0"/>
          <c:extLst>
            <c:ext xmlns:c16="http://schemas.microsoft.com/office/drawing/2014/chart" uri="{C3380CC4-5D6E-409C-BE32-E72D297353CC}">
              <c16:uniqueId val="{00000002-DB8A-409E-871D-D899C3AB0B52}"/>
            </c:ext>
          </c:extLst>
        </c:ser>
        <c:dLbls>
          <c:showLegendKey val="0"/>
          <c:showVal val="0"/>
          <c:showCatName val="0"/>
          <c:showSerName val="0"/>
          <c:showPercent val="0"/>
          <c:showBubbleSize val="0"/>
        </c:dLbls>
        <c:smooth val="0"/>
        <c:axId val="110837120"/>
        <c:axId val="113210880"/>
      </c:lineChart>
      <c:catAx>
        <c:axId val="110837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13210880"/>
        <c:crosses val="autoZero"/>
        <c:auto val="1"/>
        <c:lblAlgn val="ctr"/>
        <c:lblOffset val="100"/>
        <c:noMultiLvlLbl val="0"/>
      </c:catAx>
      <c:valAx>
        <c:axId val="113210880"/>
        <c:scaling>
          <c:orientation val="minMax"/>
          <c:max val="16"/>
          <c:min val="8"/>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10837120"/>
        <c:crosses val="autoZero"/>
        <c:crossBetween val="between"/>
        <c:majorUnit val="2"/>
        <c:minorUnit val="1"/>
      </c:valAx>
      <c:spPr>
        <a:noFill/>
        <a:ln>
          <a:noFill/>
        </a:ln>
        <a:effectLst/>
      </c:spPr>
    </c:plotArea>
    <c:legend>
      <c:legendPos val="b"/>
      <c:layout>
        <c:manualLayout>
          <c:xMode val="edge"/>
          <c:yMode val="edge"/>
          <c:x val="2.3757283421986273E-2"/>
          <c:y val="0.90712136335070792"/>
          <c:w val="0.93812076215975926"/>
          <c:h val="9.1092011385900701E-2"/>
        </c:manualLayout>
      </c:layout>
      <c:overlay val="0"/>
      <c:spPr>
        <a:solidFill>
          <a:schemeClr val="bg1"/>
        </a:solidFill>
        <a:ln>
          <a:solidFill>
            <a:schemeClr val="bg1">
              <a:lumMod val="50000"/>
            </a:schemeClr>
          </a:solid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Absolutní počet</a:t>
            </a:r>
            <a:endParaRPr lang="en-US" sz="800" b="1">
              <a:solidFill>
                <a:sysClr val="windowText" lastClr="000000"/>
              </a:solidFill>
            </a:endParaRPr>
          </a:p>
        </c:rich>
      </c:tx>
      <c:layout/>
      <c:overlay val="0"/>
      <c:spPr>
        <a:noFill/>
        <a:ln>
          <a:noFill/>
        </a:ln>
        <a:effectLst/>
      </c:spPr>
    </c:title>
    <c:autoTitleDeleted val="0"/>
    <c:plotArea>
      <c:layout/>
      <c:barChart>
        <c:barDir val="col"/>
        <c:grouping val="clustered"/>
        <c:varyColors val="0"/>
        <c:ser>
          <c:idx val="0"/>
          <c:order val="0"/>
          <c:tx>
            <c:strRef>
              <c:f>'2.2.1'!$AD$6</c:f>
              <c:strCache>
                <c:ptCount val="1"/>
                <c:pt idx="0">
                  <c:v>na 1. stupni</c:v>
                </c:pt>
              </c:strCache>
            </c:strRef>
          </c:tx>
          <c:spPr>
            <a:solidFill>
              <a:srgbClr val="0070C0"/>
            </a:solidFill>
            <a:ln>
              <a:noFill/>
            </a:ln>
            <a:effectLst/>
          </c:spPr>
          <c:invertIfNegative val="0"/>
          <c:cat>
            <c:strRef>
              <c:f>'2.2.1'!$AC$7:$AC$17</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'2.2.1'!$AD$7:$AD$17</c:f>
              <c:numCache>
                <c:formatCode>#\ ##0_ ;\-#\ ##0\ </c:formatCode>
                <c:ptCount val="11"/>
                <c:pt idx="0">
                  <c:v>28114.6</c:v>
                </c:pt>
                <c:pt idx="1">
                  <c:v>28374.9</c:v>
                </c:pt>
                <c:pt idx="2">
                  <c:v>29025.1</c:v>
                </c:pt>
                <c:pt idx="3">
                  <c:v>29888.3</c:v>
                </c:pt>
                <c:pt idx="4">
                  <c:v>30829</c:v>
                </c:pt>
                <c:pt idx="5">
                  <c:v>31827.9</c:v>
                </c:pt>
                <c:pt idx="6">
                  <c:v>32452.3</c:v>
                </c:pt>
                <c:pt idx="7">
                  <c:v>32829.699999999997</c:v>
                </c:pt>
                <c:pt idx="8">
                  <c:v>33463.699999999997</c:v>
                </c:pt>
                <c:pt idx="9">
                  <c:v>34057.300000000003</c:v>
                </c:pt>
                <c:pt idx="10">
                  <c:v>34421.800000000003</c:v>
                </c:pt>
              </c:numCache>
            </c:numRef>
          </c:val>
          <c:extLst>
            <c:ext xmlns:c16="http://schemas.microsoft.com/office/drawing/2014/chart" uri="{C3380CC4-5D6E-409C-BE32-E72D297353CC}">
              <c16:uniqueId val="{00000000-6C07-487F-B82C-BDD6065F21A5}"/>
            </c:ext>
          </c:extLst>
        </c:ser>
        <c:ser>
          <c:idx val="1"/>
          <c:order val="1"/>
          <c:tx>
            <c:strRef>
              <c:f>'2.2.1'!$AE$6</c:f>
              <c:strCache>
                <c:ptCount val="1"/>
                <c:pt idx="0">
                  <c:v>na 2. stupni</c:v>
                </c:pt>
              </c:strCache>
            </c:strRef>
          </c:tx>
          <c:spPr>
            <a:solidFill>
              <a:srgbClr val="C00000"/>
            </a:solidFill>
            <a:ln>
              <a:noFill/>
            </a:ln>
            <a:effectLst/>
          </c:spPr>
          <c:invertIfNegative val="0"/>
          <c:cat>
            <c:strRef>
              <c:f>'2.2.1'!$AC$7:$AC$17</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'2.2.1'!$AE$7:$AE$17</c:f>
              <c:numCache>
                <c:formatCode>#\ ##0_ ;\-#\ ##0\ </c:formatCode>
                <c:ptCount val="11"/>
                <c:pt idx="0">
                  <c:v>29700.2</c:v>
                </c:pt>
                <c:pt idx="1">
                  <c:v>29294</c:v>
                </c:pt>
                <c:pt idx="2">
                  <c:v>29244</c:v>
                </c:pt>
                <c:pt idx="3">
                  <c:v>29240.400000000001</c:v>
                </c:pt>
                <c:pt idx="4">
                  <c:v>29391.7</c:v>
                </c:pt>
                <c:pt idx="5">
                  <c:v>29807</c:v>
                </c:pt>
                <c:pt idx="6">
                  <c:v>30552.5</c:v>
                </c:pt>
                <c:pt idx="7">
                  <c:v>31515.599999999999</c:v>
                </c:pt>
                <c:pt idx="8">
                  <c:v>33577.199999999997</c:v>
                </c:pt>
                <c:pt idx="9">
                  <c:v>35477.599999999999</c:v>
                </c:pt>
                <c:pt idx="10">
                  <c:v>36903.5</c:v>
                </c:pt>
              </c:numCache>
            </c:numRef>
          </c:val>
          <c:extLst>
            <c:ext xmlns:c16="http://schemas.microsoft.com/office/drawing/2014/chart" uri="{C3380CC4-5D6E-409C-BE32-E72D297353CC}">
              <c16:uniqueId val="{00000001-6C07-487F-B82C-BDD6065F21A5}"/>
            </c:ext>
          </c:extLst>
        </c:ser>
        <c:dLbls>
          <c:showLegendKey val="0"/>
          <c:showVal val="0"/>
          <c:showCatName val="0"/>
          <c:showSerName val="0"/>
          <c:showPercent val="0"/>
          <c:showBubbleSize val="0"/>
        </c:dLbls>
        <c:gapWidth val="52"/>
        <c:overlap val="-1"/>
        <c:axId val="113395968"/>
        <c:axId val="113618944"/>
      </c:barChart>
      <c:catAx>
        <c:axId val="113395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13618944"/>
        <c:crosses val="autoZero"/>
        <c:auto val="1"/>
        <c:lblAlgn val="ctr"/>
        <c:lblOffset val="100"/>
        <c:tickLblSkip val="2"/>
        <c:noMultiLvlLbl val="0"/>
      </c:catAx>
      <c:valAx>
        <c:axId val="113618944"/>
        <c:scaling>
          <c:orientation val="minMax"/>
          <c:max val="40000"/>
          <c:min val="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1339596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Počet žáků na 1 učitele</a:t>
            </a:r>
            <a:endParaRPr lang="en-US" sz="800" b="1">
              <a:solidFill>
                <a:sysClr val="windowText" lastClr="000000"/>
              </a:solidFill>
            </a:endParaRPr>
          </a:p>
        </c:rich>
      </c:tx>
      <c:layout/>
      <c:overlay val="0"/>
      <c:spPr>
        <a:noFill/>
        <a:ln>
          <a:noFill/>
        </a:ln>
        <a:effectLst/>
      </c:spPr>
    </c:title>
    <c:autoTitleDeleted val="0"/>
    <c:plotArea>
      <c:layout/>
      <c:lineChart>
        <c:grouping val="standard"/>
        <c:varyColors val="0"/>
        <c:ser>
          <c:idx val="0"/>
          <c:order val="0"/>
          <c:tx>
            <c:strRef>
              <c:f>'2.2.1'!$Z$6</c:f>
              <c:strCache>
                <c:ptCount val="1"/>
                <c:pt idx="0">
                  <c:v>na 1. stupni</c:v>
                </c:pt>
              </c:strCache>
            </c:strRef>
          </c:tx>
          <c:spPr>
            <a:ln w="28575" cap="rnd">
              <a:solidFill>
                <a:srgbClr val="0070C0"/>
              </a:solidFill>
              <a:round/>
            </a:ln>
            <a:effectLst/>
          </c:spPr>
          <c:marker>
            <c:symbol val="none"/>
          </c:marker>
          <c:dLbls>
            <c:numFmt formatCode="#,##0.0" sourceLinked="0"/>
            <c:spPr>
              <a:noFill/>
              <a:ln>
                <a:noFill/>
              </a:ln>
              <a:effectLst/>
            </c:spPr>
            <c:txPr>
              <a:bodyPr wrap="square" lIns="38100" tIns="19050" rIns="38100" bIns="19050" anchor="ctr">
                <a:spAutoFit/>
              </a:bodyPr>
              <a:lstStyle/>
              <a:p>
                <a:pPr>
                  <a:defRPr sz="750">
                    <a:solidFill>
                      <a:sysClr val="windowText" lastClr="000000"/>
                    </a:solidFill>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'2.2.1'!$Y$7:$Y$17</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'2.2.1'!$Z$7:$Z$17</c:f>
              <c:numCache>
                <c:formatCode>0.0</c:formatCode>
                <c:ptCount val="11"/>
                <c:pt idx="0">
                  <c:v>16.871198594324657</c:v>
                </c:pt>
                <c:pt idx="1">
                  <c:v>17.202034192190986</c:v>
                </c:pt>
                <c:pt idx="2">
                  <c:v>17.432601438065674</c:v>
                </c:pt>
                <c:pt idx="3">
                  <c:v>17.719442055921547</c:v>
                </c:pt>
                <c:pt idx="4">
                  <c:v>17.886665152940413</c:v>
                </c:pt>
                <c:pt idx="5">
                  <c:v>17.876328629912749</c:v>
                </c:pt>
                <c:pt idx="6">
                  <c:v>17.739852028977914</c:v>
                </c:pt>
                <c:pt idx="7">
                  <c:v>17.467171494104424</c:v>
                </c:pt>
                <c:pt idx="8">
                  <c:v>16.834540113615649</c:v>
                </c:pt>
                <c:pt idx="9">
                  <c:v>16.298678990994588</c:v>
                </c:pt>
                <c:pt idx="10">
                  <c:v>15.853645073761394</c:v>
                </c:pt>
              </c:numCache>
            </c:numRef>
          </c:val>
          <c:smooth val="0"/>
          <c:extLst>
            <c:ext xmlns:c16="http://schemas.microsoft.com/office/drawing/2014/chart" uri="{C3380CC4-5D6E-409C-BE32-E72D297353CC}">
              <c16:uniqueId val="{00000000-DCB2-46AE-BBAB-BC20FC5EB1EE}"/>
            </c:ext>
          </c:extLst>
        </c:ser>
        <c:ser>
          <c:idx val="1"/>
          <c:order val="1"/>
          <c:tx>
            <c:strRef>
              <c:f>'2.2.1'!$AA$6</c:f>
              <c:strCache>
                <c:ptCount val="1"/>
                <c:pt idx="0">
                  <c:v>na 2. stupni</c:v>
                </c:pt>
              </c:strCache>
            </c:strRef>
          </c:tx>
          <c:spPr>
            <a:ln w="28575" cap="rnd">
              <a:solidFill>
                <a:srgbClr val="C00000"/>
              </a:solidFill>
              <a:round/>
            </a:ln>
            <a:effectLst/>
          </c:spPr>
          <c:marker>
            <c:symbol val="none"/>
          </c:marker>
          <c:dLbls>
            <c:spPr>
              <a:noFill/>
              <a:ln>
                <a:noFill/>
              </a:ln>
              <a:effectLst/>
            </c:spPr>
            <c:txPr>
              <a:bodyPr wrap="square" lIns="38100" tIns="19050" rIns="38100" bIns="19050" anchor="ctr">
                <a:spAutoFit/>
              </a:bodyPr>
              <a:lstStyle/>
              <a:p>
                <a:pPr>
                  <a:defRPr sz="750">
                    <a:solidFill>
                      <a:sysClr val="windowText" lastClr="000000"/>
                    </a:solidFill>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'2.2.1'!$Y$7:$Y$17</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'2.2.1'!$AA$7:$AA$17</c:f>
              <c:numCache>
                <c:formatCode>0.0</c:formatCode>
                <c:ptCount val="11"/>
                <c:pt idx="0">
                  <c:v>10.784944209129904</c:v>
                </c:pt>
                <c:pt idx="1">
                  <c:v>10.918413326961153</c:v>
                </c:pt>
                <c:pt idx="2">
                  <c:v>10.999555464368759</c:v>
                </c:pt>
                <c:pt idx="3">
                  <c:v>11.098787978276631</c:v>
                </c:pt>
                <c:pt idx="4">
                  <c:v>11.187614190400691</c:v>
                </c:pt>
                <c:pt idx="5">
                  <c:v>11.313516959103566</c:v>
                </c:pt>
                <c:pt idx="6">
                  <c:v>11.469077816872597</c:v>
                </c:pt>
                <c:pt idx="7">
                  <c:v>11.660447524400615</c:v>
                </c:pt>
                <c:pt idx="8">
                  <c:v>11.603111635276319</c:v>
                </c:pt>
                <c:pt idx="9">
                  <c:v>11.479327801204141</c:v>
                </c:pt>
                <c:pt idx="10">
                  <c:v>11.350142940371509</c:v>
                </c:pt>
              </c:numCache>
            </c:numRef>
          </c:val>
          <c:smooth val="0"/>
          <c:extLst>
            <c:ext xmlns:c16="http://schemas.microsoft.com/office/drawing/2014/chart" uri="{C3380CC4-5D6E-409C-BE32-E72D297353CC}">
              <c16:uniqueId val="{00000001-DCB2-46AE-BBAB-BC20FC5EB1EE}"/>
            </c:ext>
          </c:extLst>
        </c:ser>
        <c:dLbls>
          <c:showLegendKey val="0"/>
          <c:showVal val="0"/>
          <c:showCatName val="0"/>
          <c:showSerName val="0"/>
          <c:showPercent val="0"/>
          <c:showBubbleSize val="0"/>
        </c:dLbls>
        <c:smooth val="0"/>
        <c:axId val="114031232"/>
        <c:axId val="116691712"/>
      </c:lineChart>
      <c:catAx>
        <c:axId val="114031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16691712"/>
        <c:crosses val="autoZero"/>
        <c:auto val="1"/>
        <c:lblAlgn val="ctr"/>
        <c:lblOffset val="100"/>
        <c:tickLblSkip val="2"/>
        <c:noMultiLvlLbl val="0"/>
      </c:catAx>
      <c:valAx>
        <c:axId val="116691712"/>
        <c:scaling>
          <c:orientation val="minMax"/>
          <c:min val="1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140312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List1!$C$29</c:f>
              <c:strCache>
                <c:ptCount val="1"/>
                <c:pt idx="0">
                  <c:v>učitelé ve školách veřejného zřiz.</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List1!$A$30:$B$40</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List1!$C$30:$C$40</c:f>
              <c:numCache>
                <c:formatCode>#,##0</c:formatCode>
                <c:ptCount val="11"/>
                <c:pt idx="0">
                  <c:v>26047.8</c:v>
                </c:pt>
                <c:pt idx="1">
                  <c:v>26830.000000000004</c:v>
                </c:pt>
                <c:pt idx="2">
                  <c:v>27476.799999999999</c:v>
                </c:pt>
                <c:pt idx="3">
                  <c:v>27969.9</c:v>
                </c:pt>
                <c:pt idx="4">
                  <c:v>28104.899999999998</c:v>
                </c:pt>
                <c:pt idx="5">
                  <c:v>28194.2</c:v>
                </c:pt>
                <c:pt idx="6">
                  <c:v>28771.3</c:v>
                </c:pt>
                <c:pt idx="7">
                  <c:v>28992.9</c:v>
                </c:pt>
                <c:pt idx="8">
                  <c:v>30753.3</c:v>
                </c:pt>
                <c:pt idx="9">
                  <c:v>31465.599999999999</c:v>
                </c:pt>
                <c:pt idx="10">
                  <c:v>32009.8</c:v>
                </c:pt>
              </c:numCache>
            </c:numRef>
          </c:val>
          <c:extLst>
            <c:ext xmlns:c16="http://schemas.microsoft.com/office/drawing/2014/chart" uri="{C3380CC4-5D6E-409C-BE32-E72D297353CC}">
              <c16:uniqueId val="{00000000-8998-40F3-AE29-76A69FF84AF0}"/>
            </c:ext>
          </c:extLst>
        </c:ser>
        <c:ser>
          <c:idx val="1"/>
          <c:order val="1"/>
          <c:tx>
            <c:strRef>
              <c:f>List1!$D$29</c:f>
              <c:strCache>
                <c:ptCount val="1"/>
                <c:pt idx="0">
                  <c:v>učitelé ve školách  soukromého zřiz.</c:v>
                </c:pt>
              </c:strCache>
            </c:strRef>
          </c:tx>
          <c:spPr>
            <a:solidFill>
              <a:schemeClr val="accent2">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List1!$A$30:$B$40</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List1!$D$30:$D$40</c:f>
              <c:numCache>
                <c:formatCode>#,##0</c:formatCode>
                <c:ptCount val="11"/>
                <c:pt idx="0">
                  <c:v>605.70000000000005</c:v>
                </c:pt>
                <c:pt idx="1">
                  <c:v>767.2</c:v>
                </c:pt>
                <c:pt idx="2">
                  <c:v>956.5</c:v>
                </c:pt>
                <c:pt idx="3">
                  <c:v>1145.2</c:v>
                </c:pt>
                <c:pt idx="4">
                  <c:v>1229.9000000000001</c:v>
                </c:pt>
                <c:pt idx="5">
                  <c:v>1249</c:v>
                </c:pt>
                <c:pt idx="6">
                  <c:v>1345.6</c:v>
                </c:pt>
                <c:pt idx="7">
                  <c:v>1400.8</c:v>
                </c:pt>
                <c:pt idx="8">
                  <c:v>1431.6</c:v>
                </c:pt>
                <c:pt idx="9">
                  <c:v>1501.1</c:v>
                </c:pt>
                <c:pt idx="10">
                  <c:v>1623.1</c:v>
                </c:pt>
              </c:numCache>
            </c:numRef>
          </c:val>
          <c:extLst>
            <c:ext xmlns:c16="http://schemas.microsoft.com/office/drawing/2014/chart" uri="{C3380CC4-5D6E-409C-BE32-E72D297353CC}">
              <c16:uniqueId val="{00000001-8998-40F3-AE29-76A69FF84AF0}"/>
            </c:ext>
          </c:extLst>
        </c:ser>
        <c:ser>
          <c:idx val="2"/>
          <c:order val="2"/>
          <c:tx>
            <c:strRef>
              <c:f>List1!$E$29</c:f>
              <c:strCache>
                <c:ptCount val="1"/>
                <c:pt idx="0">
                  <c:v>učitelé ve školách církevního zřiz.</c:v>
                </c:pt>
              </c:strCache>
            </c:strRef>
          </c:tx>
          <c:spPr>
            <a:solidFill>
              <a:srgbClr val="70AD4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70AD47"/>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List1!$A$30:$B$40</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List1!$E$30:$E$40</c:f>
              <c:numCache>
                <c:formatCode>#,##0</c:formatCode>
                <c:ptCount val="11"/>
                <c:pt idx="0">
                  <c:v>127.1</c:v>
                </c:pt>
                <c:pt idx="1">
                  <c:v>142</c:v>
                </c:pt>
                <c:pt idx="2">
                  <c:v>149.69999999999999</c:v>
                </c:pt>
                <c:pt idx="3">
                  <c:v>168.3</c:v>
                </c:pt>
                <c:pt idx="4">
                  <c:v>179</c:v>
                </c:pt>
                <c:pt idx="5">
                  <c:v>186.3</c:v>
                </c:pt>
                <c:pt idx="6">
                  <c:v>186.3</c:v>
                </c:pt>
                <c:pt idx="7">
                  <c:v>187.1</c:v>
                </c:pt>
                <c:pt idx="8">
                  <c:v>187.7</c:v>
                </c:pt>
                <c:pt idx="9">
                  <c:v>190</c:v>
                </c:pt>
                <c:pt idx="10">
                  <c:v>197.9</c:v>
                </c:pt>
              </c:numCache>
            </c:numRef>
          </c:val>
          <c:extLst>
            <c:ext xmlns:c16="http://schemas.microsoft.com/office/drawing/2014/chart" uri="{C3380CC4-5D6E-409C-BE32-E72D297353CC}">
              <c16:uniqueId val="{00000002-8998-40F3-AE29-76A69FF84AF0}"/>
            </c:ext>
          </c:extLst>
        </c:ser>
        <c:dLbls>
          <c:showLegendKey val="0"/>
          <c:showVal val="0"/>
          <c:showCatName val="0"/>
          <c:showSerName val="0"/>
          <c:showPercent val="0"/>
          <c:showBubbleSize val="0"/>
        </c:dLbls>
        <c:gapWidth val="47"/>
        <c:overlap val="100"/>
        <c:axId val="370386944"/>
        <c:axId val="376809152"/>
      </c:barChart>
      <c:catAx>
        <c:axId val="37038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76809152"/>
        <c:crosses val="autoZero"/>
        <c:auto val="1"/>
        <c:lblAlgn val="ctr"/>
        <c:lblOffset val="100"/>
        <c:noMultiLvlLbl val="0"/>
      </c:catAx>
      <c:valAx>
        <c:axId val="376809152"/>
        <c:scaling>
          <c:orientation val="minMax"/>
          <c:max val="350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70386944"/>
        <c:crosses val="autoZero"/>
        <c:crossBetween val="between"/>
        <c:majorUnit val="5000"/>
        <c:minorUnit val="1000"/>
      </c:valAx>
      <c:spPr>
        <a:noFill/>
        <a:ln w="25400">
          <a:noFill/>
        </a:ln>
        <a:effectLst/>
      </c:spPr>
    </c:plotArea>
    <c:legend>
      <c:legendPos val="b"/>
      <c:layout/>
      <c:overlay val="0"/>
      <c:spPr>
        <a:noFill/>
        <a:ln>
          <a:solidFill>
            <a:schemeClr val="bg1">
              <a:lumMod val="50000"/>
            </a:schemeClr>
          </a:solid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Celkem a na veřejných ZŠ</a:t>
            </a:r>
            <a:endParaRPr lang="en-US" sz="800" b="1">
              <a:solidFill>
                <a:sysClr val="windowText" lastClr="000000"/>
              </a:solidFill>
            </a:endParaRPr>
          </a:p>
        </c:rich>
      </c:tx>
      <c:layout/>
      <c:overlay val="0"/>
      <c:spPr>
        <a:noFill/>
        <a:ln>
          <a:noFill/>
        </a:ln>
        <a:effectLst/>
      </c:spPr>
    </c:title>
    <c:autoTitleDeleted val="0"/>
    <c:plotArea>
      <c:layout>
        <c:manualLayout>
          <c:layoutTarget val="inner"/>
          <c:xMode val="edge"/>
          <c:yMode val="edge"/>
          <c:x val="3.0871003307607496E-2"/>
          <c:y val="0.13735610148237468"/>
          <c:w val="0.93825799338478499"/>
          <c:h val="0.65145059796395743"/>
        </c:manualLayout>
      </c:layout>
      <c:barChart>
        <c:barDir val="col"/>
        <c:grouping val="clustered"/>
        <c:varyColors val="0"/>
        <c:ser>
          <c:idx val="0"/>
          <c:order val="0"/>
          <c:tx>
            <c:strRef>
              <c:f>učitelé_zřizovatel!$H$2</c:f>
              <c:strCache>
                <c:ptCount val="1"/>
                <c:pt idx="0">
                  <c:v>celkem</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učitelé_zřizovatel!$G$3:$G$5</c:f>
              <c:strCache>
                <c:ptCount val="3"/>
                <c:pt idx="0">
                  <c:v>2011/12</c:v>
                </c:pt>
                <c:pt idx="1">
                  <c:v>2015/16</c:v>
                </c:pt>
                <c:pt idx="2">
                  <c:v>2021/22</c:v>
                </c:pt>
              </c:strCache>
            </c:strRef>
          </c:cat>
          <c:val>
            <c:numRef>
              <c:f>učitelé_zřizovatel!$H$3:$H$5</c:f>
              <c:numCache>
                <c:formatCode>#\ ##0_ ;\-#\ ##0\ </c:formatCode>
                <c:ptCount val="3"/>
                <c:pt idx="0">
                  <c:v>57814.800000000119</c:v>
                </c:pt>
                <c:pt idx="1">
                  <c:v>60220.7</c:v>
                </c:pt>
                <c:pt idx="2">
                  <c:v>71325.3</c:v>
                </c:pt>
              </c:numCache>
            </c:numRef>
          </c:val>
          <c:extLst>
            <c:ext xmlns:c16="http://schemas.microsoft.com/office/drawing/2014/chart" uri="{C3380CC4-5D6E-409C-BE32-E72D297353CC}">
              <c16:uniqueId val="{00000000-DC7F-40BC-A08D-05C877884AF8}"/>
            </c:ext>
          </c:extLst>
        </c:ser>
        <c:ser>
          <c:idx val="1"/>
          <c:order val="1"/>
          <c:tx>
            <c:strRef>
              <c:f>učitelé_zřizovatel!$I$2</c:f>
              <c:strCache>
                <c:ptCount val="1"/>
                <c:pt idx="0">
                  <c:v>z toho na ZŠ s veřejným zřizovatelem</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učitelé_zřizovatel!$G$3:$G$5</c:f>
              <c:strCache>
                <c:ptCount val="3"/>
                <c:pt idx="0">
                  <c:v>2011/12</c:v>
                </c:pt>
                <c:pt idx="1">
                  <c:v>2015/16</c:v>
                </c:pt>
                <c:pt idx="2">
                  <c:v>2021/22</c:v>
                </c:pt>
              </c:strCache>
            </c:strRef>
          </c:cat>
          <c:val>
            <c:numRef>
              <c:f>učitelé_zřizovatel!$I$3:$I$5</c:f>
              <c:numCache>
                <c:formatCode>#\ ##0_ ;\-#\ ##0\ </c:formatCode>
                <c:ptCount val="3"/>
                <c:pt idx="0">
                  <c:v>56561.600000000093</c:v>
                </c:pt>
                <c:pt idx="1">
                  <c:v>58593.700000000004</c:v>
                </c:pt>
                <c:pt idx="2">
                  <c:v>68352.2</c:v>
                </c:pt>
              </c:numCache>
            </c:numRef>
          </c:val>
          <c:extLst>
            <c:ext xmlns:c16="http://schemas.microsoft.com/office/drawing/2014/chart" uri="{C3380CC4-5D6E-409C-BE32-E72D297353CC}">
              <c16:uniqueId val="{00000001-DC7F-40BC-A08D-05C877884AF8}"/>
            </c:ext>
          </c:extLst>
        </c:ser>
        <c:dLbls>
          <c:showLegendKey val="0"/>
          <c:showVal val="0"/>
          <c:showCatName val="0"/>
          <c:showSerName val="0"/>
          <c:showPercent val="0"/>
          <c:showBubbleSize val="0"/>
        </c:dLbls>
        <c:gapWidth val="29"/>
        <c:overlap val="-1"/>
        <c:axId val="116683520"/>
        <c:axId val="116685056"/>
      </c:barChart>
      <c:catAx>
        <c:axId val="116683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16685056"/>
        <c:crosses val="autoZero"/>
        <c:auto val="1"/>
        <c:lblAlgn val="ctr"/>
        <c:lblOffset val="100"/>
        <c:tickLblSkip val="1"/>
        <c:noMultiLvlLbl val="0"/>
      </c:catAx>
      <c:valAx>
        <c:axId val="116685056"/>
        <c:scaling>
          <c:orientation val="minMax"/>
          <c:max val="72000"/>
          <c:min val="0"/>
        </c:scaling>
        <c:delete val="0"/>
        <c:axPos val="l"/>
        <c:majorGridlines>
          <c:spPr>
            <a:ln w="9525" cap="flat" cmpd="sng" algn="ctr">
              <a:solidFill>
                <a:schemeClr val="tx1">
                  <a:lumMod val="15000"/>
                  <a:lumOff val="85000"/>
                </a:schemeClr>
              </a:solidFill>
              <a:round/>
            </a:ln>
            <a:effectLst/>
          </c:spPr>
        </c:majorGridlines>
        <c:numFmt formatCode="#\ ##0_ ;\-#\ ##0\ " sourceLinked="1"/>
        <c:majorTickMark val="out"/>
        <c:minorTickMark val="none"/>
        <c:tickLblPos val="none"/>
        <c:spPr>
          <a:ln>
            <a:noFill/>
          </a:ln>
        </c:spPr>
        <c:crossAx val="11668352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Na soukromých a cirkevních ZŠ</a:t>
            </a:r>
            <a:endParaRPr lang="en-US" sz="800" b="1">
              <a:solidFill>
                <a:sysClr val="windowText" lastClr="000000"/>
              </a:solidFill>
            </a:endParaRPr>
          </a:p>
        </c:rich>
      </c:tx>
      <c:layout/>
      <c:overlay val="0"/>
      <c:spPr>
        <a:noFill/>
        <a:ln>
          <a:noFill/>
        </a:ln>
        <a:effectLst/>
      </c:spPr>
    </c:title>
    <c:autoTitleDeleted val="0"/>
    <c:plotArea>
      <c:layout>
        <c:manualLayout>
          <c:layoutTarget val="inner"/>
          <c:xMode val="edge"/>
          <c:yMode val="edge"/>
          <c:x val="4.1277022190408019E-2"/>
          <c:y val="0.16219466316710413"/>
          <c:w val="0.91774819056708823"/>
          <c:h val="0.60943175853018372"/>
        </c:manualLayout>
      </c:layout>
      <c:barChart>
        <c:barDir val="col"/>
        <c:grouping val="clustered"/>
        <c:varyColors val="0"/>
        <c:ser>
          <c:idx val="0"/>
          <c:order val="0"/>
          <c:tx>
            <c:strRef>
              <c:f>učitelé_zřizovatel!$L$2</c:f>
              <c:strCache>
                <c:ptCount val="1"/>
                <c:pt idx="0">
                  <c:v>na soukromých ZŠ</c:v>
                </c:pt>
              </c:strCache>
            </c:strRef>
          </c:tx>
          <c:spPr>
            <a:solidFill>
              <a:srgbClr val="70AD47"/>
            </a:solidFill>
            <a:ln>
              <a:noFill/>
            </a:ln>
            <a:effectLst/>
          </c:spPr>
          <c:invertIfNegative val="0"/>
          <c:dLbls>
            <c:spPr>
              <a:noFill/>
              <a:ln>
                <a:noFill/>
              </a:ln>
              <a:effectLst/>
            </c:spPr>
            <c:txPr>
              <a:bodyPr wrap="square" lIns="38100" tIns="19050" rIns="38100" bIns="19050" anchor="ctr">
                <a:spAutoFit/>
              </a:bodyPr>
              <a:lstStyle/>
              <a:p>
                <a:pPr>
                  <a:defRPr i="1">
                    <a:solidFill>
                      <a:schemeClr val="accent3">
                        <a:lumMod val="50000"/>
                      </a:schemeClr>
                    </a:solidFill>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učitelé_zřizovatel!$K$3:$K$13</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učitelé_zřizovatel!$L$3:$L$13</c:f>
              <c:numCache>
                <c:formatCode>#\ ##0_ ;\-#\ ##0\ </c:formatCode>
                <c:ptCount val="11"/>
                <c:pt idx="0">
                  <c:v>769</c:v>
                </c:pt>
                <c:pt idx="1">
                  <c:v>821.6</c:v>
                </c:pt>
                <c:pt idx="2">
                  <c:v>875.6</c:v>
                </c:pt>
                <c:pt idx="3">
                  <c:v>969.6</c:v>
                </c:pt>
                <c:pt idx="4">
                  <c:v>1084.0999999999999</c:v>
                </c:pt>
                <c:pt idx="5">
                  <c:v>1276.7</c:v>
                </c:pt>
                <c:pt idx="6">
                  <c:v>1415.1</c:v>
                </c:pt>
                <c:pt idx="7">
                  <c:v>1590.6</c:v>
                </c:pt>
                <c:pt idx="8">
                  <c:v>1862.4</c:v>
                </c:pt>
                <c:pt idx="9">
                  <c:v>2092.3000000000002</c:v>
                </c:pt>
                <c:pt idx="10">
                  <c:v>2346.1</c:v>
                </c:pt>
              </c:numCache>
            </c:numRef>
          </c:val>
          <c:extLst>
            <c:ext xmlns:c16="http://schemas.microsoft.com/office/drawing/2014/chart" uri="{C3380CC4-5D6E-409C-BE32-E72D297353CC}">
              <c16:uniqueId val="{00000000-8478-4143-8AE3-FEE1F823B8A7}"/>
            </c:ext>
          </c:extLst>
        </c:ser>
        <c:ser>
          <c:idx val="1"/>
          <c:order val="1"/>
          <c:tx>
            <c:strRef>
              <c:f>učitelé_zřizovatel!$M$2</c:f>
              <c:strCache>
                <c:ptCount val="1"/>
                <c:pt idx="0">
                  <c:v>na církevních ZŠ</c:v>
                </c:pt>
              </c:strCache>
            </c:strRef>
          </c:tx>
          <c:spPr>
            <a:solidFill>
              <a:srgbClr val="FFC000"/>
            </a:solidFill>
            <a:ln>
              <a:noFill/>
            </a:ln>
            <a:effectLst/>
          </c:spPr>
          <c:invertIfNegative val="0"/>
          <c:dLbls>
            <c:spPr>
              <a:noFill/>
              <a:ln>
                <a:noFill/>
              </a:ln>
              <a:effectLst/>
            </c:spPr>
            <c:txPr>
              <a:bodyPr rot="-5400000" vert="horz" wrap="square" lIns="38100" tIns="19050" rIns="38100" bIns="19050" anchor="ctr">
                <a:spAutoFit/>
              </a:bodyPr>
              <a:lstStyle/>
              <a:p>
                <a:pPr>
                  <a:defRPr>
                    <a:solidFill>
                      <a:schemeClr val="bg2">
                        <a:lumMod val="25000"/>
                      </a:schemeClr>
                    </a:solidFill>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učitelé_zřizovatel!$K$3:$K$13</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učitelé_zřizovatel!$M$3:$M$13</c:f>
              <c:numCache>
                <c:formatCode>#\ ##0_ ;\-#\ ##0\ </c:formatCode>
                <c:ptCount val="11"/>
                <c:pt idx="0">
                  <c:v>484.2</c:v>
                </c:pt>
                <c:pt idx="1">
                  <c:v>488.3</c:v>
                </c:pt>
                <c:pt idx="2">
                  <c:v>507.7</c:v>
                </c:pt>
                <c:pt idx="3">
                  <c:v>518</c:v>
                </c:pt>
                <c:pt idx="4">
                  <c:v>542.9</c:v>
                </c:pt>
                <c:pt idx="5">
                  <c:v>559.5</c:v>
                </c:pt>
                <c:pt idx="6">
                  <c:v>582.9</c:v>
                </c:pt>
                <c:pt idx="7">
                  <c:v>602.20000000000005</c:v>
                </c:pt>
                <c:pt idx="8">
                  <c:v>594.70000000000005</c:v>
                </c:pt>
                <c:pt idx="9">
                  <c:v>615.29999999999995</c:v>
                </c:pt>
                <c:pt idx="10">
                  <c:v>627</c:v>
                </c:pt>
              </c:numCache>
            </c:numRef>
          </c:val>
          <c:extLst>
            <c:ext xmlns:c16="http://schemas.microsoft.com/office/drawing/2014/chart" uri="{C3380CC4-5D6E-409C-BE32-E72D297353CC}">
              <c16:uniqueId val="{00000001-8478-4143-8AE3-FEE1F823B8A7}"/>
            </c:ext>
          </c:extLst>
        </c:ser>
        <c:dLbls>
          <c:showLegendKey val="0"/>
          <c:showVal val="0"/>
          <c:showCatName val="0"/>
          <c:showSerName val="0"/>
          <c:showPercent val="0"/>
          <c:showBubbleSize val="0"/>
        </c:dLbls>
        <c:gapWidth val="20"/>
        <c:axId val="123947648"/>
        <c:axId val="123974016"/>
      </c:barChart>
      <c:catAx>
        <c:axId val="123947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23974016"/>
        <c:crosses val="autoZero"/>
        <c:auto val="1"/>
        <c:lblAlgn val="ctr"/>
        <c:lblOffset val="100"/>
        <c:tickLblSkip val="2"/>
        <c:noMultiLvlLbl val="0"/>
      </c:catAx>
      <c:valAx>
        <c:axId val="123974016"/>
        <c:scaling>
          <c:orientation val="minMax"/>
          <c:max val="2400"/>
          <c:min val="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23947648"/>
        <c:crosses val="autoZero"/>
        <c:crossBetween val="between"/>
        <c:majorUnit val="200"/>
        <c:minorUnit val="100"/>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Absolutní počty úvazku učitelů - mužů</a:t>
            </a:r>
            <a:endParaRPr lang="en-US" sz="800" b="1">
              <a:solidFill>
                <a:sysClr val="windowText" lastClr="000000"/>
              </a:solidFill>
            </a:endParaRPr>
          </a:p>
        </c:rich>
      </c:tx>
      <c:layout/>
      <c:overlay val="0"/>
      <c:spPr>
        <a:noFill/>
        <a:ln>
          <a:noFill/>
        </a:ln>
        <a:effectLst/>
      </c:spPr>
    </c:title>
    <c:autoTitleDeleted val="0"/>
    <c:plotArea>
      <c:layout>
        <c:manualLayout>
          <c:layoutTarget val="inner"/>
          <c:xMode val="edge"/>
          <c:yMode val="edge"/>
          <c:x val="0.14744790979339872"/>
          <c:y val="0.10036621892851628"/>
          <c:w val="0.7907561368609185"/>
          <c:h val="0.68469394266893113"/>
        </c:manualLayout>
      </c:layout>
      <c:barChart>
        <c:barDir val="col"/>
        <c:grouping val="stacked"/>
        <c:varyColors val="0"/>
        <c:ser>
          <c:idx val="0"/>
          <c:order val="0"/>
          <c:tx>
            <c:strRef>
              <c:f>'2.1.1'!$Y$6</c:f>
              <c:strCache>
                <c:ptCount val="1"/>
                <c:pt idx="0">
                  <c:v>na 1. stupni ZŠ</c:v>
                </c:pt>
              </c:strCache>
            </c:strRef>
          </c:tx>
          <c:spPr>
            <a:solidFill>
              <a:srgbClr val="0070C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'2.1.1'!$X$7:$X$17</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'2.1.1'!$Y$7:$Y$17</c:f>
              <c:numCache>
                <c:formatCode>0</c:formatCode>
                <c:ptCount val="11"/>
                <c:pt idx="0">
                  <c:v>1514.7999999999993</c:v>
                </c:pt>
                <c:pt idx="1">
                  <c:v>1521.9000000000015</c:v>
                </c:pt>
                <c:pt idx="2">
                  <c:v>1613.8999999999978</c:v>
                </c:pt>
                <c:pt idx="3">
                  <c:v>1718.7000000000007</c:v>
                </c:pt>
                <c:pt idx="4">
                  <c:v>1826.2000000000007</c:v>
                </c:pt>
                <c:pt idx="5">
                  <c:v>1849.1000000000022</c:v>
                </c:pt>
                <c:pt idx="6">
                  <c:v>1899.5999999999985</c:v>
                </c:pt>
                <c:pt idx="7">
                  <c:v>1949.3999999999978</c:v>
                </c:pt>
                <c:pt idx="8">
                  <c:v>1998.2999999999956</c:v>
                </c:pt>
                <c:pt idx="9">
                  <c:v>2064.0000000000036</c:v>
                </c:pt>
                <c:pt idx="10">
                  <c:v>2099.5000000000036</c:v>
                </c:pt>
              </c:numCache>
            </c:numRef>
          </c:val>
          <c:extLst>
            <c:ext xmlns:c16="http://schemas.microsoft.com/office/drawing/2014/chart" uri="{C3380CC4-5D6E-409C-BE32-E72D297353CC}">
              <c16:uniqueId val="{00000000-CEE6-48E0-AD3E-72C927A93FAD}"/>
            </c:ext>
          </c:extLst>
        </c:ser>
        <c:ser>
          <c:idx val="1"/>
          <c:order val="1"/>
          <c:tx>
            <c:strRef>
              <c:f>'2.1.1'!$Z$6</c:f>
              <c:strCache>
                <c:ptCount val="1"/>
                <c:pt idx="0">
                  <c:v>na 2. stupni ZŠ</c:v>
                </c:pt>
              </c:strCache>
            </c:strRef>
          </c:tx>
          <c:spPr>
            <a:solidFill>
              <a:srgbClr val="C00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'2.1.1'!$X$7:$X$17</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'2.1.1'!$Z$7:$Z$17</c:f>
              <c:numCache>
                <c:formatCode>0</c:formatCode>
                <c:ptCount val="11"/>
                <c:pt idx="0">
                  <c:v>7562</c:v>
                </c:pt>
                <c:pt idx="1">
                  <c:v>7565.7000000000007</c:v>
                </c:pt>
                <c:pt idx="2">
                  <c:v>7536.2999999999993</c:v>
                </c:pt>
                <c:pt idx="3">
                  <c:v>7475.8000000000029</c:v>
                </c:pt>
                <c:pt idx="4">
                  <c:v>7518</c:v>
                </c:pt>
                <c:pt idx="5">
                  <c:v>7531.4000000000015</c:v>
                </c:pt>
                <c:pt idx="6">
                  <c:v>7758.5</c:v>
                </c:pt>
                <c:pt idx="7">
                  <c:v>7995</c:v>
                </c:pt>
                <c:pt idx="8">
                  <c:v>8508.2999999999956</c:v>
                </c:pt>
                <c:pt idx="9">
                  <c:v>9062.8999999999978</c:v>
                </c:pt>
                <c:pt idx="10">
                  <c:v>9481.0999999999985</c:v>
                </c:pt>
              </c:numCache>
            </c:numRef>
          </c:val>
          <c:extLst>
            <c:ext xmlns:c16="http://schemas.microsoft.com/office/drawing/2014/chart" uri="{C3380CC4-5D6E-409C-BE32-E72D297353CC}">
              <c16:uniqueId val="{00000001-CEE6-48E0-AD3E-72C927A93FAD}"/>
            </c:ext>
          </c:extLst>
        </c:ser>
        <c:dLbls>
          <c:showLegendKey val="0"/>
          <c:showVal val="0"/>
          <c:showCatName val="0"/>
          <c:showSerName val="0"/>
          <c:showPercent val="0"/>
          <c:showBubbleSize val="0"/>
        </c:dLbls>
        <c:gapWidth val="18"/>
        <c:overlap val="100"/>
        <c:axId val="130885120"/>
        <c:axId val="130886656"/>
      </c:barChart>
      <c:catAx>
        <c:axId val="130885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0886656"/>
        <c:crosses val="autoZero"/>
        <c:auto val="1"/>
        <c:lblAlgn val="ctr"/>
        <c:lblOffset val="100"/>
        <c:tickLblSkip val="2"/>
        <c:noMultiLvlLbl val="0"/>
      </c:catAx>
      <c:valAx>
        <c:axId val="130886656"/>
        <c:scaling>
          <c:orientation val="minMax"/>
          <c:max val="12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0885120"/>
        <c:crosses val="autoZero"/>
        <c:crossBetween val="between"/>
        <c:majorUnit val="1000"/>
      </c:valAx>
      <c:spPr>
        <a:noFill/>
        <a:ln>
          <a:noFill/>
        </a:ln>
        <a:effectLst/>
      </c:spPr>
    </c:plotArea>
    <c:legend>
      <c:legendPos val="b"/>
      <c:layout>
        <c:manualLayout>
          <c:xMode val="edge"/>
          <c:yMode val="edge"/>
          <c:x val="0.19694097828088061"/>
          <c:y val="0.90668972260820335"/>
          <c:w val="0.61439415045186396"/>
          <c:h val="7.7624002881992699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Podíl úvazků mužů na všech učitelích ZŠ </a:t>
            </a:r>
          </a:p>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celkem a dle stupně (v %)</a:t>
            </a:r>
            <a:endParaRPr lang="en-US" sz="800" b="1">
              <a:solidFill>
                <a:sysClr val="windowText" lastClr="000000"/>
              </a:solidFill>
            </a:endParaRPr>
          </a:p>
        </c:rich>
      </c:tx>
      <c:layout/>
      <c:overlay val="0"/>
      <c:spPr>
        <a:solidFill>
          <a:schemeClr val="bg1"/>
        </a:solidFill>
        <a:ln>
          <a:solidFill>
            <a:schemeClr val="bg1">
              <a:lumMod val="65000"/>
            </a:schemeClr>
          </a:solidFill>
        </a:ln>
        <a:effectLst/>
      </c:spPr>
    </c:title>
    <c:autoTitleDeleted val="0"/>
    <c:plotArea>
      <c:layout>
        <c:manualLayout>
          <c:layoutTarget val="inner"/>
          <c:xMode val="edge"/>
          <c:yMode val="edge"/>
          <c:x val="7.6210749290296823E-2"/>
          <c:y val="0.1087338524025281"/>
          <c:w val="0.87220099141411067"/>
          <c:h val="0.72730232250380478"/>
        </c:manualLayout>
      </c:layout>
      <c:lineChart>
        <c:grouping val="standard"/>
        <c:varyColors val="0"/>
        <c:ser>
          <c:idx val="0"/>
          <c:order val="0"/>
          <c:tx>
            <c:strRef>
              <c:f>List26!$C$23</c:f>
              <c:strCache>
                <c:ptCount val="1"/>
                <c:pt idx="0">
                  <c:v>ZŠ celkem</c:v>
                </c:pt>
              </c:strCache>
            </c:strRef>
          </c:tx>
          <c:spPr>
            <a:ln w="28575" cap="rnd">
              <a:solidFill>
                <a:schemeClr val="accent1"/>
              </a:solidFill>
              <a:round/>
            </a:ln>
            <a:effectLst/>
          </c:spPr>
          <c:marker>
            <c:symbol val="none"/>
          </c:marker>
          <c:dLbls>
            <c:spPr>
              <a:ln>
                <a:noFill/>
              </a:ln>
              <a:effectLst>
                <a:innerShdw blurRad="63500" dist="50800" dir="8100000">
                  <a:schemeClr val="accent1">
                    <a:lumMod val="60000"/>
                    <a:lumOff val="40000"/>
                    <a:alpha val="50000"/>
                  </a:schemeClr>
                </a:innerShdw>
              </a:effectLst>
            </c:spPr>
            <c:txPr>
              <a:bodyPr/>
              <a:lstStyle/>
              <a:p>
                <a:pPr>
                  <a:defRPr sz="750"/>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layout/>
                <c15:showLeaderLines val="1"/>
              </c:ext>
            </c:extLst>
          </c:dLbls>
          <c:cat>
            <c:strRef>
              <c:f>List26!$B$24:$B$34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List26!$C$24:$C$34</c:f>
              <c:numCache>
                <c:formatCode>0.0</c:formatCode>
                <c:ptCount val="11"/>
                <c:pt idx="0">
                  <c:v>15.699786213910601</c:v>
                </c:pt>
                <c:pt idx="1">
                  <c:v>15.758233640662475</c:v>
                </c:pt>
                <c:pt idx="2">
                  <c:v>15.70334877319196</c:v>
                </c:pt>
                <c:pt idx="3">
                  <c:v>15.549978267744773</c:v>
                </c:pt>
                <c:pt idx="4">
                  <c:v>15.516591471039028</c:v>
                </c:pt>
                <c:pt idx="5">
                  <c:v>15.219461701081698</c:v>
                </c:pt>
                <c:pt idx="6">
                  <c:v>15.329149525115543</c:v>
                </c:pt>
                <c:pt idx="7">
                  <c:v>15.454741838176211</c:v>
                </c:pt>
                <c:pt idx="8">
                  <c:v>15.671925645389596</c:v>
                </c:pt>
                <c:pt idx="9">
                  <c:v>16.001892574807762</c:v>
                </c:pt>
                <c:pt idx="10">
                  <c:v>16.236314463451258</c:v>
                </c:pt>
              </c:numCache>
            </c:numRef>
          </c:val>
          <c:smooth val="0"/>
          <c:extLst>
            <c:ext xmlns:c16="http://schemas.microsoft.com/office/drawing/2014/chart" uri="{C3380CC4-5D6E-409C-BE32-E72D297353CC}">
              <c16:uniqueId val="{00000000-25B7-476B-8C45-0AB5C21CE01B}"/>
            </c:ext>
          </c:extLst>
        </c:ser>
        <c:ser>
          <c:idx val="1"/>
          <c:order val="1"/>
          <c:tx>
            <c:strRef>
              <c:f>List26!$D$23</c:f>
              <c:strCache>
                <c:ptCount val="1"/>
                <c:pt idx="0">
                  <c:v>na 1. stupni</c:v>
                </c:pt>
              </c:strCache>
            </c:strRef>
          </c:tx>
          <c:spPr>
            <a:ln w="28575" cap="rnd">
              <a:solidFill>
                <a:schemeClr val="accent2"/>
              </a:solidFill>
              <a:round/>
            </a:ln>
            <a:effectLst/>
          </c:spPr>
          <c:marker>
            <c:symbol val="none"/>
          </c:marker>
          <c:dLbls>
            <c:spPr>
              <a:solidFill>
                <a:schemeClr val="accent6">
                  <a:lumMod val="20000"/>
                  <a:lumOff val="80000"/>
                </a:schemeClr>
              </a:solidFill>
              <a:ln>
                <a:noFill/>
              </a:ln>
              <a:effectLst>
                <a:innerShdw blurRad="63500" dist="50800" dir="8100000">
                  <a:schemeClr val="accent6">
                    <a:lumMod val="40000"/>
                    <a:lumOff val="60000"/>
                    <a:alpha val="50000"/>
                  </a:schemeClr>
                </a:innerShdw>
              </a:effectLst>
            </c:spPr>
            <c:txPr>
              <a:bodyPr wrap="square" lIns="38100" tIns="19050" rIns="38100" bIns="19050" anchor="ctr">
                <a:spAutoFit/>
              </a:bodyPr>
              <a:lstStyle/>
              <a:p>
                <a:pPr>
                  <a:defRPr sz="750" i="1">
                    <a:solidFill>
                      <a:srgbClr val="C00000"/>
                    </a:solidFill>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List26!$B$24:$B$34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List26!$D$24:$D$34</c:f>
              <c:numCache>
                <c:formatCode>0.0</c:formatCode>
                <c:ptCount val="11"/>
                <c:pt idx="0">
                  <c:v>5.387947898956412</c:v>
                </c:pt>
                <c:pt idx="1">
                  <c:v>5.3635431314295428</c:v>
                </c:pt>
                <c:pt idx="2">
                  <c:v>5.5603598264949916</c:v>
                </c:pt>
                <c:pt idx="3">
                  <c:v>5.7504106958241206</c:v>
                </c:pt>
                <c:pt idx="4">
                  <c:v>5.9236433228453755</c:v>
                </c:pt>
                <c:pt idx="5">
                  <c:v>5.8096826997697057</c:v>
                </c:pt>
                <c:pt idx="6">
                  <c:v>5.8535142347383653</c:v>
                </c:pt>
                <c:pt idx="7">
                  <c:v>5.9379159724273993</c:v>
                </c:pt>
                <c:pt idx="8">
                  <c:v>5.9715452863849361</c:v>
                </c:pt>
                <c:pt idx="9">
                  <c:v>6.0603747214253723</c:v>
                </c:pt>
                <c:pt idx="10">
                  <c:v>6.0993323998164053</c:v>
                </c:pt>
              </c:numCache>
            </c:numRef>
          </c:val>
          <c:smooth val="0"/>
          <c:extLst>
            <c:ext xmlns:c16="http://schemas.microsoft.com/office/drawing/2014/chart" uri="{C3380CC4-5D6E-409C-BE32-E72D297353CC}">
              <c16:uniqueId val="{00000001-25B7-476B-8C45-0AB5C21CE01B}"/>
            </c:ext>
          </c:extLst>
        </c:ser>
        <c:ser>
          <c:idx val="2"/>
          <c:order val="2"/>
          <c:tx>
            <c:strRef>
              <c:f>List26!$E$23</c:f>
              <c:strCache>
                <c:ptCount val="1"/>
                <c:pt idx="0">
                  <c:v>na 2. stupni</c:v>
                </c:pt>
              </c:strCache>
            </c:strRef>
          </c:tx>
          <c:spPr>
            <a:ln w="28575" cap="rnd">
              <a:solidFill>
                <a:schemeClr val="accent3">
                  <a:lumMod val="50000"/>
                </a:schemeClr>
              </a:solidFill>
              <a:round/>
            </a:ln>
            <a:effectLst/>
          </c:spPr>
          <c:marker>
            <c:symbol val="none"/>
          </c:marker>
          <c:dLbls>
            <c:dLbl>
              <c:idx val="0"/>
              <c:spPr>
                <a:solidFill>
                  <a:schemeClr val="accent3">
                    <a:lumMod val="75000"/>
                  </a:schemeClr>
                </a:solidFill>
                <a:ln>
                  <a:noFill/>
                </a:ln>
                <a:effectLst/>
              </c:spPr>
              <c:txPr>
                <a:bodyPr wrap="square" lIns="38100" tIns="19050" rIns="38100" bIns="19050" anchor="ctr">
                  <a:spAutoFit/>
                </a:bodyPr>
                <a:lstStyle/>
                <a:p>
                  <a:pPr>
                    <a:defRPr sz="750" i="1">
                      <a:solidFill>
                        <a:schemeClr val="bg1"/>
                      </a:solidFill>
                    </a:defRPr>
                  </a:pPr>
                  <a:endParaRPr lang="cs-CZ"/>
                </a:p>
              </c:txPr>
              <c:dLblPos val="b"/>
              <c:showLegendKey val="0"/>
              <c:showVal val="1"/>
              <c:showCatName val="0"/>
              <c:showSerName val="0"/>
              <c:showPercent val="0"/>
              <c:showBubbleSize val="0"/>
              <c:extLst>
                <c:ext xmlns:c16="http://schemas.microsoft.com/office/drawing/2014/chart" uri="{C3380CC4-5D6E-409C-BE32-E72D297353CC}">
                  <c16:uniqueId val="{00000000-2418-4947-AE0C-6F3AB3DBB04B}"/>
                </c:ext>
              </c:extLst>
            </c:dLbl>
            <c:dLbl>
              <c:idx val="1"/>
              <c:spPr>
                <a:solidFill>
                  <a:schemeClr val="accent3">
                    <a:lumMod val="60000"/>
                    <a:lumOff val="40000"/>
                  </a:schemeClr>
                </a:solidFill>
                <a:ln>
                  <a:noFill/>
                </a:ln>
                <a:effectLst/>
              </c:spPr>
              <c:txPr>
                <a:bodyPr wrap="square" lIns="38100" tIns="19050" rIns="38100" bIns="19050" anchor="ctr">
                  <a:spAutoFit/>
                </a:bodyPr>
                <a:lstStyle/>
                <a:p>
                  <a:pPr>
                    <a:defRPr sz="750" i="1">
                      <a:solidFill>
                        <a:schemeClr val="accent3">
                          <a:lumMod val="50000"/>
                        </a:schemeClr>
                      </a:solidFill>
                    </a:defRPr>
                  </a:pPr>
                  <a:endParaRPr lang="cs-CZ"/>
                </a:p>
              </c:txPr>
              <c:dLblPos val="b"/>
              <c:showLegendKey val="0"/>
              <c:showVal val="1"/>
              <c:showCatName val="0"/>
              <c:showSerName val="0"/>
              <c:showPercent val="0"/>
              <c:showBubbleSize val="0"/>
              <c:extLst>
                <c:ext xmlns:c16="http://schemas.microsoft.com/office/drawing/2014/chart" uri="{C3380CC4-5D6E-409C-BE32-E72D297353CC}">
                  <c16:uniqueId val="{00000000-57F7-4039-B25E-CC8B083A5B9D}"/>
                </c:ext>
              </c:extLst>
            </c:dLbl>
            <c:dLbl>
              <c:idx val="2"/>
              <c:spPr>
                <a:solidFill>
                  <a:schemeClr val="accent3">
                    <a:lumMod val="75000"/>
                  </a:schemeClr>
                </a:solidFill>
                <a:ln>
                  <a:noFill/>
                </a:ln>
                <a:effectLst/>
              </c:spPr>
              <c:txPr>
                <a:bodyPr wrap="square" lIns="38100" tIns="19050" rIns="38100" bIns="19050" anchor="ctr">
                  <a:spAutoFit/>
                </a:bodyPr>
                <a:lstStyle/>
                <a:p>
                  <a:pPr>
                    <a:defRPr sz="750" i="1">
                      <a:solidFill>
                        <a:schemeClr val="bg1"/>
                      </a:solidFill>
                    </a:defRPr>
                  </a:pPr>
                  <a:endParaRPr lang="cs-CZ"/>
                </a:p>
              </c:txPr>
              <c:dLblPos val="b"/>
              <c:showLegendKey val="0"/>
              <c:showVal val="1"/>
              <c:showCatName val="0"/>
              <c:showSerName val="0"/>
              <c:showPercent val="0"/>
              <c:showBubbleSize val="0"/>
              <c:extLst>
                <c:ext xmlns:c16="http://schemas.microsoft.com/office/drawing/2014/chart" uri="{C3380CC4-5D6E-409C-BE32-E72D297353CC}">
                  <c16:uniqueId val="{00000001-2418-4947-AE0C-6F3AB3DBB04B}"/>
                </c:ext>
              </c:extLst>
            </c:dLbl>
            <c:dLbl>
              <c:idx val="3"/>
              <c:spPr>
                <a:solidFill>
                  <a:schemeClr val="accent3">
                    <a:lumMod val="60000"/>
                    <a:lumOff val="40000"/>
                  </a:schemeClr>
                </a:solidFill>
                <a:ln>
                  <a:noFill/>
                </a:ln>
                <a:effectLst/>
              </c:spPr>
              <c:txPr>
                <a:bodyPr wrap="square" lIns="38100" tIns="19050" rIns="38100" bIns="19050" anchor="ctr">
                  <a:spAutoFit/>
                </a:bodyPr>
                <a:lstStyle/>
                <a:p>
                  <a:pPr>
                    <a:defRPr sz="750" i="1">
                      <a:solidFill>
                        <a:schemeClr val="accent3">
                          <a:lumMod val="50000"/>
                        </a:schemeClr>
                      </a:solidFill>
                    </a:defRPr>
                  </a:pPr>
                  <a:endParaRPr lang="cs-CZ"/>
                </a:p>
              </c:txPr>
              <c:dLblPos val="b"/>
              <c:showLegendKey val="0"/>
              <c:showVal val="1"/>
              <c:showCatName val="0"/>
              <c:showSerName val="0"/>
              <c:showPercent val="0"/>
              <c:showBubbleSize val="0"/>
              <c:extLst>
                <c:ext xmlns:c16="http://schemas.microsoft.com/office/drawing/2014/chart" uri="{C3380CC4-5D6E-409C-BE32-E72D297353CC}">
                  <c16:uniqueId val="{00000001-57F7-4039-B25E-CC8B083A5B9D}"/>
                </c:ext>
              </c:extLst>
            </c:dLbl>
            <c:dLbl>
              <c:idx val="4"/>
              <c:spPr>
                <a:solidFill>
                  <a:schemeClr val="accent3">
                    <a:lumMod val="75000"/>
                  </a:schemeClr>
                </a:solidFill>
                <a:ln>
                  <a:noFill/>
                </a:ln>
                <a:effectLst/>
              </c:spPr>
              <c:txPr>
                <a:bodyPr wrap="square" lIns="38100" tIns="19050" rIns="38100" bIns="19050" anchor="ctr">
                  <a:spAutoFit/>
                </a:bodyPr>
                <a:lstStyle/>
                <a:p>
                  <a:pPr>
                    <a:defRPr sz="750" i="1">
                      <a:solidFill>
                        <a:schemeClr val="bg1"/>
                      </a:solidFill>
                    </a:defRPr>
                  </a:pPr>
                  <a:endParaRPr lang="cs-CZ"/>
                </a:p>
              </c:txPr>
              <c:dLblPos val="b"/>
              <c:showLegendKey val="0"/>
              <c:showVal val="1"/>
              <c:showCatName val="0"/>
              <c:showSerName val="0"/>
              <c:showPercent val="0"/>
              <c:showBubbleSize val="0"/>
              <c:extLst>
                <c:ext xmlns:c16="http://schemas.microsoft.com/office/drawing/2014/chart" uri="{C3380CC4-5D6E-409C-BE32-E72D297353CC}">
                  <c16:uniqueId val="{00000002-2418-4947-AE0C-6F3AB3DBB04B}"/>
                </c:ext>
              </c:extLst>
            </c:dLbl>
            <c:dLbl>
              <c:idx val="5"/>
              <c:spPr>
                <a:solidFill>
                  <a:schemeClr val="accent3">
                    <a:lumMod val="60000"/>
                    <a:lumOff val="40000"/>
                  </a:schemeClr>
                </a:solidFill>
                <a:ln>
                  <a:noFill/>
                </a:ln>
                <a:effectLst/>
              </c:spPr>
              <c:txPr>
                <a:bodyPr wrap="square" lIns="38100" tIns="19050" rIns="38100" bIns="19050" anchor="ctr">
                  <a:spAutoFit/>
                </a:bodyPr>
                <a:lstStyle/>
                <a:p>
                  <a:pPr>
                    <a:defRPr sz="750" i="1">
                      <a:solidFill>
                        <a:schemeClr val="accent3">
                          <a:lumMod val="50000"/>
                        </a:schemeClr>
                      </a:solidFill>
                    </a:defRPr>
                  </a:pPr>
                  <a:endParaRPr lang="cs-CZ"/>
                </a:p>
              </c:txPr>
              <c:dLblPos val="b"/>
              <c:showLegendKey val="0"/>
              <c:showVal val="1"/>
              <c:showCatName val="0"/>
              <c:showSerName val="0"/>
              <c:showPercent val="0"/>
              <c:showBubbleSize val="0"/>
              <c:extLst>
                <c:ext xmlns:c16="http://schemas.microsoft.com/office/drawing/2014/chart" uri="{C3380CC4-5D6E-409C-BE32-E72D297353CC}">
                  <c16:uniqueId val="{00000002-57F7-4039-B25E-CC8B083A5B9D}"/>
                </c:ext>
              </c:extLst>
            </c:dLbl>
            <c:dLbl>
              <c:idx val="6"/>
              <c:spPr>
                <a:solidFill>
                  <a:schemeClr val="accent3">
                    <a:lumMod val="75000"/>
                  </a:schemeClr>
                </a:solidFill>
                <a:ln>
                  <a:noFill/>
                </a:ln>
                <a:effectLst/>
              </c:spPr>
              <c:txPr>
                <a:bodyPr wrap="square" lIns="38100" tIns="19050" rIns="38100" bIns="19050" anchor="ctr">
                  <a:spAutoFit/>
                </a:bodyPr>
                <a:lstStyle/>
                <a:p>
                  <a:pPr>
                    <a:defRPr sz="750" i="1">
                      <a:solidFill>
                        <a:schemeClr val="bg1"/>
                      </a:solidFill>
                    </a:defRPr>
                  </a:pPr>
                  <a:endParaRPr lang="cs-CZ"/>
                </a:p>
              </c:txPr>
              <c:dLblPos val="b"/>
              <c:showLegendKey val="0"/>
              <c:showVal val="1"/>
              <c:showCatName val="0"/>
              <c:showSerName val="0"/>
              <c:showPercent val="0"/>
              <c:showBubbleSize val="0"/>
              <c:extLst>
                <c:ext xmlns:c16="http://schemas.microsoft.com/office/drawing/2014/chart" uri="{C3380CC4-5D6E-409C-BE32-E72D297353CC}">
                  <c16:uniqueId val="{00000003-2418-4947-AE0C-6F3AB3DBB04B}"/>
                </c:ext>
              </c:extLst>
            </c:dLbl>
            <c:dLbl>
              <c:idx val="7"/>
              <c:spPr>
                <a:solidFill>
                  <a:schemeClr val="accent3">
                    <a:lumMod val="60000"/>
                    <a:lumOff val="40000"/>
                  </a:schemeClr>
                </a:solidFill>
                <a:ln>
                  <a:noFill/>
                </a:ln>
                <a:effectLst/>
              </c:spPr>
              <c:txPr>
                <a:bodyPr wrap="square" lIns="38100" tIns="19050" rIns="38100" bIns="19050" anchor="ctr">
                  <a:spAutoFit/>
                </a:bodyPr>
                <a:lstStyle/>
                <a:p>
                  <a:pPr>
                    <a:defRPr sz="750" i="1">
                      <a:solidFill>
                        <a:schemeClr val="accent3">
                          <a:lumMod val="50000"/>
                        </a:schemeClr>
                      </a:solidFill>
                    </a:defRPr>
                  </a:pPr>
                  <a:endParaRPr lang="cs-CZ"/>
                </a:p>
              </c:txPr>
              <c:dLblPos val="b"/>
              <c:showLegendKey val="0"/>
              <c:showVal val="1"/>
              <c:showCatName val="0"/>
              <c:showSerName val="0"/>
              <c:showPercent val="0"/>
              <c:showBubbleSize val="0"/>
              <c:extLst>
                <c:ext xmlns:c16="http://schemas.microsoft.com/office/drawing/2014/chart" uri="{C3380CC4-5D6E-409C-BE32-E72D297353CC}">
                  <c16:uniqueId val="{00000003-57F7-4039-B25E-CC8B083A5B9D}"/>
                </c:ext>
              </c:extLst>
            </c:dLbl>
            <c:dLbl>
              <c:idx val="8"/>
              <c:spPr>
                <a:solidFill>
                  <a:schemeClr val="accent3">
                    <a:lumMod val="75000"/>
                  </a:schemeClr>
                </a:solidFill>
                <a:ln>
                  <a:noFill/>
                </a:ln>
                <a:effectLst/>
              </c:spPr>
              <c:txPr>
                <a:bodyPr wrap="square" lIns="38100" tIns="19050" rIns="38100" bIns="19050" anchor="ctr">
                  <a:spAutoFit/>
                </a:bodyPr>
                <a:lstStyle/>
                <a:p>
                  <a:pPr>
                    <a:defRPr sz="750" i="1">
                      <a:solidFill>
                        <a:schemeClr val="bg1"/>
                      </a:solidFill>
                    </a:defRPr>
                  </a:pPr>
                  <a:endParaRPr lang="cs-CZ"/>
                </a:p>
              </c:txPr>
              <c:dLblPos val="b"/>
              <c:showLegendKey val="0"/>
              <c:showVal val="1"/>
              <c:showCatName val="0"/>
              <c:showSerName val="0"/>
              <c:showPercent val="0"/>
              <c:showBubbleSize val="0"/>
              <c:extLst>
                <c:ext xmlns:c16="http://schemas.microsoft.com/office/drawing/2014/chart" uri="{C3380CC4-5D6E-409C-BE32-E72D297353CC}">
                  <c16:uniqueId val="{00000004-2418-4947-AE0C-6F3AB3DBB04B}"/>
                </c:ext>
              </c:extLst>
            </c:dLbl>
            <c:dLbl>
              <c:idx val="9"/>
              <c:spPr>
                <a:solidFill>
                  <a:schemeClr val="accent3">
                    <a:lumMod val="60000"/>
                    <a:lumOff val="40000"/>
                  </a:schemeClr>
                </a:solidFill>
                <a:ln>
                  <a:noFill/>
                </a:ln>
                <a:effectLst/>
              </c:spPr>
              <c:txPr>
                <a:bodyPr wrap="square" lIns="38100" tIns="19050" rIns="38100" bIns="19050" anchor="ctr">
                  <a:spAutoFit/>
                </a:bodyPr>
                <a:lstStyle/>
                <a:p>
                  <a:pPr>
                    <a:defRPr sz="750" i="1">
                      <a:solidFill>
                        <a:schemeClr val="accent3">
                          <a:lumMod val="50000"/>
                        </a:schemeClr>
                      </a:solidFill>
                    </a:defRPr>
                  </a:pPr>
                  <a:endParaRPr lang="cs-CZ"/>
                </a:p>
              </c:txPr>
              <c:dLblPos val="b"/>
              <c:showLegendKey val="0"/>
              <c:showVal val="1"/>
              <c:showCatName val="0"/>
              <c:showSerName val="0"/>
              <c:showPercent val="0"/>
              <c:showBubbleSize val="0"/>
              <c:extLst>
                <c:ext xmlns:c16="http://schemas.microsoft.com/office/drawing/2014/chart" uri="{C3380CC4-5D6E-409C-BE32-E72D297353CC}">
                  <c16:uniqueId val="{00000004-57F7-4039-B25E-CC8B083A5B9D}"/>
                </c:ext>
              </c:extLst>
            </c:dLbl>
            <c:dLbl>
              <c:idx val="10"/>
              <c:spPr>
                <a:solidFill>
                  <a:schemeClr val="accent3">
                    <a:lumMod val="75000"/>
                  </a:schemeClr>
                </a:solidFill>
                <a:ln>
                  <a:noFill/>
                </a:ln>
                <a:effectLst/>
              </c:spPr>
              <c:txPr>
                <a:bodyPr wrap="square" lIns="38100" tIns="19050" rIns="38100" bIns="19050" anchor="ctr">
                  <a:spAutoFit/>
                </a:bodyPr>
                <a:lstStyle/>
                <a:p>
                  <a:pPr>
                    <a:defRPr sz="750" i="1">
                      <a:solidFill>
                        <a:schemeClr val="bg1"/>
                      </a:solidFill>
                    </a:defRPr>
                  </a:pPr>
                  <a:endParaRPr lang="cs-CZ"/>
                </a:p>
              </c:txPr>
              <c:dLblPos val="b"/>
              <c:showLegendKey val="0"/>
              <c:showVal val="1"/>
              <c:showCatName val="0"/>
              <c:showSerName val="0"/>
              <c:showPercent val="0"/>
              <c:showBubbleSize val="0"/>
              <c:extLst>
                <c:ext xmlns:c16="http://schemas.microsoft.com/office/drawing/2014/chart" uri="{C3380CC4-5D6E-409C-BE32-E72D297353CC}">
                  <c16:uniqueId val="{00000005-2418-4947-AE0C-6F3AB3DBB04B}"/>
                </c:ext>
              </c:extLst>
            </c:dLbl>
            <c:spPr>
              <a:noFill/>
              <a:ln>
                <a:noFill/>
              </a:ln>
              <a:effectLst/>
            </c:spPr>
            <c:txPr>
              <a:bodyPr wrap="square" lIns="38100" tIns="19050" rIns="38100" bIns="19050" anchor="ctr">
                <a:spAutoFit/>
              </a:bodyPr>
              <a:lstStyle/>
              <a:p>
                <a:pPr>
                  <a:defRPr sz="750" i="1">
                    <a:solidFill>
                      <a:schemeClr val="accent3">
                        <a:lumMod val="50000"/>
                      </a:schemeClr>
                    </a:solidFill>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List26!$B$24:$B$34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List26!$E$24:$E$34</c:f>
              <c:numCache>
                <c:formatCode>0.0</c:formatCode>
                <c:ptCount val="11"/>
                <c:pt idx="0">
                  <c:v>25.461108006006693</c:v>
                </c:pt>
                <c:pt idx="1">
                  <c:v>25.826790469038031</c:v>
                </c:pt>
                <c:pt idx="2">
                  <c:v>25.770414443988511</c:v>
                </c:pt>
                <c:pt idx="3">
                  <c:v>25.56668171434044</c:v>
                </c:pt>
                <c:pt idx="4">
                  <c:v>25.578649754862763</c:v>
                </c:pt>
                <c:pt idx="5">
                  <c:v>25.267219109605133</c:v>
                </c:pt>
                <c:pt idx="6">
                  <c:v>25.393993944849029</c:v>
                </c:pt>
                <c:pt idx="7">
                  <c:v>25.368388988310553</c:v>
                </c:pt>
                <c:pt idx="8">
                  <c:v>25.339516100210847</c:v>
                </c:pt>
                <c:pt idx="9">
                  <c:v>25.545414571447893</c:v>
                </c:pt>
                <c:pt idx="10">
                  <c:v>25.691601067649405</c:v>
                </c:pt>
              </c:numCache>
            </c:numRef>
          </c:val>
          <c:smooth val="0"/>
          <c:extLst>
            <c:ext xmlns:c16="http://schemas.microsoft.com/office/drawing/2014/chart" uri="{C3380CC4-5D6E-409C-BE32-E72D297353CC}">
              <c16:uniqueId val="{00000002-25B7-476B-8C45-0AB5C21CE01B}"/>
            </c:ext>
          </c:extLst>
        </c:ser>
        <c:dLbls>
          <c:showLegendKey val="0"/>
          <c:showVal val="0"/>
          <c:showCatName val="0"/>
          <c:showSerName val="0"/>
          <c:showPercent val="0"/>
          <c:showBubbleSize val="0"/>
        </c:dLbls>
        <c:smooth val="0"/>
        <c:axId val="131514752"/>
        <c:axId val="131516288"/>
      </c:lineChart>
      <c:catAx>
        <c:axId val="131514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1516288"/>
        <c:crosses val="autoZero"/>
        <c:auto val="1"/>
        <c:lblAlgn val="ctr"/>
        <c:lblOffset val="100"/>
        <c:tickLblSkip val="2"/>
        <c:noMultiLvlLbl val="0"/>
      </c:catAx>
      <c:valAx>
        <c:axId val="131516288"/>
        <c:scaling>
          <c:orientation val="minMax"/>
          <c:max val="3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1514752"/>
        <c:crosses val="autoZero"/>
        <c:crossBetween val="between"/>
      </c:valAx>
      <c:spPr>
        <a:noFill/>
        <a:ln>
          <a:noFill/>
        </a:ln>
        <a:effectLst/>
      </c:spPr>
    </c:plotArea>
    <c:legend>
      <c:legendPos val="b"/>
      <c:layout>
        <c:manualLayout>
          <c:xMode val="edge"/>
          <c:yMode val="edge"/>
          <c:x val="3.4779015357369193E-2"/>
          <c:y val="0.93700610953042629"/>
          <c:w val="0.93077880700414106"/>
          <c:h val="6.0052052316989804E-2"/>
        </c:manualLayout>
      </c:layout>
      <c:overlay val="0"/>
      <c:spPr>
        <a:solidFill>
          <a:schemeClr val="bg1"/>
        </a:solidFill>
        <a:ln>
          <a:solidFill>
            <a:schemeClr val="bg1">
              <a:lumMod val="50000"/>
            </a:schemeClr>
          </a:solid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8564000032911221E-3"/>
          <c:y val="4.7619047619047616E-2"/>
          <c:w val="0.97224495840841207"/>
          <c:h val="0.76564168115349218"/>
        </c:manualLayout>
      </c:layout>
      <c:barChart>
        <c:barDir val="col"/>
        <c:grouping val="clustered"/>
        <c:varyColors val="0"/>
        <c:ser>
          <c:idx val="0"/>
          <c:order val="0"/>
          <c:tx>
            <c:strRef>
              <c:f>'6.3'!$B$52</c:f>
              <c:strCache>
                <c:ptCount val="1"/>
                <c:pt idx="0">
                  <c:v>veřejný zřiz.</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1" u="none" strike="noStrike" kern="1200" baseline="0">
                    <a:solidFill>
                      <a:schemeClr val="accent3">
                        <a:lumMod val="50000"/>
                      </a:schemeClr>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'6.3'!$A$53:$A$63</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'6.3'!$B$53:$B$63</c:f>
              <c:numCache>
                <c:formatCode>0.0</c:formatCode>
                <c:ptCount val="11"/>
                <c:pt idx="0">
                  <c:v>14.078632853384626</c:v>
                </c:pt>
                <c:pt idx="1">
                  <c:v>11.780727124327969</c:v>
                </c:pt>
                <c:pt idx="2">
                  <c:v>10.789511618013634</c:v>
                </c:pt>
                <c:pt idx="3">
                  <c:v>8.7781114517245484</c:v>
                </c:pt>
                <c:pt idx="4">
                  <c:v>5.6320048059774352</c:v>
                </c:pt>
                <c:pt idx="5">
                  <c:v>5.6956087674146767</c:v>
                </c:pt>
                <c:pt idx="6">
                  <c:v>6.1573463941724516</c:v>
                </c:pt>
                <c:pt idx="7">
                  <c:v>6.6481637906761595</c:v>
                </c:pt>
                <c:pt idx="8">
                  <c:v>7.7219054933280491</c:v>
                </c:pt>
                <c:pt idx="9">
                  <c:v>8.2678785466418692</c:v>
                </c:pt>
                <c:pt idx="10">
                  <c:v>8.7913776001357657</c:v>
                </c:pt>
              </c:numCache>
            </c:numRef>
          </c:val>
          <c:extLst>
            <c:ext xmlns:c16="http://schemas.microsoft.com/office/drawing/2014/chart" uri="{C3380CC4-5D6E-409C-BE32-E72D297353CC}">
              <c16:uniqueId val="{00000000-0D65-42DE-BE30-55976F1D8D5C}"/>
            </c:ext>
          </c:extLst>
        </c:ser>
        <c:ser>
          <c:idx val="1"/>
          <c:order val="1"/>
          <c:tx>
            <c:strRef>
              <c:f>'6.3'!$C$52</c:f>
              <c:strCache>
                <c:ptCount val="1"/>
                <c:pt idx="0">
                  <c:v>soukromý zřiz.</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rgbClr val="6462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'6.3'!$A$53:$A$63</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'6.3'!$C$53:$C$63</c:f>
              <c:numCache>
                <c:formatCode>0.0</c:formatCode>
                <c:ptCount val="11"/>
                <c:pt idx="0">
                  <c:v>15.487646293888165</c:v>
                </c:pt>
                <c:pt idx="1">
                  <c:v>15.786270691333984</c:v>
                </c:pt>
                <c:pt idx="2">
                  <c:v>14.07035175879397</c:v>
                </c:pt>
                <c:pt idx="3">
                  <c:v>11.912128712871288</c:v>
                </c:pt>
                <c:pt idx="4">
                  <c:v>7.9605202472096668</c:v>
                </c:pt>
                <c:pt idx="5">
                  <c:v>8.9606015508733456</c:v>
                </c:pt>
                <c:pt idx="6">
                  <c:v>9.3138294113490225</c:v>
                </c:pt>
                <c:pt idx="7">
                  <c:v>11.731422104866089</c:v>
                </c:pt>
                <c:pt idx="8">
                  <c:v>14.48131443298969</c:v>
                </c:pt>
                <c:pt idx="9">
                  <c:v>15.174688142235816</c:v>
                </c:pt>
                <c:pt idx="10">
                  <c:v>17.134819487660373</c:v>
                </c:pt>
              </c:numCache>
            </c:numRef>
          </c:val>
          <c:extLst>
            <c:ext xmlns:c16="http://schemas.microsoft.com/office/drawing/2014/chart" uri="{C3380CC4-5D6E-409C-BE32-E72D297353CC}">
              <c16:uniqueId val="{00000001-0D65-42DE-BE30-55976F1D8D5C}"/>
            </c:ext>
          </c:extLst>
        </c:ser>
        <c:ser>
          <c:idx val="2"/>
          <c:order val="2"/>
          <c:tx>
            <c:strRef>
              <c:f>'6.3'!$D$52</c:f>
              <c:strCache>
                <c:ptCount val="1"/>
                <c:pt idx="0">
                  <c:v>církevní zřiz.</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1" u="none" strike="noStrike" kern="1200" baseline="0">
                    <a:solidFill>
                      <a:schemeClr val="accent1">
                        <a:lumMod val="75000"/>
                      </a:schemeClr>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'6.3'!$A$53:$A$63</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'6.3'!$D$53:$D$63</c:f>
              <c:numCache>
                <c:formatCode>0.0</c:formatCode>
                <c:ptCount val="11"/>
                <c:pt idx="0">
                  <c:v>15.551425030978939</c:v>
                </c:pt>
                <c:pt idx="1">
                  <c:v>13.352447266024983</c:v>
                </c:pt>
                <c:pt idx="2">
                  <c:v>11.581642702383297</c:v>
                </c:pt>
                <c:pt idx="3">
                  <c:v>9.2277992277992276</c:v>
                </c:pt>
                <c:pt idx="4">
                  <c:v>6.8336710259716327</c:v>
                </c:pt>
                <c:pt idx="5">
                  <c:v>6.0411081322609483</c:v>
                </c:pt>
                <c:pt idx="6">
                  <c:v>6.9137073254417549</c:v>
                </c:pt>
                <c:pt idx="7">
                  <c:v>7.6884755895051464</c:v>
                </c:pt>
                <c:pt idx="8">
                  <c:v>9.3660669244997461</c:v>
                </c:pt>
                <c:pt idx="9">
                  <c:v>9.4425483503981784</c:v>
                </c:pt>
                <c:pt idx="10">
                  <c:v>10.11164274322169</c:v>
                </c:pt>
              </c:numCache>
            </c:numRef>
          </c:val>
          <c:extLst>
            <c:ext xmlns:c16="http://schemas.microsoft.com/office/drawing/2014/chart" uri="{C3380CC4-5D6E-409C-BE32-E72D297353CC}">
              <c16:uniqueId val="{00000002-0D65-42DE-BE30-55976F1D8D5C}"/>
            </c:ext>
          </c:extLst>
        </c:ser>
        <c:dLbls>
          <c:showLegendKey val="0"/>
          <c:showVal val="0"/>
          <c:showCatName val="0"/>
          <c:showSerName val="0"/>
          <c:showPercent val="0"/>
          <c:showBubbleSize val="0"/>
        </c:dLbls>
        <c:gapWidth val="43"/>
        <c:overlap val="-27"/>
        <c:axId val="1271966879"/>
        <c:axId val="1271990591"/>
      </c:barChart>
      <c:lineChart>
        <c:grouping val="standard"/>
        <c:varyColors val="0"/>
        <c:ser>
          <c:idx val="3"/>
          <c:order val="3"/>
          <c:tx>
            <c:strRef>
              <c:f>'6.3'!$E$52</c:f>
              <c:strCache>
                <c:ptCount val="1"/>
                <c:pt idx="0">
                  <c:v>celkem</c:v>
                </c:pt>
              </c:strCache>
            </c:strRef>
          </c:tx>
          <c:spPr>
            <a:ln w="12700" cap="rnd">
              <a:solidFill>
                <a:srgbClr val="8064A2">
                  <a:lumMod val="50000"/>
                </a:srgbClr>
              </a:solidFill>
              <a:round/>
            </a:ln>
            <a:effectLst/>
          </c:spPr>
          <c:marker>
            <c:symbol val="none"/>
          </c:marker>
          <c:dLbls>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800" b="1" i="1" u="none" strike="noStrike" kern="1200" baseline="0">
                    <a:solidFill>
                      <a:srgbClr val="644C00"/>
                    </a:solidFill>
                    <a:latin typeface="Arial" panose="020B0604020202020204" pitchFamily="34" charset="0"/>
                    <a:ea typeface="+mn-ea"/>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'6.3'!$A$53:$A$63</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'6.3'!$E$53:$E$63</c:f>
              <c:numCache>
                <c:formatCode>0.0</c:formatCode>
                <c:ptCount val="11"/>
                <c:pt idx="0">
                  <c:v>14.109708932660842</c:v>
                </c:pt>
                <c:pt idx="1">
                  <c:v>11.851101720337997</c:v>
                </c:pt>
                <c:pt idx="2">
                  <c:v>10.845714109193379</c:v>
                </c:pt>
                <c:pt idx="3">
                  <c:v>8.8334429811580524</c:v>
                </c:pt>
                <c:pt idx="4">
                  <c:v>5.6847562383034402</c:v>
                </c:pt>
                <c:pt idx="5">
                  <c:v>5.7663758682175192</c:v>
                </c:pt>
                <c:pt idx="6">
                  <c:v>6.2352392198689621</c:v>
                </c:pt>
                <c:pt idx="7">
                  <c:v>6.7835568409813947</c:v>
                </c:pt>
                <c:pt idx="8">
                  <c:v>7.9242671264854749</c:v>
                </c:pt>
                <c:pt idx="9">
                  <c:v>8.4860983477361742</c:v>
                </c:pt>
                <c:pt idx="10">
                  <c:v>9.0774241398213533</c:v>
                </c:pt>
              </c:numCache>
            </c:numRef>
          </c:val>
          <c:smooth val="0"/>
          <c:extLst>
            <c:ext xmlns:c16="http://schemas.microsoft.com/office/drawing/2014/chart" uri="{C3380CC4-5D6E-409C-BE32-E72D297353CC}">
              <c16:uniqueId val="{00000003-0D65-42DE-BE30-55976F1D8D5C}"/>
            </c:ext>
          </c:extLst>
        </c:ser>
        <c:dLbls>
          <c:showLegendKey val="0"/>
          <c:showVal val="0"/>
          <c:showCatName val="0"/>
          <c:showSerName val="0"/>
          <c:showPercent val="0"/>
          <c:showBubbleSize val="0"/>
        </c:dLbls>
        <c:marker val="1"/>
        <c:smooth val="0"/>
        <c:axId val="1271966879"/>
        <c:axId val="1271990591"/>
      </c:lineChart>
      <c:catAx>
        <c:axId val="12719668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271990591"/>
        <c:crosses val="autoZero"/>
        <c:auto val="1"/>
        <c:lblAlgn val="ctr"/>
        <c:lblOffset val="100"/>
        <c:noMultiLvlLbl val="0"/>
      </c:catAx>
      <c:valAx>
        <c:axId val="1271990591"/>
        <c:scaling>
          <c:orientation val="minMax"/>
        </c:scaling>
        <c:delete val="0"/>
        <c:axPos val="l"/>
        <c:numFmt formatCode="0"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271966879"/>
        <c:crosses val="autoZero"/>
        <c:crossBetween val="between"/>
      </c:valAx>
      <c:spPr>
        <a:noFill/>
        <a:ln>
          <a:noFill/>
        </a:ln>
        <a:effectLst/>
      </c:spPr>
    </c:plotArea>
    <c:legend>
      <c:legendPos val="b"/>
      <c:layout>
        <c:manualLayout>
          <c:xMode val="edge"/>
          <c:yMode val="edge"/>
          <c:x val="7.2131429276364747E-2"/>
          <c:y val="0.90378499217566255"/>
          <c:w val="0.89463486432105221"/>
          <c:h val="7.097841476440050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Základní školy celkem</a:t>
            </a:r>
            <a:endParaRPr lang="en-US" sz="800" b="1">
              <a:solidFill>
                <a:sysClr val="windowText" lastClr="000000"/>
              </a:solidFill>
            </a:endParaRPr>
          </a:p>
        </c:rich>
      </c:tx>
      <c:layout/>
      <c:overlay val="0"/>
      <c:spPr>
        <a:noFill/>
        <a:ln>
          <a:noFill/>
        </a:ln>
        <a:effectLst/>
      </c:spPr>
    </c:title>
    <c:autoTitleDeleted val="0"/>
    <c:plotArea>
      <c:layout>
        <c:manualLayout>
          <c:layoutTarget val="inner"/>
          <c:xMode val="edge"/>
          <c:yMode val="edge"/>
          <c:x val="3.2665181885671891E-2"/>
          <c:y val="0.11327438818751008"/>
          <c:w val="0.93466963622865828"/>
          <c:h val="0.63452763236997611"/>
        </c:manualLayout>
      </c:layout>
      <c:barChart>
        <c:barDir val="col"/>
        <c:grouping val="clustered"/>
        <c:varyColors val="0"/>
        <c:ser>
          <c:idx val="0"/>
          <c:order val="0"/>
          <c:tx>
            <c:strRef>
              <c:f>List2!$B$21</c:f>
              <c:strCache>
                <c:ptCount val="1"/>
                <c:pt idx="0">
                  <c:v>asistenti (prům. evidenční počet přepočtený)</c:v>
                </c:pt>
              </c:strCache>
            </c:strRef>
          </c:tx>
          <c:invertIfNegative val="0"/>
          <c:dLbls>
            <c:numFmt formatCode="#,##0" sourceLinked="0"/>
            <c:spPr>
              <a:noFill/>
              <a:ln>
                <a:noFill/>
              </a:ln>
              <a:effectLst/>
            </c:spPr>
            <c:txPr>
              <a:bodyPr wrap="square" lIns="38100" tIns="19050" rIns="38100" bIns="19050" anchor="ctr">
                <a:spAutoFit/>
              </a:bodyPr>
              <a:lstStyle/>
              <a:p>
                <a:pPr>
                  <a:defRPr b="1">
                    <a:solidFill>
                      <a:schemeClr val="bg1"/>
                    </a:solidFill>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List2!$A$22:$A$27</c:f>
              <c:numCache>
                <c:formatCode>General</c:formatCode>
                <c:ptCount val="6"/>
                <c:pt idx="0">
                  <c:v>2016</c:v>
                </c:pt>
                <c:pt idx="1">
                  <c:v>2017</c:v>
                </c:pt>
                <c:pt idx="2">
                  <c:v>2018</c:v>
                </c:pt>
                <c:pt idx="3">
                  <c:v>2019</c:v>
                </c:pt>
                <c:pt idx="4">
                  <c:v>2020</c:v>
                </c:pt>
                <c:pt idx="5">
                  <c:v>2021</c:v>
                </c:pt>
              </c:numCache>
            </c:numRef>
          </c:cat>
          <c:val>
            <c:numRef>
              <c:f>List2!$B$22:$B$27</c:f>
              <c:numCache>
                <c:formatCode>General</c:formatCode>
                <c:ptCount val="6"/>
                <c:pt idx="0">
                  <c:v>5745</c:v>
                </c:pt>
                <c:pt idx="1">
                  <c:v>8292</c:v>
                </c:pt>
                <c:pt idx="2">
                  <c:v>10771</c:v>
                </c:pt>
                <c:pt idx="3">
                  <c:v>12455</c:v>
                </c:pt>
                <c:pt idx="4">
                  <c:v>13696</c:v>
                </c:pt>
                <c:pt idx="5">
                  <c:v>14893</c:v>
                </c:pt>
              </c:numCache>
            </c:numRef>
          </c:val>
          <c:extLst>
            <c:ext xmlns:c16="http://schemas.microsoft.com/office/drawing/2014/chart" uri="{C3380CC4-5D6E-409C-BE32-E72D297353CC}">
              <c16:uniqueId val="{00000000-CDA2-43FD-ABA4-58555735C98D}"/>
            </c:ext>
          </c:extLst>
        </c:ser>
        <c:dLbls>
          <c:showLegendKey val="0"/>
          <c:showVal val="0"/>
          <c:showCatName val="0"/>
          <c:showSerName val="0"/>
          <c:showPercent val="0"/>
          <c:showBubbleSize val="0"/>
        </c:dLbls>
        <c:gapWidth val="29"/>
        <c:overlap val="3"/>
        <c:axId val="133955584"/>
        <c:axId val="133957120"/>
      </c:barChart>
      <c:lineChart>
        <c:grouping val="standard"/>
        <c:varyColors val="0"/>
        <c:ser>
          <c:idx val="1"/>
          <c:order val="1"/>
          <c:tx>
            <c:strRef>
              <c:f>List2!$C$21</c:f>
              <c:strCache>
                <c:ptCount val="1"/>
                <c:pt idx="0">
                  <c:v>na 100 učitelů</c:v>
                </c:pt>
              </c:strCache>
            </c:strRef>
          </c:tx>
          <c:spPr>
            <a:ln>
              <a:solidFill>
                <a:schemeClr val="accent2">
                  <a:lumMod val="50000"/>
                </a:schemeClr>
              </a:solidFill>
            </a:ln>
          </c:spPr>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List2!$A$22:$A$27</c:f>
              <c:numCache>
                <c:formatCode>General</c:formatCode>
                <c:ptCount val="6"/>
                <c:pt idx="0">
                  <c:v>2016</c:v>
                </c:pt>
                <c:pt idx="1">
                  <c:v>2017</c:v>
                </c:pt>
                <c:pt idx="2">
                  <c:v>2018</c:v>
                </c:pt>
                <c:pt idx="3">
                  <c:v>2019</c:v>
                </c:pt>
                <c:pt idx="4">
                  <c:v>2020</c:v>
                </c:pt>
                <c:pt idx="5">
                  <c:v>2021</c:v>
                </c:pt>
              </c:numCache>
            </c:numRef>
          </c:cat>
          <c:val>
            <c:numRef>
              <c:f>List2!$C$22:$C$27</c:f>
              <c:numCache>
                <c:formatCode>General</c:formatCode>
                <c:ptCount val="6"/>
                <c:pt idx="0">
                  <c:v>9.3000000000000007</c:v>
                </c:pt>
                <c:pt idx="1">
                  <c:v>13.1</c:v>
                </c:pt>
                <c:pt idx="2">
                  <c:v>16.7</c:v>
                </c:pt>
                <c:pt idx="3">
                  <c:v>18.7</c:v>
                </c:pt>
                <c:pt idx="4">
                  <c:v>19.8</c:v>
                </c:pt>
                <c:pt idx="5">
                  <c:v>20.9</c:v>
                </c:pt>
              </c:numCache>
            </c:numRef>
          </c:val>
          <c:smooth val="0"/>
          <c:extLst>
            <c:ext xmlns:c16="http://schemas.microsoft.com/office/drawing/2014/chart" uri="{C3380CC4-5D6E-409C-BE32-E72D297353CC}">
              <c16:uniqueId val="{00000001-CDA2-43FD-ABA4-58555735C98D}"/>
            </c:ext>
          </c:extLst>
        </c:ser>
        <c:dLbls>
          <c:showLegendKey val="0"/>
          <c:showVal val="0"/>
          <c:showCatName val="0"/>
          <c:showSerName val="0"/>
          <c:showPercent val="0"/>
          <c:showBubbleSize val="0"/>
        </c:dLbls>
        <c:marker val="1"/>
        <c:smooth val="0"/>
        <c:axId val="133964544"/>
        <c:axId val="133958656"/>
      </c:lineChart>
      <c:catAx>
        <c:axId val="133955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3957120"/>
        <c:crosses val="autoZero"/>
        <c:auto val="1"/>
        <c:lblAlgn val="ctr"/>
        <c:lblOffset val="100"/>
        <c:noMultiLvlLbl val="0"/>
      </c:catAx>
      <c:valAx>
        <c:axId val="133957120"/>
        <c:scaling>
          <c:orientation val="minMax"/>
          <c:max val="18000"/>
          <c:min val="0"/>
        </c:scaling>
        <c:delete val="0"/>
        <c:axPos val="l"/>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33955584"/>
        <c:crosses val="autoZero"/>
        <c:crossBetween val="between"/>
      </c:valAx>
      <c:valAx>
        <c:axId val="133958656"/>
        <c:scaling>
          <c:orientation val="minMax"/>
          <c:max val="22"/>
        </c:scaling>
        <c:delete val="0"/>
        <c:axPos val="r"/>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33964544"/>
        <c:crosses val="max"/>
        <c:crossBetween val="between"/>
        <c:majorUnit val="5"/>
        <c:minorUnit val="1"/>
      </c:valAx>
      <c:catAx>
        <c:axId val="133964544"/>
        <c:scaling>
          <c:orientation val="minMax"/>
        </c:scaling>
        <c:delete val="1"/>
        <c:axPos val="b"/>
        <c:numFmt formatCode="General" sourceLinked="1"/>
        <c:majorTickMark val="none"/>
        <c:minorTickMark val="none"/>
        <c:tickLblPos val="none"/>
        <c:crossAx val="133958656"/>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Soukromé a církevní základní školy</a:t>
            </a:r>
            <a:endParaRPr lang="en-US" sz="800" b="1">
              <a:solidFill>
                <a:sysClr val="windowText" lastClr="000000"/>
              </a:solidFill>
            </a:endParaRPr>
          </a:p>
        </c:rich>
      </c:tx>
      <c:layout/>
      <c:overlay val="0"/>
      <c:spPr>
        <a:noFill/>
        <a:ln>
          <a:noFill/>
        </a:ln>
        <a:effectLst/>
      </c:spPr>
    </c:title>
    <c:autoTitleDeleted val="0"/>
    <c:plotArea>
      <c:layout>
        <c:manualLayout>
          <c:layoutTarget val="inner"/>
          <c:xMode val="edge"/>
          <c:yMode val="edge"/>
          <c:x val="3.2665181885671891E-2"/>
          <c:y val="0.20161608191460409"/>
          <c:w val="0.93466963622865828"/>
          <c:h val="0.56835635629053671"/>
        </c:manualLayout>
      </c:layout>
      <c:barChart>
        <c:barDir val="col"/>
        <c:grouping val="clustered"/>
        <c:varyColors val="0"/>
        <c:ser>
          <c:idx val="0"/>
          <c:order val="0"/>
          <c:tx>
            <c:strRef>
              <c:f>List2!$E$21</c:f>
              <c:strCache>
                <c:ptCount val="1"/>
                <c:pt idx="0">
                  <c:v>asistenti (prům. evidenční počet přepočtený)</c:v>
                </c:pt>
              </c:strCache>
            </c:strRef>
          </c:tx>
          <c:spPr>
            <a:solidFill>
              <a:srgbClr val="92D050"/>
            </a:solidFill>
          </c:spPr>
          <c:invertIfNegative val="0"/>
          <c:dLbls>
            <c:spPr>
              <a:noFill/>
              <a:ln>
                <a:noFill/>
              </a:ln>
              <a:effectLst/>
            </c:spPr>
            <c:txPr>
              <a:bodyPr wrap="square" lIns="38100" tIns="19050" rIns="38100" bIns="19050" anchor="ctr">
                <a:spAutoFit/>
              </a:bodyPr>
              <a:lstStyle/>
              <a:p>
                <a:pPr>
                  <a:defRPr b="1">
                    <a:solidFill>
                      <a:schemeClr val="bg1"/>
                    </a:solidFill>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List2!$D$22:$D$27</c:f>
              <c:numCache>
                <c:formatCode>General</c:formatCode>
                <c:ptCount val="6"/>
                <c:pt idx="0">
                  <c:v>2016</c:v>
                </c:pt>
                <c:pt idx="1">
                  <c:v>2017</c:v>
                </c:pt>
                <c:pt idx="2">
                  <c:v>2018</c:v>
                </c:pt>
                <c:pt idx="3">
                  <c:v>2019</c:v>
                </c:pt>
                <c:pt idx="4">
                  <c:v>2020</c:v>
                </c:pt>
                <c:pt idx="5">
                  <c:v>2021</c:v>
                </c:pt>
              </c:numCache>
            </c:numRef>
          </c:cat>
          <c:val>
            <c:numRef>
              <c:f>List2!$E$22:$E$27</c:f>
              <c:numCache>
                <c:formatCode>General</c:formatCode>
                <c:ptCount val="6"/>
                <c:pt idx="0">
                  <c:v>427</c:v>
                </c:pt>
                <c:pt idx="1">
                  <c:v>544</c:v>
                </c:pt>
                <c:pt idx="2">
                  <c:v>696</c:v>
                </c:pt>
                <c:pt idx="3">
                  <c:v>771</c:v>
                </c:pt>
                <c:pt idx="4">
                  <c:v>840</c:v>
                </c:pt>
                <c:pt idx="5" formatCode="#\ ##0.0_ ;[Red]\-#\ ##0.0\ ">
                  <c:v>900</c:v>
                </c:pt>
              </c:numCache>
            </c:numRef>
          </c:val>
          <c:extLst>
            <c:ext xmlns:c16="http://schemas.microsoft.com/office/drawing/2014/chart" uri="{C3380CC4-5D6E-409C-BE32-E72D297353CC}">
              <c16:uniqueId val="{00000000-5F6D-4C39-A4B4-8F29FEEC75B6}"/>
            </c:ext>
          </c:extLst>
        </c:ser>
        <c:dLbls>
          <c:showLegendKey val="0"/>
          <c:showVal val="0"/>
          <c:showCatName val="0"/>
          <c:showSerName val="0"/>
          <c:showPercent val="0"/>
          <c:showBubbleSize val="0"/>
        </c:dLbls>
        <c:gapWidth val="29"/>
        <c:overlap val="3"/>
        <c:axId val="134466560"/>
        <c:axId val="134476544"/>
      </c:barChart>
      <c:lineChart>
        <c:grouping val="standard"/>
        <c:varyColors val="0"/>
        <c:ser>
          <c:idx val="1"/>
          <c:order val="1"/>
          <c:tx>
            <c:strRef>
              <c:f>List2!$F$21</c:f>
              <c:strCache>
                <c:ptCount val="1"/>
                <c:pt idx="0">
                  <c:v>na 100 učitelů</c:v>
                </c:pt>
              </c:strCache>
            </c:strRef>
          </c:tx>
          <c:spPr>
            <a:ln>
              <a:solidFill>
                <a:srgbClr val="FFC000"/>
              </a:solidFill>
            </a:ln>
          </c:spPr>
          <c:marker>
            <c:symbol val="none"/>
          </c:marker>
          <c:dLbls>
            <c:numFmt formatCode="#,##0.0" sourceLinked="0"/>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List2!$D$22:$D$27</c:f>
              <c:numCache>
                <c:formatCode>General</c:formatCode>
                <c:ptCount val="6"/>
                <c:pt idx="0">
                  <c:v>2016</c:v>
                </c:pt>
                <c:pt idx="1">
                  <c:v>2017</c:v>
                </c:pt>
                <c:pt idx="2">
                  <c:v>2018</c:v>
                </c:pt>
                <c:pt idx="3">
                  <c:v>2019</c:v>
                </c:pt>
                <c:pt idx="4">
                  <c:v>2020</c:v>
                </c:pt>
                <c:pt idx="5">
                  <c:v>2021</c:v>
                </c:pt>
              </c:numCache>
            </c:numRef>
          </c:cat>
          <c:val>
            <c:numRef>
              <c:f>List2!$F$22:$F$27</c:f>
              <c:numCache>
                <c:formatCode>General</c:formatCode>
                <c:ptCount val="6"/>
                <c:pt idx="0">
                  <c:v>24.9</c:v>
                </c:pt>
                <c:pt idx="1">
                  <c:v>28.5</c:v>
                </c:pt>
                <c:pt idx="2">
                  <c:v>33</c:v>
                </c:pt>
                <c:pt idx="3">
                  <c:v>33.299999999999997</c:v>
                </c:pt>
                <c:pt idx="4">
                  <c:v>33</c:v>
                </c:pt>
                <c:pt idx="5" formatCode="0.0">
                  <c:v>31.345715448192525</c:v>
                </c:pt>
              </c:numCache>
            </c:numRef>
          </c:val>
          <c:smooth val="0"/>
          <c:extLst>
            <c:ext xmlns:c16="http://schemas.microsoft.com/office/drawing/2014/chart" uri="{C3380CC4-5D6E-409C-BE32-E72D297353CC}">
              <c16:uniqueId val="{00000001-5F6D-4C39-A4B4-8F29FEEC75B6}"/>
            </c:ext>
          </c:extLst>
        </c:ser>
        <c:dLbls>
          <c:showLegendKey val="0"/>
          <c:showVal val="0"/>
          <c:showCatName val="0"/>
          <c:showSerName val="0"/>
          <c:showPercent val="0"/>
          <c:showBubbleSize val="0"/>
        </c:dLbls>
        <c:marker val="1"/>
        <c:smooth val="0"/>
        <c:axId val="135143424"/>
        <c:axId val="134478080"/>
      </c:lineChart>
      <c:catAx>
        <c:axId val="13446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4476544"/>
        <c:crosses val="autoZero"/>
        <c:auto val="1"/>
        <c:lblAlgn val="ctr"/>
        <c:lblOffset val="100"/>
        <c:noMultiLvlLbl val="0"/>
      </c:catAx>
      <c:valAx>
        <c:axId val="134476544"/>
        <c:scaling>
          <c:orientation val="minMax"/>
          <c:max val="1000"/>
          <c:min val="0"/>
        </c:scaling>
        <c:delete val="0"/>
        <c:axPos val="l"/>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34466560"/>
        <c:crosses val="autoZero"/>
        <c:crossBetween val="between"/>
      </c:valAx>
      <c:valAx>
        <c:axId val="134478080"/>
        <c:scaling>
          <c:orientation val="minMax"/>
          <c:max val="34"/>
        </c:scaling>
        <c:delete val="0"/>
        <c:axPos val="r"/>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35143424"/>
        <c:crosses val="max"/>
        <c:crossBetween val="between"/>
        <c:majorUnit val="5"/>
        <c:minorUnit val="1"/>
      </c:valAx>
      <c:catAx>
        <c:axId val="135143424"/>
        <c:scaling>
          <c:orientation val="minMax"/>
        </c:scaling>
        <c:delete val="1"/>
        <c:axPos val="b"/>
        <c:numFmt formatCode="General" sourceLinked="1"/>
        <c:majorTickMark val="none"/>
        <c:minorTickMark val="none"/>
        <c:tickLblPos val="none"/>
        <c:crossAx val="134478080"/>
        <c:crosses val="autoZero"/>
        <c:auto val="1"/>
        <c:lblAlgn val="ctr"/>
        <c:lblOffset val="100"/>
        <c:noMultiLvlLbl val="0"/>
      </c:catAx>
      <c:spPr>
        <a:noFill/>
        <a:ln>
          <a:noFill/>
        </a:ln>
        <a:effectLst/>
      </c:spPr>
    </c:plotArea>
    <c:legend>
      <c:legendPos val="b"/>
      <c:layout>
        <c:manualLayout>
          <c:xMode val="edge"/>
          <c:yMode val="edge"/>
          <c:x val="0"/>
          <c:y val="0.85690953557736393"/>
          <c:w val="1"/>
          <c:h val="0.12799376069640564"/>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312566940494407E-2"/>
          <c:y val="3.7319762510602206E-2"/>
          <c:w val="0.97206296976911066"/>
          <c:h val="0.72902940567543562"/>
        </c:manualLayout>
      </c:layout>
      <c:barChart>
        <c:barDir val="col"/>
        <c:grouping val="stacked"/>
        <c:varyColors val="0"/>
        <c:ser>
          <c:idx val="0"/>
          <c:order val="0"/>
          <c:tx>
            <c:strRef>
              <c:f>'2.2.1'!$B$44</c:f>
              <c:strCache>
                <c:ptCount val="1"/>
                <c:pt idx="0">
                  <c:v>1. stupeň</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'2.2.1'!$A$45:$A$61</c:f>
              <c:strCache>
                <c:ptCount val="17"/>
                <c:pt idx="0">
                  <c:v>2005/06</c:v>
                </c:pt>
                <c:pt idx="1">
                  <c:v>2006/07</c:v>
                </c:pt>
                <c:pt idx="2">
                  <c:v>2007/08</c:v>
                </c:pt>
                <c:pt idx="3">
                  <c:v>2008/09</c:v>
                </c:pt>
                <c:pt idx="4">
                  <c:v>2009/10</c:v>
                </c:pt>
                <c:pt idx="5">
                  <c:v>2010/11</c:v>
                </c:pt>
                <c:pt idx="6">
                  <c:v>2011/12</c:v>
                </c:pt>
                <c:pt idx="7">
                  <c:v>2012/13</c:v>
                </c:pt>
                <c:pt idx="8">
                  <c:v>2013/14</c:v>
                </c:pt>
                <c:pt idx="9">
                  <c:v>2014/15</c:v>
                </c:pt>
                <c:pt idx="10">
                  <c:v>2015/16</c:v>
                </c:pt>
                <c:pt idx="11">
                  <c:v>2016/17</c:v>
                </c:pt>
                <c:pt idx="12">
                  <c:v>2017/18</c:v>
                </c:pt>
                <c:pt idx="13">
                  <c:v>2018/19</c:v>
                </c:pt>
                <c:pt idx="14">
                  <c:v>2019/20</c:v>
                </c:pt>
                <c:pt idx="15">
                  <c:v>2020/21</c:v>
                </c:pt>
                <c:pt idx="16">
                  <c:v>2021/22</c:v>
                </c:pt>
              </c:strCache>
            </c:strRef>
          </c:cat>
          <c:val>
            <c:numRef>
              <c:f>'2.2.1'!$B$45:$B$61</c:f>
              <c:numCache>
                <c:formatCode>#\ ##0.0_ ;\-#\ ##0.0\ </c:formatCode>
                <c:ptCount val="17"/>
                <c:pt idx="0">
                  <c:v>473.26900000000001</c:v>
                </c:pt>
                <c:pt idx="1">
                  <c:v>462.82</c:v>
                </c:pt>
                <c:pt idx="2">
                  <c:v>458.04599999999999</c:v>
                </c:pt>
                <c:pt idx="3">
                  <c:v>458.19799999999998</c:v>
                </c:pt>
                <c:pt idx="4">
                  <c:v>460.75400000000002</c:v>
                </c:pt>
                <c:pt idx="5">
                  <c:v>465.38</c:v>
                </c:pt>
                <c:pt idx="6">
                  <c:v>474.327</c:v>
                </c:pt>
                <c:pt idx="7">
                  <c:v>488.10599999999999</c:v>
                </c:pt>
                <c:pt idx="8">
                  <c:v>505.983</c:v>
                </c:pt>
                <c:pt idx="9">
                  <c:v>529.60400000000004</c:v>
                </c:pt>
                <c:pt idx="10">
                  <c:v>551.428</c:v>
                </c:pt>
                <c:pt idx="11">
                  <c:v>568.96600000000001</c:v>
                </c:pt>
                <c:pt idx="12">
                  <c:v>575.69899999999996</c:v>
                </c:pt>
                <c:pt idx="13">
                  <c:v>573.44200000000001</c:v>
                </c:pt>
                <c:pt idx="14">
                  <c:v>563.346</c:v>
                </c:pt>
                <c:pt idx="15">
                  <c:v>555.08900000000006</c:v>
                </c:pt>
                <c:pt idx="16">
                  <c:v>545.71100000000001</c:v>
                </c:pt>
              </c:numCache>
            </c:numRef>
          </c:val>
          <c:extLst>
            <c:ext xmlns:c16="http://schemas.microsoft.com/office/drawing/2014/chart" uri="{C3380CC4-5D6E-409C-BE32-E72D297353CC}">
              <c16:uniqueId val="{00000000-82B0-4AC1-80D4-67864270DD3F}"/>
            </c:ext>
          </c:extLst>
        </c:ser>
        <c:ser>
          <c:idx val="1"/>
          <c:order val="1"/>
          <c:tx>
            <c:strRef>
              <c:f>'2.2.1'!$C$44</c:f>
              <c:strCache>
                <c:ptCount val="1"/>
                <c:pt idx="0">
                  <c:v>2. stupeň ZŠ</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'2.2.1'!$A$45:$A$61</c:f>
              <c:strCache>
                <c:ptCount val="17"/>
                <c:pt idx="0">
                  <c:v>2005/06</c:v>
                </c:pt>
                <c:pt idx="1">
                  <c:v>2006/07</c:v>
                </c:pt>
                <c:pt idx="2">
                  <c:v>2007/08</c:v>
                </c:pt>
                <c:pt idx="3">
                  <c:v>2008/09</c:v>
                </c:pt>
                <c:pt idx="4">
                  <c:v>2009/10</c:v>
                </c:pt>
                <c:pt idx="5">
                  <c:v>2010/11</c:v>
                </c:pt>
                <c:pt idx="6">
                  <c:v>2011/12</c:v>
                </c:pt>
                <c:pt idx="7">
                  <c:v>2012/13</c:v>
                </c:pt>
                <c:pt idx="8">
                  <c:v>2013/14</c:v>
                </c:pt>
                <c:pt idx="9">
                  <c:v>2014/15</c:v>
                </c:pt>
                <c:pt idx="10">
                  <c:v>2015/16</c:v>
                </c:pt>
                <c:pt idx="11">
                  <c:v>2016/17</c:v>
                </c:pt>
                <c:pt idx="12">
                  <c:v>2017/18</c:v>
                </c:pt>
                <c:pt idx="13">
                  <c:v>2018/19</c:v>
                </c:pt>
                <c:pt idx="14">
                  <c:v>2019/20</c:v>
                </c:pt>
                <c:pt idx="15">
                  <c:v>2020/21</c:v>
                </c:pt>
                <c:pt idx="16">
                  <c:v>2021/22</c:v>
                </c:pt>
              </c:strCache>
            </c:strRef>
          </c:cat>
          <c:val>
            <c:numRef>
              <c:f>'2.2.1'!$C$45:$C$61</c:f>
              <c:numCache>
                <c:formatCode>#\ ##0.0_ ;\-#\ ##0.0\ </c:formatCode>
                <c:ptCount val="17"/>
                <c:pt idx="0">
                  <c:v>443.30599999999998</c:v>
                </c:pt>
                <c:pt idx="1">
                  <c:v>413.69299999999998</c:v>
                </c:pt>
                <c:pt idx="2">
                  <c:v>386.81700000000001</c:v>
                </c:pt>
                <c:pt idx="3">
                  <c:v>357.81700000000001</c:v>
                </c:pt>
                <c:pt idx="4">
                  <c:v>333.70499999999998</c:v>
                </c:pt>
                <c:pt idx="5">
                  <c:v>324.10599999999999</c:v>
                </c:pt>
                <c:pt idx="6">
                  <c:v>320.315</c:v>
                </c:pt>
                <c:pt idx="7">
                  <c:v>319.84399999999999</c:v>
                </c:pt>
                <c:pt idx="8">
                  <c:v>321.67099999999999</c:v>
                </c:pt>
                <c:pt idx="9">
                  <c:v>324.53300000000002</c:v>
                </c:pt>
                <c:pt idx="10">
                  <c:v>328.82299999999998</c:v>
                </c:pt>
                <c:pt idx="11">
                  <c:v>337.22199999999998</c:v>
                </c:pt>
                <c:pt idx="12">
                  <c:v>350.40899999999999</c:v>
                </c:pt>
                <c:pt idx="13">
                  <c:v>367.48599999999999</c:v>
                </c:pt>
                <c:pt idx="14">
                  <c:v>389.6</c:v>
                </c:pt>
                <c:pt idx="15">
                  <c:v>407.25900000000001</c:v>
                </c:pt>
                <c:pt idx="16">
                  <c:v>418.86</c:v>
                </c:pt>
              </c:numCache>
            </c:numRef>
          </c:val>
          <c:extLst>
            <c:ext xmlns:c16="http://schemas.microsoft.com/office/drawing/2014/chart" uri="{C3380CC4-5D6E-409C-BE32-E72D297353CC}">
              <c16:uniqueId val="{00000001-82B0-4AC1-80D4-67864270DD3F}"/>
            </c:ext>
          </c:extLst>
        </c:ser>
        <c:dLbls>
          <c:showLegendKey val="0"/>
          <c:showVal val="0"/>
          <c:showCatName val="0"/>
          <c:showSerName val="0"/>
          <c:showPercent val="0"/>
          <c:showBubbleSize val="0"/>
        </c:dLbls>
        <c:gapWidth val="27"/>
        <c:overlap val="100"/>
        <c:axId val="1973202383"/>
        <c:axId val="1973204879"/>
      </c:barChart>
      <c:scatterChart>
        <c:scatterStyle val="lineMarker"/>
        <c:varyColors val="0"/>
        <c:ser>
          <c:idx val="2"/>
          <c:order val="2"/>
          <c:tx>
            <c:strRef>
              <c:f>'2.2.1'!$D$44</c:f>
              <c:strCache>
                <c:ptCount val="1"/>
                <c:pt idx="0">
                  <c:v>ZŠ celkem</c:v>
                </c:pt>
              </c:strCache>
            </c:strRef>
          </c:tx>
          <c:spPr>
            <a:ln w="25400" cap="rnd">
              <a:no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strRef>
              <c:f>'2.2.1'!$A$45:$A$61</c:f>
              <c:strCache>
                <c:ptCount val="17"/>
                <c:pt idx="0">
                  <c:v>2005/06</c:v>
                </c:pt>
                <c:pt idx="1">
                  <c:v>2006/07</c:v>
                </c:pt>
                <c:pt idx="2">
                  <c:v>2007/08</c:v>
                </c:pt>
                <c:pt idx="3">
                  <c:v>2008/09</c:v>
                </c:pt>
                <c:pt idx="4">
                  <c:v>2009/10</c:v>
                </c:pt>
                <c:pt idx="5">
                  <c:v>2010/11</c:v>
                </c:pt>
                <c:pt idx="6">
                  <c:v>2011/12</c:v>
                </c:pt>
                <c:pt idx="7">
                  <c:v>2012/13</c:v>
                </c:pt>
                <c:pt idx="8">
                  <c:v>2013/14</c:v>
                </c:pt>
                <c:pt idx="9">
                  <c:v>2014/15</c:v>
                </c:pt>
                <c:pt idx="10">
                  <c:v>2015/16</c:v>
                </c:pt>
                <c:pt idx="11">
                  <c:v>2016/17</c:v>
                </c:pt>
                <c:pt idx="12">
                  <c:v>2017/18</c:v>
                </c:pt>
                <c:pt idx="13">
                  <c:v>2018/19</c:v>
                </c:pt>
                <c:pt idx="14">
                  <c:v>2019/20</c:v>
                </c:pt>
                <c:pt idx="15">
                  <c:v>2020/21</c:v>
                </c:pt>
                <c:pt idx="16">
                  <c:v>2021/22</c:v>
                </c:pt>
              </c:strCache>
            </c:strRef>
          </c:xVal>
          <c:yVal>
            <c:numRef>
              <c:f>'2.2.1'!$D$45:$D$61</c:f>
              <c:numCache>
                <c:formatCode>0.0</c:formatCode>
                <c:ptCount val="17"/>
                <c:pt idx="0">
                  <c:v>916.57500000000005</c:v>
                </c:pt>
                <c:pt idx="1">
                  <c:v>876.51300000000003</c:v>
                </c:pt>
                <c:pt idx="2">
                  <c:v>844.86300000000006</c:v>
                </c:pt>
                <c:pt idx="3">
                  <c:v>816.01499999999999</c:v>
                </c:pt>
                <c:pt idx="4">
                  <c:v>794.45899999999995</c:v>
                </c:pt>
                <c:pt idx="5">
                  <c:v>789.48599999999999</c:v>
                </c:pt>
                <c:pt idx="6">
                  <c:v>794.64200000000005</c:v>
                </c:pt>
                <c:pt idx="7">
                  <c:v>807.95</c:v>
                </c:pt>
                <c:pt idx="8">
                  <c:v>827.654</c:v>
                </c:pt>
                <c:pt idx="9">
                  <c:v>854.13699999999994</c:v>
                </c:pt>
                <c:pt idx="10">
                  <c:v>880.25099999999998</c:v>
                </c:pt>
                <c:pt idx="11">
                  <c:v>906.18799999999999</c:v>
                </c:pt>
                <c:pt idx="12">
                  <c:v>926.10799999999995</c:v>
                </c:pt>
                <c:pt idx="13">
                  <c:v>940.928</c:v>
                </c:pt>
                <c:pt idx="14">
                  <c:v>952.94600000000003</c:v>
                </c:pt>
                <c:pt idx="15">
                  <c:v>962.34799999999996</c:v>
                </c:pt>
                <c:pt idx="16">
                  <c:v>964.57100000000003</c:v>
                </c:pt>
              </c:numCache>
            </c:numRef>
          </c:yVal>
          <c:smooth val="0"/>
          <c:extLst>
            <c:ext xmlns:c16="http://schemas.microsoft.com/office/drawing/2014/chart" uri="{C3380CC4-5D6E-409C-BE32-E72D297353CC}">
              <c16:uniqueId val="{00000002-82B0-4AC1-80D4-67864270DD3F}"/>
            </c:ext>
          </c:extLst>
        </c:ser>
        <c:dLbls>
          <c:showLegendKey val="0"/>
          <c:showVal val="0"/>
          <c:showCatName val="0"/>
          <c:showSerName val="0"/>
          <c:showPercent val="0"/>
          <c:showBubbleSize val="0"/>
        </c:dLbls>
        <c:axId val="1973202383"/>
        <c:axId val="1973204879"/>
      </c:scatterChart>
      <c:catAx>
        <c:axId val="1973202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973204879"/>
        <c:crosses val="autoZero"/>
        <c:auto val="1"/>
        <c:lblAlgn val="ctr"/>
        <c:lblOffset val="100"/>
        <c:noMultiLvlLbl val="0"/>
      </c:catAx>
      <c:valAx>
        <c:axId val="1973204879"/>
        <c:scaling>
          <c:orientation val="minMax"/>
          <c:max val="1000"/>
        </c:scaling>
        <c:delete val="0"/>
        <c:axPos val="l"/>
        <c:numFmt formatCode="#\ ##0.0_ ;\-#\ ##0.0\ "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1973202383"/>
        <c:crosses val="autoZero"/>
        <c:crossBetween val="between"/>
      </c:valAx>
      <c:spPr>
        <a:noFill/>
        <a:ln>
          <a:noFill/>
        </a:ln>
        <a:effectLst/>
      </c:spPr>
    </c:plotArea>
    <c:legend>
      <c:legendPos val="b"/>
      <c:layout>
        <c:manualLayout>
          <c:xMode val="edge"/>
          <c:yMode val="edge"/>
          <c:x val="0.24865533902057635"/>
          <c:y val="0.92567575313840234"/>
          <c:w val="0.49231372536204299"/>
          <c:h val="6.5500068613197016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sz="900"/>
            </a:pPr>
            <a:r>
              <a:rPr lang="cs-CZ" sz="900"/>
              <a:t>na 1. stupni ZŠ (v tis.)</a:t>
            </a:r>
          </a:p>
        </c:rich>
      </c:tx>
      <c:layout>
        <c:manualLayout>
          <c:xMode val="edge"/>
          <c:yMode val="edge"/>
          <c:x val="0.29208299298580959"/>
          <c:y val="9.4095506939543636E-3"/>
        </c:manualLayout>
      </c:layout>
      <c:overlay val="0"/>
    </c:title>
    <c:autoTitleDeleted val="0"/>
    <c:plotArea>
      <c:layout>
        <c:manualLayout>
          <c:layoutTarget val="inner"/>
          <c:xMode val="edge"/>
          <c:yMode val="edge"/>
          <c:x val="0.10476587301587323"/>
          <c:y val="0.10181615442035871"/>
          <c:w val="0.81841369047619061"/>
          <c:h val="0.70860798983756923"/>
        </c:manualLayout>
      </c:layout>
      <c:barChart>
        <c:barDir val="col"/>
        <c:grouping val="clustered"/>
        <c:varyColors val="0"/>
        <c:ser>
          <c:idx val="0"/>
          <c:order val="0"/>
          <c:tx>
            <c:strRef>
              <c:f>List22!$B$17</c:f>
              <c:strCache>
                <c:ptCount val="1"/>
                <c:pt idx="0">
                  <c:v>1. stupeň</c:v>
                </c:pt>
              </c:strCache>
            </c:strRef>
          </c:tx>
          <c:spPr>
            <a:solidFill>
              <a:schemeClr val="accent5">
                <a:lumMod val="75000"/>
              </a:schemeClr>
            </a:solidFill>
            <a:ln>
              <a:noFill/>
            </a:ln>
            <a:effectLst/>
          </c:spPr>
          <c:invertIfNegative val="0"/>
          <c:dLbls>
            <c:numFmt formatCode="#,##0.0" sourceLinked="0"/>
            <c:spPr>
              <a:noFill/>
              <a:ln>
                <a:noFill/>
              </a:ln>
              <a:effectLst/>
            </c:spPr>
            <c:txPr>
              <a:bodyPr rot="-5400000" vert="horz" wrap="square" lIns="38100" tIns="19050" rIns="38100" bIns="19050" anchor="ctr">
                <a:spAutoFit/>
              </a:bodyPr>
              <a:lstStyle/>
              <a:p>
                <a:pPr>
                  <a:defRPr>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List22!$A$18:$A$28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List22!$B$18:$B$28</c:f>
              <c:numCache>
                <c:formatCode>General</c:formatCode>
                <c:ptCount val="11"/>
                <c:pt idx="0">
                  <c:v>474.327</c:v>
                </c:pt>
                <c:pt idx="1">
                  <c:v>488.10599999999999</c:v>
                </c:pt>
                <c:pt idx="2">
                  <c:v>505.983</c:v>
                </c:pt>
                <c:pt idx="3">
                  <c:v>529.60400000000004</c:v>
                </c:pt>
                <c:pt idx="4">
                  <c:v>551.428</c:v>
                </c:pt>
                <c:pt idx="5">
                  <c:v>568.96600000000001</c:v>
                </c:pt>
                <c:pt idx="6">
                  <c:v>575.69899999999996</c:v>
                </c:pt>
                <c:pt idx="7">
                  <c:v>573.44200000000001</c:v>
                </c:pt>
                <c:pt idx="8">
                  <c:v>563.346</c:v>
                </c:pt>
                <c:pt idx="9">
                  <c:v>555.08900000000006</c:v>
                </c:pt>
                <c:pt idx="10">
                  <c:v>545.71100000000001</c:v>
                </c:pt>
              </c:numCache>
            </c:numRef>
          </c:val>
          <c:extLst xmlns:c15="http://schemas.microsoft.com/office/drawing/2012/chart">
            <c:ext xmlns:c16="http://schemas.microsoft.com/office/drawing/2014/chart" uri="{C3380CC4-5D6E-409C-BE32-E72D297353CC}">
              <c16:uniqueId val="{00000000-83BE-4E3F-A08F-5363DD0B13DF}"/>
            </c:ext>
          </c:extLst>
        </c:ser>
        <c:dLbls>
          <c:showLegendKey val="0"/>
          <c:showVal val="0"/>
          <c:showCatName val="0"/>
          <c:showSerName val="0"/>
          <c:showPercent val="0"/>
          <c:showBubbleSize val="0"/>
        </c:dLbls>
        <c:gapWidth val="42"/>
        <c:overlap val="-15"/>
        <c:axId val="135444352"/>
        <c:axId val="135445888"/>
        <c:extLst/>
      </c:barChart>
      <c:catAx>
        <c:axId val="13544435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5445888"/>
        <c:crosses val="autoZero"/>
        <c:auto val="1"/>
        <c:lblAlgn val="ctr"/>
        <c:lblOffset val="100"/>
        <c:tickLblSkip val="1"/>
        <c:noMultiLvlLbl val="0"/>
      </c:catAx>
      <c:valAx>
        <c:axId val="135445888"/>
        <c:scaling>
          <c:orientation val="minMax"/>
          <c:max val="60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5444352"/>
        <c:crosses val="autoZero"/>
        <c:crossBetween val="between"/>
        <c:majorUnit val="100"/>
      </c:valAx>
      <c:spPr>
        <a:noFill/>
        <a:ln>
          <a:solidFill>
            <a:schemeClr val="bg1">
              <a:lumMod val="50000"/>
            </a:schemeClr>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a:pPr>
            <a:r>
              <a:rPr lang="cs-CZ"/>
              <a:t>na 2. stupni ZŠ (v tis.)</a:t>
            </a:r>
          </a:p>
        </c:rich>
      </c:tx>
      <c:layout>
        <c:manualLayout>
          <c:xMode val="edge"/>
          <c:yMode val="edge"/>
          <c:x val="0.28889109010627406"/>
          <c:y val="1.4120969639915274E-2"/>
        </c:manualLayout>
      </c:layout>
      <c:overlay val="0"/>
    </c:title>
    <c:autoTitleDeleted val="0"/>
    <c:plotArea>
      <c:layout>
        <c:manualLayout>
          <c:layoutTarget val="inner"/>
          <c:xMode val="edge"/>
          <c:yMode val="edge"/>
          <c:x val="0.11329449490455484"/>
          <c:y val="8.8233078671857465E-2"/>
          <c:w val="0.81841369047619061"/>
          <c:h val="0.73703765026474322"/>
        </c:manualLayout>
      </c:layout>
      <c:barChart>
        <c:barDir val="col"/>
        <c:grouping val="clustered"/>
        <c:varyColors val="0"/>
        <c:ser>
          <c:idx val="0"/>
          <c:order val="0"/>
          <c:spPr>
            <a:solidFill>
              <a:srgbClr val="C00000"/>
            </a:solidFill>
            <a:ln>
              <a:noFill/>
            </a:ln>
            <a:effectLst/>
          </c:spPr>
          <c:invertIfNegative val="0"/>
          <c:dLbls>
            <c:numFmt formatCode="#,##0.0" sourceLinked="0"/>
            <c:spPr>
              <a:noFill/>
              <a:ln>
                <a:noFill/>
              </a:ln>
              <a:effectLst/>
            </c:spPr>
            <c:txPr>
              <a:bodyPr rot="-5400000" vert="horz" wrap="square" lIns="38100" tIns="19050" rIns="38100" bIns="19050" anchor="ctr">
                <a:spAutoFit/>
              </a:bodyPr>
              <a:lstStyle/>
              <a:p>
                <a:pPr>
                  <a:defRPr>
                    <a:solidFill>
                      <a:schemeClr val="bg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List22!$A$31:$A$41</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List22!$B$31:$B$41</c:f>
              <c:numCache>
                <c:formatCode>General</c:formatCode>
                <c:ptCount val="11"/>
                <c:pt idx="0">
                  <c:v>320.315</c:v>
                </c:pt>
                <c:pt idx="1">
                  <c:v>319.84399999999999</c:v>
                </c:pt>
                <c:pt idx="2">
                  <c:v>321.67099999999999</c:v>
                </c:pt>
                <c:pt idx="3">
                  <c:v>324.53300000000002</c:v>
                </c:pt>
                <c:pt idx="4">
                  <c:v>328.82299999999998</c:v>
                </c:pt>
                <c:pt idx="5">
                  <c:v>337.22199999999998</c:v>
                </c:pt>
                <c:pt idx="6">
                  <c:v>350.40899999999999</c:v>
                </c:pt>
                <c:pt idx="7">
                  <c:v>367.48599999999999</c:v>
                </c:pt>
                <c:pt idx="8">
                  <c:v>389.6</c:v>
                </c:pt>
                <c:pt idx="9">
                  <c:v>407.25900000000001</c:v>
                </c:pt>
                <c:pt idx="10">
                  <c:v>418.86</c:v>
                </c:pt>
              </c:numCache>
            </c:numRef>
          </c:val>
          <c:extLst xmlns:c15="http://schemas.microsoft.com/office/drawing/2012/chart">
            <c:ext xmlns:c16="http://schemas.microsoft.com/office/drawing/2014/chart" uri="{C3380CC4-5D6E-409C-BE32-E72D297353CC}">
              <c16:uniqueId val="{00000000-D16A-4538-844A-60C73992CCEC}"/>
            </c:ext>
          </c:extLst>
        </c:ser>
        <c:dLbls>
          <c:showLegendKey val="0"/>
          <c:showVal val="0"/>
          <c:showCatName val="0"/>
          <c:showSerName val="0"/>
          <c:showPercent val="0"/>
          <c:showBubbleSize val="0"/>
        </c:dLbls>
        <c:gapWidth val="42"/>
        <c:overlap val="-15"/>
        <c:axId val="136534656"/>
        <c:axId val="136536448"/>
        <c:extLst/>
      </c:barChart>
      <c:catAx>
        <c:axId val="13653465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a:lstStyle/>
          <a:p>
            <a:pPr>
              <a:defRPr/>
            </a:pPr>
            <a:endParaRPr lang="cs-CZ"/>
          </a:p>
        </c:txPr>
        <c:crossAx val="136536448"/>
        <c:crosses val="autoZero"/>
        <c:auto val="1"/>
        <c:lblAlgn val="ctr"/>
        <c:lblOffset val="100"/>
        <c:tickLblSkip val="1"/>
        <c:noMultiLvlLbl val="0"/>
      </c:catAx>
      <c:valAx>
        <c:axId val="136536448"/>
        <c:scaling>
          <c:orientation val="minMax"/>
          <c:max val="45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vert="horz"/>
          <a:lstStyle/>
          <a:p>
            <a:pPr>
              <a:defRPr>
                <a:solidFill>
                  <a:sysClr val="windowText" lastClr="000000"/>
                </a:solidFill>
              </a:defRPr>
            </a:pPr>
            <a:endParaRPr lang="cs-CZ"/>
          </a:p>
        </c:txPr>
        <c:crossAx val="136534656"/>
        <c:crosses val="autoZero"/>
        <c:crossBetween val="between"/>
        <c:majorUnit val="100"/>
      </c:valAx>
      <c:spPr>
        <a:noFill/>
        <a:ln>
          <a:solidFill>
            <a:schemeClr val="bg1">
              <a:lumMod val="50000"/>
            </a:schemeClr>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640725017557228E-2"/>
          <c:y val="4.9498042252915105E-2"/>
          <c:w val="0.94568882251305542"/>
          <c:h val="0.87513687018630848"/>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2">
                  <a:lumMod val="50000"/>
                </a:schemeClr>
              </a:solidFill>
              <a:ln>
                <a:noFill/>
              </a:ln>
              <a:effectLst/>
            </c:spPr>
            <c:extLst>
              <c:ext xmlns:c16="http://schemas.microsoft.com/office/drawing/2014/chart" uri="{C3380CC4-5D6E-409C-BE32-E72D297353CC}">
                <c16:uniqueId val="{00000001-70C4-4524-9E1B-AF52501BB8A8}"/>
              </c:ext>
            </c:extLst>
          </c:dPt>
          <c:dPt>
            <c:idx val="5"/>
            <c:invertIfNegative val="0"/>
            <c:bubble3D val="0"/>
            <c:spPr>
              <a:solidFill>
                <a:schemeClr val="accent2">
                  <a:lumMod val="50000"/>
                </a:schemeClr>
              </a:solidFill>
              <a:ln>
                <a:noFill/>
              </a:ln>
              <a:effectLst/>
            </c:spPr>
            <c:extLst>
              <c:ext xmlns:c16="http://schemas.microsoft.com/office/drawing/2014/chart" uri="{C3380CC4-5D6E-409C-BE32-E72D297353CC}">
                <c16:uniqueId val="{00000003-70C4-4524-9E1B-AF52501BB8A8}"/>
              </c:ext>
            </c:extLst>
          </c:dPt>
          <c:dPt>
            <c:idx val="10"/>
            <c:invertIfNegative val="0"/>
            <c:bubble3D val="0"/>
            <c:spPr>
              <a:solidFill>
                <a:schemeClr val="accent2">
                  <a:lumMod val="50000"/>
                </a:schemeClr>
              </a:solidFill>
              <a:ln>
                <a:noFill/>
              </a:ln>
              <a:effectLst/>
            </c:spPr>
            <c:extLst>
              <c:ext xmlns:c16="http://schemas.microsoft.com/office/drawing/2014/chart" uri="{C3380CC4-5D6E-409C-BE32-E72D297353CC}">
                <c16:uniqueId val="{00000005-70C4-4524-9E1B-AF52501BB8A8}"/>
              </c:ext>
            </c:extLst>
          </c:dPt>
          <c:dPt>
            <c:idx val="15"/>
            <c:invertIfNegative val="0"/>
            <c:bubble3D val="0"/>
            <c:spPr>
              <a:solidFill>
                <a:schemeClr val="accent2">
                  <a:lumMod val="50000"/>
                </a:schemeClr>
              </a:solidFill>
              <a:ln>
                <a:noFill/>
              </a:ln>
              <a:effectLst/>
            </c:spPr>
            <c:extLst>
              <c:ext xmlns:c16="http://schemas.microsoft.com/office/drawing/2014/chart" uri="{C3380CC4-5D6E-409C-BE32-E72D297353CC}">
                <c16:uniqueId val="{00000007-70C4-4524-9E1B-AF52501BB8A8}"/>
              </c:ext>
            </c:extLst>
          </c:dPt>
          <c:dPt>
            <c:idx val="20"/>
            <c:invertIfNegative val="0"/>
            <c:bubble3D val="0"/>
            <c:spPr>
              <a:solidFill>
                <a:schemeClr val="accent2">
                  <a:lumMod val="50000"/>
                </a:schemeClr>
              </a:solidFill>
              <a:ln>
                <a:noFill/>
              </a:ln>
              <a:effectLst/>
            </c:spPr>
            <c:extLst>
              <c:ext xmlns:c16="http://schemas.microsoft.com/office/drawing/2014/chart" uri="{C3380CC4-5D6E-409C-BE32-E72D297353CC}">
                <c16:uniqueId val="{00000009-70C4-4524-9E1B-AF52501BB8A8}"/>
              </c:ext>
            </c:extLst>
          </c:dPt>
          <c:dLbls>
            <c:numFmt formatCode="#,##0" sourceLinked="0"/>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 v aplikaci Microsoft Word]List42'!$B$3:$B$24</c:f>
              <c:strCache>
                <c:ptCount val="22"/>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strCache>
            </c:strRef>
          </c:cat>
          <c:val>
            <c:numRef>
              <c:f>'[Graf v aplikaci Microsoft Word]List42'!$C$3:$C$24</c:f>
              <c:numCache>
                <c:formatCode>#\ ##0.0_ ;\-#\ ##0.0\ </c:formatCode>
                <c:ptCount val="22"/>
                <c:pt idx="0">
                  <c:v>286147</c:v>
                </c:pt>
                <c:pt idx="1">
                  <c:v>282642</c:v>
                </c:pt>
                <c:pt idx="2">
                  <c:v>284950</c:v>
                </c:pt>
                <c:pt idx="3">
                  <c:v>286340</c:v>
                </c:pt>
                <c:pt idx="4">
                  <c:v>286230</c:v>
                </c:pt>
                <c:pt idx="5">
                  <c:v>282183</c:v>
                </c:pt>
                <c:pt idx="6">
                  <c:v>285419</c:v>
                </c:pt>
                <c:pt idx="7">
                  <c:v>291194</c:v>
                </c:pt>
                <c:pt idx="8">
                  <c:v>301620</c:v>
                </c:pt>
                <c:pt idx="9">
                  <c:v>314008</c:v>
                </c:pt>
                <c:pt idx="10">
                  <c:v>328612</c:v>
                </c:pt>
                <c:pt idx="11">
                  <c:v>342521</c:v>
                </c:pt>
                <c:pt idx="12">
                  <c:v>354340</c:v>
                </c:pt>
                <c:pt idx="13">
                  <c:v>363568</c:v>
                </c:pt>
                <c:pt idx="14">
                  <c:v>367603</c:v>
                </c:pt>
                <c:pt idx="15">
                  <c:v>367361</c:v>
                </c:pt>
                <c:pt idx="16">
                  <c:v>362653</c:v>
                </c:pt>
                <c:pt idx="17">
                  <c:v>362756</c:v>
                </c:pt>
                <c:pt idx="18">
                  <c:v>363776</c:v>
                </c:pt>
                <c:pt idx="19">
                  <c:v>364909</c:v>
                </c:pt>
                <c:pt idx="20">
                  <c:v>357598</c:v>
                </c:pt>
                <c:pt idx="21">
                  <c:v>360490</c:v>
                </c:pt>
              </c:numCache>
            </c:numRef>
          </c:val>
          <c:extLst>
            <c:ext xmlns:c16="http://schemas.microsoft.com/office/drawing/2014/chart" uri="{C3380CC4-5D6E-409C-BE32-E72D297353CC}">
              <c16:uniqueId val="{0000000A-70C4-4524-9E1B-AF52501BB8A8}"/>
            </c:ext>
          </c:extLst>
        </c:ser>
        <c:dLbls>
          <c:showLegendKey val="0"/>
          <c:showVal val="0"/>
          <c:showCatName val="0"/>
          <c:showSerName val="0"/>
          <c:showPercent val="0"/>
          <c:showBubbleSize val="0"/>
        </c:dLbls>
        <c:gapWidth val="15"/>
        <c:overlap val="7"/>
        <c:axId val="460168160"/>
        <c:axId val="460164416"/>
      </c:barChart>
      <c:catAx>
        <c:axId val="460168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60164416"/>
        <c:crosses val="autoZero"/>
        <c:auto val="1"/>
        <c:lblAlgn val="ctr"/>
        <c:lblOffset val="100"/>
        <c:tickLblSkip val="5"/>
        <c:noMultiLvlLbl val="0"/>
      </c:catAx>
      <c:valAx>
        <c:axId val="460164416"/>
        <c:scaling>
          <c:orientation val="minMax"/>
          <c:max val="37000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one"/>
        <c:spPr>
          <a:noFill/>
          <a:ln>
            <a:noFill/>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60168160"/>
        <c:crosses val="autoZero"/>
        <c:crossBetween val="between"/>
        <c:majorUnit val="50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434986167269642E-2"/>
          <c:y val="3.3079198433529133E-2"/>
          <c:w val="0.91079023905795564"/>
          <c:h val="0.75130470609778444"/>
        </c:manualLayout>
      </c:layout>
      <c:barChart>
        <c:barDir val="col"/>
        <c:grouping val="clustered"/>
        <c:varyColors val="0"/>
        <c:ser>
          <c:idx val="0"/>
          <c:order val="0"/>
          <c:tx>
            <c:strRef>
              <c:f>'populace 2021'!$F$31</c:f>
              <c:strCache>
                <c:ptCount val="1"/>
                <c:pt idx="0">
                  <c:v>6 až 10 let</c:v>
                </c:pt>
              </c:strCache>
            </c:strRef>
          </c:tx>
          <c:spPr>
            <a:solidFill>
              <a:srgbClr val="C00000"/>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'populace 2021'!$G$30:$I$30</c:f>
              <c:numCache>
                <c:formatCode>General</c:formatCode>
                <c:ptCount val="3"/>
                <c:pt idx="0">
                  <c:v>2011</c:v>
                </c:pt>
                <c:pt idx="1">
                  <c:v>2016</c:v>
                </c:pt>
                <c:pt idx="2">
                  <c:v>2021</c:v>
                </c:pt>
              </c:numCache>
            </c:numRef>
          </c:cat>
          <c:val>
            <c:numRef>
              <c:f>'populace 2021'!$G$31:$I$31</c:f>
              <c:numCache>
                <c:formatCode>General</c:formatCode>
                <c:ptCount val="3"/>
                <c:pt idx="0">
                  <c:v>474.37700000000001</c:v>
                </c:pt>
                <c:pt idx="1">
                  <c:v>583.721</c:v>
                </c:pt>
                <c:pt idx="2">
                  <c:v>551.76800000000003</c:v>
                </c:pt>
              </c:numCache>
            </c:numRef>
          </c:val>
          <c:extLst>
            <c:ext xmlns:c16="http://schemas.microsoft.com/office/drawing/2014/chart" uri="{C3380CC4-5D6E-409C-BE32-E72D297353CC}">
              <c16:uniqueId val="{00000000-0751-4D56-AF64-ED6EE325BBAD}"/>
            </c:ext>
          </c:extLst>
        </c:ser>
        <c:ser>
          <c:idx val="1"/>
          <c:order val="1"/>
          <c:tx>
            <c:strRef>
              <c:f>'populace 2021'!$F$32</c:f>
              <c:strCache>
                <c:ptCount val="1"/>
                <c:pt idx="0">
                  <c:v>5 až 9 let</c:v>
                </c:pt>
              </c:strCache>
            </c:strRef>
          </c:tx>
          <c:spPr>
            <a:solidFill>
              <a:srgbClr val="FFFF66"/>
            </a:solidFill>
            <a:ln>
              <a:solidFill>
                <a:schemeClr val="bg2">
                  <a:lumMod val="75000"/>
                </a:schemeClr>
              </a:solidFill>
            </a:ln>
            <a:effectLst/>
          </c:spPr>
          <c:invertIfNegative val="0"/>
          <c:dPt>
            <c:idx val="2"/>
            <c:invertIfNegative val="0"/>
            <c:bubble3D val="0"/>
            <c:spPr>
              <a:solidFill>
                <a:srgbClr val="FFFF66"/>
              </a:solidFill>
              <a:ln w="12700">
                <a:solidFill>
                  <a:schemeClr val="bg2">
                    <a:lumMod val="75000"/>
                  </a:schemeClr>
                </a:solidFill>
              </a:ln>
              <a:effectLst/>
            </c:spPr>
            <c:extLst>
              <c:ext xmlns:c16="http://schemas.microsoft.com/office/drawing/2014/chart" uri="{C3380CC4-5D6E-409C-BE32-E72D297353CC}">
                <c16:uniqueId val="{00000000-9EE4-4D28-B976-0DA3D47269A4}"/>
              </c:ext>
            </c:extLst>
          </c:dPt>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'populace 2021'!$G$30:$I$30</c:f>
              <c:numCache>
                <c:formatCode>General</c:formatCode>
                <c:ptCount val="3"/>
                <c:pt idx="0">
                  <c:v>2011</c:v>
                </c:pt>
                <c:pt idx="1">
                  <c:v>2016</c:v>
                </c:pt>
                <c:pt idx="2">
                  <c:v>2021</c:v>
                </c:pt>
              </c:numCache>
            </c:numRef>
          </c:cat>
          <c:val>
            <c:numRef>
              <c:f>'populace 2021'!$G$32:$I$32</c:f>
              <c:numCache>
                <c:formatCode>General</c:formatCode>
                <c:ptCount val="3"/>
                <c:pt idx="0">
                  <c:v>488.93900000000002</c:v>
                </c:pt>
                <c:pt idx="1">
                  <c:v>592.47799999999995</c:v>
                </c:pt>
                <c:pt idx="2">
                  <c:v>550.44399999999996</c:v>
                </c:pt>
              </c:numCache>
            </c:numRef>
          </c:val>
          <c:extLst>
            <c:ext xmlns:c16="http://schemas.microsoft.com/office/drawing/2014/chart" uri="{C3380CC4-5D6E-409C-BE32-E72D297353CC}">
              <c16:uniqueId val="{00000001-0751-4D56-AF64-ED6EE325BBAD}"/>
            </c:ext>
          </c:extLst>
        </c:ser>
        <c:ser>
          <c:idx val="2"/>
          <c:order val="2"/>
          <c:tx>
            <c:strRef>
              <c:f>'populace 2021'!$F$33</c:f>
              <c:strCache>
                <c:ptCount val="1"/>
                <c:pt idx="0">
                  <c:v>4 až 8 let</c:v>
                </c:pt>
              </c:strCache>
            </c:strRef>
          </c:tx>
          <c:spPr>
            <a:solidFill>
              <a:srgbClr val="FFC000"/>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'populace 2021'!$G$30:$I$30</c:f>
              <c:numCache>
                <c:formatCode>General</c:formatCode>
                <c:ptCount val="3"/>
                <c:pt idx="0">
                  <c:v>2011</c:v>
                </c:pt>
                <c:pt idx="1">
                  <c:v>2016</c:v>
                </c:pt>
                <c:pt idx="2">
                  <c:v>2021</c:v>
                </c:pt>
              </c:numCache>
            </c:numRef>
          </c:cat>
          <c:val>
            <c:numRef>
              <c:f>'populace 2021'!$G$33:$I$33</c:f>
              <c:numCache>
                <c:formatCode>General</c:formatCode>
                <c:ptCount val="3"/>
                <c:pt idx="0">
                  <c:v>510.04399999999998</c:v>
                </c:pt>
                <c:pt idx="1">
                  <c:v>588.53899999999999</c:v>
                </c:pt>
                <c:pt idx="2">
                  <c:v>554.47799999999995</c:v>
                </c:pt>
              </c:numCache>
            </c:numRef>
          </c:val>
          <c:extLst>
            <c:ext xmlns:c16="http://schemas.microsoft.com/office/drawing/2014/chart" uri="{C3380CC4-5D6E-409C-BE32-E72D297353CC}">
              <c16:uniqueId val="{00000002-0751-4D56-AF64-ED6EE325BBAD}"/>
            </c:ext>
          </c:extLst>
        </c:ser>
        <c:ser>
          <c:idx val="3"/>
          <c:order val="3"/>
          <c:tx>
            <c:strRef>
              <c:f>'populace 2021'!$F$34</c:f>
              <c:strCache>
                <c:ptCount val="1"/>
                <c:pt idx="0">
                  <c:v>3 až 7 let</c:v>
                </c:pt>
              </c:strCache>
            </c:strRef>
          </c:tx>
          <c:spPr>
            <a:solidFill>
              <a:srgbClr val="D39D17"/>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'populace 2021'!$G$30:$I$30</c:f>
              <c:numCache>
                <c:formatCode>General</c:formatCode>
                <c:ptCount val="3"/>
                <c:pt idx="0">
                  <c:v>2011</c:v>
                </c:pt>
                <c:pt idx="1">
                  <c:v>2016</c:v>
                </c:pt>
                <c:pt idx="2">
                  <c:v>2021</c:v>
                </c:pt>
              </c:numCache>
            </c:numRef>
          </c:cat>
          <c:val>
            <c:numRef>
              <c:f>'populace 2021'!$G$34:$I$34</c:f>
              <c:numCache>
                <c:formatCode>General</c:formatCode>
                <c:ptCount val="3"/>
                <c:pt idx="0">
                  <c:v>536.66899999999998</c:v>
                </c:pt>
                <c:pt idx="1">
                  <c:v>577.13699999999994</c:v>
                </c:pt>
                <c:pt idx="2">
                  <c:v>559.44500000000005</c:v>
                </c:pt>
              </c:numCache>
            </c:numRef>
          </c:val>
          <c:extLst>
            <c:ext xmlns:c16="http://schemas.microsoft.com/office/drawing/2014/chart" uri="{C3380CC4-5D6E-409C-BE32-E72D297353CC}">
              <c16:uniqueId val="{00000003-0751-4D56-AF64-ED6EE325BBAD}"/>
            </c:ext>
          </c:extLst>
        </c:ser>
        <c:ser>
          <c:idx val="4"/>
          <c:order val="4"/>
          <c:tx>
            <c:strRef>
              <c:f>'populace 2021'!$F$35</c:f>
              <c:strCache>
                <c:ptCount val="1"/>
                <c:pt idx="0">
                  <c:v>2 až 6 let</c:v>
                </c:pt>
              </c:strCache>
            </c:strRef>
          </c:tx>
          <c:spPr>
            <a:solidFill>
              <a:srgbClr val="92D050"/>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'populace 2021'!$G$30:$I$30</c:f>
              <c:numCache>
                <c:formatCode>General</c:formatCode>
                <c:ptCount val="3"/>
                <c:pt idx="0">
                  <c:v>2011</c:v>
                </c:pt>
                <c:pt idx="1">
                  <c:v>2016</c:v>
                </c:pt>
                <c:pt idx="2">
                  <c:v>2021</c:v>
                </c:pt>
              </c:numCache>
            </c:numRef>
          </c:cat>
          <c:val>
            <c:numRef>
              <c:f>'populace 2021'!$G$35:$I$35</c:f>
              <c:numCache>
                <c:formatCode>General</c:formatCode>
                <c:ptCount val="3"/>
                <c:pt idx="0">
                  <c:v>562.53599999999994</c:v>
                </c:pt>
                <c:pt idx="1">
                  <c:v>564.90300000000002</c:v>
                </c:pt>
                <c:pt idx="2">
                  <c:v>562.34699999999998</c:v>
                </c:pt>
              </c:numCache>
            </c:numRef>
          </c:val>
          <c:extLst>
            <c:ext xmlns:c16="http://schemas.microsoft.com/office/drawing/2014/chart" uri="{C3380CC4-5D6E-409C-BE32-E72D297353CC}">
              <c16:uniqueId val="{00000004-0751-4D56-AF64-ED6EE325BBAD}"/>
            </c:ext>
          </c:extLst>
        </c:ser>
        <c:ser>
          <c:idx val="5"/>
          <c:order val="5"/>
          <c:tx>
            <c:strRef>
              <c:f>'populace 2021'!$F$36</c:f>
              <c:strCache>
                <c:ptCount val="1"/>
                <c:pt idx="0">
                  <c:v>1 až 5 let</c:v>
                </c:pt>
              </c:strCache>
            </c:strRef>
          </c:tx>
          <c:spPr>
            <a:solidFill>
              <a:srgbClr val="68A042"/>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'populace 2021'!$G$30:$I$30</c:f>
              <c:numCache>
                <c:formatCode>General</c:formatCode>
                <c:ptCount val="3"/>
                <c:pt idx="0">
                  <c:v>2011</c:v>
                </c:pt>
                <c:pt idx="1">
                  <c:v>2016</c:v>
                </c:pt>
                <c:pt idx="2">
                  <c:v>2021</c:v>
                </c:pt>
              </c:numCache>
            </c:numRef>
          </c:cat>
          <c:val>
            <c:numRef>
              <c:f>'populace 2021'!$G$36:$I$36</c:f>
              <c:numCache>
                <c:formatCode>General</c:formatCode>
                <c:ptCount val="3"/>
                <c:pt idx="0">
                  <c:v>582.17200000000003</c:v>
                </c:pt>
                <c:pt idx="1">
                  <c:v>555.61300000000006</c:v>
                </c:pt>
                <c:pt idx="2">
                  <c:v>560.83399999999995</c:v>
                </c:pt>
              </c:numCache>
            </c:numRef>
          </c:val>
          <c:extLst>
            <c:ext xmlns:c16="http://schemas.microsoft.com/office/drawing/2014/chart" uri="{C3380CC4-5D6E-409C-BE32-E72D297353CC}">
              <c16:uniqueId val="{00000005-0751-4D56-AF64-ED6EE325BBAD}"/>
            </c:ext>
          </c:extLst>
        </c:ser>
        <c:dLbls>
          <c:showLegendKey val="0"/>
          <c:showVal val="0"/>
          <c:showCatName val="0"/>
          <c:showSerName val="0"/>
          <c:showPercent val="0"/>
          <c:showBubbleSize val="0"/>
        </c:dLbls>
        <c:gapWidth val="104"/>
        <c:overlap val="-14"/>
        <c:axId val="1751701248"/>
        <c:axId val="1751708320"/>
      </c:barChart>
      <c:catAx>
        <c:axId val="175170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751708320"/>
        <c:crosses val="autoZero"/>
        <c:auto val="1"/>
        <c:lblAlgn val="ctr"/>
        <c:lblOffset val="100"/>
        <c:noMultiLvlLbl val="0"/>
      </c:catAx>
      <c:valAx>
        <c:axId val="1751708320"/>
        <c:scaling>
          <c:orientation val="minMax"/>
          <c:max val="600"/>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cs-CZ" sz="800">
                    <a:solidFill>
                      <a:sysClr val="windowText" lastClr="000000"/>
                    </a:solidFill>
                    <a:latin typeface="Arial" panose="020B0604020202020204" pitchFamily="34" charset="0"/>
                    <a:cs typeface="Arial" panose="020B0604020202020204" pitchFamily="34" charset="0"/>
                  </a:rPr>
                  <a:t>tis</a:t>
                </a:r>
                <a:r>
                  <a:rPr lang="cs-CZ">
                    <a:solidFill>
                      <a:sysClr val="windowText" lastClr="000000"/>
                    </a:solidFill>
                    <a:latin typeface="Arial" panose="020B0604020202020204" pitchFamily="34" charset="0"/>
                    <a:cs typeface="Arial" panose="020B0604020202020204" pitchFamily="34" charset="0"/>
                  </a:rPr>
                  <a:t>.</a:t>
                </a:r>
              </a:p>
            </c:rich>
          </c:tx>
          <c:layout>
            <c:manualLayout>
              <c:xMode val="edge"/>
              <c:yMode val="edge"/>
              <c:x val="1.1261261261261261E-2"/>
              <c:y val="0.86009979857169028"/>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751701248"/>
        <c:crosses val="autoZero"/>
        <c:crossBetween val="between"/>
      </c:valAx>
      <c:spPr>
        <a:noFill/>
        <a:ln>
          <a:noFill/>
        </a:ln>
        <a:effectLst/>
      </c:spPr>
    </c:plotArea>
    <c:legend>
      <c:legendPos val="b"/>
      <c:layout>
        <c:manualLayout>
          <c:xMode val="edge"/>
          <c:yMode val="edge"/>
          <c:x val="7.6524969851741509E-2"/>
          <c:y val="0.88386493354997298"/>
          <c:w val="0.87848141448535166"/>
          <c:h val="8.438903470399533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6046695495030337E-2"/>
          <c:y val="0.16732308216991834"/>
          <c:w val="0.93688024396540592"/>
          <c:h val="0.74939591742276246"/>
        </c:manualLayout>
      </c:layout>
      <c:barChart>
        <c:barDir val="col"/>
        <c:grouping val="clustered"/>
        <c:varyColors val="0"/>
        <c:ser>
          <c:idx val="0"/>
          <c:order val="0"/>
          <c:tx>
            <c:strRef>
              <c:f>'populace 2021'!$K$70</c:f>
              <c:strCache>
                <c:ptCount val="1"/>
                <c:pt idx="0">
                  <c:v>11 až 14 let</c:v>
                </c:pt>
              </c:strCache>
            </c:strRef>
          </c:tx>
          <c:spPr>
            <a:solidFill>
              <a:schemeClr val="accent6">
                <a:lumMod val="7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'populace 2021'!$L$69:$N$69</c:f>
              <c:numCache>
                <c:formatCode>General</c:formatCode>
                <c:ptCount val="3"/>
                <c:pt idx="0">
                  <c:v>2011</c:v>
                </c:pt>
                <c:pt idx="1">
                  <c:v>2016</c:v>
                </c:pt>
                <c:pt idx="2">
                  <c:v>2021</c:v>
                </c:pt>
              </c:numCache>
            </c:numRef>
          </c:cat>
          <c:val>
            <c:numRef>
              <c:f>'populace 2021'!$L$70:$N$70</c:f>
              <c:numCache>
                <c:formatCode>0.0</c:formatCode>
                <c:ptCount val="3"/>
                <c:pt idx="0">
                  <c:v>361.34</c:v>
                </c:pt>
                <c:pt idx="1">
                  <c:v>384.34800000000001</c:v>
                </c:pt>
                <c:pt idx="2">
                  <c:v>466.334</c:v>
                </c:pt>
              </c:numCache>
            </c:numRef>
          </c:val>
          <c:extLst>
            <c:ext xmlns:c16="http://schemas.microsoft.com/office/drawing/2014/chart" uri="{C3380CC4-5D6E-409C-BE32-E72D297353CC}">
              <c16:uniqueId val="{00000000-B2F0-4680-BB57-B79422D51746}"/>
            </c:ext>
          </c:extLst>
        </c:ser>
        <c:ser>
          <c:idx val="1"/>
          <c:order val="1"/>
          <c:tx>
            <c:strRef>
              <c:f>'populace 2021'!$K$71</c:f>
              <c:strCache>
                <c:ptCount val="1"/>
                <c:pt idx="0">
                  <c:v>10 až 13 let</c:v>
                </c:pt>
              </c:strCache>
            </c:strRef>
          </c:tx>
          <c:spPr>
            <a:solidFill>
              <a:srgbClr val="24538C"/>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'populace 2021'!$L$69:$N$69</c:f>
              <c:numCache>
                <c:formatCode>General</c:formatCode>
                <c:ptCount val="3"/>
                <c:pt idx="0">
                  <c:v>2011</c:v>
                </c:pt>
                <c:pt idx="1">
                  <c:v>2016</c:v>
                </c:pt>
                <c:pt idx="2">
                  <c:v>2021</c:v>
                </c:pt>
              </c:numCache>
            </c:numRef>
          </c:cat>
          <c:val>
            <c:numRef>
              <c:f>'populace 2021'!$L$71:$N$71</c:f>
              <c:numCache>
                <c:formatCode>0.0</c:formatCode>
                <c:ptCount val="3"/>
                <c:pt idx="0">
                  <c:v>361.66899999999998</c:v>
                </c:pt>
                <c:pt idx="1">
                  <c:v>397.59300000000002</c:v>
                </c:pt>
                <c:pt idx="2">
                  <c:v>468.702</c:v>
                </c:pt>
              </c:numCache>
            </c:numRef>
          </c:val>
          <c:extLst>
            <c:ext xmlns:c16="http://schemas.microsoft.com/office/drawing/2014/chart" uri="{C3380CC4-5D6E-409C-BE32-E72D297353CC}">
              <c16:uniqueId val="{00000001-B2F0-4680-BB57-B79422D51746}"/>
            </c:ext>
          </c:extLst>
        </c:ser>
        <c:ser>
          <c:idx val="2"/>
          <c:order val="2"/>
          <c:tx>
            <c:strRef>
              <c:f>'populace 2021'!$K$72</c:f>
              <c:strCache>
                <c:ptCount val="1"/>
                <c:pt idx="0">
                  <c:v>9 až 12 let</c:v>
                </c:pt>
              </c:strCache>
            </c:strRef>
          </c:tx>
          <c:spPr>
            <a:solidFill>
              <a:srgbClr val="3176C9"/>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'populace 2021'!$L$69:$N$69</c:f>
              <c:numCache>
                <c:formatCode>General</c:formatCode>
                <c:ptCount val="3"/>
                <c:pt idx="0">
                  <c:v>2011</c:v>
                </c:pt>
                <c:pt idx="1">
                  <c:v>2016</c:v>
                </c:pt>
                <c:pt idx="2">
                  <c:v>2021</c:v>
                </c:pt>
              </c:numCache>
            </c:numRef>
          </c:cat>
          <c:val>
            <c:numRef>
              <c:f>'populace 2021'!$L$72:$N$72</c:f>
              <c:numCache>
                <c:formatCode>0.0</c:formatCode>
                <c:ptCount val="3"/>
                <c:pt idx="0">
                  <c:v>363.65100000000001</c:v>
                </c:pt>
                <c:pt idx="1">
                  <c:v>417.16500000000002</c:v>
                </c:pt>
                <c:pt idx="2">
                  <c:v>460.51600000000002</c:v>
                </c:pt>
              </c:numCache>
            </c:numRef>
          </c:val>
          <c:extLst>
            <c:ext xmlns:c16="http://schemas.microsoft.com/office/drawing/2014/chart" uri="{C3380CC4-5D6E-409C-BE32-E72D297353CC}">
              <c16:uniqueId val="{00000002-B2F0-4680-BB57-B79422D51746}"/>
            </c:ext>
          </c:extLst>
        </c:ser>
        <c:ser>
          <c:idx val="3"/>
          <c:order val="3"/>
          <c:tx>
            <c:strRef>
              <c:f>'populace 2021'!$K$73</c:f>
              <c:strCache>
                <c:ptCount val="1"/>
                <c:pt idx="0">
                  <c:v>8 až 11 let</c:v>
                </c:pt>
              </c:strCache>
            </c:strRef>
          </c:tx>
          <c:spPr>
            <a:solidFill>
              <a:schemeClr val="tx2">
                <a:lumMod val="40000"/>
                <a:lumOff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'populace 2021'!$L$69:$N$69</c:f>
              <c:numCache>
                <c:formatCode>General</c:formatCode>
                <c:ptCount val="3"/>
                <c:pt idx="0">
                  <c:v>2011</c:v>
                </c:pt>
                <c:pt idx="1">
                  <c:v>2016</c:v>
                </c:pt>
                <c:pt idx="2">
                  <c:v>2021</c:v>
                </c:pt>
              </c:numCache>
            </c:numRef>
          </c:cat>
          <c:val>
            <c:numRef>
              <c:f>'populace 2021'!$L$73:$N$73</c:f>
              <c:numCache>
                <c:formatCode>0.0</c:formatCode>
                <c:ptCount val="3"/>
                <c:pt idx="0">
                  <c:v>367.68099999999998</c:v>
                </c:pt>
                <c:pt idx="1">
                  <c:v>441.44499999999999</c:v>
                </c:pt>
                <c:pt idx="2">
                  <c:v>449.863</c:v>
                </c:pt>
              </c:numCache>
            </c:numRef>
          </c:val>
          <c:extLst>
            <c:ext xmlns:c16="http://schemas.microsoft.com/office/drawing/2014/chart" uri="{C3380CC4-5D6E-409C-BE32-E72D297353CC}">
              <c16:uniqueId val="{00000003-B2F0-4680-BB57-B79422D51746}"/>
            </c:ext>
          </c:extLst>
        </c:ser>
        <c:ser>
          <c:idx val="4"/>
          <c:order val="4"/>
          <c:tx>
            <c:strRef>
              <c:f>'populace 2021'!$K$74</c:f>
              <c:strCache>
                <c:ptCount val="1"/>
                <c:pt idx="0">
                  <c:v>7 až 10 let</c:v>
                </c:pt>
              </c:strCache>
            </c:strRef>
          </c:tx>
          <c:spPr>
            <a:solidFill>
              <a:srgbClr val="44546A">
                <a:lumMod val="20000"/>
                <a:lumOff val="80000"/>
              </a:srgbClr>
            </a:solidFill>
            <a:ln w="12700">
              <a:solidFill>
                <a:srgbClr val="7288A6"/>
              </a:solid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'populace 2021'!$L$69:$N$69</c:f>
              <c:numCache>
                <c:formatCode>General</c:formatCode>
                <c:ptCount val="3"/>
                <c:pt idx="0">
                  <c:v>2011</c:v>
                </c:pt>
                <c:pt idx="1">
                  <c:v>2016</c:v>
                </c:pt>
                <c:pt idx="2">
                  <c:v>2021</c:v>
                </c:pt>
              </c:numCache>
            </c:numRef>
          </c:cat>
          <c:val>
            <c:numRef>
              <c:f>'populace 2021'!$L$74:$N$74</c:f>
              <c:numCache>
                <c:formatCode>0.0</c:formatCode>
                <c:ptCount val="3"/>
                <c:pt idx="0">
                  <c:v>373.798</c:v>
                </c:pt>
                <c:pt idx="1">
                  <c:v>462.97199999999998</c:v>
                </c:pt>
                <c:pt idx="2">
                  <c:v>440.94600000000003</c:v>
                </c:pt>
              </c:numCache>
            </c:numRef>
          </c:val>
          <c:extLst>
            <c:ext xmlns:c16="http://schemas.microsoft.com/office/drawing/2014/chart" uri="{C3380CC4-5D6E-409C-BE32-E72D297353CC}">
              <c16:uniqueId val="{00000004-B2F0-4680-BB57-B79422D51746}"/>
            </c:ext>
          </c:extLst>
        </c:ser>
        <c:dLbls>
          <c:showLegendKey val="0"/>
          <c:showVal val="0"/>
          <c:showCatName val="0"/>
          <c:showSerName val="0"/>
          <c:showPercent val="0"/>
          <c:showBubbleSize val="0"/>
        </c:dLbls>
        <c:gapWidth val="219"/>
        <c:overlap val="-27"/>
        <c:axId val="2057265039"/>
        <c:axId val="2057265455"/>
      </c:barChart>
      <c:catAx>
        <c:axId val="20572650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057265455"/>
        <c:crosses val="autoZero"/>
        <c:auto val="1"/>
        <c:lblAlgn val="ctr"/>
        <c:lblOffset val="100"/>
        <c:noMultiLvlLbl val="0"/>
      </c:catAx>
      <c:valAx>
        <c:axId val="20572654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r>
                  <a:rPr lang="cs-CZ" sz="800" b="1" dirty="0">
                    <a:solidFill>
                      <a:sysClr val="windowText" lastClr="000000"/>
                    </a:solidFill>
                    <a:latin typeface="Arial" panose="020B0604020202020204" pitchFamily="34" charset="0"/>
                    <a:cs typeface="Arial" panose="020B0604020202020204" pitchFamily="34" charset="0"/>
                  </a:rPr>
                  <a:t>tis.</a:t>
                </a:r>
              </a:p>
            </c:rich>
          </c:tx>
          <c:layout>
            <c:manualLayout>
              <c:xMode val="edge"/>
              <c:yMode val="edge"/>
              <c:x val="6.4925091460475513E-3"/>
              <c:y val="4.0491321983961492E-2"/>
            </c:manualLayout>
          </c:layout>
          <c:overlay val="0"/>
          <c:spPr>
            <a:noFill/>
            <a:ln>
              <a:noFill/>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057265039"/>
        <c:crosses val="autoZero"/>
        <c:crossBetween val="between"/>
      </c:valAx>
      <c:spPr>
        <a:noFill/>
        <a:ln>
          <a:noFill/>
        </a:ln>
        <a:effectLst/>
      </c:spPr>
    </c:plotArea>
    <c:legend>
      <c:legendPos val="b"/>
      <c:layout>
        <c:manualLayout>
          <c:xMode val="edge"/>
          <c:yMode val="edge"/>
          <c:x val="0.17122463084934469"/>
          <c:y val="3.1012543255505193E-2"/>
          <c:w val="0.58569704401703881"/>
          <c:h val="8.351949677176429E-2"/>
        </c:manualLayout>
      </c:layout>
      <c:overlay val="0"/>
      <c:spPr>
        <a:noFill/>
        <a:ln>
          <a:solidFill>
            <a:sysClr val="window" lastClr="FFFFFF">
              <a:lumMod val="75000"/>
            </a:sysClr>
          </a:solid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Celkem a na veřejných ZŠ</a:t>
            </a:r>
            <a:endParaRPr lang="en-US" sz="800" b="1">
              <a:solidFill>
                <a:sysClr val="windowText" lastClr="000000"/>
              </a:solidFill>
            </a:endParaRPr>
          </a:p>
        </c:rich>
      </c:tx>
      <c:layout/>
      <c:overlay val="0"/>
      <c:spPr>
        <a:noFill/>
        <a:ln>
          <a:noFill/>
        </a:ln>
        <a:effectLst/>
      </c:spPr>
    </c:title>
    <c:autoTitleDeleted val="0"/>
    <c:plotArea>
      <c:layout>
        <c:manualLayout>
          <c:layoutTarget val="inner"/>
          <c:xMode val="edge"/>
          <c:yMode val="edge"/>
          <c:x val="3.884514435695538E-2"/>
          <c:y val="0.1287420138888889"/>
          <c:w val="0.92230971128608918"/>
          <c:h val="0.68998645833333361"/>
        </c:manualLayout>
      </c:layout>
      <c:barChart>
        <c:barDir val="col"/>
        <c:grouping val="clustered"/>
        <c:varyColors val="0"/>
        <c:ser>
          <c:idx val="0"/>
          <c:order val="0"/>
          <c:tx>
            <c:strRef>
              <c:f>List29!$B$16</c:f>
              <c:strCache>
                <c:ptCount val="1"/>
                <c:pt idx="0">
                  <c:v>na ZŠ celkem</c:v>
                </c:pt>
              </c:strCache>
            </c:strRef>
          </c:tx>
          <c:spPr>
            <a:solidFill>
              <a:srgbClr val="0070C0"/>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List29!$A$17:$A$27</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List29!$B$17:$B$27</c:f>
              <c:numCache>
                <c:formatCode>General</c:formatCode>
                <c:ptCount val="11"/>
                <c:pt idx="0">
                  <c:v>794.64200000000005</c:v>
                </c:pt>
                <c:pt idx="1">
                  <c:v>807.95</c:v>
                </c:pt>
                <c:pt idx="2">
                  <c:v>827.654</c:v>
                </c:pt>
                <c:pt idx="3">
                  <c:v>854.13699999999994</c:v>
                </c:pt>
                <c:pt idx="4">
                  <c:v>880.25099999999998</c:v>
                </c:pt>
                <c:pt idx="5">
                  <c:v>906.18799999999999</c:v>
                </c:pt>
                <c:pt idx="6">
                  <c:v>926.10799999999995</c:v>
                </c:pt>
                <c:pt idx="7">
                  <c:v>940.928</c:v>
                </c:pt>
                <c:pt idx="8">
                  <c:v>952.94600000000003</c:v>
                </c:pt>
                <c:pt idx="9">
                  <c:v>962.34799999999996</c:v>
                </c:pt>
                <c:pt idx="10">
                  <c:v>964.57100000000003</c:v>
                </c:pt>
              </c:numCache>
            </c:numRef>
          </c:val>
          <c:extLst>
            <c:ext xmlns:c16="http://schemas.microsoft.com/office/drawing/2014/chart" uri="{C3380CC4-5D6E-409C-BE32-E72D297353CC}">
              <c16:uniqueId val="{00000000-8442-40FB-934C-97927A091FCC}"/>
            </c:ext>
          </c:extLst>
        </c:ser>
        <c:ser>
          <c:idx val="1"/>
          <c:order val="1"/>
          <c:tx>
            <c:strRef>
              <c:f>List29!$C$16</c:f>
              <c:strCache>
                <c:ptCount val="1"/>
                <c:pt idx="0">
                  <c:v>z toho na ZŠ s veřejným zřizovatelem</c:v>
                </c:pt>
              </c:strCache>
            </c:strRef>
          </c:tx>
          <c:spPr>
            <a:solidFill>
              <a:srgbClr val="C00000"/>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List29!$A$17:$A$27</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List29!$C$17:$C$27</c:f>
              <c:numCache>
                <c:formatCode>General</c:formatCode>
                <c:ptCount val="11"/>
                <c:pt idx="0">
                  <c:v>782.625</c:v>
                </c:pt>
                <c:pt idx="1">
                  <c:v>795.21</c:v>
                </c:pt>
                <c:pt idx="2">
                  <c:v>813.94</c:v>
                </c:pt>
                <c:pt idx="3">
                  <c:v>839.01900000000001</c:v>
                </c:pt>
                <c:pt idx="4">
                  <c:v>863.61300000000006</c:v>
                </c:pt>
                <c:pt idx="5">
                  <c:v>887.34699999999998</c:v>
                </c:pt>
                <c:pt idx="6">
                  <c:v>905.245</c:v>
                </c:pt>
                <c:pt idx="7">
                  <c:v>917.851</c:v>
                </c:pt>
                <c:pt idx="8">
                  <c:v>927.66499999999996</c:v>
                </c:pt>
                <c:pt idx="9">
                  <c:v>935.05399999999997</c:v>
                </c:pt>
                <c:pt idx="10">
                  <c:v>934.85199999999998</c:v>
                </c:pt>
              </c:numCache>
            </c:numRef>
          </c:val>
          <c:extLst>
            <c:ext xmlns:c16="http://schemas.microsoft.com/office/drawing/2014/chart" uri="{C3380CC4-5D6E-409C-BE32-E72D297353CC}">
              <c16:uniqueId val="{00000001-8442-40FB-934C-97927A091FCC}"/>
            </c:ext>
          </c:extLst>
        </c:ser>
        <c:dLbls>
          <c:showLegendKey val="0"/>
          <c:showVal val="0"/>
          <c:showCatName val="0"/>
          <c:showSerName val="0"/>
          <c:showPercent val="0"/>
          <c:showBubbleSize val="0"/>
        </c:dLbls>
        <c:gapWidth val="39"/>
        <c:axId val="136696960"/>
        <c:axId val="136698496"/>
      </c:barChart>
      <c:catAx>
        <c:axId val="136696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6698496"/>
        <c:crosses val="autoZero"/>
        <c:auto val="1"/>
        <c:lblAlgn val="ctr"/>
        <c:lblOffset val="100"/>
        <c:tickLblSkip val="2"/>
        <c:noMultiLvlLbl val="0"/>
      </c:catAx>
      <c:valAx>
        <c:axId val="136698496"/>
        <c:scaling>
          <c:orientation val="minMax"/>
          <c:max val="1000"/>
          <c:min val="2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36696960"/>
        <c:crosses val="autoZero"/>
        <c:crossBetween val="between"/>
        <c:majorUnit val="50"/>
      </c:valAx>
      <c:spPr>
        <a:noFill/>
        <a:ln>
          <a:noFill/>
        </a:ln>
        <a:effectLst/>
      </c:spPr>
    </c:plotArea>
    <c:legend>
      <c:legendPos val="b"/>
      <c:layout>
        <c:manualLayout>
          <c:xMode val="edge"/>
          <c:yMode val="edge"/>
          <c:x val="1.0552112938545405E-2"/>
          <c:y val="0.90975934826328531"/>
          <c:w val="0.97889546351084811"/>
          <c:h val="6.4266625762688753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Na soukromých a cirkevních ZŠ</a:t>
            </a:r>
            <a:endParaRPr lang="en-US" sz="800" b="1">
              <a:solidFill>
                <a:sysClr val="windowText" lastClr="000000"/>
              </a:solidFill>
            </a:endParaRPr>
          </a:p>
        </c:rich>
      </c:tx>
      <c:layout/>
      <c:overlay val="0"/>
      <c:spPr>
        <a:noFill/>
        <a:ln>
          <a:noFill/>
        </a:ln>
        <a:effectLst/>
      </c:spPr>
    </c:title>
    <c:autoTitleDeleted val="0"/>
    <c:plotArea>
      <c:layout>
        <c:manualLayout>
          <c:layoutTarget val="inner"/>
          <c:xMode val="edge"/>
          <c:yMode val="edge"/>
          <c:x val="5.0599623227912387E-2"/>
          <c:y val="0.12638545181852268"/>
          <c:w val="0.90001198031061991"/>
          <c:h val="0.69566111054300028"/>
        </c:manualLayout>
      </c:layout>
      <c:barChart>
        <c:barDir val="col"/>
        <c:grouping val="clustered"/>
        <c:varyColors val="0"/>
        <c:ser>
          <c:idx val="0"/>
          <c:order val="0"/>
          <c:tx>
            <c:strRef>
              <c:f>List29!$B$43</c:f>
              <c:strCache>
                <c:ptCount val="1"/>
                <c:pt idx="0">
                  <c:v>na soukromých ZŠ</c:v>
                </c:pt>
              </c:strCache>
            </c:strRef>
          </c:tx>
          <c:spPr>
            <a:solidFill>
              <a:srgbClr val="70AD47"/>
            </a:solidFill>
            <a:ln>
              <a:noFill/>
            </a:ln>
            <a:effectLst/>
          </c:spPr>
          <c:invertIfNegative val="0"/>
          <c:dLbls>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List29!$A$44:$A$54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List29!$B$44:$B$54</c:f>
              <c:numCache>
                <c:formatCode>General</c:formatCode>
                <c:ptCount val="11"/>
                <c:pt idx="0">
                  <c:v>6.5419999999999998</c:v>
                </c:pt>
                <c:pt idx="1">
                  <c:v>7.0170000000000003</c:v>
                </c:pt>
                <c:pt idx="2">
                  <c:v>7.7309999999999999</c:v>
                </c:pt>
                <c:pt idx="3">
                  <c:v>8.8049999999999997</c:v>
                </c:pt>
                <c:pt idx="4">
                  <c:v>10.057</c:v>
                </c:pt>
                <c:pt idx="5">
                  <c:v>11.949</c:v>
                </c:pt>
                <c:pt idx="6">
                  <c:v>13.702</c:v>
                </c:pt>
                <c:pt idx="7">
                  <c:v>15.753</c:v>
                </c:pt>
                <c:pt idx="8">
                  <c:v>17.952000000000002</c:v>
                </c:pt>
                <c:pt idx="9">
                  <c:v>19.859000000000002</c:v>
                </c:pt>
                <c:pt idx="10">
                  <c:v>22.268000000000001</c:v>
                </c:pt>
              </c:numCache>
            </c:numRef>
          </c:val>
          <c:extLst>
            <c:ext xmlns:c16="http://schemas.microsoft.com/office/drawing/2014/chart" uri="{C3380CC4-5D6E-409C-BE32-E72D297353CC}">
              <c16:uniqueId val="{00000000-BDEA-46CE-9304-8C4ECDD79895}"/>
            </c:ext>
          </c:extLst>
        </c:ser>
        <c:ser>
          <c:idx val="1"/>
          <c:order val="1"/>
          <c:tx>
            <c:strRef>
              <c:f>List29!$C$43</c:f>
              <c:strCache>
                <c:ptCount val="1"/>
                <c:pt idx="0">
                  <c:v>na církevních ZŠ</c:v>
                </c:pt>
              </c:strCache>
            </c:strRef>
          </c:tx>
          <c:spPr>
            <a:solidFill>
              <a:srgbClr val="FFCC66"/>
            </a:solidFill>
            <a:ln>
              <a:noFill/>
            </a:ln>
            <a:effectLst/>
          </c:spPr>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List29!$A$44:$A$54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List29!$C$44:$C$54</c:f>
              <c:numCache>
                <c:formatCode>General</c:formatCode>
                <c:ptCount val="11"/>
                <c:pt idx="0">
                  <c:v>5.4749999999999996</c:v>
                </c:pt>
                <c:pt idx="1">
                  <c:v>5.7229999999999999</c:v>
                </c:pt>
                <c:pt idx="2">
                  <c:v>5.9829999999999997</c:v>
                </c:pt>
                <c:pt idx="3">
                  <c:v>6.3129999999999997</c:v>
                </c:pt>
                <c:pt idx="4">
                  <c:v>6.5810000000000004</c:v>
                </c:pt>
                <c:pt idx="5">
                  <c:v>6.8920000000000003</c:v>
                </c:pt>
                <c:pt idx="6">
                  <c:v>7.1609999999999996</c:v>
                </c:pt>
                <c:pt idx="7">
                  <c:v>7.3239999999999998</c:v>
                </c:pt>
                <c:pt idx="8">
                  <c:v>7.3289999999999997</c:v>
                </c:pt>
                <c:pt idx="9">
                  <c:v>7.4349999999999996</c:v>
                </c:pt>
                <c:pt idx="10">
                  <c:v>7.4509999999999996</c:v>
                </c:pt>
              </c:numCache>
            </c:numRef>
          </c:val>
          <c:extLst>
            <c:ext xmlns:c16="http://schemas.microsoft.com/office/drawing/2014/chart" uri="{C3380CC4-5D6E-409C-BE32-E72D297353CC}">
              <c16:uniqueId val="{00000001-BDEA-46CE-9304-8C4ECDD79895}"/>
            </c:ext>
          </c:extLst>
        </c:ser>
        <c:dLbls>
          <c:showLegendKey val="0"/>
          <c:showVal val="0"/>
          <c:showCatName val="0"/>
          <c:showSerName val="0"/>
          <c:showPercent val="0"/>
          <c:showBubbleSize val="0"/>
        </c:dLbls>
        <c:gapWidth val="49"/>
        <c:overlap val="-10"/>
        <c:axId val="137227264"/>
        <c:axId val="137368320"/>
      </c:barChart>
      <c:catAx>
        <c:axId val="137227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7368320"/>
        <c:crosses val="autoZero"/>
        <c:auto val="1"/>
        <c:lblAlgn val="ctr"/>
        <c:lblOffset val="100"/>
        <c:tickLblSkip val="2"/>
        <c:noMultiLvlLbl val="0"/>
      </c:catAx>
      <c:valAx>
        <c:axId val="137368320"/>
        <c:scaling>
          <c:orientation val="minMax"/>
          <c:max val="23"/>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37227264"/>
        <c:crosses val="autoZero"/>
        <c:crossBetween val="between"/>
        <c:majorUnit val="2"/>
        <c:minorUnit val="1"/>
      </c:valAx>
      <c:spPr>
        <a:noFill/>
        <a:ln>
          <a:noFill/>
        </a:ln>
        <a:effectLst/>
      </c:spPr>
    </c:plotArea>
    <c:legend>
      <c:legendPos val="b"/>
      <c:layout>
        <c:manualLayout>
          <c:xMode val="edge"/>
          <c:yMode val="edge"/>
          <c:x val="2.5066629626092764E-2"/>
          <c:y val="0.90975934826328531"/>
          <c:w val="0.92781567684414312"/>
          <c:h val="6.4266625762688753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List30!$B$14</c:f>
              <c:strCache>
                <c:ptCount val="1"/>
                <c:pt idx="0">
                  <c:v>v 1. ročníku ZŠ (tj. na 1. stupni)</c:v>
                </c:pt>
              </c:strCache>
            </c:strRef>
          </c:tx>
          <c:spPr>
            <a:solidFill>
              <a:schemeClr val="accent1"/>
            </a:solidFill>
            <a:ln>
              <a:noFill/>
            </a:ln>
            <a:effectLst/>
          </c:spPr>
          <c:invertIfNegative val="0"/>
          <c:dLbls>
            <c:numFmt formatCode="#,##0.0" sourceLinked="0"/>
            <c:spPr>
              <a:noFill/>
              <a:ln>
                <a:noFill/>
              </a:ln>
              <a:effectLst/>
            </c:spPr>
            <c:txPr>
              <a:bodyPr wrap="square" lIns="38100" tIns="19050" rIns="38100" bIns="19050" anchor="ctr">
                <a:spAutoFit/>
              </a:bodyPr>
              <a:lstStyle/>
              <a:p>
                <a:pPr>
                  <a:defRPr sz="800">
                    <a:solidFill>
                      <a:sysClr val="windowText" lastClr="000000"/>
                    </a:solidFill>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List30!$A$15:$A$25</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List30!$B$15:$B$25</c:f>
              <c:numCache>
                <c:formatCode>General</c:formatCode>
                <c:ptCount val="11"/>
                <c:pt idx="0">
                  <c:v>101.583</c:v>
                </c:pt>
                <c:pt idx="1">
                  <c:v>106.69799999999999</c:v>
                </c:pt>
                <c:pt idx="2">
                  <c:v>111.88</c:v>
                </c:pt>
                <c:pt idx="3">
                  <c:v>118.54900000000001</c:v>
                </c:pt>
                <c:pt idx="4">
                  <c:v>118.011</c:v>
                </c:pt>
                <c:pt idx="5">
                  <c:v>118.33499999999999</c:v>
                </c:pt>
                <c:pt idx="6">
                  <c:v>113.042</c:v>
                </c:pt>
                <c:pt idx="7">
                  <c:v>109.209</c:v>
                </c:pt>
                <c:pt idx="8">
                  <c:v>107.738</c:v>
                </c:pt>
                <c:pt idx="9">
                  <c:v>109.43</c:v>
                </c:pt>
                <c:pt idx="10">
                  <c:v>109.497</c:v>
                </c:pt>
              </c:numCache>
            </c:numRef>
          </c:val>
          <c:extLst xmlns:c15="http://schemas.microsoft.com/office/drawing/2012/chart">
            <c:ext xmlns:c16="http://schemas.microsoft.com/office/drawing/2014/chart" uri="{C3380CC4-5D6E-409C-BE32-E72D297353CC}">
              <c16:uniqueId val="{00000000-DA05-42A3-938A-36A35B284F1D}"/>
            </c:ext>
          </c:extLst>
        </c:ser>
        <c:ser>
          <c:idx val="1"/>
          <c:order val="1"/>
          <c:tx>
            <c:strRef>
              <c:f>List30!$C$14</c:f>
              <c:strCache>
                <c:ptCount val="1"/>
                <c:pt idx="0">
                  <c:v>v posledním ročníku ZŠ (tj. na 2. stupni)</c:v>
                </c:pt>
              </c:strCache>
            </c:strRef>
          </c:tx>
          <c:spPr>
            <a:solidFill>
              <a:srgbClr val="FFCC66"/>
            </a:solidFill>
            <a:ln>
              <a:noFill/>
            </a:ln>
            <a:effectLst/>
          </c:spPr>
          <c:invertIfNegative val="0"/>
          <c:dLbls>
            <c:numFmt formatCode="#,##0.0" sourceLinked="0"/>
            <c:spPr>
              <a:noFill/>
              <a:ln>
                <a:noFill/>
              </a:ln>
              <a:effectLst/>
            </c:spPr>
            <c:txPr>
              <a:bodyPr wrap="square" lIns="38100" tIns="19050" rIns="38100" bIns="19050" anchor="ctr">
                <a:spAutoFit/>
              </a:bodyPr>
              <a:lstStyle/>
              <a:p>
                <a:pPr>
                  <a:defRPr sz="800">
                    <a:solidFill>
                      <a:sysClr val="windowText" lastClr="000000"/>
                    </a:solidFill>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List30!$A$15:$A$25</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List30!$C$15:$C$25</c:f>
              <c:numCache>
                <c:formatCode>General</c:formatCode>
                <c:ptCount val="11"/>
                <c:pt idx="0">
                  <c:v>75.697999999999993</c:v>
                </c:pt>
                <c:pt idx="1">
                  <c:v>74.704999999999998</c:v>
                </c:pt>
                <c:pt idx="2">
                  <c:v>75.218000000000004</c:v>
                </c:pt>
                <c:pt idx="3">
                  <c:v>75.652000000000001</c:v>
                </c:pt>
                <c:pt idx="4">
                  <c:v>76.872</c:v>
                </c:pt>
                <c:pt idx="5">
                  <c:v>76.722999999999999</c:v>
                </c:pt>
                <c:pt idx="6">
                  <c:v>78.141999999999996</c:v>
                </c:pt>
                <c:pt idx="7">
                  <c:v>79.825000000000003</c:v>
                </c:pt>
                <c:pt idx="8">
                  <c:v>84.462000000000003</c:v>
                </c:pt>
                <c:pt idx="9">
                  <c:v>90.516999999999996</c:v>
                </c:pt>
                <c:pt idx="10">
                  <c:v>95.286000000000001</c:v>
                </c:pt>
              </c:numCache>
            </c:numRef>
          </c:val>
          <c:extLst xmlns:c15="http://schemas.microsoft.com/office/drawing/2012/chart">
            <c:ext xmlns:c16="http://schemas.microsoft.com/office/drawing/2014/chart" uri="{C3380CC4-5D6E-409C-BE32-E72D297353CC}">
              <c16:uniqueId val="{00000001-DA05-42A3-938A-36A35B284F1D}"/>
            </c:ext>
          </c:extLst>
        </c:ser>
        <c:dLbls>
          <c:showLegendKey val="0"/>
          <c:showVal val="0"/>
          <c:showCatName val="0"/>
          <c:showSerName val="0"/>
          <c:showPercent val="0"/>
          <c:showBubbleSize val="0"/>
        </c:dLbls>
        <c:gapWidth val="63"/>
        <c:overlap val="-27"/>
        <c:axId val="137582464"/>
        <c:axId val="137584000"/>
        <c:extLst/>
      </c:barChart>
      <c:catAx>
        <c:axId val="137582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7584000"/>
        <c:crosses val="autoZero"/>
        <c:auto val="1"/>
        <c:lblAlgn val="ctr"/>
        <c:lblOffset val="100"/>
        <c:noMultiLvlLbl val="0"/>
      </c:catAx>
      <c:valAx>
        <c:axId val="137584000"/>
        <c:scaling>
          <c:orientation val="minMax"/>
          <c:max val="12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7582464"/>
        <c:crosses val="autoZero"/>
        <c:crossBetween val="between"/>
        <c:majorUnit val="10"/>
        <c:minorUnit val="5"/>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cs-CZ"/>
    </a:p>
  </c:tx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323294321515136E-2"/>
          <c:y val="4.0426313855200464E-2"/>
          <c:w val="0.97967670567848486"/>
          <c:h val="0.6567200484554816"/>
        </c:manualLayout>
      </c:layout>
      <c:barChart>
        <c:barDir val="col"/>
        <c:grouping val="clustered"/>
        <c:varyColors val="0"/>
        <c:ser>
          <c:idx val="0"/>
          <c:order val="0"/>
          <c:tx>
            <c:strRef>
              <c:f>'2.2.6'!$B$39</c:f>
              <c:strCache>
                <c:ptCount val="1"/>
                <c:pt idx="0">
                  <c:v>absolutně (v tis.)</c:v>
                </c:pt>
              </c:strCache>
            </c:strRef>
          </c:tx>
          <c:spPr>
            <a:solidFill>
              <a:srgbClr val="0070C0"/>
            </a:solidFill>
            <a:ln>
              <a:noFill/>
            </a:ln>
            <a:effectLst/>
          </c:spPr>
          <c:invertIfNegative val="0"/>
          <c:dLbls>
            <c:dLbl>
              <c:idx val="11"/>
              <c:layout>
                <c:manualLayout>
                  <c:x val="0"/>
                  <c:y val="5.97125359330083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645-4638-925D-3A4334DA8A37}"/>
                </c:ext>
              </c:extLst>
            </c:dLbl>
            <c:dLbl>
              <c:idx val="12"/>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extLst>
                <c:ext xmlns:c16="http://schemas.microsoft.com/office/drawing/2014/chart" uri="{C3380CC4-5D6E-409C-BE32-E72D297353CC}">
                  <c16:uniqueId val="{00000001-9645-4638-925D-3A4334DA8A37}"/>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'2.2.6'!$A$40:$A$53</c:f>
              <c:strCache>
                <c:ptCount val="14"/>
                <c:pt idx="0">
                  <c:v>Praha</c:v>
                </c:pt>
                <c:pt idx="1">
                  <c:v>Středočeský</c:v>
                </c:pt>
                <c:pt idx="2">
                  <c:v>Jihomoravský</c:v>
                </c:pt>
                <c:pt idx="3">
                  <c:v>Plzeňský</c:v>
                </c:pt>
                <c:pt idx="4">
                  <c:v>Liberecký</c:v>
                </c:pt>
                <c:pt idx="5">
                  <c:v>Jihočeský</c:v>
                </c:pt>
                <c:pt idx="6">
                  <c:v>Pardubický</c:v>
                </c:pt>
                <c:pt idx="7">
                  <c:v>Olomoucký</c:v>
                </c:pt>
                <c:pt idx="8">
                  <c:v>Královéhradecký</c:v>
                </c:pt>
                <c:pt idx="9">
                  <c:v>Vysočina</c:v>
                </c:pt>
                <c:pt idx="10">
                  <c:v>Zlínský</c:v>
                </c:pt>
                <c:pt idx="11">
                  <c:v>Ústecký</c:v>
                </c:pt>
                <c:pt idx="12">
                  <c:v>Karlovarský</c:v>
                </c:pt>
                <c:pt idx="13">
                  <c:v>Moravskoslezský</c:v>
                </c:pt>
              </c:strCache>
            </c:strRef>
          </c:cat>
          <c:val>
            <c:numRef>
              <c:f>'2.2.6'!$B$40:$B$53</c:f>
              <c:numCache>
                <c:formatCode>General</c:formatCode>
                <c:ptCount val="14"/>
                <c:pt idx="0">
                  <c:v>35.9</c:v>
                </c:pt>
                <c:pt idx="1">
                  <c:v>41.78</c:v>
                </c:pt>
                <c:pt idx="2">
                  <c:v>22.175999999999998</c:v>
                </c:pt>
                <c:pt idx="3">
                  <c:v>10.007999999999999</c:v>
                </c:pt>
                <c:pt idx="4">
                  <c:v>6.3869999999999996</c:v>
                </c:pt>
                <c:pt idx="5">
                  <c:v>8.6460000000000008</c:v>
                </c:pt>
                <c:pt idx="6">
                  <c:v>6.3230000000000004</c:v>
                </c:pt>
                <c:pt idx="7">
                  <c:v>6.9329999999999998</c:v>
                </c:pt>
                <c:pt idx="8">
                  <c:v>6.03</c:v>
                </c:pt>
                <c:pt idx="9">
                  <c:v>4.718</c:v>
                </c:pt>
                <c:pt idx="10">
                  <c:v>4.9320000000000004</c:v>
                </c:pt>
                <c:pt idx="11">
                  <c:v>6.8339999999999996</c:v>
                </c:pt>
                <c:pt idx="12">
                  <c:v>1.9350000000000001</c:v>
                </c:pt>
                <c:pt idx="13">
                  <c:v>7.327</c:v>
                </c:pt>
              </c:numCache>
            </c:numRef>
          </c:val>
          <c:extLst>
            <c:ext xmlns:c16="http://schemas.microsoft.com/office/drawing/2014/chart" uri="{C3380CC4-5D6E-409C-BE32-E72D297353CC}">
              <c16:uniqueId val="{00000002-9645-4638-925D-3A4334DA8A37}"/>
            </c:ext>
          </c:extLst>
        </c:ser>
        <c:dLbls>
          <c:showLegendKey val="0"/>
          <c:showVal val="0"/>
          <c:showCatName val="0"/>
          <c:showSerName val="0"/>
          <c:showPercent val="0"/>
          <c:showBubbleSize val="0"/>
        </c:dLbls>
        <c:gapWidth val="39"/>
        <c:overlap val="-27"/>
        <c:axId val="138274688"/>
        <c:axId val="138276224"/>
      </c:barChart>
      <c:scatterChart>
        <c:scatterStyle val="lineMarker"/>
        <c:varyColors val="0"/>
        <c:ser>
          <c:idx val="1"/>
          <c:order val="1"/>
          <c:tx>
            <c:strRef>
              <c:f>'2.2.6'!$C$39</c:f>
              <c:strCache>
                <c:ptCount val="1"/>
                <c:pt idx="0">
                  <c:v>procentuálně</c:v>
                </c:pt>
              </c:strCache>
            </c:strRef>
          </c:tx>
          <c:spPr>
            <a:ln w="28575">
              <a:noFill/>
            </a:ln>
          </c:spPr>
          <c:marker>
            <c:symbol val="triangle"/>
            <c:size val="7"/>
          </c:marker>
          <c:dLbls>
            <c:numFmt formatCode="0.0\ %" sourceLinked="0"/>
            <c:spPr>
              <a:noFill/>
              <a:ln>
                <a:noFill/>
              </a:ln>
              <a:effectLst/>
            </c:spPr>
            <c:txPr>
              <a:bodyPr wrap="square" lIns="38100" tIns="19050" rIns="38100" bIns="19050" anchor="ctr">
                <a:spAutoFit/>
              </a:bodyPr>
              <a:lstStyle/>
              <a:p>
                <a:pPr>
                  <a:defRPr sz="800">
                    <a:solidFill>
                      <a:sysClr val="windowText" lastClr="000000"/>
                    </a:solidFill>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xVal>
            <c:strRef>
              <c:f>'2.2.6'!$A$40:$A$53</c:f>
              <c:strCache>
                <c:ptCount val="14"/>
                <c:pt idx="0">
                  <c:v>Praha</c:v>
                </c:pt>
                <c:pt idx="1">
                  <c:v>Středočeský</c:v>
                </c:pt>
                <c:pt idx="2">
                  <c:v>Jihomoravský</c:v>
                </c:pt>
                <c:pt idx="3">
                  <c:v>Plzeňský</c:v>
                </c:pt>
                <c:pt idx="4">
                  <c:v>Liberecký</c:v>
                </c:pt>
                <c:pt idx="5">
                  <c:v>Jihočeský</c:v>
                </c:pt>
                <c:pt idx="6">
                  <c:v>Pardubický</c:v>
                </c:pt>
                <c:pt idx="7">
                  <c:v>Olomoucký</c:v>
                </c:pt>
                <c:pt idx="8">
                  <c:v>Královéhradecký</c:v>
                </c:pt>
                <c:pt idx="9">
                  <c:v>Vysočina</c:v>
                </c:pt>
                <c:pt idx="10">
                  <c:v>Zlínský</c:v>
                </c:pt>
                <c:pt idx="11">
                  <c:v>Ústecký</c:v>
                </c:pt>
                <c:pt idx="12">
                  <c:v>Karlovarský</c:v>
                </c:pt>
                <c:pt idx="13">
                  <c:v>Moravskoslezský</c:v>
                </c:pt>
              </c:strCache>
            </c:strRef>
          </c:xVal>
          <c:yVal>
            <c:numRef>
              <c:f>'2.2.6'!$C$40:$C$53</c:f>
              <c:numCache>
                <c:formatCode>0.0%</c:formatCode>
                <c:ptCount val="14"/>
                <c:pt idx="0">
                  <c:v>0.4711966294346952</c:v>
                </c:pt>
                <c:pt idx="1">
                  <c:v>0.42987961724457252</c:v>
                </c:pt>
                <c:pt idx="2">
                  <c:v>0.25884769819777764</c:v>
                </c:pt>
                <c:pt idx="3">
                  <c:v>0.23572084697458595</c:v>
                </c:pt>
                <c:pt idx="4">
                  <c:v>0.18067892503536065</c:v>
                </c:pt>
                <c:pt idx="5">
                  <c:v>0.17383436877978162</c:v>
                </c:pt>
                <c:pt idx="6">
                  <c:v>0.15353049728049739</c:v>
                </c:pt>
                <c:pt idx="7">
                  <c:v>0.14242866240729701</c:v>
                </c:pt>
                <c:pt idx="8">
                  <c:v>0.13863981238791556</c:v>
                </c:pt>
                <c:pt idx="9">
                  <c:v>0.11504791631105359</c:v>
                </c:pt>
                <c:pt idx="10">
                  <c:v>0.10770675460243284</c:v>
                </c:pt>
                <c:pt idx="11">
                  <c:v>9.9997073541892245E-2</c:v>
                </c:pt>
                <c:pt idx="12">
                  <c:v>8.4501506616009525E-2</c:v>
                </c:pt>
                <c:pt idx="13">
                  <c:v>7.5808837984087107E-2</c:v>
                </c:pt>
              </c:numCache>
            </c:numRef>
          </c:yVal>
          <c:smooth val="0"/>
          <c:extLst>
            <c:ext xmlns:c16="http://schemas.microsoft.com/office/drawing/2014/chart" uri="{C3380CC4-5D6E-409C-BE32-E72D297353CC}">
              <c16:uniqueId val="{00000003-9645-4638-925D-3A4334DA8A37}"/>
            </c:ext>
          </c:extLst>
        </c:ser>
        <c:dLbls>
          <c:showLegendKey val="0"/>
          <c:showVal val="0"/>
          <c:showCatName val="0"/>
          <c:showSerName val="0"/>
          <c:showPercent val="0"/>
          <c:showBubbleSize val="0"/>
        </c:dLbls>
        <c:axId val="156441456"/>
        <c:axId val="156443952"/>
      </c:scatterChart>
      <c:catAx>
        <c:axId val="138274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8276224"/>
        <c:crosses val="autoZero"/>
        <c:auto val="1"/>
        <c:lblAlgn val="ctr"/>
        <c:lblOffset val="100"/>
        <c:noMultiLvlLbl val="0"/>
      </c:catAx>
      <c:valAx>
        <c:axId val="138276224"/>
        <c:scaling>
          <c:orientation val="minMax"/>
          <c:max val="50"/>
        </c:scaling>
        <c:delete val="0"/>
        <c:axPos val="l"/>
        <c:numFmt formatCode="#,##0"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38274688"/>
        <c:crosses val="autoZero"/>
        <c:crossBetween val="between"/>
        <c:majorUnit val="5"/>
      </c:valAx>
      <c:valAx>
        <c:axId val="156443952"/>
        <c:scaling>
          <c:orientation val="minMax"/>
          <c:max val="0.5"/>
        </c:scaling>
        <c:delete val="0"/>
        <c:axPos val="r"/>
        <c:numFmt formatCode="0.0%" sourceLinked="1"/>
        <c:majorTickMark val="out"/>
        <c:minorTickMark val="none"/>
        <c:tickLblPos val="none"/>
        <c:crossAx val="156441456"/>
        <c:crosses val="max"/>
        <c:crossBetween val="midCat"/>
      </c:valAx>
      <c:valAx>
        <c:axId val="156441456"/>
        <c:scaling>
          <c:orientation val="minMax"/>
        </c:scaling>
        <c:delete val="1"/>
        <c:axPos val="b"/>
        <c:numFmt formatCode="General" sourceLinked="1"/>
        <c:majorTickMark val="out"/>
        <c:minorTickMark val="none"/>
        <c:tickLblPos val="nextTo"/>
        <c:crossAx val="156443952"/>
        <c:crosses val="autoZero"/>
        <c:crossBetween val="midCat"/>
      </c:valAx>
      <c:spPr>
        <a:noFill/>
        <a:ln>
          <a:noFill/>
        </a:ln>
        <a:effectLst/>
      </c:spPr>
    </c:plotArea>
    <c:legend>
      <c:legendPos val="b"/>
      <c:layout>
        <c:manualLayout>
          <c:xMode val="edge"/>
          <c:yMode val="edge"/>
          <c:x val="0.7632674354386928"/>
          <c:y val="7.6757262952605557E-2"/>
          <c:w val="0.16015139539728893"/>
          <c:h val="0.18128965466878014"/>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761698289916407E-2"/>
          <c:y val="4.0854224698235839E-2"/>
          <c:w val="0.91457506137723976"/>
          <c:h val="0.62146286861201172"/>
        </c:manualLayout>
      </c:layout>
      <c:barChart>
        <c:barDir val="col"/>
        <c:grouping val="clustered"/>
        <c:varyColors val="0"/>
        <c:ser>
          <c:idx val="0"/>
          <c:order val="0"/>
          <c:tx>
            <c:strRef>
              <c:f>'2.2.15'!$B$41</c:f>
              <c:strCache>
                <c:ptCount val="1"/>
                <c:pt idx="0">
                  <c:v>2011/12</c:v>
                </c:pt>
              </c:strCache>
            </c:strRef>
          </c:tx>
          <c:spPr>
            <a:solidFill>
              <a:srgbClr val="5B9BD5">
                <a:lumMod val="60000"/>
                <a:lumOff val="40000"/>
              </a:srgbClr>
            </a:solidFill>
          </c:spPr>
          <c:invertIfNegative val="0"/>
          <c:cat>
            <c:strRef>
              <c:f>'2.2.15'!$A$42:$A$55</c:f>
              <c:strCache>
                <c:ptCount val="14"/>
                <c:pt idx="0">
                  <c:v>Středočeský  </c:v>
                </c:pt>
                <c:pt idx="1">
                  <c:v>Praha  </c:v>
                </c:pt>
                <c:pt idx="2">
                  <c:v>Jihomoravský  </c:v>
                </c:pt>
                <c:pt idx="3">
                  <c:v>Jihočeský  </c:v>
                </c:pt>
                <c:pt idx="4">
                  <c:v>Plzeňský  </c:v>
                </c:pt>
                <c:pt idx="5">
                  <c:v>Pardubický  </c:v>
                </c:pt>
                <c:pt idx="6">
                  <c:v>Vysočina  </c:v>
                </c:pt>
                <c:pt idx="7">
                  <c:v>Zlínský  </c:v>
                </c:pt>
                <c:pt idx="8">
                  <c:v>Olomoucký  </c:v>
                </c:pt>
                <c:pt idx="9">
                  <c:v>Královéhradecký  </c:v>
                </c:pt>
                <c:pt idx="10">
                  <c:v>Liberecký  </c:v>
                </c:pt>
                <c:pt idx="11">
                  <c:v>Karlovarský  </c:v>
                </c:pt>
                <c:pt idx="12">
                  <c:v>Moravskoslezský  </c:v>
                </c:pt>
                <c:pt idx="13">
                  <c:v>Ústecký  </c:v>
                </c:pt>
              </c:strCache>
            </c:strRef>
          </c:cat>
          <c:val>
            <c:numRef>
              <c:f>'2.2.15'!$B$42:$B$55</c:f>
              <c:numCache>
                <c:formatCode>#,##0</c:formatCode>
                <c:ptCount val="14"/>
                <c:pt idx="0">
                  <c:v>13225</c:v>
                </c:pt>
                <c:pt idx="1">
                  <c:v>10778</c:v>
                </c:pt>
                <c:pt idx="2">
                  <c:v>10983</c:v>
                </c:pt>
                <c:pt idx="3">
                  <c:v>6107</c:v>
                </c:pt>
                <c:pt idx="4">
                  <c:v>5313</c:v>
                </c:pt>
                <c:pt idx="5">
                  <c:v>5011</c:v>
                </c:pt>
                <c:pt idx="6">
                  <c:v>4987</c:v>
                </c:pt>
                <c:pt idx="7">
                  <c:v>5489</c:v>
                </c:pt>
                <c:pt idx="8">
                  <c:v>6059</c:v>
                </c:pt>
                <c:pt idx="9">
                  <c:v>5330</c:v>
                </c:pt>
                <c:pt idx="10">
                  <c:v>4383</c:v>
                </c:pt>
                <c:pt idx="11">
                  <c:v>2737</c:v>
                </c:pt>
                <c:pt idx="12">
                  <c:v>11742</c:v>
                </c:pt>
                <c:pt idx="13">
                  <c:v>8553</c:v>
                </c:pt>
              </c:numCache>
            </c:numRef>
          </c:val>
          <c:extLst>
            <c:ext xmlns:c16="http://schemas.microsoft.com/office/drawing/2014/chart" uri="{C3380CC4-5D6E-409C-BE32-E72D297353CC}">
              <c16:uniqueId val="{00000000-D39A-4B5B-85FA-BD849BD0A66F}"/>
            </c:ext>
          </c:extLst>
        </c:ser>
        <c:ser>
          <c:idx val="1"/>
          <c:order val="1"/>
          <c:tx>
            <c:strRef>
              <c:f>'2.2.15'!$C$41</c:f>
              <c:strCache>
                <c:ptCount val="1"/>
                <c:pt idx="0">
                  <c:v>2016/17</c:v>
                </c:pt>
              </c:strCache>
            </c:strRef>
          </c:tx>
          <c:spPr>
            <a:solidFill>
              <a:srgbClr val="ED7D31">
                <a:lumMod val="60000"/>
                <a:lumOff val="40000"/>
              </a:srgbClr>
            </a:solidFill>
          </c:spPr>
          <c:invertIfNegative val="0"/>
          <c:cat>
            <c:strRef>
              <c:f>'2.2.15'!$A$42:$A$55</c:f>
              <c:strCache>
                <c:ptCount val="14"/>
                <c:pt idx="0">
                  <c:v>Středočeský  </c:v>
                </c:pt>
                <c:pt idx="1">
                  <c:v>Praha  </c:v>
                </c:pt>
                <c:pt idx="2">
                  <c:v>Jihomoravský  </c:v>
                </c:pt>
                <c:pt idx="3">
                  <c:v>Jihočeský  </c:v>
                </c:pt>
                <c:pt idx="4">
                  <c:v>Plzeňský  </c:v>
                </c:pt>
                <c:pt idx="5">
                  <c:v>Pardubický  </c:v>
                </c:pt>
                <c:pt idx="6">
                  <c:v>Vysočina  </c:v>
                </c:pt>
                <c:pt idx="7">
                  <c:v>Zlínský  </c:v>
                </c:pt>
                <c:pt idx="8">
                  <c:v>Olomoucký  </c:v>
                </c:pt>
                <c:pt idx="9">
                  <c:v>Královéhradecký  </c:v>
                </c:pt>
                <c:pt idx="10">
                  <c:v>Liberecký  </c:v>
                </c:pt>
                <c:pt idx="11">
                  <c:v>Karlovarský  </c:v>
                </c:pt>
                <c:pt idx="12">
                  <c:v>Moravskoslezský  </c:v>
                </c:pt>
                <c:pt idx="13">
                  <c:v>Ústecký  </c:v>
                </c:pt>
              </c:strCache>
            </c:strRef>
          </c:cat>
          <c:val>
            <c:numRef>
              <c:f>'2.2.15'!$C$42:$C$55</c:f>
              <c:numCache>
                <c:formatCode>#,##0</c:formatCode>
                <c:ptCount val="14"/>
                <c:pt idx="0">
                  <c:v>16476</c:v>
                </c:pt>
                <c:pt idx="1">
                  <c:v>13997</c:v>
                </c:pt>
                <c:pt idx="2">
                  <c:v>13053</c:v>
                </c:pt>
                <c:pt idx="3">
                  <c:v>7057</c:v>
                </c:pt>
                <c:pt idx="4">
                  <c:v>6440</c:v>
                </c:pt>
                <c:pt idx="5">
                  <c:v>5662</c:v>
                </c:pt>
                <c:pt idx="6">
                  <c:v>5303</c:v>
                </c:pt>
                <c:pt idx="7">
                  <c:v>6005</c:v>
                </c:pt>
                <c:pt idx="8">
                  <c:v>6838</c:v>
                </c:pt>
                <c:pt idx="9">
                  <c:v>6212</c:v>
                </c:pt>
                <c:pt idx="10">
                  <c:v>5103</c:v>
                </c:pt>
                <c:pt idx="11">
                  <c:v>3187</c:v>
                </c:pt>
                <c:pt idx="12">
                  <c:v>12675</c:v>
                </c:pt>
                <c:pt idx="13">
                  <c:v>9190</c:v>
                </c:pt>
              </c:numCache>
            </c:numRef>
          </c:val>
          <c:extLst>
            <c:ext xmlns:c16="http://schemas.microsoft.com/office/drawing/2014/chart" uri="{C3380CC4-5D6E-409C-BE32-E72D297353CC}">
              <c16:uniqueId val="{00000001-D39A-4B5B-85FA-BD849BD0A66F}"/>
            </c:ext>
          </c:extLst>
        </c:ser>
        <c:ser>
          <c:idx val="2"/>
          <c:order val="2"/>
          <c:tx>
            <c:strRef>
              <c:f>'2.2.15'!$D$41</c:f>
              <c:strCache>
                <c:ptCount val="1"/>
                <c:pt idx="0">
                  <c:v>2021/22</c:v>
                </c:pt>
              </c:strCache>
            </c:strRef>
          </c:tx>
          <c:spPr>
            <a:solidFill>
              <a:srgbClr val="70AD47"/>
            </a:solidFill>
          </c:spPr>
          <c:invertIfNegative val="0"/>
          <c:cat>
            <c:strRef>
              <c:f>'2.2.15'!$A$42:$A$55</c:f>
              <c:strCache>
                <c:ptCount val="14"/>
                <c:pt idx="0">
                  <c:v>Středočeský  </c:v>
                </c:pt>
                <c:pt idx="1">
                  <c:v>Praha  </c:v>
                </c:pt>
                <c:pt idx="2">
                  <c:v>Jihomoravský  </c:v>
                </c:pt>
                <c:pt idx="3">
                  <c:v>Jihočeský  </c:v>
                </c:pt>
                <c:pt idx="4">
                  <c:v>Plzeňský  </c:v>
                </c:pt>
                <c:pt idx="5">
                  <c:v>Pardubický  </c:v>
                </c:pt>
                <c:pt idx="6">
                  <c:v>Vysočina  </c:v>
                </c:pt>
                <c:pt idx="7">
                  <c:v>Zlínský  </c:v>
                </c:pt>
                <c:pt idx="8">
                  <c:v>Olomoucký  </c:v>
                </c:pt>
                <c:pt idx="9">
                  <c:v>Královéhradecký  </c:v>
                </c:pt>
                <c:pt idx="10">
                  <c:v>Liberecký  </c:v>
                </c:pt>
                <c:pt idx="11">
                  <c:v>Karlovarský  </c:v>
                </c:pt>
                <c:pt idx="12">
                  <c:v>Moravskoslezský  </c:v>
                </c:pt>
                <c:pt idx="13">
                  <c:v>Ústecký  </c:v>
                </c:pt>
              </c:strCache>
            </c:strRef>
          </c:cat>
          <c:val>
            <c:numRef>
              <c:f>'2.2.15'!$D$42:$D$55</c:f>
              <c:numCache>
                <c:formatCode>#,##0</c:formatCode>
                <c:ptCount val="14"/>
                <c:pt idx="0">
                  <c:v>16124</c:v>
                </c:pt>
                <c:pt idx="1">
                  <c:v>13061</c:v>
                </c:pt>
                <c:pt idx="2">
                  <c:v>12601</c:v>
                </c:pt>
                <c:pt idx="3">
                  <c:v>6680</c:v>
                </c:pt>
                <c:pt idx="4">
                  <c:v>5769</c:v>
                </c:pt>
                <c:pt idx="5">
                  <c:v>5257</c:v>
                </c:pt>
                <c:pt idx="6">
                  <c:v>5163</c:v>
                </c:pt>
                <c:pt idx="7">
                  <c:v>5624</c:v>
                </c:pt>
                <c:pt idx="8">
                  <c:v>6103</c:v>
                </c:pt>
                <c:pt idx="9">
                  <c:v>5348</c:v>
                </c:pt>
                <c:pt idx="10">
                  <c:v>4392</c:v>
                </c:pt>
                <c:pt idx="11">
                  <c:v>2662</c:v>
                </c:pt>
                <c:pt idx="12">
                  <c:v>11348</c:v>
                </c:pt>
                <c:pt idx="13">
                  <c:v>8011</c:v>
                </c:pt>
              </c:numCache>
            </c:numRef>
          </c:val>
          <c:extLst>
            <c:ext xmlns:c16="http://schemas.microsoft.com/office/drawing/2014/chart" uri="{C3380CC4-5D6E-409C-BE32-E72D297353CC}">
              <c16:uniqueId val="{00000002-D39A-4B5B-85FA-BD849BD0A66F}"/>
            </c:ext>
          </c:extLst>
        </c:ser>
        <c:dLbls>
          <c:showLegendKey val="0"/>
          <c:showVal val="0"/>
          <c:showCatName val="0"/>
          <c:showSerName val="0"/>
          <c:showPercent val="0"/>
          <c:showBubbleSize val="0"/>
        </c:dLbls>
        <c:gapWidth val="99"/>
        <c:axId val="374400512"/>
        <c:axId val="446076544"/>
      </c:barChart>
      <c:scatterChart>
        <c:scatterStyle val="lineMarker"/>
        <c:varyColors val="0"/>
        <c:ser>
          <c:idx val="3"/>
          <c:order val="3"/>
          <c:tx>
            <c:strRef>
              <c:f>'2.2.15'!$E$41</c:f>
              <c:strCache>
                <c:ptCount val="1"/>
                <c:pt idx="0">
                  <c:v>změna za posledních 10 let</c:v>
                </c:pt>
              </c:strCache>
            </c:strRef>
          </c:tx>
          <c:spPr>
            <a:ln w="19050">
              <a:noFill/>
            </a:ln>
          </c:spPr>
          <c:marker>
            <c:symbol val="diamond"/>
            <c:size val="8"/>
            <c:spPr>
              <a:solidFill>
                <a:srgbClr val="FFCC66"/>
              </a:solidFill>
              <a:ln w="9525">
                <a:solidFill>
                  <a:schemeClr val="tx1"/>
                </a:solidFill>
              </a:ln>
              <a:effectLst/>
            </c:spPr>
          </c:marker>
          <c:dLbls>
            <c:dLbl>
              <c:idx val="11"/>
              <c:layout>
                <c:manualLayout>
                  <c:x val="-1.0895818639410162E-2"/>
                  <c:y val="9.9916507651028302E-2"/>
                </c:manualLayout>
              </c:layout>
              <c:tx>
                <c:rich>
                  <a:bodyPr/>
                  <a:lstStyle/>
                  <a:p>
                    <a:fld id="{E09E3739-6E4E-40AB-822F-E2F0399CF5C7}" type="YVALUE">
                      <a:rPr lang="en-US" b="1">
                        <a:solidFill>
                          <a:srgbClr val="C00000"/>
                        </a:solidFill>
                      </a:rPr>
                      <a:pPr/>
                      <a:t>[HODNOTA Y]</a:t>
                    </a:fld>
                    <a:endParaRPr lang="cs-CZ"/>
                  </a:p>
                </c:rich>
              </c:tx>
              <c:dLblPos val="r"/>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3-D39A-4B5B-85FA-BD849BD0A66F}"/>
                </c:ext>
              </c:extLst>
            </c:dLbl>
            <c:dLbl>
              <c:idx val="12"/>
              <c:layout>
                <c:manualLayout>
                  <c:x val="-1.1616823651140256E-2"/>
                  <c:y val="9.6202487223915958E-2"/>
                </c:manualLayout>
              </c:layout>
              <c:tx>
                <c:rich>
                  <a:bodyPr/>
                  <a:lstStyle/>
                  <a:p>
                    <a:fld id="{BB218D80-0E86-4B27-9A8D-E525DF977D44}" type="YVALUE">
                      <a:rPr lang="en-US" b="1">
                        <a:solidFill>
                          <a:srgbClr val="C00000"/>
                        </a:solidFill>
                      </a:rPr>
                      <a:pPr/>
                      <a:t>[HODNOTA Y]</a:t>
                    </a:fld>
                    <a:endParaRPr lang="cs-CZ"/>
                  </a:p>
                </c:rich>
              </c:tx>
              <c:dLblPos val="r"/>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4-D39A-4B5B-85FA-BD849BD0A66F}"/>
                </c:ext>
              </c:extLst>
            </c:dLbl>
            <c:dLbl>
              <c:idx val="13"/>
              <c:layout>
                <c:manualLayout>
                  <c:x val="-9.5891097313419944E-5"/>
                  <c:y val="3.8635609267504381E-2"/>
                </c:manualLayout>
              </c:layout>
              <c:tx>
                <c:rich>
                  <a:bodyPr wrap="square" lIns="38100" tIns="19050" rIns="38100" bIns="19050" anchor="ctr">
                    <a:noAutofit/>
                  </a:bodyPr>
                  <a:lstStyle/>
                  <a:p>
                    <a:pPr>
                      <a:defRPr b="1">
                        <a:solidFill>
                          <a:srgbClr val="213315"/>
                        </a:solidFill>
                      </a:defRPr>
                    </a:pPr>
                    <a:r>
                      <a:rPr lang="en-US" b="1">
                        <a:solidFill>
                          <a:srgbClr val="C00000"/>
                        </a:solidFill>
                      </a:rPr>
                      <a:t>-6,3​</a:t>
                    </a:r>
                  </a:p>
                </c:rich>
              </c:tx>
              <c:numFmt formatCode="0.0\ %" sourceLinked="0"/>
              <c:spPr>
                <a:solidFill>
                  <a:schemeClr val="accent6">
                    <a:lumMod val="20000"/>
                    <a:lumOff val="80000"/>
                    <a:alpha val="49000"/>
                  </a:schemeClr>
                </a:solidFill>
                <a:ln>
                  <a:noFill/>
                </a:ln>
                <a:effectLst/>
              </c:spPr>
              <c:dLblPos val="r"/>
              <c:showLegendKey val="0"/>
              <c:showVal val="1"/>
              <c:showCatName val="0"/>
              <c:showSerName val="0"/>
              <c:showPercent val="0"/>
              <c:showBubbleSize val="0"/>
              <c:extLst>
                <c:ext xmlns:c15="http://schemas.microsoft.com/office/drawing/2012/chart" uri="{CE6537A1-D6FC-4f65-9D91-7224C49458BB}">
                  <c15:layout>
                    <c:manualLayout>
                      <c:w val="4.9461768820747626E-2"/>
                      <c:h val="5.6434686611248792E-2"/>
                    </c:manualLayout>
                  </c15:layout>
                </c:ext>
                <c:ext xmlns:c16="http://schemas.microsoft.com/office/drawing/2014/chart" uri="{C3380CC4-5D6E-409C-BE32-E72D297353CC}">
                  <c16:uniqueId val="{00000005-D39A-4B5B-85FA-BD849BD0A66F}"/>
                </c:ext>
              </c:extLst>
            </c:dLbl>
            <c:numFmt formatCode="0.0\ %" sourceLinked="0"/>
            <c:spPr>
              <a:solidFill>
                <a:schemeClr val="accent6">
                  <a:lumMod val="20000"/>
                  <a:lumOff val="80000"/>
                  <a:alpha val="49000"/>
                </a:schemeClr>
              </a:solidFill>
              <a:ln>
                <a:noFill/>
              </a:ln>
              <a:effectLst/>
            </c:spPr>
            <c:txPr>
              <a:bodyPr wrap="square" lIns="38100" tIns="19050" rIns="38100" bIns="19050" anchor="ctr">
                <a:spAutoFit/>
              </a:bodyPr>
              <a:lstStyle/>
              <a:p>
                <a:pPr>
                  <a:defRPr b="1">
                    <a:solidFill>
                      <a:srgbClr val="213315"/>
                    </a:solidFill>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strRef>
              <c:f>'2.2.15'!$A$42:$A$55</c:f>
              <c:strCache>
                <c:ptCount val="14"/>
                <c:pt idx="0">
                  <c:v>Středočeský  </c:v>
                </c:pt>
                <c:pt idx="1">
                  <c:v>Praha  </c:v>
                </c:pt>
                <c:pt idx="2">
                  <c:v>Jihomoravský  </c:v>
                </c:pt>
                <c:pt idx="3">
                  <c:v>Jihočeský  </c:v>
                </c:pt>
                <c:pt idx="4">
                  <c:v>Plzeňský  </c:v>
                </c:pt>
                <c:pt idx="5">
                  <c:v>Pardubický  </c:v>
                </c:pt>
                <c:pt idx="6">
                  <c:v>Vysočina  </c:v>
                </c:pt>
                <c:pt idx="7">
                  <c:v>Zlínský  </c:v>
                </c:pt>
                <c:pt idx="8">
                  <c:v>Olomoucký  </c:v>
                </c:pt>
                <c:pt idx="9">
                  <c:v>Královéhradecký  </c:v>
                </c:pt>
                <c:pt idx="10">
                  <c:v>Liberecký  </c:v>
                </c:pt>
                <c:pt idx="11">
                  <c:v>Karlovarský  </c:v>
                </c:pt>
                <c:pt idx="12">
                  <c:v>Moravskoslezský  </c:v>
                </c:pt>
                <c:pt idx="13">
                  <c:v>Ústecký  </c:v>
                </c:pt>
              </c:strCache>
            </c:strRef>
          </c:xVal>
          <c:yVal>
            <c:numRef>
              <c:f>'2.2.15'!$E$42:$E$55</c:f>
              <c:numCache>
                <c:formatCode>0.0%</c:formatCode>
                <c:ptCount val="14"/>
                <c:pt idx="0">
                  <c:v>0.21920604914933839</c:v>
                </c:pt>
                <c:pt idx="1">
                  <c:v>0.21182037483763216</c:v>
                </c:pt>
                <c:pt idx="2">
                  <c:v>0.14731858326504588</c:v>
                </c:pt>
                <c:pt idx="3">
                  <c:v>9.3826756181431215E-2</c:v>
                </c:pt>
                <c:pt idx="4">
                  <c:v>8.5827216261998851E-2</c:v>
                </c:pt>
                <c:pt idx="5">
                  <c:v>4.9091997605268389E-2</c:v>
                </c:pt>
                <c:pt idx="6">
                  <c:v>3.5291758572288057E-2</c:v>
                </c:pt>
                <c:pt idx="7">
                  <c:v>2.4594643833120822E-2</c:v>
                </c:pt>
                <c:pt idx="8">
                  <c:v>7.2619244099685343E-3</c:v>
                </c:pt>
                <c:pt idx="9">
                  <c:v>3.3771106941837825E-3</c:v>
                </c:pt>
                <c:pt idx="10">
                  <c:v>2.0533880903490509E-3</c:v>
                </c:pt>
                <c:pt idx="11">
                  <c:v>-2.7402265253927638E-2</c:v>
                </c:pt>
                <c:pt idx="12">
                  <c:v>-3.3554760688128127E-2</c:v>
                </c:pt>
                <c:pt idx="13">
                  <c:v>-6.3369577925873943E-2</c:v>
                </c:pt>
              </c:numCache>
            </c:numRef>
          </c:yVal>
          <c:smooth val="0"/>
          <c:extLst>
            <c:ext xmlns:c16="http://schemas.microsoft.com/office/drawing/2014/chart" uri="{C3380CC4-5D6E-409C-BE32-E72D297353CC}">
              <c16:uniqueId val="{00000006-D39A-4B5B-85FA-BD849BD0A66F}"/>
            </c:ext>
          </c:extLst>
        </c:ser>
        <c:dLbls>
          <c:showLegendKey val="0"/>
          <c:showVal val="0"/>
          <c:showCatName val="0"/>
          <c:showSerName val="0"/>
          <c:showPercent val="0"/>
          <c:showBubbleSize val="0"/>
        </c:dLbls>
        <c:axId val="446077696"/>
        <c:axId val="446077120"/>
      </c:scatterChart>
      <c:catAx>
        <c:axId val="374400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46076544"/>
        <c:crosses val="autoZero"/>
        <c:auto val="1"/>
        <c:lblAlgn val="ctr"/>
        <c:lblOffset val="100"/>
        <c:noMultiLvlLbl val="0"/>
      </c:catAx>
      <c:valAx>
        <c:axId val="446076544"/>
        <c:scaling>
          <c:orientation val="minMax"/>
          <c:max val="2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74400512"/>
        <c:crosses val="autoZero"/>
        <c:crossBetween val="between"/>
      </c:valAx>
      <c:valAx>
        <c:axId val="446077120"/>
        <c:scaling>
          <c:orientation val="minMax"/>
          <c:max val="0.25"/>
          <c:min val="-7.0000000000000007E-2"/>
        </c:scaling>
        <c:delete val="0"/>
        <c:axPos val="r"/>
        <c:numFmt formatCode="0\ %"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46077696"/>
        <c:crosses val="max"/>
        <c:crossBetween val="midCat"/>
      </c:valAx>
      <c:valAx>
        <c:axId val="446077696"/>
        <c:scaling>
          <c:orientation val="minMax"/>
        </c:scaling>
        <c:delete val="1"/>
        <c:axPos val="b"/>
        <c:numFmt formatCode="General" sourceLinked="1"/>
        <c:majorTickMark val="out"/>
        <c:minorTickMark val="none"/>
        <c:tickLblPos val="nextTo"/>
        <c:crossAx val="446077120"/>
        <c:crossesAt val="0"/>
        <c:crossBetween val="midCat"/>
      </c:valAx>
      <c:spPr>
        <a:noFill/>
        <a:ln>
          <a:noFill/>
        </a:ln>
        <a:effectLst/>
      </c:spPr>
    </c:plotArea>
    <c:legend>
      <c:legendPos val="b"/>
      <c:layout>
        <c:manualLayout>
          <c:xMode val="edge"/>
          <c:yMode val="edge"/>
          <c:x val="0.3536640959527636"/>
          <c:y val="3.121414837072943E-2"/>
          <c:w val="0.62839501890457528"/>
          <c:h val="9.5991051257868526E-2"/>
        </c:manualLayout>
      </c:layout>
      <c:overlay val="0"/>
      <c:spPr>
        <a:solidFill>
          <a:sysClr val="window" lastClr="FFFFFF"/>
        </a:solidFill>
        <a:ln w="12700">
          <a:solidFill>
            <a:sysClr val="window" lastClr="FFFFFF">
              <a:lumMod val="50000"/>
            </a:sysClr>
          </a:solid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623529238758E-2"/>
          <c:y val="6.1555537880997199E-2"/>
          <c:w val="0.93093839509945053"/>
          <c:h val="0.6865091863517061"/>
        </c:manualLayout>
      </c:layout>
      <c:barChart>
        <c:barDir val="col"/>
        <c:grouping val="clustered"/>
        <c:varyColors val="0"/>
        <c:ser>
          <c:idx val="0"/>
          <c:order val="0"/>
          <c:tx>
            <c:strRef>
              <c:f>List34!$B$21</c:f>
              <c:strCache>
                <c:ptCount val="1"/>
                <c:pt idx="0">
                  <c:v>dívky</c:v>
                </c:pt>
              </c:strCache>
            </c:strRef>
          </c:tx>
          <c:spPr>
            <a:solidFill>
              <a:srgbClr val="EB6C15"/>
            </a:solidFill>
            <a:ln>
              <a:noFill/>
            </a:ln>
            <a:effectLst/>
          </c:spPr>
          <c:invertIfNegative val="0"/>
          <c:dPt>
            <c:idx val="7"/>
            <c:invertIfNegative val="0"/>
            <c:bubble3D val="0"/>
            <c:extLst>
              <c:ext xmlns:c16="http://schemas.microsoft.com/office/drawing/2014/chart" uri="{C3380CC4-5D6E-409C-BE32-E72D297353CC}">
                <c16:uniqueId val="{00000000-2B4D-4CC2-9F9B-3A3E201FC98E}"/>
              </c:ext>
            </c:extLst>
          </c:dPt>
          <c:dPt>
            <c:idx val="8"/>
            <c:invertIfNegative val="0"/>
            <c:bubble3D val="0"/>
            <c:extLst>
              <c:ext xmlns:c16="http://schemas.microsoft.com/office/drawing/2014/chart" uri="{C3380CC4-5D6E-409C-BE32-E72D297353CC}">
                <c16:uniqueId val="{00000001-2B4D-4CC2-9F9B-3A3E201FC98E}"/>
              </c:ext>
            </c:extLst>
          </c:dPt>
          <c:dLbls>
            <c:numFmt formatCode="#,##0.0" sourceLinked="0"/>
            <c:spPr>
              <a:noFill/>
              <a:ln>
                <a:noFill/>
              </a:ln>
              <a:effectLst/>
            </c:spPr>
            <c:txPr>
              <a:bodyPr wrap="square" lIns="38100" tIns="19050" rIns="38100" bIns="19050" anchor="ctr">
                <a:spAutoFit/>
              </a:bodyPr>
              <a:lstStyle/>
              <a:p>
                <a:pPr>
                  <a:defRPr i="1">
                    <a:solidFill>
                      <a:srgbClr val="FF0000"/>
                    </a:solidFill>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List34!$A$22:$A$36</c:f>
              <c:strCache>
                <c:ptCount val="15"/>
                <c:pt idx="0">
                  <c:v>Ústecký</c:v>
                </c:pt>
                <c:pt idx="1">
                  <c:v>Olomoucký</c:v>
                </c:pt>
                <c:pt idx="2">
                  <c:v>Královéhradecký</c:v>
                </c:pt>
                <c:pt idx="3">
                  <c:v>Liberecký</c:v>
                </c:pt>
                <c:pt idx="4">
                  <c:v>Karlovarský</c:v>
                </c:pt>
                <c:pt idx="5">
                  <c:v>Zlínský</c:v>
                </c:pt>
                <c:pt idx="6">
                  <c:v>Jihočeský</c:v>
                </c:pt>
                <c:pt idx="7">
                  <c:v>ČR</c:v>
                </c:pt>
                <c:pt idx="8">
                  <c:v>Plzeňský</c:v>
                </c:pt>
                <c:pt idx="9">
                  <c:v>Jihomoravský</c:v>
                </c:pt>
                <c:pt idx="10">
                  <c:v>Moravskoslezský</c:v>
                </c:pt>
                <c:pt idx="11">
                  <c:v>Pardubický</c:v>
                </c:pt>
                <c:pt idx="12">
                  <c:v>Vysočina</c:v>
                </c:pt>
                <c:pt idx="13">
                  <c:v>Praha</c:v>
                </c:pt>
                <c:pt idx="14">
                  <c:v>Středočeský</c:v>
                </c:pt>
              </c:strCache>
            </c:strRef>
          </c:cat>
          <c:val>
            <c:numRef>
              <c:f>List34!$B$22:$B$36</c:f>
              <c:numCache>
                <c:formatCode>General</c:formatCode>
                <c:ptCount val="15"/>
                <c:pt idx="0">
                  <c:v>20.870678617157491</c:v>
                </c:pt>
                <c:pt idx="1">
                  <c:v>19.300605245460659</c:v>
                </c:pt>
                <c:pt idx="2">
                  <c:v>18.251240931653303</c:v>
                </c:pt>
                <c:pt idx="3">
                  <c:v>18.874941887494188</c:v>
                </c:pt>
                <c:pt idx="4">
                  <c:v>18.730650154798763</c:v>
                </c:pt>
                <c:pt idx="5">
                  <c:v>17.359855334538878</c:v>
                </c:pt>
                <c:pt idx="6">
                  <c:v>17.348203221809168</c:v>
                </c:pt>
                <c:pt idx="7">
                  <c:v>17.220589629348755</c:v>
                </c:pt>
                <c:pt idx="8">
                  <c:v>17.311827956989248</c:v>
                </c:pt>
                <c:pt idx="9">
                  <c:v>16.994835377663009</c:v>
                </c:pt>
                <c:pt idx="10">
                  <c:v>16.666666666666664</c:v>
                </c:pt>
                <c:pt idx="11">
                  <c:v>16.302652106084242</c:v>
                </c:pt>
                <c:pt idx="12">
                  <c:v>16.477049823460181</c:v>
                </c:pt>
                <c:pt idx="13">
                  <c:v>15.780170335850876</c:v>
                </c:pt>
                <c:pt idx="14">
                  <c:v>15.701432011151944</c:v>
                </c:pt>
              </c:numCache>
            </c:numRef>
          </c:val>
          <c:extLst>
            <c:ext xmlns:c16="http://schemas.microsoft.com/office/drawing/2014/chart" uri="{C3380CC4-5D6E-409C-BE32-E72D297353CC}">
              <c16:uniqueId val="{0000000F-2B4D-4CC2-9F9B-3A3E201FC98E}"/>
            </c:ext>
          </c:extLst>
        </c:ser>
        <c:ser>
          <c:idx val="1"/>
          <c:order val="1"/>
          <c:tx>
            <c:strRef>
              <c:f>List34!$C$21</c:f>
              <c:strCache>
                <c:ptCount val="1"/>
                <c:pt idx="0">
                  <c:v>chlapci</c:v>
                </c:pt>
              </c:strCache>
            </c:strRef>
          </c:tx>
          <c:spPr>
            <a:solidFill>
              <a:schemeClr val="accent1">
                <a:lumMod val="40000"/>
                <a:lumOff val="60000"/>
              </a:schemeClr>
            </a:solidFill>
            <a:ln>
              <a:noFill/>
            </a:ln>
            <a:effectLst/>
          </c:spPr>
          <c:invertIfNegative val="0"/>
          <c:dPt>
            <c:idx val="7"/>
            <c:invertIfNegative val="0"/>
            <c:bubble3D val="0"/>
            <c:extLst>
              <c:ext xmlns:c16="http://schemas.microsoft.com/office/drawing/2014/chart" uri="{C3380CC4-5D6E-409C-BE32-E72D297353CC}">
                <c16:uniqueId val="{00000010-2B4D-4CC2-9F9B-3A3E201FC98E}"/>
              </c:ext>
            </c:extLst>
          </c:dPt>
          <c:dPt>
            <c:idx val="8"/>
            <c:invertIfNegative val="0"/>
            <c:bubble3D val="0"/>
            <c:extLst>
              <c:ext xmlns:c16="http://schemas.microsoft.com/office/drawing/2014/chart" uri="{C3380CC4-5D6E-409C-BE32-E72D297353CC}">
                <c16:uniqueId val="{00000011-2B4D-4CC2-9F9B-3A3E201FC98E}"/>
              </c:ext>
            </c:extLst>
          </c:dPt>
          <c:dLbls>
            <c:numFmt formatCode="#,##0.0" sourceLinked="0"/>
            <c:spPr>
              <a:noFill/>
              <a:ln>
                <a:noFill/>
              </a:ln>
              <a:effectLst/>
            </c:spPr>
            <c:txPr>
              <a:bodyPr wrap="square" lIns="38100" tIns="19050" rIns="38100" bIns="19050" anchor="ctr">
                <a:spAutoFit/>
              </a:bodyPr>
              <a:lstStyle/>
              <a:p>
                <a:pPr>
                  <a:defRPr i="1">
                    <a:solidFill>
                      <a:srgbClr val="0070C0"/>
                    </a:solidFill>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List34!$A$22:$A$36</c:f>
              <c:strCache>
                <c:ptCount val="15"/>
                <c:pt idx="0">
                  <c:v>Ústecký</c:v>
                </c:pt>
                <c:pt idx="1">
                  <c:v>Olomoucký</c:v>
                </c:pt>
                <c:pt idx="2">
                  <c:v>Královéhradecký</c:v>
                </c:pt>
                <c:pt idx="3">
                  <c:v>Liberecký</c:v>
                </c:pt>
                <c:pt idx="4">
                  <c:v>Karlovarský</c:v>
                </c:pt>
                <c:pt idx="5">
                  <c:v>Zlínský</c:v>
                </c:pt>
                <c:pt idx="6">
                  <c:v>Jihočeský</c:v>
                </c:pt>
                <c:pt idx="7">
                  <c:v>ČR</c:v>
                </c:pt>
                <c:pt idx="8">
                  <c:v>Plzeňský</c:v>
                </c:pt>
                <c:pt idx="9">
                  <c:v>Jihomoravský</c:v>
                </c:pt>
                <c:pt idx="10">
                  <c:v>Moravskoslezský</c:v>
                </c:pt>
                <c:pt idx="11">
                  <c:v>Pardubický</c:v>
                </c:pt>
                <c:pt idx="12">
                  <c:v>Vysočina</c:v>
                </c:pt>
                <c:pt idx="13">
                  <c:v>Praha</c:v>
                </c:pt>
                <c:pt idx="14">
                  <c:v>Středočeský</c:v>
                </c:pt>
              </c:strCache>
            </c:strRef>
          </c:cat>
          <c:val>
            <c:numRef>
              <c:f>List34!$C$22:$C$36</c:f>
              <c:numCache>
                <c:formatCode>General</c:formatCode>
                <c:ptCount val="15"/>
                <c:pt idx="0">
                  <c:v>32.976132489040424</c:v>
                </c:pt>
                <c:pt idx="1">
                  <c:v>33.237456056248007</c:v>
                </c:pt>
                <c:pt idx="2">
                  <c:v>32.209600586295345</c:v>
                </c:pt>
                <c:pt idx="3">
                  <c:v>31.280678268630073</c:v>
                </c:pt>
                <c:pt idx="4">
                  <c:v>31.167883211678831</c:v>
                </c:pt>
                <c:pt idx="5">
                  <c:v>31.444561035327041</c:v>
                </c:pt>
                <c:pt idx="6">
                  <c:v>30.301274623406719</c:v>
                </c:pt>
                <c:pt idx="7">
                  <c:v>30.026354742048451</c:v>
                </c:pt>
                <c:pt idx="8">
                  <c:v>29.607250755287005</c:v>
                </c:pt>
                <c:pt idx="9">
                  <c:v>30.039032006245119</c:v>
                </c:pt>
                <c:pt idx="10">
                  <c:v>29.895652173913046</c:v>
                </c:pt>
                <c:pt idx="11">
                  <c:v>28.406981062012626</c:v>
                </c:pt>
                <c:pt idx="12">
                  <c:v>28.15608263198164</c:v>
                </c:pt>
                <c:pt idx="13">
                  <c:v>28.224627083942671</c:v>
                </c:pt>
                <c:pt idx="14">
                  <c:v>28.325033402162031</c:v>
                </c:pt>
              </c:numCache>
            </c:numRef>
          </c:val>
          <c:extLst>
            <c:ext xmlns:c16="http://schemas.microsoft.com/office/drawing/2014/chart" uri="{C3380CC4-5D6E-409C-BE32-E72D297353CC}">
              <c16:uniqueId val="{00000012-2B4D-4CC2-9F9B-3A3E201FC98E}"/>
            </c:ext>
          </c:extLst>
        </c:ser>
        <c:dLbls>
          <c:showLegendKey val="0"/>
          <c:showVal val="0"/>
          <c:showCatName val="0"/>
          <c:showSerName val="0"/>
          <c:showPercent val="0"/>
          <c:showBubbleSize val="0"/>
        </c:dLbls>
        <c:gapWidth val="99"/>
        <c:axId val="139036544"/>
        <c:axId val="139038080"/>
        <c:extLst/>
      </c:barChart>
      <c:scatterChart>
        <c:scatterStyle val="lineMarker"/>
        <c:varyColors val="0"/>
        <c:ser>
          <c:idx val="2"/>
          <c:order val="2"/>
          <c:tx>
            <c:strRef>
              <c:f>List34!$D$21</c:f>
              <c:strCache>
                <c:ptCount val="1"/>
                <c:pt idx="0">
                  <c:v>celkem</c:v>
                </c:pt>
              </c:strCache>
            </c:strRef>
          </c:tx>
          <c:spPr>
            <a:ln w="28575">
              <a:noFill/>
            </a:ln>
          </c:spPr>
          <c:marker>
            <c:symbol val="triangle"/>
            <c:size val="8"/>
            <c:spPr>
              <a:solidFill>
                <a:srgbClr val="5D7430"/>
              </a:solidFill>
              <a:ln>
                <a:noFill/>
              </a:ln>
            </c:spPr>
          </c:marker>
          <c:dLbls>
            <c:dLbl>
              <c:idx val="7"/>
              <c:layout>
                <c:manualLayout>
                  <c:x val="-3.8394854357668873E-2"/>
                  <c:y val="-5.50709521965492E-2"/>
                </c:manualLayout>
              </c:layout>
              <c:tx>
                <c:rich>
                  <a:bodyPr wrap="square" lIns="38100" tIns="19050" rIns="38100" bIns="19050" anchor="ctr">
                    <a:noAutofit/>
                  </a:bodyPr>
                  <a:lstStyle/>
                  <a:p>
                    <a:pPr>
                      <a:defRPr sz="800" b="1">
                        <a:solidFill>
                          <a:sysClr val="windowText" lastClr="000000"/>
                        </a:solidFill>
                      </a:defRPr>
                    </a:pPr>
                    <a:r>
                      <a:rPr lang="en-US" sz="800">
                        <a:solidFill>
                          <a:sysClr val="windowText" lastClr="000000"/>
                        </a:solidFill>
                      </a:rPr>
                      <a:t>23,8​</a:t>
                    </a:r>
                  </a:p>
                </c:rich>
              </c:tx>
              <c:numFmt formatCode="#,##0.0" sourceLinked="0"/>
              <c:spPr>
                <a:noFill/>
                <a:ln>
                  <a:noFill/>
                </a:ln>
                <a:effectLst/>
              </c:spPr>
              <c:dLblPos val="r"/>
              <c:showLegendKey val="0"/>
              <c:showVal val="1"/>
              <c:showCatName val="0"/>
              <c:showSerName val="0"/>
              <c:showPercent val="0"/>
              <c:showBubbleSize val="0"/>
              <c:extLst>
                <c:ext xmlns:c15="http://schemas.microsoft.com/office/drawing/2012/chart" uri="{CE6537A1-D6FC-4f65-9D91-7224C49458BB}">
                  <c15:layout>
                    <c:manualLayout>
                      <c:w val="4.7738201639507649E-2"/>
                      <c:h val="5.7683232218923457E-2"/>
                    </c:manualLayout>
                  </c15:layout>
                </c:ext>
                <c:ext xmlns:c16="http://schemas.microsoft.com/office/drawing/2014/chart" uri="{C3380CC4-5D6E-409C-BE32-E72D297353CC}">
                  <c16:uniqueId val="{00000013-2B4D-4CC2-9F9B-3A3E201FC98E}"/>
                </c:ext>
              </c:extLst>
            </c:dLbl>
            <c:numFmt formatCode="#,##0.0" sourceLinked="0"/>
            <c:spPr>
              <a:noFill/>
              <a:ln>
                <a:noFill/>
              </a:ln>
              <a:effectLst/>
            </c:spPr>
            <c:txPr>
              <a:bodyPr wrap="square" lIns="38100" tIns="19050" rIns="38100" bIns="19050" anchor="ctr">
                <a:spAutoFit/>
              </a:bodyPr>
              <a:lstStyle/>
              <a:p>
                <a:pPr>
                  <a:defRPr sz="800">
                    <a:solidFill>
                      <a:sysClr val="windowText" lastClr="000000"/>
                    </a:solidFill>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xVal>
            <c:strRef>
              <c:f>List34!$A$22:$A$36</c:f>
              <c:strCache>
                <c:ptCount val="15"/>
                <c:pt idx="0">
                  <c:v>Ústecký</c:v>
                </c:pt>
                <c:pt idx="1">
                  <c:v>Olomoucký</c:v>
                </c:pt>
                <c:pt idx="2">
                  <c:v>Královéhradecký</c:v>
                </c:pt>
                <c:pt idx="3">
                  <c:v>Liberecký</c:v>
                </c:pt>
                <c:pt idx="4">
                  <c:v>Karlovarský</c:v>
                </c:pt>
                <c:pt idx="5">
                  <c:v>Zlínský</c:v>
                </c:pt>
                <c:pt idx="6">
                  <c:v>Jihočeský</c:v>
                </c:pt>
                <c:pt idx="7">
                  <c:v>ČR</c:v>
                </c:pt>
                <c:pt idx="8">
                  <c:v>Plzeňský</c:v>
                </c:pt>
                <c:pt idx="9">
                  <c:v>Jihomoravský</c:v>
                </c:pt>
                <c:pt idx="10">
                  <c:v>Moravskoslezský</c:v>
                </c:pt>
                <c:pt idx="11">
                  <c:v>Pardubický</c:v>
                </c:pt>
                <c:pt idx="12">
                  <c:v>Vysočina</c:v>
                </c:pt>
                <c:pt idx="13">
                  <c:v>Praha</c:v>
                </c:pt>
                <c:pt idx="14">
                  <c:v>Středočeský</c:v>
                </c:pt>
              </c:strCache>
            </c:strRef>
          </c:xVal>
          <c:yVal>
            <c:numRef>
              <c:f>List34!$D$22:$D$36</c:f>
              <c:numCache>
                <c:formatCode>General</c:formatCode>
                <c:ptCount val="15"/>
                <c:pt idx="0">
                  <c:v>27.075271501685183</c:v>
                </c:pt>
                <c:pt idx="1">
                  <c:v>26.446010158938225</c:v>
                </c:pt>
                <c:pt idx="2">
                  <c:v>25.373971578160059</c:v>
                </c:pt>
                <c:pt idx="3">
                  <c:v>25.204918032786882</c:v>
                </c:pt>
                <c:pt idx="4">
                  <c:v>25.131480090157776</c:v>
                </c:pt>
                <c:pt idx="5">
                  <c:v>24.5199146514936</c:v>
                </c:pt>
                <c:pt idx="6">
                  <c:v>24.04191616766467</c:v>
                </c:pt>
                <c:pt idx="7">
                  <c:v>23.780549827543158</c:v>
                </c:pt>
                <c:pt idx="8">
                  <c:v>23.660946437857515</c:v>
                </c:pt>
                <c:pt idx="9">
                  <c:v>23.625109118323941</c:v>
                </c:pt>
                <c:pt idx="10">
                  <c:v>23.369756785336623</c:v>
                </c:pt>
                <c:pt idx="11">
                  <c:v>22.503328894806923</c:v>
                </c:pt>
                <c:pt idx="12">
                  <c:v>22.390083284911874</c:v>
                </c:pt>
                <c:pt idx="13">
                  <c:v>22.295383201898783</c:v>
                </c:pt>
                <c:pt idx="14">
                  <c:v>22.147109898288267</c:v>
                </c:pt>
              </c:numCache>
            </c:numRef>
          </c:yVal>
          <c:smooth val="0"/>
          <c:extLst>
            <c:ext xmlns:c16="http://schemas.microsoft.com/office/drawing/2014/chart" uri="{C3380CC4-5D6E-409C-BE32-E72D297353CC}">
              <c16:uniqueId val="{00000014-2B4D-4CC2-9F9B-3A3E201FC98E}"/>
            </c:ext>
          </c:extLst>
        </c:ser>
        <c:dLbls>
          <c:showLegendKey val="0"/>
          <c:showVal val="0"/>
          <c:showCatName val="0"/>
          <c:showSerName val="0"/>
          <c:showPercent val="0"/>
          <c:showBubbleSize val="0"/>
        </c:dLbls>
        <c:axId val="139036544"/>
        <c:axId val="139038080"/>
      </c:scatterChart>
      <c:catAx>
        <c:axId val="139036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9038080"/>
        <c:crosses val="autoZero"/>
        <c:auto val="1"/>
        <c:lblAlgn val="ctr"/>
        <c:lblOffset val="100"/>
        <c:noMultiLvlLbl val="0"/>
      </c:catAx>
      <c:valAx>
        <c:axId val="139038080"/>
        <c:scaling>
          <c:orientation val="minMax"/>
          <c:max val="35"/>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39036544"/>
        <c:crosses val="autoZero"/>
        <c:crossBetween val="between"/>
        <c:majorUnit val="10"/>
        <c:minorUnit val="2.5000000000000012E-2"/>
      </c:valAx>
      <c:spPr>
        <a:noFill/>
        <a:ln>
          <a:noFill/>
        </a:ln>
        <a:effectLst/>
      </c:spPr>
    </c:plotArea>
    <c:legend>
      <c:legendPos val="b"/>
      <c:legendEntry>
        <c:idx val="2"/>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Entry>
      <c:layout>
        <c:manualLayout>
          <c:xMode val="edge"/>
          <c:yMode val="edge"/>
          <c:x val="0.68920153656866767"/>
          <c:y val="1.2610443896533138E-2"/>
          <c:w val="0.30223606361302785"/>
          <c:h val="7.3670741815167834E-2"/>
        </c:manualLayout>
      </c:layout>
      <c:overlay val="0"/>
      <c:spPr>
        <a:noFill/>
        <a:ln w="12700">
          <a:solidFill>
            <a:schemeClr val="tx1">
              <a:lumMod val="50000"/>
              <a:lumOff val="50000"/>
            </a:schemeClr>
          </a:solid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1587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userShapes r:id="rId2"/>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indiv.!$B$37</c:f>
              <c:strCache>
                <c:ptCount val="1"/>
                <c:pt idx="0">
                  <c:v>na 1. stupni</c:v>
                </c:pt>
              </c:strCache>
            </c:strRef>
          </c:tx>
          <c:spPr>
            <a:solidFill>
              <a:schemeClr val="accent1">
                <a:lumMod val="40000"/>
                <a:lumOff val="60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indiv.!$A$38:$A$48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indiv.!$B$38:$B$48</c:f>
              <c:numCache>
                <c:formatCode>General</c:formatCode>
                <c:ptCount val="11"/>
                <c:pt idx="0">
                  <c:v>553</c:v>
                </c:pt>
                <c:pt idx="1">
                  <c:v>629</c:v>
                </c:pt>
                <c:pt idx="2">
                  <c:v>832</c:v>
                </c:pt>
                <c:pt idx="3">
                  <c:v>1038</c:v>
                </c:pt>
                <c:pt idx="4">
                  <c:v>1339</c:v>
                </c:pt>
                <c:pt idx="5">
                  <c:v>1620</c:v>
                </c:pt>
                <c:pt idx="6">
                  <c:v>1979</c:v>
                </c:pt>
                <c:pt idx="7">
                  <c:v>2466</c:v>
                </c:pt>
                <c:pt idx="8">
                  <c:v>2823</c:v>
                </c:pt>
                <c:pt idx="9">
                  <c:v>3212</c:v>
                </c:pt>
                <c:pt idx="10">
                  <c:v>4006</c:v>
                </c:pt>
              </c:numCache>
            </c:numRef>
          </c:val>
          <c:extLst>
            <c:ext xmlns:c16="http://schemas.microsoft.com/office/drawing/2014/chart" uri="{C3380CC4-5D6E-409C-BE32-E72D297353CC}">
              <c16:uniqueId val="{00000000-5467-4F0C-83AF-91CF91E52C52}"/>
            </c:ext>
          </c:extLst>
        </c:ser>
        <c:ser>
          <c:idx val="1"/>
          <c:order val="1"/>
          <c:tx>
            <c:strRef>
              <c:f>indiv.!$C$37</c:f>
              <c:strCache>
                <c:ptCount val="1"/>
                <c:pt idx="0">
                  <c:v>na 2. stupni</c:v>
                </c:pt>
              </c:strCache>
            </c:strRef>
          </c:tx>
          <c:spPr>
            <a:solidFill>
              <a:schemeClr val="accent6">
                <a:lumMod val="60000"/>
                <a:lumOff val="4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1-5467-4F0C-83AF-91CF91E52C52}"/>
                </c:ext>
              </c:extLst>
            </c:dLbl>
            <c:dLbl>
              <c:idx val="1"/>
              <c:delete val="1"/>
              <c:extLst>
                <c:ext xmlns:c15="http://schemas.microsoft.com/office/drawing/2012/chart" uri="{CE6537A1-D6FC-4f65-9D91-7224C49458BB}"/>
                <c:ext xmlns:c16="http://schemas.microsoft.com/office/drawing/2014/chart" uri="{C3380CC4-5D6E-409C-BE32-E72D297353CC}">
                  <c16:uniqueId val="{00000002-5467-4F0C-83AF-91CF91E52C52}"/>
                </c:ext>
              </c:extLst>
            </c:dLbl>
            <c:dLbl>
              <c:idx val="2"/>
              <c:delete val="1"/>
              <c:extLst>
                <c:ext xmlns:c15="http://schemas.microsoft.com/office/drawing/2012/chart" uri="{CE6537A1-D6FC-4f65-9D91-7224C49458BB}"/>
                <c:ext xmlns:c16="http://schemas.microsoft.com/office/drawing/2014/chart" uri="{C3380CC4-5D6E-409C-BE32-E72D297353CC}">
                  <c16:uniqueId val="{00000003-5467-4F0C-83AF-91CF91E52C52}"/>
                </c:ext>
              </c:extLst>
            </c:dLbl>
            <c:dLbl>
              <c:idx val="3"/>
              <c:delete val="1"/>
              <c:extLst>
                <c:ext xmlns:c15="http://schemas.microsoft.com/office/drawing/2012/chart" uri="{CE6537A1-D6FC-4f65-9D91-7224C49458BB}"/>
                <c:ext xmlns:c16="http://schemas.microsoft.com/office/drawing/2014/chart" uri="{C3380CC4-5D6E-409C-BE32-E72D297353CC}">
                  <c16:uniqueId val="{00000004-5467-4F0C-83AF-91CF91E52C52}"/>
                </c:ext>
              </c:extLst>
            </c:dLbl>
            <c:dLbl>
              <c:idx val="4"/>
              <c:delete val="1"/>
              <c:extLst>
                <c:ext xmlns:c15="http://schemas.microsoft.com/office/drawing/2012/chart" uri="{CE6537A1-D6FC-4f65-9D91-7224C49458BB}"/>
                <c:ext xmlns:c16="http://schemas.microsoft.com/office/drawing/2014/chart" uri="{C3380CC4-5D6E-409C-BE32-E72D297353CC}">
                  <c16:uniqueId val="{00000005-5467-4F0C-83AF-91CF91E52C52}"/>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indiv.!$A$38:$A$48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indiv.!$C$38:$C$48</c:f>
              <c:numCache>
                <c:formatCode>General</c:formatCode>
                <c:ptCount val="11"/>
                <c:pt idx="5">
                  <c:v>447</c:v>
                </c:pt>
                <c:pt idx="6">
                  <c:v>612</c:v>
                </c:pt>
                <c:pt idx="7">
                  <c:v>766</c:v>
                </c:pt>
                <c:pt idx="8">
                  <c:v>1051</c:v>
                </c:pt>
                <c:pt idx="9">
                  <c:v>1345</c:v>
                </c:pt>
                <c:pt idx="10">
                  <c:v>1806</c:v>
                </c:pt>
              </c:numCache>
            </c:numRef>
          </c:val>
          <c:extLst>
            <c:ext xmlns:c16="http://schemas.microsoft.com/office/drawing/2014/chart" uri="{C3380CC4-5D6E-409C-BE32-E72D297353CC}">
              <c16:uniqueId val="{00000007-5467-4F0C-83AF-91CF91E52C52}"/>
            </c:ext>
          </c:extLst>
        </c:ser>
        <c:dLbls>
          <c:showLegendKey val="0"/>
          <c:showVal val="0"/>
          <c:showCatName val="0"/>
          <c:showSerName val="0"/>
          <c:showPercent val="0"/>
          <c:showBubbleSize val="0"/>
        </c:dLbls>
        <c:gapWidth val="18"/>
        <c:overlap val="64"/>
        <c:axId val="303053824"/>
        <c:axId val="303041344"/>
      </c:barChart>
      <c:lineChart>
        <c:grouping val="standard"/>
        <c:varyColors val="0"/>
        <c:ser>
          <c:idx val="2"/>
          <c:order val="2"/>
          <c:tx>
            <c:strRef>
              <c:f>indiv.!$D$37</c:f>
              <c:strCache>
                <c:ptCount val="1"/>
                <c:pt idx="0">
                  <c:v>podíl na všech žácích 1. stupně (v %)</c:v>
                </c:pt>
              </c:strCache>
            </c:strRef>
          </c:tx>
          <c:spPr>
            <a:ln w="28575" cap="rnd">
              <a:solidFill>
                <a:srgbClr val="81B2DF"/>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1" i="1" u="none" strike="noStrike" kern="1200" baseline="0">
                    <a:solidFill>
                      <a:schemeClr val="accent1">
                        <a:lumMod val="50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indiv.!$A$38:$A$48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indiv.!$D$38:$D$48</c:f>
              <c:numCache>
                <c:formatCode>0.00</c:formatCode>
                <c:ptCount val="11"/>
                <c:pt idx="0">
                  <c:v>0.11658623692094273</c:v>
                </c:pt>
                <c:pt idx="1">
                  <c:v>0.12886545135687741</c:v>
                </c:pt>
                <c:pt idx="2">
                  <c:v>0.16443240187911454</c:v>
                </c:pt>
                <c:pt idx="3">
                  <c:v>0.19599549852342504</c:v>
                </c:pt>
                <c:pt idx="4">
                  <c:v>0.24282408582806822</c:v>
                </c:pt>
                <c:pt idx="5">
                  <c:v>0.28472703114070086</c:v>
                </c:pt>
                <c:pt idx="6">
                  <c:v>0.34375602528404603</c:v>
                </c:pt>
                <c:pt idx="7">
                  <c:v>0.43003477247916966</c:v>
                </c:pt>
                <c:pt idx="8">
                  <c:v>0.50111299272560739</c:v>
                </c:pt>
                <c:pt idx="9">
                  <c:v>0.57864594686617821</c:v>
                </c:pt>
                <c:pt idx="10">
                  <c:v>0.73408818953621968</c:v>
                </c:pt>
              </c:numCache>
            </c:numRef>
          </c:val>
          <c:smooth val="0"/>
          <c:extLst>
            <c:ext xmlns:c16="http://schemas.microsoft.com/office/drawing/2014/chart" uri="{C3380CC4-5D6E-409C-BE32-E72D297353CC}">
              <c16:uniqueId val="{00000008-5467-4F0C-83AF-91CF91E52C52}"/>
            </c:ext>
          </c:extLst>
        </c:ser>
        <c:ser>
          <c:idx val="3"/>
          <c:order val="3"/>
          <c:tx>
            <c:strRef>
              <c:f>indiv.!$E$37</c:f>
              <c:strCache>
                <c:ptCount val="1"/>
                <c:pt idx="0">
                  <c:v>podíl na všech žácích 2. stupně (v %)</c:v>
                </c:pt>
              </c:strCache>
            </c:strRef>
          </c:tx>
          <c:spPr>
            <a:ln w="28575" cap="rnd">
              <a:solidFill>
                <a:schemeClr val="accent6">
                  <a:lumMod val="75000"/>
                </a:schemeClr>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9-5467-4F0C-83AF-91CF91E52C52}"/>
                </c:ext>
              </c:extLst>
            </c:dLbl>
            <c:dLbl>
              <c:idx val="1"/>
              <c:delete val="1"/>
              <c:extLst>
                <c:ext xmlns:c15="http://schemas.microsoft.com/office/drawing/2012/chart" uri="{CE6537A1-D6FC-4f65-9D91-7224C49458BB}"/>
                <c:ext xmlns:c16="http://schemas.microsoft.com/office/drawing/2014/chart" uri="{C3380CC4-5D6E-409C-BE32-E72D297353CC}">
                  <c16:uniqueId val="{0000000A-5467-4F0C-83AF-91CF91E52C52}"/>
                </c:ext>
              </c:extLst>
            </c:dLbl>
            <c:dLbl>
              <c:idx val="2"/>
              <c:delete val="1"/>
              <c:extLst>
                <c:ext xmlns:c15="http://schemas.microsoft.com/office/drawing/2012/chart" uri="{CE6537A1-D6FC-4f65-9D91-7224C49458BB}"/>
                <c:ext xmlns:c16="http://schemas.microsoft.com/office/drawing/2014/chart" uri="{C3380CC4-5D6E-409C-BE32-E72D297353CC}">
                  <c16:uniqueId val="{0000000B-5467-4F0C-83AF-91CF91E52C52}"/>
                </c:ext>
              </c:extLst>
            </c:dLbl>
            <c:dLbl>
              <c:idx val="3"/>
              <c:delete val="1"/>
              <c:extLst>
                <c:ext xmlns:c15="http://schemas.microsoft.com/office/drawing/2012/chart" uri="{CE6537A1-D6FC-4f65-9D91-7224C49458BB}"/>
                <c:ext xmlns:c16="http://schemas.microsoft.com/office/drawing/2014/chart" uri="{C3380CC4-5D6E-409C-BE32-E72D297353CC}">
                  <c16:uniqueId val="{0000000C-5467-4F0C-83AF-91CF91E52C52}"/>
                </c:ext>
              </c:extLst>
            </c:dLbl>
            <c:dLbl>
              <c:idx val="4"/>
              <c:delete val="1"/>
              <c:extLst>
                <c:ext xmlns:c15="http://schemas.microsoft.com/office/drawing/2012/chart" uri="{CE6537A1-D6FC-4f65-9D91-7224C49458BB}"/>
                <c:ext xmlns:c16="http://schemas.microsoft.com/office/drawing/2014/chart" uri="{C3380CC4-5D6E-409C-BE32-E72D297353CC}">
                  <c16:uniqueId val="{0000000D-5467-4F0C-83AF-91CF91E52C52}"/>
                </c:ext>
              </c:extLst>
            </c:dLbl>
            <c:dLbl>
              <c:idx val="5"/>
              <c:layout/>
              <c:tx>
                <c:rich>
                  <a:bodyPr/>
                  <a:lstStyle/>
                  <a:p>
                    <a:r>
                      <a:rPr lang="en-US"/>
                      <a:t>0,13</a:t>
                    </a:r>
                  </a:p>
                </c:rich>
              </c:tx>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5467-4F0C-83AF-91CF91E52C52}"/>
                </c:ext>
              </c:extLst>
            </c:dLbl>
            <c:spPr>
              <a:noFill/>
              <a:ln>
                <a:noFill/>
              </a:ln>
              <a:effectLst/>
            </c:spPr>
            <c:txPr>
              <a:bodyPr rot="0" spcFirstLastPara="1" vertOverflow="ellipsis" vert="horz" wrap="square" lIns="38100" tIns="19050" rIns="38100" bIns="19050" anchor="ctr" anchorCtr="1">
                <a:spAutoFit/>
              </a:bodyPr>
              <a:lstStyle/>
              <a:p>
                <a:pPr>
                  <a:defRPr sz="800" b="1" i="1" u="none" strike="noStrike" kern="1200" baseline="0">
                    <a:solidFill>
                      <a:schemeClr val="accent6">
                        <a:lumMod val="50000"/>
                      </a:schemeClr>
                    </a:solidFill>
                    <a:latin typeface="Arial" panose="020B0604020202020204" pitchFamily="34" charset="0"/>
                    <a:ea typeface="+mn-ea"/>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indiv.!$A$38:$A$48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indiv.!$E$38:$E$48</c:f>
              <c:numCache>
                <c:formatCode>General</c:formatCode>
                <c:ptCount val="11"/>
                <c:pt idx="5" formatCode="0.00">
                  <c:v>0.13255362935988754</c:v>
                </c:pt>
                <c:pt idx="6" formatCode="0.00">
                  <c:v>0.17465304829499242</c:v>
                </c:pt>
                <c:pt idx="7" formatCode="0.00">
                  <c:v>0.20844331484736836</c:v>
                </c:pt>
                <c:pt idx="8" formatCode="0.00">
                  <c:v>0.26976386036960981</c:v>
                </c:pt>
                <c:pt idx="9" formatCode="0.00">
                  <c:v>0.33025666713320023</c:v>
                </c:pt>
                <c:pt idx="10" formatCode="0.00">
                  <c:v>0.43117031943847584</c:v>
                </c:pt>
              </c:numCache>
            </c:numRef>
          </c:val>
          <c:smooth val="0"/>
          <c:extLst>
            <c:ext xmlns:c16="http://schemas.microsoft.com/office/drawing/2014/chart" uri="{C3380CC4-5D6E-409C-BE32-E72D297353CC}">
              <c16:uniqueId val="{0000000F-5467-4F0C-83AF-91CF91E52C52}"/>
            </c:ext>
          </c:extLst>
        </c:ser>
        <c:dLbls>
          <c:showLegendKey val="0"/>
          <c:showVal val="0"/>
          <c:showCatName val="0"/>
          <c:showSerName val="0"/>
          <c:showPercent val="0"/>
          <c:showBubbleSize val="0"/>
        </c:dLbls>
        <c:marker val="1"/>
        <c:smooth val="0"/>
        <c:axId val="296204848"/>
        <c:axId val="296193616"/>
      </c:lineChart>
      <c:catAx>
        <c:axId val="303053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03041344"/>
        <c:crosses val="autoZero"/>
        <c:auto val="1"/>
        <c:lblAlgn val="ctr"/>
        <c:lblOffset val="100"/>
        <c:noMultiLvlLbl val="0"/>
      </c:catAx>
      <c:valAx>
        <c:axId val="303041344"/>
        <c:scaling>
          <c:orientation val="minMax"/>
        </c:scaling>
        <c:delete val="0"/>
        <c:axPos val="l"/>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303053824"/>
        <c:crosses val="autoZero"/>
        <c:crossBetween val="between"/>
      </c:valAx>
      <c:valAx>
        <c:axId val="296193616"/>
        <c:scaling>
          <c:orientation val="minMax"/>
          <c:max val="0.75000000000000011"/>
        </c:scaling>
        <c:delete val="0"/>
        <c:axPos val="r"/>
        <c:numFmt formatCode="0.0" sourceLinked="0"/>
        <c:majorTickMark val="out"/>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296204848"/>
        <c:crosses val="max"/>
        <c:crossBetween val="between"/>
      </c:valAx>
      <c:catAx>
        <c:axId val="296204848"/>
        <c:scaling>
          <c:orientation val="minMax"/>
        </c:scaling>
        <c:delete val="1"/>
        <c:axPos val="b"/>
        <c:numFmt formatCode="General" sourceLinked="1"/>
        <c:majorTickMark val="out"/>
        <c:minorTickMark val="none"/>
        <c:tickLblPos val="nextTo"/>
        <c:crossAx val="296193616"/>
        <c:crosses val="autoZero"/>
        <c:auto val="1"/>
        <c:lblAlgn val="ctr"/>
        <c:lblOffset val="100"/>
        <c:noMultiLvlLbl val="0"/>
      </c:catAx>
      <c:spPr>
        <a:noFill/>
        <a:ln>
          <a:noFill/>
        </a:ln>
        <a:effectLst/>
      </c:spPr>
    </c:plotArea>
    <c:legend>
      <c:legendPos val="b"/>
      <c:layout>
        <c:manualLayout>
          <c:xMode val="edge"/>
          <c:yMode val="edge"/>
          <c:x val="1.4720602340146367E-2"/>
          <c:y val="0.85388384144289653"/>
          <c:w val="0.97470919735365102"/>
          <c:h val="0.120475132916077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92264383488726E-2"/>
          <c:y val="5.0925925925925923E-2"/>
          <c:w val="0.94236253229656741"/>
          <c:h val="0.58375462191313665"/>
        </c:manualLayout>
      </c:layout>
      <c:barChart>
        <c:barDir val="col"/>
        <c:grouping val="clustered"/>
        <c:varyColors val="0"/>
        <c:ser>
          <c:idx val="0"/>
          <c:order val="0"/>
          <c:tx>
            <c:strRef>
              <c:f>List37!$C$127</c:f>
              <c:strCache>
                <c:ptCount val="1"/>
                <c:pt idx="0">
                  <c:v>počet</c:v>
                </c:pt>
              </c:strCache>
            </c:strRef>
          </c:tx>
          <c:spPr>
            <a:solidFill>
              <a:srgbClr val="AFDC7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List37!$B$128:$B$141</c:f>
              <c:strCache>
                <c:ptCount val="14"/>
                <c:pt idx="0">
                  <c:v>Zlínský </c:v>
                </c:pt>
                <c:pt idx="1">
                  <c:v>Královéhradecký </c:v>
                </c:pt>
                <c:pt idx="2">
                  <c:v>Liberecký </c:v>
                </c:pt>
                <c:pt idx="3">
                  <c:v>Středočeský </c:v>
                </c:pt>
                <c:pt idx="4">
                  <c:v>Ústecký </c:v>
                </c:pt>
                <c:pt idx="5">
                  <c:v>Moravskoslezský </c:v>
                </c:pt>
                <c:pt idx="6">
                  <c:v>Praha</c:v>
                </c:pt>
                <c:pt idx="7">
                  <c:v>Jihočeský </c:v>
                </c:pt>
                <c:pt idx="8">
                  <c:v>Pardubický </c:v>
                </c:pt>
                <c:pt idx="9">
                  <c:v>Olomoucký </c:v>
                </c:pt>
                <c:pt idx="10">
                  <c:v>Jihomoravský </c:v>
                </c:pt>
                <c:pt idx="11">
                  <c:v>Plzeňský </c:v>
                </c:pt>
                <c:pt idx="12">
                  <c:v>Vysočina</c:v>
                </c:pt>
                <c:pt idx="13">
                  <c:v>Karlovarský </c:v>
                </c:pt>
              </c:strCache>
            </c:strRef>
          </c:cat>
          <c:val>
            <c:numRef>
              <c:f>List37!$C$128:$C$141</c:f>
              <c:numCache>
                <c:formatCode>General</c:formatCode>
                <c:ptCount val="14"/>
                <c:pt idx="0">
                  <c:v>971</c:v>
                </c:pt>
                <c:pt idx="1">
                  <c:v>594</c:v>
                </c:pt>
                <c:pt idx="2">
                  <c:v>356</c:v>
                </c:pt>
                <c:pt idx="3">
                  <c:v>1121</c:v>
                </c:pt>
                <c:pt idx="4">
                  <c:v>402</c:v>
                </c:pt>
                <c:pt idx="5">
                  <c:v>524</c:v>
                </c:pt>
                <c:pt idx="6">
                  <c:v>497</c:v>
                </c:pt>
                <c:pt idx="7">
                  <c:v>242</c:v>
                </c:pt>
                <c:pt idx="8">
                  <c:v>190</c:v>
                </c:pt>
                <c:pt idx="9">
                  <c:v>220</c:v>
                </c:pt>
                <c:pt idx="10">
                  <c:v>374</c:v>
                </c:pt>
                <c:pt idx="11">
                  <c:v>154</c:v>
                </c:pt>
                <c:pt idx="12">
                  <c:v>114</c:v>
                </c:pt>
                <c:pt idx="13">
                  <c:v>53</c:v>
                </c:pt>
              </c:numCache>
            </c:numRef>
          </c:val>
          <c:extLst>
            <c:ext xmlns:c16="http://schemas.microsoft.com/office/drawing/2014/chart" uri="{C3380CC4-5D6E-409C-BE32-E72D297353CC}">
              <c16:uniqueId val="{00000000-6FA0-4C8A-9AB3-F48F8ECBCEC4}"/>
            </c:ext>
          </c:extLst>
        </c:ser>
        <c:dLbls>
          <c:showLegendKey val="0"/>
          <c:showVal val="0"/>
          <c:showCatName val="0"/>
          <c:showSerName val="0"/>
          <c:showPercent val="0"/>
          <c:showBubbleSize val="0"/>
        </c:dLbls>
        <c:gapWidth val="42"/>
        <c:overlap val="-27"/>
        <c:axId val="51717248"/>
        <c:axId val="51704352"/>
      </c:barChart>
      <c:scatterChart>
        <c:scatterStyle val="lineMarker"/>
        <c:varyColors val="0"/>
        <c:ser>
          <c:idx val="1"/>
          <c:order val="1"/>
          <c:tx>
            <c:strRef>
              <c:f>List37!$D$127</c:f>
              <c:strCache>
                <c:ptCount val="1"/>
                <c:pt idx="0">
                  <c:v>podíl ze všech žáků ZŠ v daném kraji</c:v>
                </c:pt>
              </c:strCache>
            </c:strRef>
          </c:tx>
          <c:spPr>
            <a:ln w="25400" cap="rnd">
              <a:noFill/>
              <a:round/>
            </a:ln>
            <a:effectLst/>
          </c:spPr>
          <c:marker>
            <c:symbol val="circle"/>
            <c:size val="5"/>
            <c:spPr>
              <a:solidFill>
                <a:schemeClr val="accent6">
                  <a:lumMod val="75000"/>
                </a:schemeClr>
              </a:solidFill>
              <a:ln w="9525">
                <a:solidFill>
                  <a:schemeClr val="accent2"/>
                </a:solidFill>
              </a:ln>
              <a:effectLst/>
            </c:spPr>
          </c:marker>
          <c:dPt>
            <c:idx val="1"/>
            <c:marker>
              <c:symbol val="circle"/>
              <c:size val="5"/>
              <c:spPr>
                <a:solidFill>
                  <a:srgbClr val="F7903B"/>
                </a:solidFill>
                <a:ln w="9525">
                  <a:solidFill>
                    <a:schemeClr val="accent2"/>
                  </a:solidFill>
                </a:ln>
                <a:effectLst/>
              </c:spPr>
            </c:marker>
            <c:bubble3D val="0"/>
            <c:extLst>
              <c:ext xmlns:c16="http://schemas.microsoft.com/office/drawing/2014/chart" uri="{C3380CC4-5D6E-409C-BE32-E72D297353CC}">
                <c16:uniqueId val="{00000000-9062-44E4-98EF-67DF438B3B41}"/>
              </c:ext>
            </c:extLst>
          </c:dPt>
          <c:dLbls>
            <c:numFmt formatCode="0.00\ %" sourceLinked="0"/>
            <c:spPr>
              <a:noFill/>
              <a:ln>
                <a:noFill/>
              </a:ln>
              <a:effectLst/>
            </c:spPr>
            <c:txPr>
              <a:bodyPr rot="0" spcFirstLastPara="1" vertOverflow="ellipsis" vert="horz" wrap="square" lIns="38100" tIns="19050" rIns="38100" bIns="19050" anchor="ctr" anchorCtr="1">
                <a:spAutoFit/>
              </a:bodyPr>
              <a:lstStyle/>
              <a:p>
                <a:pPr>
                  <a:defRPr sz="800" b="1" i="1" u="none" strike="noStrike" kern="1200" baseline="0">
                    <a:solidFill>
                      <a:schemeClr val="accent6">
                        <a:lumMod val="50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strRef>
              <c:f>List37!$B$128:$B$141</c:f>
              <c:strCache>
                <c:ptCount val="14"/>
                <c:pt idx="0">
                  <c:v>Zlínský </c:v>
                </c:pt>
                <c:pt idx="1">
                  <c:v>Královéhradecký </c:v>
                </c:pt>
                <c:pt idx="2">
                  <c:v>Liberecký </c:v>
                </c:pt>
                <c:pt idx="3">
                  <c:v>Středočeský </c:v>
                </c:pt>
                <c:pt idx="4">
                  <c:v>Ústecký </c:v>
                </c:pt>
                <c:pt idx="5">
                  <c:v>Moravskoslezský </c:v>
                </c:pt>
                <c:pt idx="6">
                  <c:v>Praha</c:v>
                </c:pt>
                <c:pt idx="7">
                  <c:v>Jihočeský </c:v>
                </c:pt>
                <c:pt idx="8">
                  <c:v>Pardubický </c:v>
                </c:pt>
                <c:pt idx="9">
                  <c:v>Olomoucký </c:v>
                </c:pt>
                <c:pt idx="10">
                  <c:v>Jihomoravský </c:v>
                </c:pt>
                <c:pt idx="11">
                  <c:v>Plzeňský </c:v>
                </c:pt>
                <c:pt idx="12">
                  <c:v>Vysočina</c:v>
                </c:pt>
                <c:pt idx="13">
                  <c:v>Karlovarský </c:v>
                </c:pt>
              </c:strCache>
            </c:strRef>
          </c:xVal>
          <c:yVal>
            <c:numRef>
              <c:f>List37!$D$128:$D$141</c:f>
              <c:numCache>
                <c:formatCode>0.00%</c:formatCode>
                <c:ptCount val="14"/>
                <c:pt idx="0">
                  <c:v>1.9143189480117499E-2</c:v>
                </c:pt>
                <c:pt idx="1">
                  <c:v>1.1994184637751393E-2</c:v>
                </c:pt>
                <c:pt idx="2">
                  <c:v>8.5296020317703718E-3</c:v>
                </c:pt>
                <c:pt idx="3">
                  <c:v>8.0664891703245301E-3</c:v>
                </c:pt>
                <c:pt idx="4">
                  <c:v>5.3474513142492287E-3</c:v>
                </c:pt>
                <c:pt idx="5">
                  <c:v>5.0395275923753105E-3</c:v>
                </c:pt>
                <c:pt idx="6">
                  <c:v>4.4339765721881719E-3</c:v>
                </c:pt>
                <c:pt idx="7">
                  <c:v>4.1450422211945261E-3</c:v>
                </c:pt>
                <c:pt idx="8">
                  <c:v>3.9994106131727956E-3</c:v>
                </c:pt>
                <c:pt idx="9">
                  <c:v>3.9561229994605285E-3</c:v>
                </c:pt>
                <c:pt idx="10">
                  <c:v>3.4678436317780582E-3</c:v>
                </c:pt>
                <c:pt idx="11">
                  <c:v>2.9352901934623084E-3</c:v>
                </c:pt>
                <c:pt idx="12">
                  <c:v>2.493056618627944E-3</c:v>
                </c:pt>
                <c:pt idx="13">
                  <c:v>2.1341708947410806E-3</c:v>
                </c:pt>
              </c:numCache>
            </c:numRef>
          </c:yVal>
          <c:smooth val="0"/>
          <c:extLst>
            <c:ext xmlns:c16="http://schemas.microsoft.com/office/drawing/2014/chart" uri="{C3380CC4-5D6E-409C-BE32-E72D297353CC}">
              <c16:uniqueId val="{00000001-6FA0-4C8A-9AB3-F48F8ECBCEC4}"/>
            </c:ext>
          </c:extLst>
        </c:ser>
        <c:dLbls>
          <c:showLegendKey val="0"/>
          <c:showVal val="0"/>
          <c:showCatName val="0"/>
          <c:showSerName val="0"/>
          <c:showPercent val="0"/>
          <c:showBubbleSize val="0"/>
        </c:dLbls>
        <c:axId val="324643584"/>
        <c:axId val="324631104"/>
      </c:scatterChart>
      <c:catAx>
        <c:axId val="51717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1704352"/>
        <c:crosses val="autoZero"/>
        <c:auto val="1"/>
        <c:lblAlgn val="ctr"/>
        <c:lblOffset val="100"/>
        <c:noMultiLvlLbl val="0"/>
      </c:catAx>
      <c:valAx>
        <c:axId val="51704352"/>
        <c:scaling>
          <c:orientation val="minMax"/>
          <c:max val="1200"/>
        </c:scaling>
        <c:delete val="0"/>
        <c:axPos val="l"/>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1717248"/>
        <c:crosses val="autoZero"/>
        <c:crossBetween val="between"/>
      </c:valAx>
      <c:valAx>
        <c:axId val="324631104"/>
        <c:scaling>
          <c:orientation val="minMax"/>
          <c:max val="2.0000000000000004E-2"/>
          <c:min val="0"/>
        </c:scaling>
        <c:delete val="0"/>
        <c:axPos val="r"/>
        <c:numFmt formatCode="0.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24643584"/>
        <c:crosses val="max"/>
        <c:crossBetween val="midCat"/>
      </c:valAx>
      <c:valAx>
        <c:axId val="324643584"/>
        <c:scaling>
          <c:orientation val="minMax"/>
        </c:scaling>
        <c:delete val="1"/>
        <c:axPos val="b"/>
        <c:numFmt formatCode="#\ ##0_ ;\-#\ ##0\ " sourceLinked="1"/>
        <c:majorTickMark val="out"/>
        <c:minorTickMark val="none"/>
        <c:tickLblPos val="nextTo"/>
        <c:crossAx val="324631104"/>
        <c:crosses val="autoZero"/>
        <c:crossBetween val="midCat"/>
      </c:valAx>
      <c:spPr>
        <a:noFill/>
        <a:ln>
          <a:noFill/>
        </a:ln>
        <a:effectLst/>
      </c:spPr>
    </c:plotArea>
    <c:legend>
      <c:legendPos val="r"/>
      <c:legendEntry>
        <c:idx val="1"/>
        <c:txPr>
          <a:bodyPr rot="0" spcFirstLastPara="1" vertOverflow="ellipsis" vert="horz" wrap="square" anchor="ctr" anchorCtr="1"/>
          <a:lstStyle/>
          <a:p>
            <a:pPr>
              <a:defRPr sz="800" b="1" i="1" u="none" strike="noStrike" kern="1200" baseline="0">
                <a:solidFill>
                  <a:schemeClr val="accent6">
                    <a:lumMod val="50000"/>
                  </a:schemeClr>
                </a:solidFill>
                <a:latin typeface="Arial" panose="020B0604020202020204" pitchFamily="34" charset="0"/>
                <a:ea typeface="+mn-ea"/>
                <a:cs typeface="Arial" panose="020B0604020202020204" pitchFamily="34" charset="0"/>
              </a:defRPr>
            </a:pPr>
            <a:endParaRPr lang="cs-CZ"/>
          </a:p>
        </c:txPr>
      </c:legendEntry>
      <c:layout>
        <c:manualLayout>
          <c:xMode val="edge"/>
          <c:yMode val="edge"/>
          <c:x val="0.64846593863754542"/>
          <c:y val="4.4516145579522465E-2"/>
          <c:w val="0.34945397815912638"/>
          <c:h val="0.17274747590857714"/>
        </c:manualLayout>
      </c:layout>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917995006721721E-2"/>
          <c:y val="8.749108992954828E-2"/>
          <c:w val="0.96200883426157091"/>
          <c:h val="0.79335101533360963"/>
        </c:manualLayout>
      </c:layout>
      <c:barChart>
        <c:barDir val="col"/>
        <c:grouping val="clustered"/>
        <c:varyColors val="0"/>
        <c:ser>
          <c:idx val="0"/>
          <c:order val="0"/>
          <c:tx>
            <c:strRef>
              <c:f>List1!$A$27</c:f>
              <c:strCache>
                <c:ptCount val="1"/>
                <c:pt idx="0">
                  <c:v>3 až 5 let</c:v>
                </c:pt>
              </c:strCache>
            </c:strRef>
          </c:tx>
          <c:spPr>
            <a:solidFill>
              <a:srgbClr val="F79646">
                <a:lumMod val="75000"/>
              </a:srgb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List1!$B$26:$D$26</c:f>
              <c:numCache>
                <c:formatCode>General</c:formatCode>
                <c:ptCount val="3"/>
                <c:pt idx="0">
                  <c:v>2011</c:v>
                </c:pt>
                <c:pt idx="1">
                  <c:v>2016</c:v>
                </c:pt>
                <c:pt idx="2">
                  <c:v>2021</c:v>
                </c:pt>
              </c:numCache>
            </c:numRef>
          </c:cat>
          <c:val>
            <c:numRef>
              <c:f>List1!$B$27:$D$27</c:f>
              <c:numCache>
                <c:formatCode>0.0</c:formatCode>
                <c:ptCount val="3"/>
                <c:pt idx="0">
                  <c:v>339.887</c:v>
                </c:pt>
                <c:pt idx="1">
                  <c:v>334.04899999999998</c:v>
                </c:pt>
                <c:pt idx="2">
                  <c:v>339.55200000000002</c:v>
                </c:pt>
              </c:numCache>
            </c:numRef>
          </c:val>
          <c:extLst>
            <c:ext xmlns:c16="http://schemas.microsoft.com/office/drawing/2014/chart" uri="{C3380CC4-5D6E-409C-BE32-E72D297353CC}">
              <c16:uniqueId val="{00000000-35C1-46E4-AA40-FF7E84E11A5F}"/>
            </c:ext>
          </c:extLst>
        </c:ser>
        <c:ser>
          <c:idx val="1"/>
          <c:order val="1"/>
          <c:tx>
            <c:strRef>
              <c:f>List1!$A$28</c:f>
              <c:strCache>
                <c:ptCount val="1"/>
                <c:pt idx="0">
                  <c:v>2 až 4 let</c:v>
                </c:pt>
              </c:strCache>
            </c:strRef>
          </c:tx>
          <c:spPr>
            <a:solidFill>
              <a:srgbClr val="24538C"/>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List1!$B$26:$D$26</c:f>
              <c:numCache>
                <c:formatCode>General</c:formatCode>
                <c:ptCount val="3"/>
                <c:pt idx="0">
                  <c:v>2011</c:v>
                </c:pt>
                <c:pt idx="1">
                  <c:v>2016</c:v>
                </c:pt>
                <c:pt idx="2">
                  <c:v>2021</c:v>
                </c:pt>
              </c:numCache>
            </c:numRef>
          </c:cat>
          <c:val>
            <c:numRef>
              <c:f>List1!$B$28:$D$28</c:f>
              <c:numCache>
                <c:formatCode>0.0</c:formatCode>
                <c:ptCount val="3"/>
                <c:pt idx="0">
                  <c:v>356.16899999999998</c:v>
                </c:pt>
                <c:pt idx="1">
                  <c:v>329.334</c:v>
                </c:pt>
                <c:pt idx="2">
                  <c:v>339.279</c:v>
                </c:pt>
              </c:numCache>
            </c:numRef>
          </c:val>
          <c:extLst>
            <c:ext xmlns:c16="http://schemas.microsoft.com/office/drawing/2014/chart" uri="{C3380CC4-5D6E-409C-BE32-E72D297353CC}">
              <c16:uniqueId val="{00000001-35C1-46E4-AA40-FF7E84E11A5F}"/>
            </c:ext>
          </c:extLst>
        </c:ser>
        <c:ser>
          <c:idx val="2"/>
          <c:order val="2"/>
          <c:tx>
            <c:strRef>
              <c:f>List1!$A$29</c:f>
              <c:strCache>
                <c:ptCount val="1"/>
                <c:pt idx="0">
                  <c:v>1 až 3 let</c:v>
                </c:pt>
              </c:strCache>
            </c:strRef>
          </c:tx>
          <c:spPr>
            <a:solidFill>
              <a:srgbClr val="3176C9"/>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List1!$B$26:$D$26</c:f>
              <c:numCache>
                <c:formatCode>General</c:formatCode>
                <c:ptCount val="3"/>
                <c:pt idx="0">
                  <c:v>2011</c:v>
                </c:pt>
                <c:pt idx="1">
                  <c:v>2016</c:v>
                </c:pt>
                <c:pt idx="2">
                  <c:v>2021</c:v>
                </c:pt>
              </c:numCache>
            </c:numRef>
          </c:cat>
          <c:val>
            <c:numRef>
              <c:f>List1!$B$29:$D$29</c:f>
              <c:numCache>
                <c:formatCode>0.0</c:formatCode>
                <c:ptCount val="3"/>
                <c:pt idx="0">
                  <c:v>362.82499999999999</c:v>
                </c:pt>
                <c:pt idx="1">
                  <c:v>330.97</c:v>
                </c:pt>
                <c:pt idx="2">
                  <c:v>334.91399999999999</c:v>
                </c:pt>
              </c:numCache>
            </c:numRef>
          </c:val>
          <c:extLst>
            <c:ext xmlns:c16="http://schemas.microsoft.com/office/drawing/2014/chart" uri="{C3380CC4-5D6E-409C-BE32-E72D297353CC}">
              <c16:uniqueId val="{00000002-35C1-46E4-AA40-FF7E84E11A5F}"/>
            </c:ext>
          </c:extLst>
        </c:ser>
        <c:dLbls>
          <c:showLegendKey val="0"/>
          <c:showVal val="0"/>
          <c:showCatName val="0"/>
          <c:showSerName val="0"/>
          <c:showPercent val="0"/>
          <c:showBubbleSize val="0"/>
        </c:dLbls>
        <c:gapWidth val="219"/>
        <c:overlap val="-27"/>
        <c:axId val="2057265039"/>
        <c:axId val="2057265455"/>
      </c:barChart>
      <c:catAx>
        <c:axId val="2057265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057265455"/>
        <c:crosses val="autoZero"/>
        <c:auto val="1"/>
        <c:lblAlgn val="ctr"/>
        <c:lblOffset val="100"/>
        <c:noMultiLvlLbl val="0"/>
      </c:catAx>
      <c:valAx>
        <c:axId val="2057265455"/>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057265039"/>
        <c:crosses val="autoZero"/>
        <c:crossBetween val="between"/>
      </c:valAx>
      <c:spPr>
        <a:noFill/>
        <a:ln>
          <a:noFill/>
        </a:ln>
        <a:effectLst/>
      </c:spPr>
    </c:plotArea>
    <c:legend>
      <c:legendPos val="b"/>
      <c:layout>
        <c:manualLayout>
          <c:xMode val="edge"/>
          <c:yMode val="edge"/>
          <c:x val="0.15612021313272759"/>
          <c:y val="3.0420976789665998E-2"/>
          <c:w val="0.74874416344177774"/>
          <c:h val="9.2865312888520513E-2"/>
        </c:manualLayout>
      </c:layout>
      <c:overlay val="0"/>
      <c:spPr>
        <a:solidFill>
          <a:sysClr val="window" lastClr="FFFFFF"/>
        </a:solidFill>
        <a:ln>
          <a:solidFill>
            <a:sysClr val="window" lastClr="FFFFFF">
              <a:lumMod val="75000"/>
            </a:sysClr>
          </a:solid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List36!$B$15</c:f>
              <c:strCache>
                <c:ptCount val="1"/>
                <c:pt idx="0">
                  <c:v>počet</c:v>
                </c:pt>
              </c:strCache>
            </c:strRef>
          </c:tx>
          <c:spPr>
            <a:solidFill>
              <a:srgbClr val="0070C0"/>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List36!$A$16:$A$26</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List36!$B$16:$B$26</c:f>
              <c:numCache>
                <c:formatCode>#\ ##0_ ;\-#\ ##0\ </c:formatCode>
                <c:ptCount val="11"/>
                <c:pt idx="0">
                  <c:v>3905</c:v>
                </c:pt>
                <c:pt idx="1">
                  <c:v>4866</c:v>
                </c:pt>
                <c:pt idx="2">
                  <c:v>5979</c:v>
                </c:pt>
                <c:pt idx="3">
                  <c:v>6862</c:v>
                </c:pt>
                <c:pt idx="4">
                  <c:v>7430</c:v>
                </c:pt>
                <c:pt idx="5">
                  <c:v>8263</c:v>
                </c:pt>
                <c:pt idx="6">
                  <c:v>8914</c:v>
                </c:pt>
                <c:pt idx="7">
                  <c:v>9274</c:v>
                </c:pt>
                <c:pt idx="8">
                  <c:v>9463</c:v>
                </c:pt>
                <c:pt idx="9">
                  <c:v>9246</c:v>
                </c:pt>
                <c:pt idx="10">
                  <c:v>9483</c:v>
                </c:pt>
              </c:numCache>
            </c:numRef>
          </c:val>
          <c:extLst>
            <c:ext xmlns:c16="http://schemas.microsoft.com/office/drawing/2014/chart" uri="{C3380CC4-5D6E-409C-BE32-E72D297353CC}">
              <c16:uniqueId val="{00000000-088B-4769-B889-0570D691BD15}"/>
            </c:ext>
          </c:extLst>
        </c:ser>
        <c:dLbls>
          <c:showLegendKey val="0"/>
          <c:showVal val="0"/>
          <c:showCatName val="0"/>
          <c:showSerName val="0"/>
          <c:showPercent val="0"/>
          <c:showBubbleSize val="0"/>
        </c:dLbls>
        <c:gapWidth val="49"/>
        <c:overlap val="3"/>
        <c:axId val="140730752"/>
        <c:axId val="140732288"/>
      </c:barChart>
      <c:lineChart>
        <c:grouping val="standard"/>
        <c:varyColors val="0"/>
        <c:ser>
          <c:idx val="1"/>
          <c:order val="1"/>
          <c:tx>
            <c:strRef>
              <c:f>List36!$C$15</c:f>
              <c:strCache>
                <c:ptCount val="1"/>
                <c:pt idx="0">
                  <c:v>podíl na žácích ZŠ celkem</c:v>
                </c:pt>
              </c:strCache>
            </c:strRef>
          </c:tx>
          <c:spPr>
            <a:ln w="28575" cap="rnd">
              <a:solidFill>
                <a:srgbClr val="C00000"/>
              </a:solidFill>
              <a:round/>
            </a:ln>
            <a:effectLst/>
          </c:spPr>
          <c:marker>
            <c:symbol val="diamond"/>
            <c:size val="7"/>
            <c:spPr>
              <a:solidFill>
                <a:schemeClr val="tx1"/>
              </a:solidFill>
              <a:ln w="9525">
                <a:noFill/>
              </a:ln>
              <a:effectLst/>
            </c:spPr>
          </c:marker>
          <c:dLbls>
            <c:numFmt formatCode="0.00\ %" sourceLinked="0"/>
            <c:spPr>
              <a:solidFill>
                <a:srgbClr val="FF9999"/>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List36!$A$16:$A$26</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List36!$C$16:$C$26</c:f>
              <c:numCache>
                <c:formatCode>0.00%</c:formatCode>
                <c:ptCount val="11"/>
                <c:pt idx="0">
                  <c:v>4.9141626040405621E-3</c:v>
                </c:pt>
                <c:pt idx="1">
                  <c:v>6.0226499164552265E-3</c:v>
                </c:pt>
                <c:pt idx="2">
                  <c:v>7.2240332312778046E-3</c:v>
                </c:pt>
                <c:pt idx="3">
                  <c:v>8.0338400045894282E-3</c:v>
                </c:pt>
                <c:pt idx="4">
                  <c:v>8.4407742791544685E-3</c:v>
                </c:pt>
                <c:pt idx="5">
                  <c:v>9.1184169289374832E-3</c:v>
                </c:pt>
                <c:pt idx="6">
                  <c:v>9.6252272953046506E-3</c:v>
                </c:pt>
                <c:pt idx="7">
                  <c:v>9.8562270439396006E-3</c:v>
                </c:pt>
                <c:pt idx="8">
                  <c:v>9.9302583777045074E-3</c:v>
                </c:pt>
                <c:pt idx="9">
                  <c:v>9.6077510422425145E-3</c:v>
                </c:pt>
                <c:pt idx="10">
                  <c:v>9.8313136098846024E-3</c:v>
                </c:pt>
              </c:numCache>
            </c:numRef>
          </c:val>
          <c:smooth val="0"/>
          <c:extLst>
            <c:ext xmlns:c16="http://schemas.microsoft.com/office/drawing/2014/chart" uri="{C3380CC4-5D6E-409C-BE32-E72D297353CC}">
              <c16:uniqueId val="{00000001-088B-4769-B889-0570D691BD15}"/>
            </c:ext>
          </c:extLst>
        </c:ser>
        <c:dLbls>
          <c:showLegendKey val="0"/>
          <c:showVal val="0"/>
          <c:showCatName val="0"/>
          <c:showSerName val="0"/>
          <c:showPercent val="0"/>
          <c:showBubbleSize val="0"/>
        </c:dLbls>
        <c:marker val="1"/>
        <c:smooth val="0"/>
        <c:axId val="140735616"/>
        <c:axId val="140733824"/>
      </c:lineChart>
      <c:catAx>
        <c:axId val="140730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40732288"/>
        <c:crosses val="autoZero"/>
        <c:auto val="1"/>
        <c:lblAlgn val="ctr"/>
        <c:lblOffset val="100"/>
        <c:noMultiLvlLbl val="0"/>
      </c:catAx>
      <c:valAx>
        <c:axId val="140732288"/>
        <c:scaling>
          <c:orientation val="minMax"/>
          <c:max val="10000"/>
        </c:scaling>
        <c:delete val="0"/>
        <c:axPos val="l"/>
        <c:numFmt formatCode="#\ ##0_ ;\-#\ ##0\ "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40730752"/>
        <c:crosses val="autoZero"/>
        <c:crossBetween val="between"/>
        <c:majorUnit val="500"/>
      </c:valAx>
      <c:valAx>
        <c:axId val="140733824"/>
        <c:scaling>
          <c:orientation val="minMax"/>
          <c:max val="2.0000000000000011E-2"/>
        </c:scaling>
        <c:delete val="0"/>
        <c:axPos val="r"/>
        <c:numFmt formatCode="0.0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40735616"/>
        <c:crosses val="max"/>
        <c:crossBetween val="between"/>
      </c:valAx>
      <c:catAx>
        <c:axId val="140735616"/>
        <c:scaling>
          <c:orientation val="minMax"/>
        </c:scaling>
        <c:delete val="1"/>
        <c:axPos val="b"/>
        <c:numFmt formatCode="General" sourceLinked="1"/>
        <c:majorTickMark val="none"/>
        <c:minorTickMark val="none"/>
        <c:tickLblPos val="none"/>
        <c:crossAx val="140733824"/>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192264383488726E-2"/>
          <c:y val="5.0925925925925923E-2"/>
          <c:w val="0.94236253229656741"/>
          <c:h val="0.58285690554503466"/>
        </c:manualLayout>
      </c:layout>
      <c:barChart>
        <c:barDir val="col"/>
        <c:grouping val="clustered"/>
        <c:varyColors val="0"/>
        <c:ser>
          <c:idx val="0"/>
          <c:order val="0"/>
          <c:tx>
            <c:strRef>
              <c:f>List37!$C$63</c:f>
              <c:strCache>
                <c:ptCount val="1"/>
                <c:pt idx="0">
                  <c:v>počet</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List37!$B$64:$B$77</c:f>
              <c:strCache>
                <c:ptCount val="14"/>
                <c:pt idx="0">
                  <c:v>Praha</c:v>
                </c:pt>
                <c:pt idx="1">
                  <c:v>Karlovarský </c:v>
                </c:pt>
                <c:pt idx="2">
                  <c:v>Zlínský </c:v>
                </c:pt>
                <c:pt idx="3">
                  <c:v>Ústecký </c:v>
                </c:pt>
                <c:pt idx="4">
                  <c:v>Liberecký </c:v>
                </c:pt>
                <c:pt idx="5">
                  <c:v>Moravskoslezský </c:v>
                </c:pt>
                <c:pt idx="6">
                  <c:v>Olomoucký </c:v>
                </c:pt>
                <c:pt idx="7">
                  <c:v>Jihočeský </c:v>
                </c:pt>
                <c:pt idx="8">
                  <c:v>Jihomoravský </c:v>
                </c:pt>
                <c:pt idx="9">
                  <c:v>Středočeský </c:v>
                </c:pt>
                <c:pt idx="10">
                  <c:v>Královéhradecký </c:v>
                </c:pt>
                <c:pt idx="11">
                  <c:v>Pardubický </c:v>
                </c:pt>
                <c:pt idx="12">
                  <c:v>Plzeňský </c:v>
                </c:pt>
                <c:pt idx="13">
                  <c:v>Vysočina</c:v>
                </c:pt>
              </c:strCache>
            </c:strRef>
          </c:cat>
          <c:val>
            <c:numRef>
              <c:f>List37!$C$64:$C$77</c:f>
              <c:numCache>
                <c:formatCode>#,##0</c:formatCode>
                <c:ptCount val="14"/>
                <c:pt idx="0">
                  <c:v>3051</c:v>
                </c:pt>
                <c:pt idx="1">
                  <c:v>305</c:v>
                </c:pt>
                <c:pt idx="2">
                  <c:v>609</c:v>
                </c:pt>
                <c:pt idx="3">
                  <c:v>851</c:v>
                </c:pt>
                <c:pt idx="4">
                  <c:v>385</c:v>
                </c:pt>
                <c:pt idx="5">
                  <c:v>926</c:v>
                </c:pt>
                <c:pt idx="6">
                  <c:v>417</c:v>
                </c:pt>
                <c:pt idx="7">
                  <c:v>412</c:v>
                </c:pt>
                <c:pt idx="8">
                  <c:v>745</c:v>
                </c:pt>
                <c:pt idx="9">
                  <c:v>917</c:v>
                </c:pt>
                <c:pt idx="10">
                  <c:v>269</c:v>
                </c:pt>
                <c:pt idx="11">
                  <c:v>209</c:v>
                </c:pt>
                <c:pt idx="12">
                  <c:v>227</c:v>
                </c:pt>
                <c:pt idx="13">
                  <c:v>160</c:v>
                </c:pt>
              </c:numCache>
            </c:numRef>
          </c:val>
          <c:extLst>
            <c:ext xmlns:c16="http://schemas.microsoft.com/office/drawing/2014/chart" uri="{C3380CC4-5D6E-409C-BE32-E72D297353CC}">
              <c16:uniqueId val="{00000000-53AE-48A6-AE1E-46A4D88B3F2B}"/>
            </c:ext>
          </c:extLst>
        </c:ser>
        <c:dLbls>
          <c:showLegendKey val="0"/>
          <c:showVal val="0"/>
          <c:showCatName val="0"/>
          <c:showSerName val="0"/>
          <c:showPercent val="0"/>
          <c:showBubbleSize val="0"/>
        </c:dLbls>
        <c:gapWidth val="42"/>
        <c:overlap val="-27"/>
        <c:axId val="51717248"/>
        <c:axId val="51704352"/>
      </c:barChart>
      <c:scatterChart>
        <c:scatterStyle val="lineMarker"/>
        <c:varyColors val="0"/>
        <c:ser>
          <c:idx val="1"/>
          <c:order val="1"/>
          <c:tx>
            <c:strRef>
              <c:f>List37!$D$63</c:f>
              <c:strCache>
                <c:ptCount val="1"/>
                <c:pt idx="0">
                  <c:v>podíl ze všech žáků ZŠ v daném kraji</c:v>
                </c:pt>
              </c:strCache>
            </c:strRef>
          </c:tx>
          <c:spPr>
            <a:ln w="25400" cap="rnd">
              <a:noFill/>
              <a:round/>
            </a:ln>
            <a:effectLst/>
          </c:spPr>
          <c:marker>
            <c:symbol val="circle"/>
            <c:size val="5"/>
            <c:spPr>
              <a:solidFill>
                <a:schemeClr val="accent2"/>
              </a:solidFill>
              <a:ln w="9525">
                <a:solidFill>
                  <a:schemeClr val="accent2"/>
                </a:solidFill>
              </a:ln>
              <a:effectLst/>
            </c:spPr>
          </c:marker>
          <c:dLbls>
            <c:numFmt formatCode="0.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strRef>
              <c:f>List37!$B$64:$B$77</c:f>
              <c:strCache>
                <c:ptCount val="14"/>
                <c:pt idx="0">
                  <c:v>Praha</c:v>
                </c:pt>
                <c:pt idx="1">
                  <c:v>Karlovarský </c:v>
                </c:pt>
                <c:pt idx="2">
                  <c:v>Zlínský </c:v>
                </c:pt>
                <c:pt idx="3">
                  <c:v>Ústecký </c:v>
                </c:pt>
                <c:pt idx="4">
                  <c:v>Liberecký </c:v>
                </c:pt>
                <c:pt idx="5">
                  <c:v>Moravskoslezský </c:v>
                </c:pt>
                <c:pt idx="6">
                  <c:v>Olomoucký </c:v>
                </c:pt>
                <c:pt idx="7">
                  <c:v>Jihočeský </c:v>
                </c:pt>
                <c:pt idx="8">
                  <c:v>Jihomoravský </c:v>
                </c:pt>
                <c:pt idx="9">
                  <c:v>Středočeský </c:v>
                </c:pt>
                <c:pt idx="10">
                  <c:v>Královéhradecký </c:v>
                </c:pt>
                <c:pt idx="11">
                  <c:v>Pardubický </c:v>
                </c:pt>
                <c:pt idx="12">
                  <c:v>Plzeňský </c:v>
                </c:pt>
                <c:pt idx="13">
                  <c:v>Vysočina</c:v>
                </c:pt>
              </c:strCache>
            </c:strRef>
          </c:xVal>
          <c:yVal>
            <c:numRef>
              <c:f>List37!$D$64:$D$77</c:f>
              <c:numCache>
                <c:formatCode>0.00%</c:formatCode>
                <c:ptCount val="14"/>
                <c:pt idx="0">
                  <c:v>2.7219441693654148E-2</c:v>
                </c:pt>
                <c:pt idx="1">
                  <c:v>1.2281549488604333E-2</c:v>
                </c:pt>
                <c:pt idx="2">
                  <c:v>1.200638763480078E-2</c:v>
                </c:pt>
                <c:pt idx="3">
                  <c:v>1.1320102160263914E-2</c:v>
                </c:pt>
                <c:pt idx="4">
                  <c:v>9.2244291635718914E-3</c:v>
                </c:pt>
                <c:pt idx="5">
                  <c:v>8.905730058281559E-3</c:v>
                </c:pt>
                <c:pt idx="6">
                  <c:v>7.4986513217047291E-3</c:v>
                </c:pt>
                <c:pt idx="7">
                  <c:v>7.0568487402154741E-3</c:v>
                </c:pt>
                <c:pt idx="8">
                  <c:v>6.9078703360284845E-3</c:v>
                </c:pt>
                <c:pt idx="9">
                  <c:v>6.5985464488738576E-3</c:v>
                </c:pt>
                <c:pt idx="10">
                  <c:v>5.4317098780389305E-3</c:v>
                </c:pt>
                <c:pt idx="11">
                  <c:v>4.399351674490075E-3</c:v>
                </c:pt>
                <c:pt idx="12">
                  <c:v>4.3266939864671687E-3</c:v>
                </c:pt>
                <c:pt idx="13">
                  <c:v>3.4990268331620269E-3</c:v>
                </c:pt>
              </c:numCache>
            </c:numRef>
          </c:yVal>
          <c:smooth val="0"/>
          <c:extLst>
            <c:ext xmlns:c16="http://schemas.microsoft.com/office/drawing/2014/chart" uri="{C3380CC4-5D6E-409C-BE32-E72D297353CC}">
              <c16:uniqueId val="{00000001-53AE-48A6-AE1E-46A4D88B3F2B}"/>
            </c:ext>
          </c:extLst>
        </c:ser>
        <c:dLbls>
          <c:showLegendKey val="0"/>
          <c:showVal val="0"/>
          <c:showCatName val="0"/>
          <c:showSerName val="0"/>
          <c:showPercent val="0"/>
          <c:showBubbleSize val="0"/>
        </c:dLbls>
        <c:axId val="324643584"/>
        <c:axId val="324631104"/>
      </c:scatterChart>
      <c:catAx>
        <c:axId val="51717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1704352"/>
        <c:crosses val="autoZero"/>
        <c:auto val="1"/>
        <c:lblAlgn val="ctr"/>
        <c:lblOffset val="100"/>
        <c:noMultiLvlLbl val="0"/>
      </c:catAx>
      <c:valAx>
        <c:axId val="51704352"/>
        <c:scaling>
          <c:orientation val="minMax"/>
          <c:max val="3000"/>
        </c:scaling>
        <c:delete val="0"/>
        <c:axPos val="l"/>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1717248"/>
        <c:crosses val="autoZero"/>
        <c:crossBetween val="between"/>
      </c:valAx>
      <c:valAx>
        <c:axId val="324631104"/>
        <c:scaling>
          <c:orientation val="minMax"/>
          <c:max val="2.8000000000000004E-2"/>
          <c:min val="0"/>
        </c:scaling>
        <c:delete val="0"/>
        <c:axPos val="r"/>
        <c:numFmt formatCode="0.00%" sourceLinked="1"/>
        <c:majorTickMark val="out"/>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24643584"/>
        <c:crosses val="max"/>
        <c:crossBetween val="midCat"/>
      </c:valAx>
      <c:valAx>
        <c:axId val="324643584"/>
        <c:scaling>
          <c:orientation val="minMax"/>
        </c:scaling>
        <c:delete val="1"/>
        <c:axPos val="b"/>
        <c:numFmt formatCode="#\ ##0_ ;\-#\ ##0\ " sourceLinked="1"/>
        <c:majorTickMark val="out"/>
        <c:minorTickMark val="none"/>
        <c:tickLblPos val="nextTo"/>
        <c:crossAx val="324631104"/>
        <c:crosses val="autoZero"/>
        <c:crossBetween val="midCat"/>
      </c:valAx>
      <c:spPr>
        <a:noFill/>
        <a:ln>
          <a:noFill/>
        </a:ln>
        <a:effectLst/>
      </c:spPr>
    </c:plotArea>
    <c:legend>
      <c:legendPos val="r"/>
      <c:layout>
        <c:manualLayout>
          <c:xMode val="edge"/>
          <c:yMode val="edge"/>
          <c:x val="0.63381445494040234"/>
          <c:y val="4.4516145579522465E-2"/>
          <c:w val="0.34235123105711635"/>
          <c:h val="0.11376583621808091"/>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180567013436645E-2"/>
          <c:y val="2.0791993575959913E-2"/>
          <c:w val="0.86111896315927916"/>
          <c:h val="0.79865739249788004"/>
        </c:manualLayout>
      </c:layout>
      <c:barChart>
        <c:barDir val="col"/>
        <c:grouping val="clustered"/>
        <c:varyColors val="0"/>
        <c:ser>
          <c:idx val="0"/>
          <c:order val="0"/>
          <c:tx>
            <c:strRef>
              <c:f>List1!$G$3</c:f>
              <c:strCache>
                <c:ptCount val="1"/>
                <c:pt idx="0">
                  <c:v>počet celkem</c:v>
                </c:pt>
              </c:strCache>
            </c:strRef>
          </c:tx>
          <c:spPr>
            <a:solidFill>
              <a:srgbClr val="92D050"/>
            </a:solidFill>
            <a:ln>
              <a:noFill/>
            </a:ln>
            <a:effectLst/>
          </c:spPr>
          <c:invertIfNegative val="0"/>
          <c:dLbls>
            <c:dLbl>
              <c:idx val="10"/>
              <c:layout>
                <c:manualLayout>
                  <c:x val="6.2253579580825898E-3"/>
                  <c:y val="0.2795809549594267"/>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F-507E-4D43-BEAA-4F50DCA29A89}"/>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List1!$F$4:$F$14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List1!$G$4:$G$14</c:f>
              <c:numCache>
                <c:formatCode>#\ ##0_ ;\-#\ ##0\ </c:formatCode>
                <c:ptCount val="11"/>
                <c:pt idx="0">
                  <c:v>5997</c:v>
                </c:pt>
                <c:pt idx="1">
                  <c:v>6056</c:v>
                </c:pt>
                <c:pt idx="2">
                  <c:v>6191</c:v>
                </c:pt>
                <c:pt idx="3">
                  <c:v>6238</c:v>
                </c:pt>
                <c:pt idx="4">
                  <c:v>6459</c:v>
                </c:pt>
                <c:pt idx="5">
                  <c:v>6059</c:v>
                </c:pt>
                <c:pt idx="6">
                  <c:v>6352</c:v>
                </c:pt>
                <c:pt idx="7">
                  <c:v>6624</c:v>
                </c:pt>
                <c:pt idx="8">
                  <c:v>6795</c:v>
                </c:pt>
                <c:pt idx="9">
                  <c:v>3205</c:v>
                </c:pt>
                <c:pt idx="10">
                  <c:v>8204</c:v>
                </c:pt>
              </c:numCache>
            </c:numRef>
          </c:val>
          <c:extLst>
            <c:ext xmlns:c16="http://schemas.microsoft.com/office/drawing/2014/chart" uri="{C3380CC4-5D6E-409C-BE32-E72D297353CC}">
              <c16:uniqueId val="{00000000-507E-4D43-BEAA-4F50DCA29A89}"/>
            </c:ext>
          </c:extLst>
        </c:ser>
        <c:dLbls>
          <c:showLegendKey val="0"/>
          <c:showVal val="0"/>
          <c:showCatName val="0"/>
          <c:showSerName val="0"/>
          <c:showPercent val="0"/>
          <c:showBubbleSize val="0"/>
        </c:dLbls>
        <c:gapWidth val="47"/>
        <c:overlap val="-5"/>
        <c:axId val="208000112"/>
        <c:axId val="374601248"/>
      </c:barChart>
      <c:lineChart>
        <c:grouping val="standard"/>
        <c:varyColors val="0"/>
        <c:ser>
          <c:idx val="1"/>
          <c:order val="1"/>
          <c:tx>
            <c:strRef>
              <c:f>List1!$H$3</c:f>
              <c:strCache>
                <c:ptCount val="1"/>
                <c:pt idx="0">
                  <c:v>celkem (%)</c:v>
                </c:pt>
              </c:strCache>
            </c:strRef>
          </c:tx>
          <c:spPr>
            <a:ln w="28575" cap="rnd">
              <a:solidFill>
                <a:schemeClr val="accent3">
                  <a:lumMod val="50000"/>
                </a:schemeClr>
              </a:solidFill>
              <a:round/>
            </a:ln>
            <a:effectLst/>
          </c:spPr>
          <c:marker>
            <c:symbol val="none"/>
          </c:marker>
          <c:dLbls>
            <c:dLbl>
              <c:idx val="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507E-4D43-BEAA-4F50DCA29A89}"/>
                </c:ext>
              </c:extLst>
            </c:dLbl>
            <c:dLbl>
              <c:idx val="1"/>
              <c:delete val="1"/>
              <c:extLst>
                <c:ext xmlns:c15="http://schemas.microsoft.com/office/drawing/2012/chart" uri="{CE6537A1-D6FC-4f65-9D91-7224C49458BB}"/>
                <c:ext xmlns:c16="http://schemas.microsoft.com/office/drawing/2014/chart" uri="{C3380CC4-5D6E-409C-BE32-E72D297353CC}">
                  <c16:uniqueId val="{00000002-507E-4D43-BEAA-4F50DCA29A89}"/>
                </c:ext>
              </c:extLst>
            </c:dLbl>
            <c:dLbl>
              <c:idx val="2"/>
              <c:delete val="1"/>
              <c:extLst>
                <c:ext xmlns:c15="http://schemas.microsoft.com/office/drawing/2012/chart" uri="{CE6537A1-D6FC-4f65-9D91-7224C49458BB}"/>
                <c:ext xmlns:c16="http://schemas.microsoft.com/office/drawing/2014/chart" uri="{C3380CC4-5D6E-409C-BE32-E72D297353CC}">
                  <c16:uniqueId val="{00000003-507E-4D43-BEAA-4F50DCA29A89}"/>
                </c:ext>
              </c:extLst>
            </c:dLbl>
            <c:dLbl>
              <c:idx val="3"/>
              <c:delete val="1"/>
              <c:extLst>
                <c:ext xmlns:c15="http://schemas.microsoft.com/office/drawing/2012/chart" uri="{CE6537A1-D6FC-4f65-9D91-7224C49458BB}"/>
                <c:ext xmlns:c16="http://schemas.microsoft.com/office/drawing/2014/chart" uri="{C3380CC4-5D6E-409C-BE32-E72D297353CC}">
                  <c16:uniqueId val="{00000004-507E-4D43-BEAA-4F50DCA29A89}"/>
                </c:ext>
              </c:extLst>
            </c:dLbl>
            <c:dLbl>
              <c:idx val="4"/>
              <c:delete val="1"/>
              <c:extLst>
                <c:ext xmlns:c15="http://schemas.microsoft.com/office/drawing/2012/chart" uri="{CE6537A1-D6FC-4f65-9D91-7224C49458BB}"/>
                <c:ext xmlns:c16="http://schemas.microsoft.com/office/drawing/2014/chart" uri="{C3380CC4-5D6E-409C-BE32-E72D297353CC}">
                  <c16:uniqueId val="{00000005-507E-4D43-BEAA-4F50DCA29A89}"/>
                </c:ext>
              </c:extLst>
            </c:dLbl>
            <c:dLbl>
              <c:idx val="5"/>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507E-4D43-BEAA-4F50DCA29A89}"/>
                </c:ext>
              </c:extLst>
            </c:dLbl>
            <c:dLbl>
              <c:idx val="6"/>
              <c:delete val="1"/>
              <c:extLst>
                <c:ext xmlns:c15="http://schemas.microsoft.com/office/drawing/2012/chart" uri="{CE6537A1-D6FC-4f65-9D91-7224C49458BB}"/>
                <c:ext xmlns:c16="http://schemas.microsoft.com/office/drawing/2014/chart" uri="{C3380CC4-5D6E-409C-BE32-E72D297353CC}">
                  <c16:uniqueId val="{00000007-507E-4D43-BEAA-4F50DCA29A89}"/>
                </c:ext>
              </c:extLst>
            </c:dLbl>
            <c:dLbl>
              <c:idx val="7"/>
              <c:delete val="1"/>
              <c:extLst>
                <c:ext xmlns:c15="http://schemas.microsoft.com/office/drawing/2012/chart" uri="{CE6537A1-D6FC-4f65-9D91-7224C49458BB}"/>
                <c:ext xmlns:c16="http://schemas.microsoft.com/office/drawing/2014/chart" uri="{C3380CC4-5D6E-409C-BE32-E72D297353CC}">
                  <c16:uniqueId val="{00000008-507E-4D43-BEAA-4F50DCA29A89}"/>
                </c:ext>
              </c:extLst>
            </c:dLbl>
            <c:dLbl>
              <c:idx val="8"/>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507E-4D43-BEAA-4F50DCA29A89}"/>
                </c:ext>
              </c:extLst>
            </c:dLbl>
            <c:dLbl>
              <c:idx val="9"/>
              <c:layout>
                <c:manualLayout>
                  <c:x val="0"/>
                  <c:y val="-9.2943581990107929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224B-4B77-8AFA-2DF0DD0FC0C8}"/>
                </c:ext>
              </c:extLst>
            </c:dLbl>
            <c:numFmt formatCode="0.00\ %" sourceLinked="0"/>
            <c:spPr>
              <a:solidFill>
                <a:schemeClr val="bg1">
                  <a:lumMod val="85000"/>
                </a:schemeClr>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3">
                        <a:lumMod val="50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List1!$F$4:$F$14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List1!$H$4:$H$14</c:f>
              <c:numCache>
                <c:formatCode>0.00%</c:formatCode>
                <c:ptCount val="11"/>
                <c:pt idx="0">
                  <c:v>7.5467946572167089E-3</c:v>
                </c:pt>
                <c:pt idx="1">
                  <c:v>7.4955133362213005E-3</c:v>
                </c:pt>
                <c:pt idx="2">
                  <c:v>7.4801789153438516E-3</c:v>
                </c:pt>
                <c:pt idx="3">
                  <c:v>7.3032780455594363E-3</c:v>
                </c:pt>
                <c:pt idx="4">
                  <c:v>7.3376798208692751E-3</c:v>
                </c:pt>
                <c:pt idx="5">
                  <c:v>6.6862505352090294E-3</c:v>
                </c:pt>
                <c:pt idx="6">
                  <c:v>6.8588112833492419E-3</c:v>
                </c:pt>
                <c:pt idx="7">
                  <c:v>7.0398585226499793E-3</c:v>
                </c:pt>
                <c:pt idx="8">
                  <c:v>7.130519462802719E-3</c:v>
                </c:pt>
                <c:pt idx="9">
                  <c:v>3.330396072938272E-3</c:v>
                </c:pt>
                <c:pt idx="10">
                  <c:v>8.5053355325839155E-3</c:v>
                </c:pt>
              </c:numCache>
            </c:numRef>
          </c:val>
          <c:smooth val="0"/>
          <c:extLst>
            <c:ext xmlns:c16="http://schemas.microsoft.com/office/drawing/2014/chart" uri="{C3380CC4-5D6E-409C-BE32-E72D297353CC}">
              <c16:uniqueId val="{0000000A-507E-4D43-BEAA-4F50DCA29A89}"/>
            </c:ext>
          </c:extLst>
        </c:ser>
        <c:ser>
          <c:idx val="2"/>
          <c:order val="2"/>
          <c:tx>
            <c:strRef>
              <c:f>List1!$I$3</c:f>
              <c:strCache>
                <c:ptCount val="1"/>
                <c:pt idx="0">
                  <c:v>dívky (%)</c:v>
                </c:pt>
              </c:strCache>
            </c:strRef>
          </c:tx>
          <c:spPr>
            <a:ln w="28575" cap="rnd">
              <a:solidFill>
                <a:srgbClr val="FF0000"/>
              </a:solidFill>
              <a:round/>
            </a:ln>
            <a:effectLst/>
          </c:spPr>
          <c:marker>
            <c:symbol val="none"/>
          </c:marker>
          <c:dLbls>
            <c:dLbl>
              <c:idx val="0"/>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507E-4D43-BEAA-4F50DCA29A89}"/>
                </c:ext>
              </c:extLst>
            </c:dLbl>
            <c:dLbl>
              <c:idx val="1"/>
              <c:delete val="1"/>
              <c:extLst>
                <c:ext xmlns:c15="http://schemas.microsoft.com/office/drawing/2012/chart" uri="{CE6537A1-D6FC-4f65-9D91-7224C49458BB}"/>
                <c:ext xmlns:c16="http://schemas.microsoft.com/office/drawing/2014/chart" uri="{C3380CC4-5D6E-409C-BE32-E72D297353CC}">
                  <c16:uniqueId val="{0000000C-507E-4D43-BEAA-4F50DCA29A89}"/>
                </c:ext>
              </c:extLst>
            </c:dLbl>
            <c:dLbl>
              <c:idx val="2"/>
              <c:delete val="1"/>
              <c:extLst>
                <c:ext xmlns:c15="http://schemas.microsoft.com/office/drawing/2012/chart" uri="{CE6537A1-D6FC-4f65-9D91-7224C49458BB}"/>
                <c:ext xmlns:c16="http://schemas.microsoft.com/office/drawing/2014/chart" uri="{C3380CC4-5D6E-409C-BE32-E72D297353CC}">
                  <c16:uniqueId val="{0000000D-507E-4D43-BEAA-4F50DCA29A89}"/>
                </c:ext>
              </c:extLst>
            </c:dLbl>
            <c:dLbl>
              <c:idx val="3"/>
              <c:delete val="1"/>
              <c:extLst>
                <c:ext xmlns:c15="http://schemas.microsoft.com/office/drawing/2012/chart" uri="{CE6537A1-D6FC-4f65-9D91-7224C49458BB}"/>
                <c:ext xmlns:c16="http://schemas.microsoft.com/office/drawing/2014/chart" uri="{C3380CC4-5D6E-409C-BE32-E72D297353CC}">
                  <c16:uniqueId val="{0000000E-507E-4D43-BEAA-4F50DCA29A89}"/>
                </c:ext>
              </c:extLst>
            </c:dLbl>
            <c:dLbl>
              <c:idx val="4"/>
              <c:delete val="1"/>
              <c:extLst>
                <c:ext xmlns:c15="http://schemas.microsoft.com/office/drawing/2012/chart" uri="{CE6537A1-D6FC-4f65-9D91-7224C49458BB}"/>
                <c:ext xmlns:c16="http://schemas.microsoft.com/office/drawing/2014/chart" uri="{C3380CC4-5D6E-409C-BE32-E72D297353CC}">
                  <c16:uniqueId val="{0000000F-507E-4D43-BEAA-4F50DCA29A89}"/>
                </c:ext>
              </c:extLst>
            </c:dLbl>
            <c:dLbl>
              <c:idx val="5"/>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0-507E-4D43-BEAA-4F50DCA29A89}"/>
                </c:ext>
              </c:extLst>
            </c:dLbl>
            <c:dLbl>
              <c:idx val="6"/>
              <c:delete val="1"/>
              <c:extLst>
                <c:ext xmlns:c15="http://schemas.microsoft.com/office/drawing/2012/chart" uri="{CE6537A1-D6FC-4f65-9D91-7224C49458BB}"/>
                <c:ext xmlns:c16="http://schemas.microsoft.com/office/drawing/2014/chart" uri="{C3380CC4-5D6E-409C-BE32-E72D297353CC}">
                  <c16:uniqueId val="{00000011-507E-4D43-BEAA-4F50DCA29A89}"/>
                </c:ext>
              </c:extLst>
            </c:dLbl>
            <c:dLbl>
              <c:idx val="7"/>
              <c:delete val="1"/>
              <c:extLst>
                <c:ext xmlns:c15="http://schemas.microsoft.com/office/drawing/2012/chart" uri="{CE6537A1-D6FC-4f65-9D91-7224C49458BB}"/>
                <c:ext xmlns:c16="http://schemas.microsoft.com/office/drawing/2014/chart" uri="{C3380CC4-5D6E-409C-BE32-E72D297353CC}">
                  <c16:uniqueId val="{00000012-507E-4D43-BEAA-4F50DCA29A89}"/>
                </c:ext>
              </c:extLst>
            </c:dLbl>
            <c:dLbl>
              <c:idx val="8"/>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3-507E-4D43-BEAA-4F50DCA29A89}"/>
                </c:ext>
              </c:extLst>
            </c:dLbl>
            <c:dLbl>
              <c:idx val="9"/>
              <c:layout>
                <c:manualLayout>
                  <c:x val="-4.348943568192179E-2"/>
                  <c:y val="2.0172250331826392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4-507E-4D43-BEAA-4F50DCA29A89}"/>
                </c:ext>
              </c:extLst>
            </c:dLbl>
            <c:numFmt formatCode="0.00\ %" sourceLinked="0"/>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List1!$F$4:$F$14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List1!$I$4:$I$14</c:f>
              <c:numCache>
                <c:formatCode>0.00%</c:formatCode>
                <c:ptCount val="11"/>
                <c:pt idx="0">
                  <c:v>5.9680593005944638E-3</c:v>
                </c:pt>
                <c:pt idx="1">
                  <c:v>6.1107346943993458E-3</c:v>
                </c:pt>
                <c:pt idx="2">
                  <c:v>6.2186014258133072E-3</c:v>
                </c:pt>
                <c:pt idx="3">
                  <c:v>6.000033789409916E-3</c:v>
                </c:pt>
                <c:pt idx="4">
                  <c:v>6.2067916759273338E-3</c:v>
                </c:pt>
                <c:pt idx="5">
                  <c:v>5.6037615845902231E-3</c:v>
                </c:pt>
                <c:pt idx="6">
                  <c:v>5.7288492930119604E-3</c:v>
                </c:pt>
                <c:pt idx="7">
                  <c:v>5.9221861952854582E-3</c:v>
                </c:pt>
                <c:pt idx="8">
                  <c:v>6.2604908587760291E-3</c:v>
                </c:pt>
                <c:pt idx="9">
                  <c:v>3.0003763836375769E-3</c:v>
                </c:pt>
                <c:pt idx="10">
                  <c:v>7.5300337913464304E-3</c:v>
                </c:pt>
              </c:numCache>
            </c:numRef>
          </c:val>
          <c:smooth val="0"/>
          <c:extLst>
            <c:ext xmlns:c16="http://schemas.microsoft.com/office/drawing/2014/chart" uri="{C3380CC4-5D6E-409C-BE32-E72D297353CC}">
              <c16:uniqueId val="{00000015-507E-4D43-BEAA-4F50DCA29A89}"/>
            </c:ext>
          </c:extLst>
        </c:ser>
        <c:ser>
          <c:idx val="3"/>
          <c:order val="3"/>
          <c:tx>
            <c:strRef>
              <c:f>List1!$J$3</c:f>
              <c:strCache>
                <c:ptCount val="1"/>
                <c:pt idx="0">
                  <c:v>chlapci (%)</c:v>
                </c:pt>
              </c:strCache>
            </c:strRef>
          </c:tx>
          <c:spPr>
            <a:ln w="28575" cap="rnd">
              <a:solidFill>
                <a:schemeClr val="accent1">
                  <a:lumMod val="75000"/>
                </a:schemeClr>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16-507E-4D43-BEAA-4F50DCA29A89}"/>
                </c:ext>
              </c:extLst>
            </c:dLbl>
            <c:dLbl>
              <c:idx val="2"/>
              <c:delete val="1"/>
              <c:extLst>
                <c:ext xmlns:c15="http://schemas.microsoft.com/office/drawing/2012/chart" uri="{CE6537A1-D6FC-4f65-9D91-7224C49458BB}"/>
                <c:ext xmlns:c16="http://schemas.microsoft.com/office/drawing/2014/chart" uri="{C3380CC4-5D6E-409C-BE32-E72D297353CC}">
                  <c16:uniqueId val="{00000017-507E-4D43-BEAA-4F50DCA29A89}"/>
                </c:ext>
              </c:extLst>
            </c:dLbl>
            <c:dLbl>
              <c:idx val="3"/>
              <c:delete val="1"/>
              <c:extLst>
                <c:ext xmlns:c15="http://schemas.microsoft.com/office/drawing/2012/chart" uri="{CE6537A1-D6FC-4f65-9D91-7224C49458BB}"/>
                <c:ext xmlns:c16="http://schemas.microsoft.com/office/drawing/2014/chart" uri="{C3380CC4-5D6E-409C-BE32-E72D297353CC}">
                  <c16:uniqueId val="{00000018-507E-4D43-BEAA-4F50DCA29A89}"/>
                </c:ext>
              </c:extLst>
            </c:dLbl>
            <c:dLbl>
              <c:idx val="4"/>
              <c:delete val="1"/>
              <c:extLst>
                <c:ext xmlns:c15="http://schemas.microsoft.com/office/drawing/2012/chart" uri="{CE6537A1-D6FC-4f65-9D91-7224C49458BB}"/>
                <c:ext xmlns:c16="http://schemas.microsoft.com/office/drawing/2014/chart" uri="{C3380CC4-5D6E-409C-BE32-E72D297353CC}">
                  <c16:uniqueId val="{00000019-507E-4D43-BEAA-4F50DCA29A89}"/>
                </c:ext>
              </c:extLst>
            </c:dLbl>
            <c:dLbl>
              <c:idx val="6"/>
              <c:delete val="1"/>
              <c:extLst>
                <c:ext xmlns:c15="http://schemas.microsoft.com/office/drawing/2012/chart" uri="{CE6537A1-D6FC-4f65-9D91-7224C49458BB}"/>
                <c:ext xmlns:c16="http://schemas.microsoft.com/office/drawing/2014/chart" uri="{C3380CC4-5D6E-409C-BE32-E72D297353CC}">
                  <c16:uniqueId val="{0000001A-507E-4D43-BEAA-4F50DCA29A89}"/>
                </c:ext>
              </c:extLst>
            </c:dLbl>
            <c:dLbl>
              <c:idx val="7"/>
              <c:delete val="1"/>
              <c:extLst>
                <c:ext xmlns:c15="http://schemas.microsoft.com/office/drawing/2012/chart" uri="{CE6537A1-D6FC-4f65-9D91-7224C49458BB}"/>
                <c:ext xmlns:c16="http://schemas.microsoft.com/office/drawing/2014/chart" uri="{C3380CC4-5D6E-409C-BE32-E72D297353CC}">
                  <c16:uniqueId val="{0000001B-507E-4D43-BEAA-4F50DCA29A89}"/>
                </c:ext>
              </c:extLst>
            </c:dLbl>
            <c:dLbl>
              <c:idx val="9"/>
              <c:layout>
                <c:manualLayout>
                  <c:x val="-4.1424120075880741E-2"/>
                  <c:y val="-5.014700158677883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C-507E-4D43-BEAA-4F50DCA29A89}"/>
                </c:ext>
              </c:extLst>
            </c:dLbl>
            <c:numFmt formatCode="0.00\ %" sourceLinked="0"/>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lumMod val="75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List1!$F$4:$F$14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List1!$J$4:$J$14</c:f>
              <c:numCache>
                <c:formatCode>0.00%</c:formatCode>
                <c:ptCount val="11"/>
                <c:pt idx="0">
                  <c:v>9.0246814316692243E-3</c:v>
                </c:pt>
                <c:pt idx="1">
                  <c:v>8.7948468818597279E-3</c:v>
                </c:pt>
                <c:pt idx="2">
                  <c:v>8.6652919673821348E-3</c:v>
                </c:pt>
                <c:pt idx="3">
                  <c:v>8.5310341377789305E-3</c:v>
                </c:pt>
                <c:pt idx="4">
                  <c:v>8.4051800289742414E-3</c:v>
                </c:pt>
                <c:pt idx="5">
                  <c:v>7.7090147398422145E-3</c:v>
                </c:pt>
                <c:pt idx="6">
                  <c:v>7.925214186469208E-3</c:v>
                </c:pt>
                <c:pt idx="7">
                  <c:v>8.0942476934801957E-3</c:v>
                </c:pt>
                <c:pt idx="8">
                  <c:v>7.9523633640313195E-3</c:v>
                </c:pt>
                <c:pt idx="9">
                  <c:v>3.6423171766988721E-3</c:v>
                </c:pt>
                <c:pt idx="10">
                  <c:v>9.4285552837849833E-3</c:v>
                </c:pt>
              </c:numCache>
            </c:numRef>
          </c:val>
          <c:smooth val="0"/>
          <c:extLst>
            <c:ext xmlns:c16="http://schemas.microsoft.com/office/drawing/2014/chart" uri="{C3380CC4-5D6E-409C-BE32-E72D297353CC}">
              <c16:uniqueId val="{0000001D-507E-4D43-BEAA-4F50DCA29A89}"/>
            </c:ext>
          </c:extLst>
        </c:ser>
        <c:dLbls>
          <c:showLegendKey val="0"/>
          <c:showVal val="0"/>
          <c:showCatName val="0"/>
          <c:showSerName val="0"/>
          <c:showPercent val="0"/>
          <c:showBubbleSize val="0"/>
        </c:dLbls>
        <c:marker val="1"/>
        <c:smooth val="0"/>
        <c:axId val="374602496"/>
        <c:axId val="374602080"/>
      </c:lineChart>
      <c:catAx>
        <c:axId val="20800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74601248"/>
        <c:crosses val="autoZero"/>
        <c:auto val="1"/>
        <c:lblAlgn val="ctr"/>
        <c:lblOffset val="100"/>
        <c:noMultiLvlLbl val="0"/>
      </c:catAx>
      <c:valAx>
        <c:axId val="374601248"/>
        <c:scaling>
          <c:orientation val="minMax"/>
          <c:max val="15000"/>
        </c:scaling>
        <c:delete val="0"/>
        <c:axPos val="l"/>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08000112"/>
        <c:crosses val="autoZero"/>
        <c:crossBetween val="between"/>
        <c:majorUnit val="1000"/>
      </c:valAx>
      <c:valAx>
        <c:axId val="374602080"/>
        <c:scaling>
          <c:orientation val="minMax"/>
          <c:max val="1.0000000000000002E-2"/>
        </c:scaling>
        <c:delete val="0"/>
        <c:axPos val="r"/>
        <c:numFmt formatCode="0.0\ %"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74602496"/>
        <c:crosses val="max"/>
        <c:crossBetween val="between"/>
        <c:majorUnit val="1.0000000000000002E-3"/>
      </c:valAx>
      <c:catAx>
        <c:axId val="374602496"/>
        <c:scaling>
          <c:orientation val="minMax"/>
        </c:scaling>
        <c:delete val="1"/>
        <c:axPos val="b"/>
        <c:numFmt formatCode="General" sourceLinked="1"/>
        <c:majorTickMark val="none"/>
        <c:minorTickMark val="none"/>
        <c:tickLblPos val="nextTo"/>
        <c:crossAx val="374602080"/>
        <c:crosses val="autoZero"/>
        <c:auto val="1"/>
        <c:lblAlgn val="ctr"/>
        <c:lblOffset val="100"/>
        <c:noMultiLvlLbl val="0"/>
      </c:catAx>
      <c:spPr>
        <a:noFill/>
        <a:ln>
          <a:noFill/>
        </a:ln>
        <a:effectLst/>
      </c:spPr>
    </c:plotArea>
    <c:legend>
      <c:legendPos val="b"/>
      <c:legendEntry>
        <c:idx val="0"/>
        <c:txPr>
          <a:bodyPr rot="0" spcFirstLastPara="1" vertOverflow="ellipsis" vert="horz" wrap="square" anchor="ctr" anchorCtr="1"/>
          <a:lstStyle/>
          <a:p>
            <a:pPr>
              <a:defRPr sz="800" b="1" i="0" u="none" strike="noStrike" kern="1200" baseline="0">
                <a:solidFill>
                  <a:schemeClr val="accent3">
                    <a:lumMod val="50000"/>
                  </a:schemeClr>
                </a:solidFill>
                <a:latin typeface="Arial" panose="020B0604020202020204" pitchFamily="34" charset="0"/>
                <a:ea typeface="+mn-ea"/>
                <a:cs typeface="Arial" panose="020B0604020202020204" pitchFamily="34" charset="0"/>
              </a:defRPr>
            </a:pPr>
            <a:endParaRPr lang="cs-CZ"/>
          </a:p>
        </c:txPr>
      </c:legendEntry>
      <c:legendEntry>
        <c:idx val="1"/>
        <c:txPr>
          <a:bodyPr rot="0" spcFirstLastPara="1" vertOverflow="ellipsis" vert="horz" wrap="square" anchor="ctr" anchorCtr="1"/>
          <a:lstStyle/>
          <a:p>
            <a:pPr>
              <a:defRPr sz="800" b="1" i="0" u="none" strike="noStrike" kern="1200" baseline="0">
                <a:solidFill>
                  <a:schemeClr val="accent3">
                    <a:lumMod val="50000"/>
                  </a:schemeClr>
                </a:solidFill>
                <a:latin typeface="Arial" panose="020B0604020202020204" pitchFamily="34" charset="0"/>
                <a:ea typeface="+mn-ea"/>
                <a:cs typeface="Arial" panose="020B0604020202020204" pitchFamily="34" charset="0"/>
              </a:defRPr>
            </a:pPr>
            <a:endParaRPr lang="cs-CZ"/>
          </a:p>
        </c:txPr>
      </c:legendEntry>
      <c:legendEntry>
        <c:idx val="2"/>
        <c:txPr>
          <a:bodyPr rot="0" spcFirstLastPara="1" vertOverflow="ellipsis" vert="horz" wrap="square" anchor="ctr" anchorCtr="1"/>
          <a:lstStyle/>
          <a:p>
            <a:pPr>
              <a:defRPr sz="800" b="1" i="0" u="none" strike="noStrike" kern="1200" baseline="0">
                <a:solidFill>
                  <a:srgbClr val="C00000"/>
                </a:solidFill>
                <a:latin typeface="Arial" panose="020B0604020202020204" pitchFamily="34" charset="0"/>
                <a:ea typeface="+mn-ea"/>
                <a:cs typeface="Arial" panose="020B0604020202020204" pitchFamily="34" charset="0"/>
              </a:defRPr>
            </a:pPr>
            <a:endParaRPr lang="cs-CZ"/>
          </a:p>
        </c:txPr>
      </c:legendEntry>
      <c:legendEntry>
        <c:idx val="3"/>
        <c:txPr>
          <a:bodyPr rot="0" spcFirstLastPara="1" vertOverflow="ellipsis" vert="horz" wrap="square" anchor="ctr" anchorCtr="1"/>
          <a:lstStyle/>
          <a:p>
            <a:pPr>
              <a:defRPr sz="800" b="1" i="0" u="none" strike="noStrike" kern="1200" baseline="0">
                <a:solidFill>
                  <a:schemeClr val="accent1">
                    <a:lumMod val="75000"/>
                  </a:schemeClr>
                </a:solidFill>
                <a:latin typeface="Arial" panose="020B0604020202020204" pitchFamily="34" charset="0"/>
                <a:ea typeface="+mn-ea"/>
                <a:cs typeface="Arial" panose="020B0604020202020204" pitchFamily="34" charset="0"/>
              </a:defRPr>
            </a:pPr>
            <a:endParaRPr lang="cs-CZ"/>
          </a:p>
        </c:txPr>
      </c:legendEntry>
      <c:layout>
        <c:manualLayout>
          <c:xMode val="edge"/>
          <c:yMode val="edge"/>
          <c:x val="3.4552011951390758E-2"/>
          <c:y val="0.89387677037291213"/>
          <c:w val="0.92174234383728837"/>
          <c:h val="7.9664847365763847E-2"/>
        </c:manualLayout>
      </c:layout>
      <c:overlay val="0"/>
      <c:spPr>
        <a:noFill/>
        <a:ln>
          <a:solidFill>
            <a:schemeClr val="bg1">
              <a:lumMod val="50000"/>
            </a:schemeClr>
          </a:solidFill>
        </a:ln>
        <a:effectLst/>
      </c:spPr>
      <c:txPr>
        <a:bodyPr rot="0" spcFirstLastPara="1" vertOverflow="ellipsis" vert="horz" wrap="square" anchor="ctr" anchorCtr="1"/>
        <a:lstStyle/>
        <a:p>
          <a:pPr>
            <a:defRPr sz="800" b="1" i="0" u="none" strike="noStrike" kern="1200" baseline="0">
              <a:solidFill>
                <a:srgbClr val="22518A"/>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652135501118929E-2"/>
          <c:y val="5.3724053724053727E-2"/>
          <c:w val="0.90638575198452975"/>
          <c:h val="0.70240864751719123"/>
        </c:manualLayout>
      </c:layout>
      <c:barChart>
        <c:barDir val="col"/>
        <c:grouping val="clustered"/>
        <c:varyColors val="0"/>
        <c:ser>
          <c:idx val="1"/>
          <c:order val="1"/>
          <c:tx>
            <c:strRef>
              <c:f>'2.2.19'!$C$27</c:f>
              <c:strCache>
                <c:ptCount val="1"/>
                <c:pt idx="0">
                  <c:v>chlapci</c:v>
                </c:pt>
              </c:strCache>
            </c:strRef>
          </c:tx>
          <c:spPr>
            <a:solidFill>
              <a:srgbClr val="A3C3F7"/>
            </a:solidFill>
            <a:ln>
              <a:noFill/>
            </a:ln>
            <a:effectLst/>
          </c:spPr>
          <c:invertIfNegative val="0"/>
          <c:dPt>
            <c:idx val="8"/>
            <c:invertIfNegative val="0"/>
            <c:bubble3D val="0"/>
            <c:spPr>
              <a:solidFill>
                <a:srgbClr val="A3C3F7"/>
              </a:solidFill>
              <a:ln>
                <a:noFill/>
              </a:ln>
              <a:effectLst/>
            </c:spPr>
            <c:extLst>
              <c:ext xmlns:c16="http://schemas.microsoft.com/office/drawing/2014/chart" uri="{C3380CC4-5D6E-409C-BE32-E72D297353CC}">
                <c16:uniqueId val="{00000001-BB08-4BA8-AAB4-1A91E0813E28}"/>
              </c:ext>
            </c:extLst>
          </c:dPt>
          <c:dPt>
            <c:idx val="9"/>
            <c:invertIfNegative val="0"/>
            <c:bubble3D val="0"/>
            <c:spPr>
              <a:solidFill>
                <a:srgbClr val="A3C3F7"/>
              </a:solidFill>
              <a:ln>
                <a:noFill/>
              </a:ln>
              <a:effectLst/>
            </c:spPr>
            <c:extLst>
              <c:ext xmlns:c16="http://schemas.microsoft.com/office/drawing/2014/chart" uri="{C3380CC4-5D6E-409C-BE32-E72D297353CC}">
                <c16:uniqueId val="{00000003-BB08-4BA8-AAB4-1A91E0813E28}"/>
              </c:ext>
            </c:extLst>
          </c:dPt>
          <c:dLbls>
            <c:numFmt formatCode="0.0\ %" sourceLinked="0"/>
            <c:spPr>
              <a:noFill/>
              <a:ln>
                <a:noFill/>
              </a:ln>
              <a:effectLst/>
            </c:spPr>
            <c:txPr>
              <a:bodyPr rot="-5400000" spcFirstLastPara="1" vertOverflow="ellipsis" wrap="square" lIns="38100" tIns="19050" rIns="38100" bIns="19050" anchor="ctr" anchorCtr="1">
                <a:spAutoFit/>
              </a:bodyPr>
              <a:lstStyle/>
              <a:p>
                <a:pPr>
                  <a:defRPr sz="800" b="0" i="1" u="none" strike="noStrike" kern="1200" baseline="0">
                    <a:solidFill>
                      <a:schemeClr val="accent5">
                        <a:lumMod val="50000"/>
                      </a:schemeClr>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'2.2.19'!$A$28:$A$42</c:f>
              <c:strCache>
                <c:ptCount val="15"/>
                <c:pt idx="0">
                  <c:v>Ústecký</c:v>
                </c:pt>
                <c:pt idx="1">
                  <c:v>Karlovarský</c:v>
                </c:pt>
                <c:pt idx="2">
                  <c:v>Liberecký</c:v>
                </c:pt>
                <c:pt idx="3">
                  <c:v>Moravskoslezský</c:v>
                </c:pt>
                <c:pt idx="4">
                  <c:v>Olomoucký</c:v>
                </c:pt>
                <c:pt idx="5">
                  <c:v>Plzeňský</c:v>
                </c:pt>
                <c:pt idx="6">
                  <c:v>ČR</c:v>
                </c:pt>
                <c:pt idx="7">
                  <c:v>Jihočeský</c:v>
                </c:pt>
                <c:pt idx="8">
                  <c:v>Pardubický</c:v>
                </c:pt>
                <c:pt idx="9">
                  <c:v>Královéhradecký</c:v>
                </c:pt>
                <c:pt idx="10">
                  <c:v>Středočeský</c:v>
                </c:pt>
                <c:pt idx="11">
                  <c:v>Jihomoravský</c:v>
                </c:pt>
                <c:pt idx="12">
                  <c:v>Zlínský</c:v>
                </c:pt>
                <c:pt idx="13">
                  <c:v>Vysočina</c:v>
                </c:pt>
                <c:pt idx="14">
                  <c:v>Praha</c:v>
                </c:pt>
              </c:strCache>
            </c:strRef>
          </c:cat>
          <c:val>
            <c:numRef>
              <c:f>'2.2.19'!$C$28:$C$42</c:f>
              <c:numCache>
                <c:formatCode>0.00%</c:formatCode>
                <c:ptCount val="15"/>
                <c:pt idx="0">
                  <c:v>1.7794790885342575E-2</c:v>
                </c:pt>
                <c:pt idx="1">
                  <c:v>1.6643225503984997E-2</c:v>
                </c:pt>
                <c:pt idx="2">
                  <c:v>1.2331262553131861E-2</c:v>
                </c:pt>
                <c:pt idx="3">
                  <c:v>1.1819887429643527E-2</c:v>
                </c:pt>
                <c:pt idx="4">
                  <c:v>1.1072567363958093E-2</c:v>
                </c:pt>
                <c:pt idx="5">
                  <c:v>1.1549243132124836E-2</c:v>
                </c:pt>
                <c:pt idx="6">
                  <c:v>9.4285552837849833E-3</c:v>
                </c:pt>
                <c:pt idx="7">
                  <c:v>9.4838774084057102E-3</c:v>
                </c:pt>
                <c:pt idx="8">
                  <c:v>9.2353158478019944E-3</c:v>
                </c:pt>
                <c:pt idx="9">
                  <c:v>9.1208016910670955E-3</c:v>
                </c:pt>
                <c:pt idx="10">
                  <c:v>7.337467381239653E-3</c:v>
                </c:pt>
                <c:pt idx="11">
                  <c:v>7.1840900454208214E-3</c:v>
                </c:pt>
                <c:pt idx="12">
                  <c:v>7.6884825765979421E-3</c:v>
                </c:pt>
                <c:pt idx="13">
                  <c:v>5.9093614488563897E-3</c:v>
                </c:pt>
                <c:pt idx="14">
                  <c:v>4.301409618573798E-3</c:v>
                </c:pt>
              </c:numCache>
            </c:numRef>
          </c:val>
          <c:extLst>
            <c:ext xmlns:c16="http://schemas.microsoft.com/office/drawing/2014/chart" uri="{C3380CC4-5D6E-409C-BE32-E72D297353CC}">
              <c16:uniqueId val="{00000004-BB08-4BA8-AAB4-1A91E0813E28}"/>
            </c:ext>
          </c:extLst>
        </c:ser>
        <c:ser>
          <c:idx val="2"/>
          <c:order val="2"/>
          <c:tx>
            <c:strRef>
              <c:f>'2.2.19'!$D$27</c:f>
              <c:strCache>
                <c:ptCount val="1"/>
                <c:pt idx="0">
                  <c:v>dívky</c:v>
                </c:pt>
              </c:strCache>
            </c:strRef>
          </c:tx>
          <c:spPr>
            <a:solidFill>
              <a:srgbClr val="E9582B"/>
            </a:solidFill>
            <a:ln>
              <a:noFill/>
            </a:ln>
            <a:effectLst/>
          </c:spPr>
          <c:invertIfNegative val="0"/>
          <c:dPt>
            <c:idx val="8"/>
            <c:invertIfNegative val="0"/>
            <c:bubble3D val="0"/>
            <c:spPr>
              <a:solidFill>
                <a:srgbClr val="E9582B"/>
              </a:solidFill>
              <a:ln>
                <a:noFill/>
              </a:ln>
              <a:effectLst/>
            </c:spPr>
            <c:extLst>
              <c:ext xmlns:c16="http://schemas.microsoft.com/office/drawing/2014/chart" uri="{C3380CC4-5D6E-409C-BE32-E72D297353CC}">
                <c16:uniqueId val="{00000006-BB08-4BA8-AAB4-1A91E0813E28}"/>
              </c:ext>
            </c:extLst>
          </c:dPt>
          <c:dPt>
            <c:idx val="9"/>
            <c:invertIfNegative val="0"/>
            <c:bubble3D val="0"/>
            <c:spPr>
              <a:solidFill>
                <a:srgbClr val="E9582B"/>
              </a:solidFill>
              <a:ln>
                <a:noFill/>
              </a:ln>
              <a:effectLst/>
            </c:spPr>
            <c:extLst>
              <c:ext xmlns:c16="http://schemas.microsoft.com/office/drawing/2014/chart" uri="{C3380CC4-5D6E-409C-BE32-E72D297353CC}">
                <c16:uniqueId val="{00000008-BB08-4BA8-AAB4-1A91E0813E28}"/>
              </c:ext>
            </c:extLst>
          </c:dPt>
          <c:dLbls>
            <c:numFmt formatCode="0.0\ %" sourceLinked="0"/>
            <c:spPr>
              <a:noFill/>
              <a:ln>
                <a:noFill/>
              </a:ln>
              <a:effectLst/>
            </c:spPr>
            <c:txPr>
              <a:bodyPr rot="-5400000" spcFirstLastPara="1" vertOverflow="ellipsis" wrap="square" lIns="38100" tIns="19050" rIns="38100" bIns="19050" anchor="ctr" anchorCtr="1">
                <a:spAutoFit/>
              </a:bodyPr>
              <a:lstStyle/>
              <a:p>
                <a:pPr>
                  <a:defRPr sz="800" b="0" i="1" u="none" strike="noStrike" kern="1200" baseline="0">
                    <a:solidFill>
                      <a:srgbClr val="640000"/>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'2.2.19'!$A$28:$A$42</c:f>
              <c:strCache>
                <c:ptCount val="15"/>
                <c:pt idx="0">
                  <c:v>Ústecký</c:v>
                </c:pt>
                <c:pt idx="1">
                  <c:v>Karlovarský</c:v>
                </c:pt>
                <c:pt idx="2">
                  <c:v>Liberecký</c:v>
                </c:pt>
                <c:pt idx="3">
                  <c:v>Moravskoslezský</c:v>
                </c:pt>
                <c:pt idx="4">
                  <c:v>Olomoucký</c:v>
                </c:pt>
                <c:pt idx="5">
                  <c:v>Plzeňský</c:v>
                </c:pt>
                <c:pt idx="6">
                  <c:v>ČR</c:v>
                </c:pt>
                <c:pt idx="7">
                  <c:v>Jihočeský</c:v>
                </c:pt>
                <c:pt idx="8">
                  <c:v>Pardubický</c:v>
                </c:pt>
                <c:pt idx="9">
                  <c:v>Královéhradecký</c:v>
                </c:pt>
                <c:pt idx="10">
                  <c:v>Středočeský</c:v>
                </c:pt>
                <c:pt idx="11">
                  <c:v>Jihomoravský</c:v>
                </c:pt>
                <c:pt idx="12">
                  <c:v>Zlínský</c:v>
                </c:pt>
                <c:pt idx="13">
                  <c:v>Vysočina</c:v>
                </c:pt>
                <c:pt idx="14">
                  <c:v>Praha</c:v>
                </c:pt>
              </c:strCache>
            </c:strRef>
          </c:cat>
          <c:val>
            <c:numRef>
              <c:f>'2.2.19'!$D$28:$D$42</c:f>
              <c:numCache>
                <c:formatCode>0.00%</c:formatCode>
                <c:ptCount val="15"/>
                <c:pt idx="0">
                  <c:v>1.6186015939528387E-2</c:v>
                </c:pt>
                <c:pt idx="1">
                  <c:v>1.1133266866068461E-2</c:v>
                </c:pt>
                <c:pt idx="2">
                  <c:v>1.0182998819362455E-2</c:v>
                </c:pt>
                <c:pt idx="3">
                  <c:v>9.8267492797663673E-3</c:v>
                </c:pt>
                <c:pt idx="4">
                  <c:v>8.7547560119685276E-3</c:v>
                </c:pt>
                <c:pt idx="5">
                  <c:v>7.7012835472578759E-3</c:v>
                </c:pt>
                <c:pt idx="6">
                  <c:v>7.5300337913464304E-3</c:v>
                </c:pt>
                <c:pt idx="7">
                  <c:v>7.3768177325991809E-3</c:v>
                </c:pt>
                <c:pt idx="8">
                  <c:v>7.345316280677497E-3</c:v>
                </c:pt>
                <c:pt idx="9">
                  <c:v>6.5476686963049464E-3</c:v>
                </c:pt>
                <c:pt idx="10">
                  <c:v>6.3818471902145008E-3</c:v>
                </c:pt>
                <c:pt idx="11">
                  <c:v>5.7048319926978151E-3</c:v>
                </c:pt>
                <c:pt idx="12">
                  <c:v>4.5158665581773796E-3</c:v>
                </c:pt>
                <c:pt idx="13">
                  <c:v>4.9988741274487724E-3</c:v>
                </c:pt>
                <c:pt idx="14">
                  <c:v>3.2656224054906737E-3</c:v>
                </c:pt>
              </c:numCache>
            </c:numRef>
          </c:val>
          <c:extLst>
            <c:ext xmlns:c16="http://schemas.microsoft.com/office/drawing/2014/chart" uri="{C3380CC4-5D6E-409C-BE32-E72D297353CC}">
              <c16:uniqueId val="{00000009-BB08-4BA8-AAB4-1A91E0813E28}"/>
            </c:ext>
          </c:extLst>
        </c:ser>
        <c:dLbls>
          <c:showLegendKey val="0"/>
          <c:showVal val="0"/>
          <c:showCatName val="0"/>
          <c:showSerName val="0"/>
          <c:showPercent val="0"/>
          <c:showBubbleSize val="0"/>
        </c:dLbls>
        <c:gapWidth val="43"/>
        <c:axId val="386870720"/>
        <c:axId val="386871552"/>
      </c:barChart>
      <c:scatterChart>
        <c:scatterStyle val="lineMarker"/>
        <c:varyColors val="0"/>
        <c:ser>
          <c:idx val="0"/>
          <c:order val="0"/>
          <c:tx>
            <c:strRef>
              <c:f>'2.2.19'!$B$27</c:f>
              <c:strCache>
                <c:ptCount val="1"/>
                <c:pt idx="0">
                  <c:v>žáci celkem</c:v>
                </c:pt>
              </c:strCache>
            </c:strRef>
          </c:tx>
          <c:spPr>
            <a:ln w="25400" cap="rnd">
              <a:noFill/>
              <a:round/>
            </a:ln>
            <a:effectLst/>
          </c:spPr>
          <c:marker>
            <c:symbol val="circle"/>
            <c:size val="5"/>
            <c:spPr>
              <a:solidFill>
                <a:srgbClr val="F4E30C"/>
              </a:solidFill>
              <a:ln w="9525">
                <a:solidFill>
                  <a:schemeClr val="tx1"/>
                </a:solidFill>
              </a:ln>
              <a:effectLst/>
            </c:spPr>
          </c:marker>
          <c:dPt>
            <c:idx val="8"/>
            <c:marker>
              <c:symbol val="circle"/>
              <c:size val="5"/>
              <c:spPr>
                <a:solidFill>
                  <a:srgbClr val="F4E30C"/>
                </a:solidFill>
                <a:ln w="9525">
                  <a:solidFill>
                    <a:schemeClr val="tx1"/>
                  </a:solidFill>
                </a:ln>
                <a:effectLst/>
              </c:spPr>
            </c:marker>
            <c:bubble3D val="0"/>
            <c:spPr>
              <a:ln w="25400" cap="rnd">
                <a:noFill/>
                <a:round/>
              </a:ln>
              <a:effectLst/>
            </c:spPr>
            <c:extLst>
              <c:ext xmlns:c16="http://schemas.microsoft.com/office/drawing/2014/chart" uri="{C3380CC4-5D6E-409C-BE32-E72D297353CC}">
                <c16:uniqueId val="{0000000B-BB08-4BA8-AAB4-1A91E0813E28}"/>
              </c:ext>
            </c:extLst>
          </c:dPt>
          <c:dPt>
            <c:idx val="9"/>
            <c:marker>
              <c:symbol val="circle"/>
              <c:size val="5"/>
              <c:spPr>
                <a:solidFill>
                  <a:srgbClr val="F4E30C"/>
                </a:solidFill>
                <a:ln w="9525">
                  <a:solidFill>
                    <a:schemeClr val="tx1"/>
                  </a:solidFill>
                </a:ln>
                <a:effectLst/>
              </c:spPr>
            </c:marker>
            <c:bubble3D val="0"/>
            <c:spPr>
              <a:ln w="25400" cap="rnd">
                <a:noFill/>
                <a:round/>
              </a:ln>
              <a:effectLst/>
            </c:spPr>
            <c:extLst>
              <c:ext xmlns:c16="http://schemas.microsoft.com/office/drawing/2014/chart" uri="{C3380CC4-5D6E-409C-BE32-E72D297353CC}">
                <c16:uniqueId val="{0000000D-BB08-4BA8-AAB4-1A91E0813E28}"/>
              </c:ext>
            </c:extLst>
          </c:dPt>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strRef>
              <c:f>'2.2.19'!$A$28:$A$42</c:f>
              <c:strCache>
                <c:ptCount val="15"/>
                <c:pt idx="0">
                  <c:v>Ústecký</c:v>
                </c:pt>
                <c:pt idx="1">
                  <c:v>Karlovarský</c:v>
                </c:pt>
                <c:pt idx="2">
                  <c:v>Liberecký</c:v>
                </c:pt>
                <c:pt idx="3">
                  <c:v>Moravskoslezský</c:v>
                </c:pt>
                <c:pt idx="4">
                  <c:v>Olomoucký</c:v>
                </c:pt>
                <c:pt idx="5">
                  <c:v>Plzeňský</c:v>
                </c:pt>
                <c:pt idx="6">
                  <c:v>ČR</c:v>
                </c:pt>
                <c:pt idx="7">
                  <c:v>Jihočeský</c:v>
                </c:pt>
                <c:pt idx="8">
                  <c:v>Pardubický</c:v>
                </c:pt>
                <c:pt idx="9">
                  <c:v>Královéhradecký</c:v>
                </c:pt>
                <c:pt idx="10">
                  <c:v>Středočeský</c:v>
                </c:pt>
                <c:pt idx="11">
                  <c:v>Jihomoravský</c:v>
                </c:pt>
                <c:pt idx="12">
                  <c:v>Zlínský</c:v>
                </c:pt>
                <c:pt idx="13">
                  <c:v>Vysočina</c:v>
                </c:pt>
                <c:pt idx="14">
                  <c:v>Praha</c:v>
                </c:pt>
              </c:strCache>
            </c:strRef>
          </c:xVal>
          <c:yVal>
            <c:numRef>
              <c:f>'2.2.19'!$B$28:$B$42</c:f>
              <c:numCache>
                <c:formatCode>0.00%</c:formatCode>
                <c:ptCount val="15"/>
                <c:pt idx="0">
                  <c:v>1.7013408534638716E-2</c:v>
                </c:pt>
                <c:pt idx="1">
                  <c:v>1.3972779254248209E-2</c:v>
                </c:pt>
                <c:pt idx="2">
                  <c:v>1.1284951002707429E-2</c:v>
                </c:pt>
                <c:pt idx="3">
                  <c:v>1.0848448710304102E-2</c:v>
                </c:pt>
                <c:pt idx="4">
                  <c:v>9.9442546304621474E-3</c:v>
                </c:pt>
                <c:pt idx="5">
                  <c:v>9.6635852473077287E-3</c:v>
                </c:pt>
                <c:pt idx="6">
                  <c:v>8.5053355325839155E-3</c:v>
                </c:pt>
                <c:pt idx="7">
                  <c:v>8.4613671788020487E-3</c:v>
                </c:pt>
                <c:pt idx="8">
                  <c:v>8.314564169490812E-3</c:v>
                </c:pt>
                <c:pt idx="9">
                  <c:v>7.8749697116549545E-3</c:v>
                </c:pt>
                <c:pt idx="10">
                  <c:v>6.8719867597323162E-3</c:v>
                </c:pt>
                <c:pt idx="11">
                  <c:v>6.4627994955863809E-3</c:v>
                </c:pt>
                <c:pt idx="12">
                  <c:v>6.1510557340851294E-3</c:v>
                </c:pt>
                <c:pt idx="13">
                  <c:v>5.4672294268156667E-3</c:v>
                </c:pt>
                <c:pt idx="14">
                  <c:v>3.8005513475898615E-3</c:v>
                </c:pt>
              </c:numCache>
            </c:numRef>
          </c:yVal>
          <c:smooth val="0"/>
          <c:extLst>
            <c:ext xmlns:c16="http://schemas.microsoft.com/office/drawing/2014/chart" uri="{C3380CC4-5D6E-409C-BE32-E72D297353CC}">
              <c16:uniqueId val="{0000000E-BB08-4BA8-AAB4-1A91E0813E28}"/>
            </c:ext>
          </c:extLst>
        </c:ser>
        <c:dLbls>
          <c:showLegendKey val="0"/>
          <c:showVal val="0"/>
          <c:showCatName val="0"/>
          <c:showSerName val="0"/>
          <c:showPercent val="0"/>
          <c:showBubbleSize val="0"/>
        </c:dLbls>
        <c:axId val="386870720"/>
        <c:axId val="386871552"/>
      </c:scatterChart>
      <c:catAx>
        <c:axId val="386870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86871552"/>
        <c:crosses val="autoZero"/>
        <c:auto val="1"/>
        <c:lblAlgn val="ctr"/>
        <c:lblOffset val="100"/>
        <c:noMultiLvlLbl val="0"/>
      </c:catAx>
      <c:valAx>
        <c:axId val="386871552"/>
        <c:scaling>
          <c:orientation val="minMax"/>
          <c:max val="1.8000000000000002E-2"/>
          <c:min val="0"/>
        </c:scaling>
        <c:delete val="0"/>
        <c:axPos val="l"/>
        <c:majorGridlines>
          <c:spPr>
            <a:ln w="9525" cap="flat" cmpd="sng" algn="ctr">
              <a:solidFill>
                <a:schemeClr val="tx1">
                  <a:lumMod val="15000"/>
                  <a:lumOff val="85000"/>
                </a:schemeClr>
              </a:solidFill>
              <a:round/>
            </a:ln>
            <a:effectLst/>
          </c:spPr>
        </c:majorGridlines>
        <c:numFmt formatCode="0.0\ %"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86870720"/>
        <c:crosses val="autoZero"/>
        <c:crossBetween val="between"/>
        <c:majorUnit val="2.0000000000000005E-3"/>
        <c:minorUnit val="1.0000000000000003E-4"/>
      </c:valAx>
      <c:spPr>
        <a:noFill/>
        <a:ln>
          <a:noFill/>
        </a:ln>
        <a:effectLst/>
      </c:spPr>
    </c:plotArea>
    <c:legend>
      <c:legendPos val="b"/>
      <c:layout>
        <c:manualLayout>
          <c:xMode val="edge"/>
          <c:yMode val="edge"/>
          <c:x val="0.68861135302681475"/>
          <c:y val="1.9069127095309408E-2"/>
          <c:w val="0.290987987215511"/>
          <c:h val="7.2505936757905259E-2"/>
        </c:manualLayout>
      </c:layout>
      <c:overlay val="0"/>
      <c:spPr>
        <a:solidFill>
          <a:schemeClr val="bg1"/>
        </a:solidFill>
        <a:ln w="12700">
          <a:solidFill>
            <a:schemeClr val="bg1">
              <a:lumMod val="50000"/>
            </a:schemeClr>
          </a:solid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3">
    <c:autoUpdate val="0"/>
  </c:externalData>
  <c:userShapes r:id="rId4"/>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207227884000227E-2"/>
          <c:y val="4.3117283950617286E-2"/>
          <c:w val="0.95383164787290453"/>
          <c:h val="0.76431584163867639"/>
        </c:manualLayout>
      </c:layout>
      <c:barChart>
        <c:barDir val="col"/>
        <c:grouping val="clustered"/>
        <c:varyColors val="0"/>
        <c:ser>
          <c:idx val="0"/>
          <c:order val="0"/>
          <c:tx>
            <c:strRef>
              <c:f>'2.2.22'!$B$40</c:f>
              <c:strCache>
                <c:ptCount val="1"/>
                <c:pt idx="0">
                  <c:v>5. ročník - počet žáků</c:v>
                </c:pt>
              </c:strCache>
            </c:strRef>
          </c:tx>
          <c:spPr>
            <a:solidFill>
              <a:srgbClr val="5B9BD5">
                <a:lumMod val="40000"/>
                <a:lumOff val="60000"/>
              </a:srgb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rgbClr val="2E6EBC"/>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'2.2.22'!$A$41:$A$51</c:f>
              <c:strCache>
                <c:ptCount val="11"/>
                <c:pt idx="0">
                  <c:v>2010/11</c:v>
                </c:pt>
                <c:pt idx="1">
                  <c:v>2011/12</c:v>
                </c:pt>
                <c:pt idx="2">
                  <c:v>2012/13</c:v>
                </c:pt>
                <c:pt idx="3">
                  <c:v>2013/14</c:v>
                </c:pt>
                <c:pt idx="4">
                  <c:v>2014/15</c:v>
                </c:pt>
                <c:pt idx="5">
                  <c:v>2015/16</c:v>
                </c:pt>
                <c:pt idx="6">
                  <c:v>2016/17</c:v>
                </c:pt>
                <c:pt idx="7">
                  <c:v>2017/18</c:v>
                </c:pt>
                <c:pt idx="8">
                  <c:v>2018/19</c:v>
                </c:pt>
                <c:pt idx="9">
                  <c:v>2019/20</c:v>
                </c:pt>
                <c:pt idx="10">
                  <c:v>2020/21</c:v>
                </c:pt>
              </c:strCache>
            </c:strRef>
          </c:cat>
          <c:val>
            <c:numRef>
              <c:f>'2.2.22'!$B$41:$B$51</c:f>
              <c:numCache>
                <c:formatCode>0.0</c:formatCode>
                <c:ptCount val="11"/>
                <c:pt idx="0">
                  <c:v>91.09</c:v>
                </c:pt>
                <c:pt idx="1">
                  <c:v>90.894000000000005</c:v>
                </c:pt>
                <c:pt idx="2">
                  <c:v>91.995999999999995</c:v>
                </c:pt>
                <c:pt idx="3">
                  <c:v>93.293000000000006</c:v>
                </c:pt>
                <c:pt idx="4">
                  <c:v>94.900999999999996</c:v>
                </c:pt>
                <c:pt idx="5">
                  <c:v>100.083</c:v>
                </c:pt>
                <c:pt idx="6">
                  <c:v>105.363</c:v>
                </c:pt>
                <c:pt idx="7">
                  <c:v>110.60599999999999</c:v>
                </c:pt>
                <c:pt idx="8">
                  <c:v>117.431</c:v>
                </c:pt>
                <c:pt idx="9">
                  <c:v>117.215</c:v>
                </c:pt>
                <c:pt idx="10">
                  <c:v>117.39400000000001</c:v>
                </c:pt>
              </c:numCache>
            </c:numRef>
          </c:val>
          <c:extLst>
            <c:ext xmlns:c16="http://schemas.microsoft.com/office/drawing/2014/chart" uri="{C3380CC4-5D6E-409C-BE32-E72D297353CC}">
              <c16:uniqueId val="{00000000-ECF9-47E5-8F3D-1AF38609E094}"/>
            </c:ext>
          </c:extLst>
        </c:ser>
        <c:ser>
          <c:idx val="1"/>
          <c:order val="1"/>
          <c:tx>
            <c:strRef>
              <c:f>'2.2.22'!$C$40</c:f>
              <c:strCache>
                <c:ptCount val="1"/>
                <c:pt idx="0">
                  <c:v>7. ročník - počet žáků</c:v>
                </c:pt>
              </c:strCache>
            </c:strRef>
          </c:tx>
          <c:spPr>
            <a:solidFill>
              <a:srgbClr val="FF818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'2.2.22'!$A$41:$A$51</c:f>
              <c:strCache>
                <c:ptCount val="11"/>
                <c:pt idx="0">
                  <c:v>2010/11</c:v>
                </c:pt>
                <c:pt idx="1">
                  <c:v>2011/12</c:v>
                </c:pt>
                <c:pt idx="2">
                  <c:v>2012/13</c:v>
                </c:pt>
                <c:pt idx="3">
                  <c:v>2013/14</c:v>
                </c:pt>
                <c:pt idx="4">
                  <c:v>2014/15</c:v>
                </c:pt>
                <c:pt idx="5">
                  <c:v>2015/16</c:v>
                </c:pt>
                <c:pt idx="6">
                  <c:v>2016/17</c:v>
                </c:pt>
                <c:pt idx="7">
                  <c:v>2017/18</c:v>
                </c:pt>
                <c:pt idx="8">
                  <c:v>2018/19</c:v>
                </c:pt>
                <c:pt idx="9">
                  <c:v>2019/20</c:v>
                </c:pt>
                <c:pt idx="10">
                  <c:v>2020/21</c:v>
                </c:pt>
              </c:strCache>
            </c:strRef>
          </c:cat>
          <c:val>
            <c:numRef>
              <c:f>'2.2.22'!$C$41:$C$51</c:f>
              <c:numCache>
                <c:formatCode>0.0</c:formatCode>
                <c:ptCount val="11"/>
                <c:pt idx="0">
                  <c:v>82.061000000000007</c:v>
                </c:pt>
                <c:pt idx="1">
                  <c:v>82.572999999999993</c:v>
                </c:pt>
                <c:pt idx="2">
                  <c:v>82.299000000000007</c:v>
                </c:pt>
                <c:pt idx="3">
                  <c:v>82.543000000000006</c:v>
                </c:pt>
                <c:pt idx="4">
                  <c:v>83.418000000000006</c:v>
                </c:pt>
                <c:pt idx="5">
                  <c:v>85.114999999999995</c:v>
                </c:pt>
                <c:pt idx="6">
                  <c:v>86.725999999999999</c:v>
                </c:pt>
                <c:pt idx="7">
                  <c:v>91.626000000000005</c:v>
                </c:pt>
                <c:pt idx="8">
                  <c:v>96.745000000000005</c:v>
                </c:pt>
                <c:pt idx="9">
                  <c:v>102.143</c:v>
                </c:pt>
                <c:pt idx="10">
                  <c:v>109.232</c:v>
                </c:pt>
              </c:numCache>
            </c:numRef>
          </c:val>
          <c:extLst>
            <c:ext xmlns:c16="http://schemas.microsoft.com/office/drawing/2014/chart" uri="{C3380CC4-5D6E-409C-BE32-E72D297353CC}">
              <c16:uniqueId val="{00000001-ECF9-47E5-8F3D-1AF38609E094}"/>
            </c:ext>
          </c:extLst>
        </c:ser>
        <c:dLbls>
          <c:showLegendKey val="0"/>
          <c:showVal val="0"/>
          <c:showCatName val="0"/>
          <c:showSerName val="0"/>
          <c:showPercent val="0"/>
          <c:showBubbleSize val="0"/>
        </c:dLbls>
        <c:gapWidth val="23"/>
        <c:overlap val="-27"/>
        <c:axId val="208000112"/>
        <c:axId val="374601248"/>
      </c:barChart>
      <c:lineChart>
        <c:grouping val="standard"/>
        <c:varyColors val="0"/>
        <c:ser>
          <c:idx val="2"/>
          <c:order val="2"/>
          <c:tx>
            <c:strRef>
              <c:f>'2.2.22'!$D$40</c:f>
              <c:strCache>
                <c:ptCount val="1"/>
                <c:pt idx="0">
                  <c:v>5. ročník - podíl odchozích na gymnázia</c:v>
                </c:pt>
              </c:strCache>
            </c:strRef>
          </c:tx>
          <c:spPr>
            <a:ln w="22225" cap="rnd">
              <a:solidFill>
                <a:schemeClr val="tx2">
                  <a:lumMod val="75000"/>
                </a:schemeClr>
              </a:solidFill>
              <a:round/>
            </a:ln>
            <a:effectLst/>
          </c:spPr>
          <c:marker>
            <c:symbol val="none"/>
          </c:marker>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1" u="none" strike="noStrike" kern="1200" baseline="0">
                    <a:solidFill>
                      <a:schemeClr val="tx2">
                        <a:lumMod val="50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'2.2.22'!$A$41:$A$51</c:f>
              <c:strCache>
                <c:ptCount val="11"/>
                <c:pt idx="0">
                  <c:v>2010/11</c:v>
                </c:pt>
                <c:pt idx="1">
                  <c:v>2011/12</c:v>
                </c:pt>
                <c:pt idx="2">
                  <c:v>2012/13</c:v>
                </c:pt>
                <c:pt idx="3">
                  <c:v>2013/14</c:v>
                </c:pt>
                <c:pt idx="4">
                  <c:v>2014/15</c:v>
                </c:pt>
                <c:pt idx="5">
                  <c:v>2015/16</c:v>
                </c:pt>
                <c:pt idx="6">
                  <c:v>2016/17</c:v>
                </c:pt>
                <c:pt idx="7">
                  <c:v>2017/18</c:v>
                </c:pt>
                <c:pt idx="8">
                  <c:v>2018/19</c:v>
                </c:pt>
                <c:pt idx="9">
                  <c:v>2019/20</c:v>
                </c:pt>
                <c:pt idx="10">
                  <c:v>2020/21</c:v>
                </c:pt>
              </c:strCache>
            </c:strRef>
          </c:cat>
          <c:val>
            <c:numRef>
              <c:f>'2.2.22'!$D$41:$D$51</c:f>
              <c:numCache>
                <c:formatCode>0.0%</c:formatCode>
                <c:ptCount val="11"/>
                <c:pt idx="0">
                  <c:v>8.0941925568119438E-2</c:v>
                </c:pt>
                <c:pt idx="1">
                  <c:v>8.0071291834444516E-2</c:v>
                </c:pt>
                <c:pt idx="2">
                  <c:v>8.3557980781773122E-2</c:v>
                </c:pt>
                <c:pt idx="3">
                  <c:v>8.1667434855777002E-2</c:v>
                </c:pt>
                <c:pt idx="4">
                  <c:v>8.2749391471112002E-2</c:v>
                </c:pt>
                <c:pt idx="5">
                  <c:v>8.2121838873734795E-2</c:v>
                </c:pt>
                <c:pt idx="6">
                  <c:v>7.8670880669684806E-2</c:v>
                </c:pt>
                <c:pt idx="7">
                  <c:v>7.5014013706308877E-2</c:v>
                </c:pt>
                <c:pt idx="8">
                  <c:v>7.0867147516413889E-2</c:v>
                </c:pt>
                <c:pt idx="9">
                  <c:v>6.9615663524292964E-2</c:v>
                </c:pt>
                <c:pt idx="10">
                  <c:v>6.880249416494881E-2</c:v>
                </c:pt>
              </c:numCache>
            </c:numRef>
          </c:val>
          <c:smooth val="0"/>
          <c:extLst>
            <c:ext xmlns:c16="http://schemas.microsoft.com/office/drawing/2014/chart" uri="{C3380CC4-5D6E-409C-BE32-E72D297353CC}">
              <c16:uniqueId val="{00000002-ECF9-47E5-8F3D-1AF38609E094}"/>
            </c:ext>
          </c:extLst>
        </c:ser>
        <c:ser>
          <c:idx val="3"/>
          <c:order val="3"/>
          <c:tx>
            <c:strRef>
              <c:f>'2.2.22'!$E$40</c:f>
              <c:strCache>
                <c:ptCount val="1"/>
                <c:pt idx="0">
                  <c:v>7. ročník - podíl odchozích na gymnázia</c:v>
                </c:pt>
              </c:strCache>
            </c:strRef>
          </c:tx>
          <c:spPr>
            <a:ln w="22225" cap="rnd">
              <a:solidFill>
                <a:srgbClr val="C00000"/>
              </a:solidFill>
              <a:round/>
            </a:ln>
            <a:effectLst/>
          </c:spPr>
          <c:marker>
            <c:symbol val="none"/>
          </c:marker>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1" u="none" strike="noStrike" kern="1200" baseline="0">
                    <a:solidFill>
                      <a:srgbClr val="C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'2.2.22'!$A$41:$A$51</c:f>
              <c:strCache>
                <c:ptCount val="11"/>
                <c:pt idx="0">
                  <c:v>2010/11</c:v>
                </c:pt>
                <c:pt idx="1">
                  <c:v>2011/12</c:v>
                </c:pt>
                <c:pt idx="2">
                  <c:v>2012/13</c:v>
                </c:pt>
                <c:pt idx="3">
                  <c:v>2013/14</c:v>
                </c:pt>
                <c:pt idx="4">
                  <c:v>2014/15</c:v>
                </c:pt>
                <c:pt idx="5">
                  <c:v>2015/16</c:v>
                </c:pt>
                <c:pt idx="6">
                  <c:v>2016/17</c:v>
                </c:pt>
                <c:pt idx="7">
                  <c:v>2017/18</c:v>
                </c:pt>
                <c:pt idx="8">
                  <c:v>2018/19</c:v>
                </c:pt>
                <c:pt idx="9">
                  <c:v>2019/20</c:v>
                </c:pt>
                <c:pt idx="10">
                  <c:v>2020/21</c:v>
                </c:pt>
              </c:strCache>
            </c:strRef>
          </c:cat>
          <c:val>
            <c:numRef>
              <c:f>'2.2.22'!$E$41:$E$51</c:f>
              <c:numCache>
                <c:formatCode>0.0%</c:formatCode>
                <c:ptCount val="11"/>
                <c:pt idx="0">
                  <c:v>2.290978662214694E-2</c:v>
                </c:pt>
                <c:pt idx="1">
                  <c:v>2.1956329550821697E-2</c:v>
                </c:pt>
                <c:pt idx="2">
                  <c:v>2.2770629047740555E-2</c:v>
                </c:pt>
                <c:pt idx="3">
                  <c:v>2.3999612323273928E-2</c:v>
                </c:pt>
                <c:pt idx="4">
                  <c:v>2.4682922151094487E-2</c:v>
                </c:pt>
                <c:pt idx="5">
                  <c:v>2.4296539975327498E-2</c:v>
                </c:pt>
                <c:pt idx="6">
                  <c:v>2.4710006226506469E-2</c:v>
                </c:pt>
                <c:pt idx="7">
                  <c:v>2.3814201209263745E-2</c:v>
                </c:pt>
                <c:pt idx="8">
                  <c:v>2.2636828776680964E-2</c:v>
                </c:pt>
                <c:pt idx="9">
                  <c:v>1.9270909623553538E-2</c:v>
                </c:pt>
                <c:pt idx="10">
                  <c:v>1.9893437820418924E-2</c:v>
                </c:pt>
              </c:numCache>
            </c:numRef>
          </c:val>
          <c:smooth val="0"/>
          <c:extLst>
            <c:ext xmlns:c16="http://schemas.microsoft.com/office/drawing/2014/chart" uri="{C3380CC4-5D6E-409C-BE32-E72D297353CC}">
              <c16:uniqueId val="{00000003-ECF9-47E5-8F3D-1AF38609E094}"/>
            </c:ext>
          </c:extLst>
        </c:ser>
        <c:dLbls>
          <c:showLegendKey val="0"/>
          <c:showVal val="0"/>
          <c:showCatName val="0"/>
          <c:showSerName val="0"/>
          <c:showPercent val="0"/>
          <c:showBubbleSize val="0"/>
        </c:dLbls>
        <c:marker val="1"/>
        <c:smooth val="0"/>
        <c:axId val="374602496"/>
        <c:axId val="374602080"/>
      </c:lineChart>
      <c:catAx>
        <c:axId val="20800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74601248"/>
        <c:crosses val="autoZero"/>
        <c:auto val="1"/>
        <c:lblAlgn val="ctr"/>
        <c:lblOffset val="100"/>
        <c:noMultiLvlLbl val="0"/>
      </c:catAx>
      <c:valAx>
        <c:axId val="374601248"/>
        <c:scaling>
          <c:orientation val="minMax"/>
          <c:max val="120"/>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cs-CZ">
                    <a:solidFill>
                      <a:sysClr val="windowText" lastClr="000000"/>
                    </a:solidFill>
                  </a:rPr>
                  <a:t>tis.</a:t>
                </a:r>
              </a:p>
            </c:rich>
          </c:tx>
          <c:layout>
            <c:manualLayout>
              <c:xMode val="edge"/>
              <c:yMode val="edge"/>
              <c:x val="4.1506692954238868E-3"/>
              <c:y val="0.83238478057375676"/>
            </c:manualLayout>
          </c:layout>
          <c:overlay val="0"/>
          <c:spPr>
            <a:noFill/>
            <a:ln>
              <a:noFill/>
            </a:ln>
            <a:effectLst/>
          </c:spPr>
          <c:txPr>
            <a:bodyPr rot="0" spcFirstLastPara="1" vertOverflow="ellipsis"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08000112"/>
        <c:crosses val="autoZero"/>
        <c:crossBetween val="between"/>
        <c:majorUnit val="10"/>
      </c:valAx>
      <c:valAx>
        <c:axId val="374602080"/>
        <c:scaling>
          <c:orientation val="minMax"/>
          <c:max val="0.1"/>
        </c:scaling>
        <c:delete val="0"/>
        <c:axPos val="r"/>
        <c:numFmt formatCode="0\ %" sourceLinked="0"/>
        <c:majorTickMark val="none"/>
        <c:minorTickMark val="none"/>
        <c:tickLblPos val="none"/>
        <c:spPr>
          <a:solidFill>
            <a:srgbClr val="5B9BD5">
              <a:lumMod val="40000"/>
              <a:lumOff val="60000"/>
            </a:srgbClr>
          </a:solid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74602496"/>
        <c:crosses val="max"/>
        <c:crossBetween val="between"/>
        <c:majorUnit val="1.0000000000000002E-2"/>
      </c:valAx>
      <c:catAx>
        <c:axId val="374602496"/>
        <c:scaling>
          <c:orientation val="minMax"/>
        </c:scaling>
        <c:delete val="1"/>
        <c:axPos val="b"/>
        <c:numFmt formatCode="General" sourceLinked="1"/>
        <c:majorTickMark val="none"/>
        <c:minorTickMark val="none"/>
        <c:tickLblPos val="nextTo"/>
        <c:crossAx val="374602080"/>
        <c:crosses val="autoZero"/>
        <c:auto val="1"/>
        <c:lblAlgn val="ctr"/>
        <c:lblOffset val="100"/>
        <c:noMultiLvlLbl val="0"/>
      </c:catAx>
      <c:spPr>
        <a:noFill/>
        <a:ln>
          <a:noFill/>
        </a:ln>
        <a:effectLst/>
      </c:spPr>
    </c:plotArea>
    <c:legend>
      <c:legendPos val="b"/>
      <c:layout>
        <c:manualLayout>
          <c:xMode val="edge"/>
          <c:yMode val="edge"/>
          <c:x val="4.2373202614379088E-2"/>
          <c:y val="0.89430721509461664"/>
          <c:w val="0.92562941176470592"/>
          <c:h val="9.322063763008645E-2"/>
        </c:manualLayout>
      </c:layout>
      <c:overlay val="0"/>
      <c:spPr>
        <a:noFill/>
        <a:ln>
          <a:solidFill>
            <a:schemeClr val="bg1">
              <a:lumMod val="50000"/>
            </a:schemeClr>
          </a:solid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939869281045748E-2"/>
          <c:y val="4.3117283950617286E-2"/>
          <c:w val="0.90194493464052283"/>
          <c:h val="0.76070568266761085"/>
        </c:manualLayout>
      </c:layout>
      <c:barChart>
        <c:barDir val="col"/>
        <c:grouping val="clustered"/>
        <c:varyColors val="0"/>
        <c:ser>
          <c:idx val="0"/>
          <c:order val="0"/>
          <c:tx>
            <c:strRef>
              <c:f>'2.2.23'!$B$26</c:f>
              <c:strCache>
                <c:ptCount val="1"/>
                <c:pt idx="0">
                  <c:v>z 5. ročníku - počet</c:v>
                </c:pt>
              </c:strCache>
            </c:strRef>
          </c:tx>
          <c:spPr>
            <a:solidFill>
              <a:schemeClr val="accent1">
                <a:lumMod val="40000"/>
                <a:lumOff val="60000"/>
              </a:schemeClr>
            </a:solidFill>
            <a:ln>
              <a:noFill/>
            </a:ln>
            <a:effectLst/>
          </c:spPr>
          <c:invertIfNegative val="0"/>
          <c:cat>
            <c:strRef>
              <c:f>'2.2.23'!$A$27:$A$40</c:f>
              <c:strCache>
                <c:ptCount val="14"/>
                <c:pt idx="0">
                  <c:v>Praha</c:v>
                </c:pt>
                <c:pt idx="1">
                  <c:v>Olomoucký</c:v>
                </c:pt>
                <c:pt idx="2">
                  <c:v>Jihomoravský</c:v>
                </c:pt>
                <c:pt idx="3">
                  <c:v>Plzeňský</c:v>
                </c:pt>
                <c:pt idx="4">
                  <c:v>Jihočeský</c:v>
                </c:pt>
                <c:pt idx="5">
                  <c:v>Karlovarský</c:v>
                </c:pt>
                <c:pt idx="6">
                  <c:v>Královéhradecký</c:v>
                </c:pt>
                <c:pt idx="7">
                  <c:v>Moravskoslezský</c:v>
                </c:pt>
                <c:pt idx="8">
                  <c:v>Vysočina</c:v>
                </c:pt>
                <c:pt idx="9">
                  <c:v>Pardubický</c:v>
                </c:pt>
                <c:pt idx="10">
                  <c:v>Středočeský</c:v>
                </c:pt>
                <c:pt idx="11">
                  <c:v>Zlínský</c:v>
                </c:pt>
                <c:pt idx="12">
                  <c:v>Ústecký</c:v>
                </c:pt>
                <c:pt idx="13">
                  <c:v>Liberecký</c:v>
                </c:pt>
              </c:strCache>
            </c:strRef>
          </c:cat>
          <c:val>
            <c:numRef>
              <c:f>'2.2.23'!$B$27:$B$40</c:f>
              <c:numCache>
                <c:formatCode>#\ ##0_ ;\-#\ ##0\ </c:formatCode>
                <c:ptCount val="14"/>
                <c:pt idx="0">
                  <c:v>1449</c:v>
                </c:pt>
                <c:pt idx="1">
                  <c:v>527</c:v>
                </c:pt>
                <c:pt idx="2">
                  <c:v>925</c:v>
                </c:pt>
                <c:pt idx="3">
                  <c:v>483</c:v>
                </c:pt>
                <c:pt idx="4">
                  <c:v>492</c:v>
                </c:pt>
                <c:pt idx="5">
                  <c:v>260</c:v>
                </c:pt>
                <c:pt idx="6">
                  <c:v>347</c:v>
                </c:pt>
                <c:pt idx="7">
                  <c:v>748</c:v>
                </c:pt>
                <c:pt idx="8">
                  <c:v>374</c:v>
                </c:pt>
                <c:pt idx="9">
                  <c:v>418</c:v>
                </c:pt>
                <c:pt idx="10">
                  <c:v>958</c:v>
                </c:pt>
                <c:pt idx="11">
                  <c:v>321</c:v>
                </c:pt>
                <c:pt idx="12">
                  <c:v>519</c:v>
                </c:pt>
                <c:pt idx="13">
                  <c:v>256</c:v>
                </c:pt>
              </c:numCache>
            </c:numRef>
          </c:val>
          <c:extLst>
            <c:ext xmlns:c16="http://schemas.microsoft.com/office/drawing/2014/chart" uri="{C3380CC4-5D6E-409C-BE32-E72D297353CC}">
              <c16:uniqueId val="{00000000-F7C0-4708-8363-CB027E233E16}"/>
            </c:ext>
          </c:extLst>
        </c:ser>
        <c:ser>
          <c:idx val="1"/>
          <c:order val="1"/>
          <c:tx>
            <c:strRef>
              <c:f>'2.2.23'!$C$26</c:f>
              <c:strCache>
                <c:ptCount val="1"/>
                <c:pt idx="0">
                  <c:v>ze 7. ročníku - počet</c:v>
                </c:pt>
              </c:strCache>
            </c:strRef>
          </c:tx>
          <c:spPr>
            <a:solidFill>
              <a:schemeClr val="accent2"/>
            </a:solidFill>
            <a:ln>
              <a:noFill/>
            </a:ln>
            <a:effectLst/>
          </c:spPr>
          <c:invertIfNegative val="0"/>
          <c:cat>
            <c:strRef>
              <c:f>'2.2.23'!$A$27:$A$40</c:f>
              <c:strCache>
                <c:ptCount val="14"/>
                <c:pt idx="0">
                  <c:v>Praha</c:v>
                </c:pt>
                <c:pt idx="1">
                  <c:v>Olomoucký</c:v>
                </c:pt>
                <c:pt idx="2">
                  <c:v>Jihomoravský</c:v>
                </c:pt>
                <c:pt idx="3">
                  <c:v>Plzeňský</c:v>
                </c:pt>
                <c:pt idx="4">
                  <c:v>Jihočeský</c:v>
                </c:pt>
                <c:pt idx="5">
                  <c:v>Karlovarský</c:v>
                </c:pt>
                <c:pt idx="6">
                  <c:v>Královéhradecký</c:v>
                </c:pt>
                <c:pt idx="7">
                  <c:v>Moravskoslezský</c:v>
                </c:pt>
                <c:pt idx="8">
                  <c:v>Vysočina</c:v>
                </c:pt>
                <c:pt idx="9">
                  <c:v>Pardubický</c:v>
                </c:pt>
                <c:pt idx="10">
                  <c:v>Středočeský</c:v>
                </c:pt>
                <c:pt idx="11">
                  <c:v>Zlínský</c:v>
                </c:pt>
                <c:pt idx="12">
                  <c:v>Ústecký</c:v>
                </c:pt>
                <c:pt idx="13">
                  <c:v>Liberecký</c:v>
                </c:pt>
              </c:strCache>
            </c:strRef>
          </c:cat>
          <c:val>
            <c:numRef>
              <c:f>'2.2.23'!$C$27:$C$40</c:f>
              <c:numCache>
                <c:formatCode>#\ ##0_ ;\-#\ ##0\ </c:formatCode>
                <c:ptCount val="14"/>
                <c:pt idx="0">
                  <c:v>522</c:v>
                </c:pt>
                <c:pt idx="1">
                  <c:v>185</c:v>
                </c:pt>
                <c:pt idx="2">
                  <c:v>372</c:v>
                </c:pt>
                <c:pt idx="3">
                  <c:v>162</c:v>
                </c:pt>
                <c:pt idx="4">
                  <c:v>176</c:v>
                </c:pt>
                <c:pt idx="5">
                  <c:v>19</c:v>
                </c:pt>
                <c:pt idx="6">
                  <c:v>177</c:v>
                </c:pt>
                <c:pt idx="7">
                  <c:v>255</c:v>
                </c:pt>
                <c:pt idx="8">
                  <c:v>55</c:v>
                </c:pt>
                <c:pt idx="9">
                  <c:v>10</c:v>
                </c:pt>
                <c:pt idx="10">
                  <c:v>118</c:v>
                </c:pt>
                <c:pt idx="11">
                  <c:v>61</c:v>
                </c:pt>
                <c:pt idx="12">
                  <c:v>32</c:v>
                </c:pt>
                <c:pt idx="13">
                  <c:v>29</c:v>
                </c:pt>
              </c:numCache>
            </c:numRef>
          </c:val>
          <c:extLst>
            <c:ext xmlns:c16="http://schemas.microsoft.com/office/drawing/2014/chart" uri="{C3380CC4-5D6E-409C-BE32-E72D297353CC}">
              <c16:uniqueId val="{00000001-F7C0-4708-8363-CB027E233E16}"/>
            </c:ext>
          </c:extLst>
        </c:ser>
        <c:dLbls>
          <c:showLegendKey val="0"/>
          <c:showVal val="0"/>
          <c:showCatName val="0"/>
          <c:showSerName val="0"/>
          <c:showPercent val="0"/>
          <c:showBubbleSize val="0"/>
        </c:dLbls>
        <c:gapWidth val="99"/>
        <c:overlap val="-27"/>
        <c:axId val="208000112"/>
        <c:axId val="374601248"/>
      </c:barChart>
      <c:lineChart>
        <c:grouping val="standard"/>
        <c:varyColors val="0"/>
        <c:ser>
          <c:idx val="2"/>
          <c:order val="2"/>
          <c:tx>
            <c:strRef>
              <c:f>'2.2.23'!$D$26</c:f>
              <c:strCache>
                <c:ptCount val="1"/>
                <c:pt idx="0">
                  <c:v>z 5. ročníku - podíl</c:v>
                </c:pt>
              </c:strCache>
            </c:strRef>
          </c:tx>
          <c:spPr>
            <a:ln w="25400" cap="rnd">
              <a:noFill/>
              <a:round/>
            </a:ln>
            <a:effectLst/>
          </c:spPr>
          <c:marker>
            <c:symbol val="triangle"/>
            <c:size val="6"/>
            <c:spPr>
              <a:solidFill>
                <a:srgbClr val="00B0F0"/>
              </a:solidFill>
              <a:ln w="9525">
                <a:solidFill>
                  <a:schemeClr val="tx1"/>
                </a:solidFill>
              </a:ln>
              <a:effectLst/>
            </c:spPr>
          </c:marker>
          <c:dLbls>
            <c:numFmt formatCode="0.0\ %" sourceLinked="0"/>
            <c:spPr>
              <a:noFill/>
              <a:ln>
                <a:noFill/>
              </a:ln>
              <a:effectLst/>
            </c:spPr>
            <c:txPr>
              <a:bodyPr rot="0" spcFirstLastPara="1" vertOverflow="ellipsis" vert="horz" wrap="square" anchor="ctr" anchorCtr="1"/>
              <a:lstStyle/>
              <a:p>
                <a:pPr>
                  <a:defRPr sz="800" b="0" i="1" u="none" strike="noStrike" kern="1200" baseline="0">
                    <a:solidFill>
                      <a:schemeClr val="tx2">
                        <a:lumMod val="60000"/>
                        <a:lumOff val="40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'2.2.23'!$A$27:$A$40</c:f>
              <c:strCache>
                <c:ptCount val="14"/>
                <c:pt idx="0">
                  <c:v>Praha</c:v>
                </c:pt>
                <c:pt idx="1">
                  <c:v>Olomoucký</c:v>
                </c:pt>
                <c:pt idx="2">
                  <c:v>Jihomoravský</c:v>
                </c:pt>
                <c:pt idx="3">
                  <c:v>Plzeňský</c:v>
                </c:pt>
                <c:pt idx="4">
                  <c:v>Jihočeský</c:v>
                </c:pt>
                <c:pt idx="5">
                  <c:v>Karlovarský</c:v>
                </c:pt>
                <c:pt idx="6">
                  <c:v>Královéhradecký</c:v>
                </c:pt>
                <c:pt idx="7">
                  <c:v>Moravskoslezský</c:v>
                </c:pt>
                <c:pt idx="8">
                  <c:v>Vysočina</c:v>
                </c:pt>
                <c:pt idx="9">
                  <c:v>Pardubický</c:v>
                </c:pt>
                <c:pt idx="10">
                  <c:v>Středočeský</c:v>
                </c:pt>
                <c:pt idx="11">
                  <c:v>Zlínský</c:v>
                </c:pt>
                <c:pt idx="12">
                  <c:v>Ústecký</c:v>
                </c:pt>
                <c:pt idx="13">
                  <c:v>Liberecký</c:v>
                </c:pt>
              </c:strCache>
            </c:strRef>
          </c:cat>
          <c:val>
            <c:numRef>
              <c:f>'2.2.23'!$D$27:$D$40</c:f>
              <c:numCache>
                <c:formatCode>0.0%</c:formatCode>
                <c:ptCount val="14"/>
                <c:pt idx="0">
                  <c:v>0.10488599348534201</c:v>
                </c:pt>
                <c:pt idx="1">
                  <c:v>7.717088885634793E-2</c:v>
                </c:pt>
                <c:pt idx="2">
                  <c:v>7.1192180404833369E-2</c:v>
                </c:pt>
                <c:pt idx="3">
                  <c:v>7.3639274279615793E-2</c:v>
                </c:pt>
                <c:pt idx="4">
                  <c:v>6.9787234042553187E-2</c:v>
                </c:pt>
                <c:pt idx="5">
                  <c:v>8.2435003170577045E-2</c:v>
                </c:pt>
                <c:pt idx="6">
                  <c:v>5.5537772087067859E-2</c:v>
                </c:pt>
                <c:pt idx="7">
                  <c:v>5.9502028478243575E-2</c:v>
                </c:pt>
                <c:pt idx="8">
                  <c:v>6.9529652351738247E-2</c:v>
                </c:pt>
                <c:pt idx="9">
                  <c:v>7.2885789014821276E-2</c:v>
                </c:pt>
                <c:pt idx="10">
                  <c:v>5.7358400191593821E-2</c:v>
                </c:pt>
                <c:pt idx="11">
                  <c:v>5.3092954019186241E-2</c:v>
                </c:pt>
                <c:pt idx="12">
                  <c:v>5.6746118521758149E-2</c:v>
                </c:pt>
                <c:pt idx="13">
                  <c:v>4.9545190632862397E-2</c:v>
                </c:pt>
              </c:numCache>
            </c:numRef>
          </c:val>
          <c:smooth val="0"/>
          <c:extLst>
            <c:ext xmlns:c16="http://schemas.microsoft.com/office/drawing/2014/chart" uri="{C3380CC4-5D6E-409C-BE32-E72D297353CC}">
              <c16:uniqueId val="{00000002-F7C0-4708-8363-CB027E233E16}"/>
            </c:ext>
          </c:extLst>
        </c:ser>
        <c:ser>
          <c:idx val="3"/>
          <c:order val="3"/>
          <c:tx>
            <c:strRef>
              <c:f>'2.2.23'!$E$26</c:f>
              <c:strCache>
                <c:ptCount val="1"/>
                <c:pt idx="0">
                  <c:v>ze 7. ročníku - podíl</c:v>
                </c:pt>
              </c:strCache>
            </c:strRef>
          </c:tx>
          <c:spPr>
            <a:ln w="25400" cap="rnd">
              <a:noFill/>
              <a:round/>
            </a:ln>
            <a:effectLst/>
          </c:spPr>
          <c:marker>
            <c:symbol val="diamond"/>
            <c:size val="6"/>
            <c:spPr>
              <a:solidFill>
                <a:srgbClr val="FF0000"/>
              </a:solidFill>
              <a:ln w="9525">
                <a:solidFill>
                  <a:schemeClr val="tx1"/>
                </a:solidFill>
              </a:ln>
              <a:effectLst/>
            </c:spPr>
          </c:marker>
          <c:dLbls>
            <c:dLbl>
              <c:idx val="4"/>
              <c:layout>
                <c:manualLayout>
                  <c:x val="-3.7601960784313763E-2"/>
                  <c:y val="-3.217130835347207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F7C0-4708-8363-CB027E233E16}"/>
                </c:ext>
              </c:extLst>
            </c:dLbl>
            <c:dLbl>
              <c:idx val="5"/>
              <c:layout>
                <c:manualLayout>
                  <c:x val="-3.7601960784313729E-2"/>
                  <c:y val="-4.0117313061636281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F7C0-4708-8363-CB027E233E16}"/>
                </c:ext>
              </c:extLst>
            </c:dLbl>
            <c:numFmt formatCode="0.0\ %" sourceLinked="0"/>
            <c:spPr>
              <a:noFill/>
              <a:ln>
                <a:noFill/>
              </a:ln>
              <a:effectLst/>
            </c:spPr>
            <c:txPr>
              <a:bodyPr rot="0" spcFirstLastPara="1" vertOverflow="ellipsis" vert="horz" wrap="square" anchor="ctr" anchorCtr="1"/>
              <a:lstStyle/>
              <a:p>
                <a:pPr>
                  <a:defRPr sz="800" b="0" i="0" u="none" strike="noStrike" kern="1200" baseline="0">
                    <a:solidFill>
                      <a:srgbClr val="C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'2.2.23'!$A$27:$A$40</c:f>
              <c:strCache>
                <c:ptCount val="14"/>
                <c:pt idx="0">
                  <c:v>Praha</c:v>
                </c:pt>
                <c:pt idx="1">
                  <c:v>Olomoucký</c:v>
                </c:pt>
                <c:pt idx="2">
                  <c:v>Jihomoravský</c:v>
                </c:pt>
                <c:pt idx="3">
                  <c:v>Plzeňský</c:v>
                </c:pt>
                <c:pt idx="4">
                  <c:v>Jihočeský</c:v>
                </c:pt>
                <c:pt idx="5">
                  <c:v>Karlovarský</c:v>
                </c:pt>
                <c:pt idx="6">
                  <c:v>Královéhradecký</c:v>
                </c:pt>
                <c:pt idx="7">
                  <c:v>Moravskoslezský</c:v>
                </c:pt>
                <c:pt idx="8">
                  <c:v>Vysočina</c:v>
                </c:pt>
                <c:pt idx="9">
                  <c:v>Pardubický</c:v>
                </c:pt>
                <c:pt idx="10">
                  <c:v>Středočeský</c:v>
                </c:pt>
                <c:pt idx="11">
                  <c:v>Zlínský</c:v>
                </c:pt>
                <c:pt idx="12">
                  <c:v>Ústecký</c:v>
                </c:pt>
                <c:pt idx="13">
                  <c:v>Liberecký</c:v>
                </c:pt>
              </c:strCache>
            </c:strRef>
          </c:cat>
          <c:val>
            <c:numRef>
              <c:f>'2.2.23'!$E$27:$E$40</c:f>
              <c:numCache>
                <c:formatCode>0.0%</c:formatCode>
                <c:ptCount val="14"/>
                <c:pt idx="0">
                  <c:v>4.384712305753885E-2</c:v>
                </c:pt>
                <c:pt idx="1">
                  <c:v>2.8522972556275054E-2</c:v>
                </c:pt>
                <c:pt idx="2">
                  <c:v>3.1794871794871796E-2</c:v>
                </c:pt>
                <c:pt idx="3">
                  <c:v>2.6566087241718595E-2</c:v>
                </c:pt>
                <c:pt idx="4">
                  <c:v>2.6598156264168053E-2</c:v>
                </c:pt>
                <c:pt idx="5">
                  <c:v>6.4341347781916693E-3</c:v>
                </c:pt>
                <c:pt idx="6">
                  <c:v>3.0199624637433885E-2</c:v>
                </c:pt>
                <c:pt idx="7">
                  <c:v>2.1013597033374538E-2</c:v>
                </c:pt>
                <c:pt idx="8">
                  <c:v>1.0464231354642313E-2</c:v>
                </c:pt>
                <c:pt idx="9">
                  <c:v>1.869508319312021E-3</c:v>
                </c:pt>
                <c:pt idx="10">
                  <c:v>7.8850651520213835E-3</c:v>
                </c:pt>
                <c:pt idx="11">
                  <c:v>1.0311020960108181E-2</c:v>
                </c:pt>
                <c:pt idx="12">
                  <c:v>3.504544956740773E-3</c:v>
                </c:pt>
                <c:pt idx="13">
                  <c:v>5.9670781893004119E-3</c:v>
                </c:pt>
              </c:numCache>
            </c:numRef>
          </c:val>
          <c:smooth val="0"/>
          <c:extLst>
            <c:ext xmlns:c16="http://schemas.microsoft.com/office/drawing/2014/chart" uri="{C3380CC4-5D6E-409C-BE32-E72D297353CC}">
              <c16:uniqueId val="{00000005-F7C0-4708-8363-CB027E233E16}"/>
            </c:ext>
          </c:extLst>
        </c:ser>
        <c:ser>
          <c:idx val="4"/>
          <c:order val="4"/>
          <c:tx>
            <c:strRef>
              <c:f>'2.2.23'!$F$26</c:f>
              <c:strCache>
                <c:ptCount val="1"/>
                <c:pt idx="0">
                  <c:v>podíl z 5. i 7. ročníku celkem</c:v>
                </c:pt>
              </c:strCache>
            </c:strRef>
          </c:tx>
          <c:spPr>
            <a:ln w="25400" cap="rnd">
              <a:noFill/>
              <a:round/>
            </a:ln>
            <a:effectLst/>
          </c:spPr>
          <c:marker>
            <c:symbol val="circle"/>
            <c:size val="5"/>
            <c:spPr>
              <a:solidFill>
                <a:srgbClr val="FFFF00"/>
              </a:solidFill>
              <a:ln w="15875">
                <a:solidFill>
                  <a:schemeClr val="accent3">
                    <a:lumMod val="50000"/>
                  </a:schemeClr>
                </a:solidFill>
              </a:ln>
              <a:effectLst/>
            </c:spPr>
          </c:marker>
          <c:dLbls>
            <c:numFmt formatCode="0.0\ %" sourceLinked="0"/>
            <c:spPr>
              <a:noFill/>
              <a:ln>
                <a:noFill/>
              </a:ln>
              <a:effectLst/>
            </c:spPr>
            <c:txPr>
              <a:bodyPr rot="0" spcFirstLastPara="1" vertOverflow="ellipsis" vert="horz" wrap="square" anchor="ctr" anchorCtr="1"/>
              <a:lstStyle/>
              <a:p>
                <a:pPr>
                  <a:defRPr sz="800" b="1" i="0" u="none" strike="noStrike" kern="1200" baseline="0">
                    <a:solidFill>
                      <a:schemeClr val="accent3">
                        <a:lumMod val="50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'2.2.23'!$A$27:$A$40</c:f>
              <c:strCache>
                <c:ptCount val="14"/>
                <c:pt idx="0">
                  <c:v>Praha</c:v>
                </c:pt>
                <c:pt idx="1">
                  <c:v>Olomoucký</c:v>
                </c:pt>
                <c:pt idx="2">
                  <c:v>Jihomoravský</c:v>
                </c:pt>
                <c:pt idx="3">
                  <c:v>Plzeňský</c:v>
                </c:pt>
                <c:pt idx="4">
                  <c:v>Jihočeský</c:v>
                </c:pt>
                <c:pt idx="5">
                  <c:v>Karlovarský</c:v>
                </c:pt>
                <c:pt idx="6">
                  <c:v>Královéhradecký</c:v>
                </c:pt>
                <c:pt idx="7">
                  <c:v>Moravskoslezský</c:v>
                </c:pt>
                <c:pt idx="8">
                  <c:v>Vysočina</c:v>
                </c:pt>
                <c:pt idx="9">
                  <c:v>Pardubický</c:v>
                </c:pt>
                <c:pt idx="10">
                  <c:v>Středočeský</c:v>
                </c:pt>
                <c:pt idx="11">
                  <c:v>Zlínský</c:v>
                </c:pt>
                <c:pt idx="12">
                  <c:v>Ústecký</c:v>
                </c:pt>
                <c:pt idx="13">
                  <c:v>Liberecký</c:v>
                </c:pt>
              </c:strCache>
            </c:strRef>
          </c:cat>
          <c:val>
            <c:numRef>
              <c:f>'2.2.23'!$F$27:$F$40</c:f>
              <c:numCache>
                <c:formatCode>0.0%</c:formatCode>
                <c:ptCount val="14"/>
                <c:pt idx="0">
                  <c:v>7.663297045101089E-2</c:v>
                </c:pt>
                <c:pt idx="1">
                  <c:v>5.3473526098385279E-2</c:v>
                </c:pt>
                <c:pt idx="2">
                  <c:v>5.2525007087028709E-2</c:v>
                </c:pt>
                <c:pt idx="3">
                  <c:v>5.0959943114482105E-2</c:v>
                </c:pt>
                <c:pt idx="4">
                  <c:v>4.8876856662032633E-2</c:v>
                </c:pt>
                <c:pt idx="5">
                  <c:v>4.5685279187817257E-2</c:v>
                </c:pt>
                <c:pt idx="6">
                  <c:v>4.3273598150136261E-2</c:v>
                </c:pt>
                <c:pt idx="7">
                  <c:v>4.0597425726544151E-2</c:v>
                </c:pt>
                <c:pt idx="8">
                  <c:v>4.0338504936530323E-2</c:v>
                </c:pt>
                <c:pt idx="9">
                  <c:v>3.8614218693612416E-2</c:v>
                </c:pt>
                <c:pt idx="10">
                  <c:v>3.3978589699055803E-2</c:v>
                </c:pt>
                <c:pt idx="11">
                  <c:v>3.1934459120548403E-2</c:v>
                </c:pt>
                <c:pt idx="12">
                  <c:v>3.0147179515237731E-2</c:v>
                </c:pt>
                <c:pt idx="13">
                  <c:v>2.8423257205545029E-2</c:v>
                </c:pt>
              </c:numCache>
            </c:numRef>
          </c:val>
          <c:smooth val="0"/>
          <c:extLst>
            <c:ext xmlns:c16="http://schemas.microsoft.com/office/drawing/2014/chart" uri="{C3380CC4-5D6E-409C-BE32-E72D297353CC}">
              <c16:uniqueId val="{00000006-F7C0-4708-8363-CB027E233E16}"/>
            </c:ext>
          </c:extLst>
        </c:ser>
        <c:dLbls>
          <c:showLegendKey val="0"/>
          <c:showVal val="0"/>
          <c:showCatName val="0"/>
          <c:showSerName val="0"/>
          <c:showPercent val="0"/>
          <c:showBubbleSize val="0"/>
        </c:dLbls>
        <c:marker val="1"/>
        <c:smooth val="0"/>
        <c:axId val="374602496"/>
        <c:axId val="374602080"/>
      </c:lineChart>
      <c:catAx>
        <c:axId val="208000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74601248"/>
        <c:crosses val="autoZero"/>
        <c:auto val="1"/>
        <c:lblAlgn val="ctr"/>
        <c:lblOffset val="100"/>
        <c:noMultiLvlLbl val="0"/>
      </c:catAx>
      <c:valAx>
        <c:axId val="374601248"/>
        <c:scaling>
          <c:orientation val="minMax"/>
          <c:max val="15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08000112"/>
        <c:crosses val="autoZero"/>
        <c:crossBetween val="between"/>
        <c:majorUnit val="100"/>
      </c:valAx>
      <c:valAx>
        <c:axId val="374602080"/>
        <c:scaling>
          <c:orientation val="minMax"/>
          <c:max val="0.11000000000000001"/>
        </c:scaling>
        <c:delete val="0"/>
        <c:axPos val="r"/>
        <c:numFmt formatCode="0%"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2">
                    <a:lumMod val="50000"/>
                  </a:schemeClr>
                </a:solidFill>
                <a:latin typeface="Arial" panose="020B0604020202020204" pitchFamily="34" charset="0"/>
                <a:ea typeface="+mn-ea"/>
                <a:cs typeface="Arial" panose="020B0604020202020204" pitchFamily="34" charset="0"/>
              </a:defRPr>
            </a:pPr>
            <a:endParaRPr lang="cs-CZ"/>
          </a:p>
        </c:txPr>
        <c:crossAx val="374602496"/>
        <c:crosses val="max"/>
        <c:crossBetween val="between"/>
        <c:majorUnit val="1.0000000000000002E-2"/>
      </c:valAx>
      <c:catAx>
        <c:axId val="374602496"/>
        <c:scaling>
          <c:orientation val="minMax"/>
        </c:scaling>
        <c:delete val="1"/>
        <c:axPos val="b"/>
        <c:numFmt formatCode="General" sourceLinked="1"/>
        <c:majorTickMark val="none"/>
        <c:minorTickMark val="none"/>
        <c:tickLblPos val="nextTo"/>
        <c:crossAx val="374602080"/>
        <c:crosses val="autoZero"/>
        <c:auto val="1"/>
        <c:lblAlgn val="ctr"/>
        <c:lblOffset val="100"/>
        <c:noMultiLvlLbl val="0"/>
      </c:catAx>
      <c:spPr>
        <a:noFill/>
        <a:ln>
          <a:noFill/>
        </a:ln>
        <a:effectLst/>
      </c:spPr>
    </c:plotArea>
    <c:legend>
      <c:legendPos val="b"/>
      <c:layout>
        <c:manualLayout>
          <c:xMode val="edge"/>
          <c:yMode val="edge"/>
          <c:x val="0.69523710698350105"/>
          <c:y val="2.1862449206697131E-2"/>
          <c:w val="0.28248768893511639"/>
          <c:h val="0.19520927121797141"/>
        </c:manualLayout>
      </c:layout>
      <c:overlay val="0"/>
      <c:spPr>
        <a:solidFill>
          <a:schemeClr val="bg1"/>
        </a:solidFill>
        <a:ln>
          <a:solidFill>
            <a:schemeClr val="bg1">
              <a:lumMod val="50000"/>
            </a:schemeClr>
          </a:solidFill>
        </a:ln>
        <a:effectLst/>
      </c:spPr>
      <c:txPr>
        <a:bodyPr rot="0" spcFirstLastPara="1" vertOverflow="ellipsis" vert="horz" wrap="square" anchor="ctr" anchorCtr="1"/>
        <a:lstStyle/>
        <a:p>
          <a:pPr>
            <a:defRPr sz="800" b="0" i="0" u="none" strike="noStrike" kern="1200" baseline="0">
              <a:solidFill>
                <a:schemeClr val="tx2">
                  <a:lumMod val="50000"/>
                </a:schemeClr>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2">
              <a:lumMod val="50000"/>
            </a:schemeClr>
          </a:solidFill>
          <a:latin typeface="Arial" panose="020B0604020202020204" pitchFamily="34" charset="0"/>
          <a:cs typeface="Arial" panose="020B0604020202020204" pitchFamily="34" charset="0"/>
        </a:defRPr>
      </a:pPr>
      <a:endParaRPr lang="cs-CZ"/>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236859614105151E-2"/>
          <c:y val="4.4377199204704704E-2"/>
          <c:w val="0.95352628077178958"/>
          <c:h val="0.71173848392620997"/>
        </c:manualLayout>
      </c:layout>
      <c:barChart>
        <c:barDir val="col"/>
        <c:grouping val="clustered"/>
        <c:varyColors val="0"/>
        <c:ser>
          <c:idx val="0"/>
          <c:order val="0"/>
          <c:tx>
            <c:strRef>
              <c:f>'2.2.20'!$B$30</c:f>
              <c:strCache>
                <c:ptCount val="1"/>
                <c:pt idx="0">
                  <c:v>celkem</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'2.2.20'!$A$31:$A$41</c:f>
              <c:strCache>
                <c:ptCount val="11"/>
                <c:pt idx="0">
                  <c:v>2010/11</c:v>
                </c:pt>
                <c:pt idx="1">
                  <c:v>2011/12</c:v>
                </c:pt>
                <c:pt idx="2">
                  <c:v>2012/13</c:v>
                </c:pt>
                <c:pt idx="3">
                  <c:v>2013/14</c:v>
                </c:pt>
                <c:pt idx="4">
                  <c:v>2014/15</c:v>
                </c:pt>
                <c:pt idx="5">
                  <c:v>2015/16</c:v>
                </c:pt>
                <c:pt idx="6">
                  <c:v>2016/17</c:v>
                </c:pt>
                <c:pt idx="7">
                  <c:v>2017/18</c:v>
                </c:pt>
                <c:pt idx="8">
                  <c:v>2018/19</c:v>
                </c:pt>
                <c:pt idx="9">
                  <c:v>2019/20</c:v>
                </c:pt>
                <c:pt idx="10">
                  <c:v>2020/21</c:v>
                </c:pt>
              </c:strCache>
            </c:strRef>
          </c:cat>
          <c:val>
            <c:numRef>
              <c:f>'2.2.20'!$B$31:$B$41</c:f>
              <c:numCache>
                <c:formatCode>#\ ##0_ ;\-#\ ##0\ </c:formatCode>
                <c:ptCount val="11"/>
                <c:pt idx="0">
                  <c:v>82237</c:v>
                </c:pt>
                <c:pt idx="1">
                  <c:v>78874</c:v>
                </c:pt>
                <c:pt idx="2">
                  <c:v>78247</c:v>
                </c:pt>
                <c:pt idx="3">
                  <c:v>78946</c:v>
                </c:pt>
                <c:pt idx="4">
                  <c:v>79515</c:v>
                </c:pt>
                <c:pt idx="5">
                  <c:v>79481</c:v>
                </c:pt>
                <c:pt idx="6">
                  <c:v>80803</c:v>
                </c:pt>
                <c:pt idx="7">
                  <c:v>82091</c:v>
                </c:pt>
                <c:pt idx="8">
                  <c:v>84172</c:v>
                </c:pt>
                <c:pt idx="9">
                  <c:v>88737</c:v>
                </c:pt>
                <c:pt idx="10">
                  <c:v>94407</c:v>
                </c:pt>
              </c:numCache>
            </c:numRef>
          </c:val>
          <c:extLst>
            <c:ext xmlns:c16="http://schemas.microsoft.com/office/drawing/2014/chart" uri="{C3380CC4-5D6E-409C-BE32-E72D297353CC}">
              <c16:uniqueId val="{00000000-2C4D-4BB5-9A14-7A326528A794}"/>
            </c:ext>
          </c:extLst>
        </c:ser>
        <c:ser>
          <c:idx val="1"/>
          <c:order val="1"/>
          <c:tx>
            <c:strRef>
              <c:f>'2.2.20'!$C$30</c:f>
              <c:strCache>
                <c:ptCount val="1"/>
                <c:pt idx="0">
                  <c:v>z toho před dokončením 9. ročníku</c:v>
                </c:pt>
              </c:strCache>
            </c:strRef>
          </c:tx>
          <c:spPr>
            <a:solidFill>
              <a:srgbClr val="C00000"/>
            </a:solidFill>
            <a:ln>
              <a:solidFill>
                <a:srgbClr val="C00000"/>
              </a:solidFill>
            </a:ln>
            <a:effectLst/>
          </c:spPr>
          <c:invertIfNegative val="0"/>
          <c:dLbls>
            <c:numFmt formatCode="#,##0" sourceLinked="0"/>
            <c:spPr>
              <a:solidFill>
                <a:srgbClr val="FF9999"/>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'2.2.20'!$A$31:$A$41</c:f>
              <c:strCache>
                <c:ptCount val="11"/>
                <c:pt idx="0">
                  <c:v>2010/11</c:v>
                </c:pt>
                <c:pt idx="1">
                  <c:v>2011/12</c:v>
                </c:pt>
                <c:pt idx="2">
                  <c:v>2012/13</c:v>
                </c:pt>
                <c:pt idx="3">
                  <c:v>2013/14</c:v>
                </c:pt>
                <c:pt idx="4">
                  <c:v>2014/15</c:v>
                </c:pt>
                <c:pt idx="5">
                  <c:v>2015/16</c:v>
                </c:pt>
                <c:pt idx="6">
                  <c:v>2016/17</c:v>
                </c:pt>
                <c:pt idx="7">
                  <c:v>2017/18</c:v>
                </c:pt>
                <c:pt idx="8">
                  <c:v>2018/19</c:v>
                </c:pt>
                <c:pt idx="9">
                  <c:v>2019/20</c:v>
                </c:pt>
                <c:pt idx="10">
                  <c:v>2020/21</c:v>
                </c:pt>
              </c:strCache>
            </c:strRef>
          </c:cat>
          <c:val>
            <c:numRef>
              <c:f>'2.2.20'!$C$31:$C$41</c:f>
              <c:numCache>
                <c:formatCode>General</c:formatCode>
                <c:ptCount val="11"/>
                <c:pt idx="0">
                  <c:v>3852</c:v>
                </c:pt>
                <c:pt idx="1">
                  <c:v>3804</c:v>
                </c:pt>
                <c:pt idx="2">
                  <c:v>3515</c:v>
                </c:pt>
                <c:pt idx="3">
                  <c:v>3821</c:v>
                </c:pt>
                <c:pt idx="4">
                  <c:v>3799</c:v>
                </c:pt>
                <c:pt idx="5">
                  <c:v>4052</c:v>
                </c:pt>
                <c:pt idx="6">
                  <c:v>4176</c:v>
                </c:pt>
                <c:pt idx="7">
                  <c:v>4058</c:v>
                </c:pt>
                <c:pt idx="8">
                  <c:v>4225</c:v>
                </c:pt>
                <c:pt idx="9">
                  <c:v>4239</c:v>
                </c:pt>
                <c:pt idx="10">
                  <c:v>3626</c:v>
                </c:pt>
              </c:numCache>
            </c:numRef>
          </c:val>
          <c:extLst>
            <c:ext xmlns:c16="http://schemas.microsoft.com/office/drawing/2014/chart" uri="{C3380CC4-5D6E-409C-BE32-E72D297353CC}">
              <c16:uniqueId val="{00000001-2C4D-4BB5-9A14-7A326528A794}"/>
            </c:ext>
          </c:extLst>
        </c:ser>
        <c:dLbls>
          <c:showLegendKey val="0"/>
          <c:showVal val="0"/>
          <c:showCatName val="0"/>
          <c:showSerName val="0"/>
          <c:showPercent val="0"/>
          <c:showBubbleSize val="0"/>
        </c:dLbls>
        <c:gapWidth val="20"/>
        <c:overlap val="80"/>
        <c:axId val="145571200"/>
        <c:axId val="145597568"/>
      </c:barChart>
      <c:lineChart>
        <c:grouping val="standard"/>
        <c:varyColors val="0"/>
        <c:ser>
          <c:idx val="2"/>
          <c:order val="2"/>
          <c:tx>
            <c:strRef>
              <c:f>'2.2.20'!$D$30</c:f>
              <c:strCache>
                <c:ptCount val="1"/>
                <c:pt idx="0">
                  <c:v>podíl žáků, kteří docházku ukončili před završením 9. ročníku</c:v>
                </c:pt>
              </c:strCache>
            </c:strRef>
          </c:tx>
          <c:spPr>
            <a:ln w="28575" cap="rnd">
              <a:solidFill>
                <a:srgbClr val="70AD47"/>
              </a:solidFill>
              <a:round/>
            </a:ln>
            <a:effectLst/>
          </c:spPr>
          <c:marker>
            <c:symbol val="circle"/>
            <c:size val="5"/>
            <c:spPr>
              <a:solidFill>
                <a:schemeClr val="accent3"/>
              </a:solidFill>
              <a:ln w="9525">
                <a:solidFill>
                  <a:schemeClr val="accent3"/>
                </a:solidFill>
              </a:ln>
              <a:effectLst/>
            </c:spPr>
          </c:marker>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'2.2.20'!$A$31:$A$41</c:f>
              <c:strCache>
                <c:ptCount val="11"/>
                <c:pt idx="0">
                  <c:v>2010/11</c:v>
                </c:pt>
                <c:pt idx="1">
                  <c:v>2011/12</c:v>
                </c:pt>
                <c:pt idx="2">
                  <c:v>2012/13</c:v>
                </c:pt>
                <c:pt idx="3">
                  <c:v>2013/14</c:v>
                </c:pt>
                <c:pt idx="4">
                  <c:v>2014/15</c:v>
                </c:pt>
                <c:pt idx="5">
                  <c:v>2015/16</c:v>
                </c:pt>
                <c:pt idx="6">
                  <c:v>2016/17</c:v>
                </c:pt>
                <c:pt idx="7">
                  <c:v>2017/18</c:v>
                </c:pt>
                <c:pt idx="8">
                  <c:v>2018/19</c:v>
                </c:pt>
                <c:pt idx="9">
                  <c:v>2019/20</c:v>
                </c:pt>
                <c:pt idx="10">
                  <c:v>2020/21</c:v>
                </c:pt>
              </c:strCache>
            </c:strRef>
          </c:cat>
          <c:val>
            <c:numRef>
              <c:f>'2.2.20'!$D$31:$D$41</c:f>
              <c:numCache>
                <c:formatCode>0.0%</c:formatCode>
                <c:ptCount val="11"/>
                <c:pt idx="0">
                  <c:v>4.6840230066758269E-2</c:v>
                </c:pt>
                <c:pt idx="1">
                  <c:v>4.8228820650658012E-2</c:v>
                </c:pt>
                <c:pt idx="2">
                  <c:v>4.4921850038979132E-2</c:v>
                </c:pt>
                <c:pt idx="3">
                  <c:v>4.8400172269652673E-2</c:v>
                </c:pt>
                <c:pt idx="4">
                  <c:v>4.7777148965603977E-2</c:v>
                </c:pt>
                <c:pt idx="5">
                  <c:v>5.0980737534756737E-2</c:v>
                </c:pt>
                <c:pt idx="6">
                  <c:v>5.168124945855971E-2</c:v>
                </c:pt>
                <c:pt idx="7">
                  <c:v>4.943294636440048E-2</c:v>
                </c:pt>
                <c:pt idx="8">
                  <c:v>5.0194839138906051E-2</c:v>
                </c:pt>
                <c:pt idx="9">
                  <c:v>4.7770377632780012E-2</c:v>
                </c:pt>
                <c:pt idx="10">
                  <c:v>3.8408168885781774E-2</c:v>
                </c:pt>
              </c:numCache>
            </c:numRef>
          </c:val>
          <c:smooth val="0"/>
          <c:extLst>
            <c:ext xmlns:c16="http://schemas.microsoft.com/office/drawing/2014/chart" uri="{C3380CC4-5D6E-409C-BE32-E72D297353CC}">
              <c16:uniqueId val="{00000002-2C4D-4BB5-9A14-7A326528A794}"/>
            </c:ext>
          </c:extLst>
        </c:ser>
        <c:dLbls>
          <c:showLegendKey val="0"/>
          <c:showVal val="0"/>
          <c:showCatName val="0"/>
          <c:showSerName val="0"/>
          <c:showPercent val="0"/>
          <c:showBubbleSize val="0"/>
        </c:dLbls>
        <c:marker val="1"/>
        <c:smooth val="0"/>
        <c:axId val="145600896"/>
        <c:axId val="145599104"/>
      </c:lineChart>
      <c:catAx>
        <c:axId val="145571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45597568"/>
        <c:crosses val="autoZero"/>
        <c:auto val="1"/>
        <c:lblAlgn val="ctr"/>
        <c:lblOffset val="100"/>
        <c:noMultiLvlLbl val="0"/>
      </c:catAx>
      <c:valAx>
        <c:axId val="145597568"/>
        <c:scaling>
          <c:orientation val="minMax"/>
          <c:max val="130000"/>
        </c:scaling>
        <c:delete val="0"/>
        <c:axPos val="l"/>
        <c:numFmt formatCode="#\ ##0_ ;\-#\ ##0\ "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45571200"/>
        <c:crosses val="autoZero"/>
        <c:crossBetween val="between"/>
        <c:majorUnit val="10000"/>
      </c:valAx>
      <c:valAx>
        <c:axId val="145599104"/>
        <c:scaling>
          <c:orientation val="minMax"/>
          <c:max val="5.3000000000000012E-2"/>
        </c:scaling>
        <c:delete val="0"/>
        <c:axPos val="r"/>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45600896"/>
        <c:crosses val="max"/>
        <c:crossBetween val="between"/>
      </c:valAx>
      <c:catAx>
        <c:axId val="145600896"/>
        <c:scaling>
          <c:orientation val="minMax"/>
        </c:scaling>
        <c:delete val="1"/>
        <c:axPos val="b"/>
        <c:numFmt formatCode="General" sourceLinked="1"/>
        <c:majorTickMark val="none"/>
        <c:minorTickMark val="none"/>
        <c:tickLblPos val="none"/>
        <c:crossAx val="145599104"/>
        <c:crosses val="autoZero"/>
        <c:auto val="1"/>
        <c:lblAlgn val="ctr"/>
        <c:lblOffset val="100"/>
        <c:noMultiLvlLbl val="0"/>
      </c:catAx>
      <c:spPr>
        <a:noFill/>
        <a:ln>
          <a:noFill/>
        </a:ln>
        <a:effectLst/>
      </c:spPr>
    </c:plotArea>
    <c:legend>
      <c:legendPos val="b"/>
      <c:layout>
        <c:manualLayout>
          <c:xMode val="edge"/>
          <c:yMode val="edge"/>
          <c:x val="7.3697105788423159E-2"/>
          <c:y val="0.83785708635891964"/>
          <c:w val="0.77022055888223551"/>
          <c:h val="0.1379371686203332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488888888888892E-2"/>
          <c:y val="4.3117283950617508E-2"/>
          <c:w val="0.9143959150326797"/>
          <c:h val="0.61047183757202761"/>
        </c:manualLayout>
      </c:layout>
      <c:barChart>
        <c:barDir val="col"/>
        <c:grouping val="clustered"/>
        <c:varyColors val="0"/>
        <c:ser>
          <c:idx val="0"/>
          <c:order val="0"/>
          <c:tx>
            <c:strRef>
              <c:f>'2.2.21'!$B$27</c:f>
              <c:strCache>
                <c:ptCount val="1"/>
                <c:pt idx="0">
                  <c:v>počet</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'2.2.21'!$A$28:$A$41</c:f>
              <c:strCache>
                <c:ptCount val="14"/>
                <c:pt idx="0">
                  <c:v>Ústecký</c:v>
                </c:pt>
                <c:pt idx="1">
                  <c:v>Karlovarský</c:v>
                </c:pt>
                <c:pt idx="2">
                  <c:v>Liberecký</c:v>
                </c:pt>
                <c:pt idx="3">
                  <c:v>Plzeňský</c:v>
                </c:pt>
                <c:pt idx="4">
                  <c:v>Moravskoslezský</c:v>
                </c:pt>
                <c:pt idx="5">
                  <c:v>Královéhradecký</c:v>
                </c:pt>
                <c:pt idx="6">
                  <c:v>Jihočeský</c:v>
                </c:pt>
                <c:pt idx="7">
                  <c:v>Středočeský</c:v>
                </c:pt>
                <c:pt idx="8">
                  <c:v>Olomoucký</c:v>
                </c:pt>
                <c:pt idx="9">
                  <c:v>Pardubický</c:v>
                </c:pt>
                <c:pt idx="10">
                  <c:v>Vysočina</c:v>
                </c:pt>
                <c:pt idx="11">
                  <c:v>Jihomoravský</c:v>
                </c:pt>
                <c:pt idx="12">
                  <c:v>Zlínský</c:v>
                </c:pt>
                <c:pt idx="13">
                  <c:v>Praha</c:v>
                </c:pt>
              </c:strCache>
            </c:strRef>
          </c:cat>
          <c:val>
            <c:numRef>
              <c:f>'2.2.21'!$B$28:$B$41</c:f>
              <c:numCache>
                <c:formatCode>General</c:formatCode>
                <c:ptCount val="14"/>
                <c:pt idx="0">
                  <c:v>734</c:v>
                </c:pt>
                <c:pt idx="1">
                  <c:v>161</c:v>
                </c:pt>
                <c:pt idx="2">
                  <c:v>200</c:v>
                </c:pt>
                <c:pt idx="3">
                  <c:v>255</c:v>
                </c:pt>
                <c:pt idx="4">
                  <c:v>498</c:v>
                </c:pt>
                <c:pt idx="5">
                  <c:v>199</c:v>
                </c:pt>
                <c:pt idx="6">
                  <c:v>216</c:v>
                </c:pt>
                <c:pt idx="7">
                  <c:v>463</c:v>
                </c:pt>
                <c:pt idx="8">
                  <c:v>194</c:v>
                </c:pt>
                <c:pt idx="9">
                  <c:v>151</c:v>
                </c:pt>
                <c:pt idx="10">
                  <c:v>96</c:v>
                </c:pt>
                <c:pt idx="11">
                  <c:v>209</c:v>
                </c:pt>
                <c:pt idx="12">
                  <c:v>108</c:v>
                </c:pt>
                <c:pt idx="13">
                  <c:v>142</c:v>
                </c:pt>
              </c:numCache>
            </c:numRef>
          </c:val>
          <c:extLst>
            <c:ext xmlns:c16="http://schemas.microsoft.com/office/drawing/2014/chart" uri="{C3380CC4-5D6E-409C-BE32-E72D297353CC}">
              <c16:uniqueId val="{00000000-0477-4259-B647-AAFF9C4CA511}"/>
            </c:ext>
          </c:extLst>
        </c:ser>
        <c:dLbls>
          <c:showLegendKey val="0"/>
          <c:showVal val="0"/>
          <c:showCatName val="0"/>
          <c:showSerName val="0"/>
          <c:showPercent val="0"/>
          <c:showBubbleSize val="0"/>
        </c:dLbls>
        <c:gapWidth val="39"/>
        <c:overlap val="-27"/>
        <c:axId val="146311424"/>
        <c:axId val="146321408"/>
      </c:barChart>
      <c:lineChart>
        <c:grouping val="stacked"/>
        <c:varyColors val="0"/>
        <c:ser>
          <c:idx val="1"/>
          <c:order val="1"/>
          <c:tx>
            <c:strRef>
              <c:f>'2.2.21'!$C$27</c:f>
              <c:strCache>
                <c:ptCount val="1"/>
                <c:pt idx="0">
                  <c:v>podíl na celkovém počtu žáků, kteří ukončili povinnou školní docházku v daném kraji</c:v>
                </c:pt>
              </c:strCache>
            </c:strRef>
          </c:tx>
          <c:spPr>
            <a:ln w="28575" cap="rnd">
              <a:noFill/>
              <a:round/>
            </a:ln>
            <a:effectLst/>
          </c:spPr>
          <c:marker>
            <c:symbol val="triangle"/>
            <c:size val="6"/>
            <c:spPr>
              <a:solidFill>
                <a:srgbClr val="C00000"/>
              </a:solidFill>
              <a:ln w="9525">
                <a:solidFill>
                  <a:schemeClr val="tx1"/>
                </a:solidFill>
              </a:ln>
              <a:effectLst/>
            </c:spPr>
          </c:marker>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1" u="none" strike="noStrike" kern="1200" baseline="0">
                    <a:solidFill>
                      <a:srgbClr val="C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'2.2.21'!$A$28:$A$41</c:f>
              <c:strCache>
                <c:ptCount val="14"/>
                <c:pt idx="0">
                  <c:v>Ústecký</c:v>
                </c:pt>
                <c:pt idx="1">
                  <c:v>Karlovarský</c:v>
                </c:pt>
                <c:pt idx="2">
                  <c:v>Liberecký</c:v>
                </c:pt>
                <c:pt idx="3">
                  <c:v>Plzeňský</c:v>
                </c:pt>
                <c:pt idx="4">
                  <c:v>Moravskoslezský</c:v>
                </c:pt>
                <c:pt idx="5">
                  <c:v>Královéhradecký</c:v>
                </c:pt>
                <c:pt idx="6">
                  <c:v>Jihočeský</c:v>
                </c:pt>
                <c:pt idx="7">
                  <c:v>Středočeský</c:v>
                </c:pt>
                <c:pt idx="8">
                  <c:v>Olomoucký</c:v>
                </c:pt>
                <c:pt idx="9">
                  <c:v>Pardubický</c:v>
                </c:pt>
                <c:pt idx="10">
                  <c:v>Vysočina</c:v>
                </c:pt>
                <c:pt idx="11">
                  <c:v>Jihomoravský</c:v>
                </c:pt>
                <c:pt idx="12">
                  <c:v>Zlínský</c:v>
                </c:pt>
                <c:pt idx="13">
                  <c:v>Praha</c:v>
                </c:pt>
              </c:strCache>
            </c:strRef>
          </c:cat>
          <c:val>
            <c:numRef>
              <c:f>'2.2.21'!$C$28:$C$41</c:f>
              <c:numCache>
                <c:formatCode>0.0%</c:formatCode>
                <c:ptCount val="14"/>
                <c:pt idx="0">
                  <c:v>9.0718081819305407E-2</c:v>
                </c:pt>
                <c:pt idx="1">
                  <c:v>6.3038371182458891E-2</c:v>
                </c:pt>
                <c:pt idx="2">
                  <c:v>4.9825610363726958E-2</c:v>
                </c:pt>
                <c:pt idx="3">
                  <c:v>4.877582249426167E-2</c:v>
                </c:pt>
                <c:pt idx="4">
                  <c:v>4.5309798926394321E-2</c:v>
                </c:pt>
                <c:pt idx="5">
                  <c:v>3.8874780230513772E-2</c:v>
                </c:pt>
                <c:pt idx="6">
                  <c:v>3.7821747504815269E-2</c:v>
                </c:pt>
                <c:pt idx="7">
                  <c:v>3.7179796033084397E-2</c:v>
                </c:pt>
                <c:pt idx="8">
                  <c:v>3.4655234012147193E-2</c:v>
                </c:pt>
                <c:pt idx="9">
                  <c:v>3.1696053736356006E-2</c:v>
                </c:pt>
                <c:pt idx="10">
                  <c:v>2.1229544449358692E-2</c:v>
                </c:pt>
                <c:pt idx="11">
                  <c:v>2.0709472849782005E-2</c:v>
                </c:pt>
                <c:pt idx="12">
                  <c:v>1.9996296982040362E-2</c:v>
                </c:pt>
                <c:pt idx="13">
                  <c:v>1.4388489208633094E-2</c:v>
                </c:pt>
              </c:numCache>
            </c:numRef>
          </c:val>
          <c:smooth val="0"/>
          <c:extLst>
            <c:ext xmlns:c16="http://schemas.microsoft.com/office/drawing/2014/chart" uri="{C3380CC4-5D6E-409C-BE32-E72D297353CC}">
              <c16:uniqueId val="{00000001-0477-4259-B647-AAFF9C4CA511}"/>
            </c:ext>
          </c:extLst>
        </c:ser>
        <c:dLbls>
          <c:showLegendKey val="0"/>
          <c:showVal val="0"/>
          <c:showCatName val="0"/>
          <c:showSerName val="0"/>
          <c:showPercent val="0"/>
          <c:showBubbleSize val="0"/>
        </c:dLbls>
        <c:marker val="1"/>
        <c:smooth val="0"/>
        <c:axId val="146324480"/>
        <c:axId val="146322944"/>
      </c:lineChart>
      <c:catAx>
        <c:axId val="146311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46321408"/>
        <c:crosses val="autoZero"/>
        <c:auto val="1"/>
        <c:lblAlgn val="ctr"/>
        <c:lblOffset val="100"/>
        <c:noMultiLvlLbl val="0"/>
      </c:catAx>
      <c:valAx>
        <c:axId val="146321408"/>
        <c:scaling>
          <c:orientation val="minMax"/>
          <c:max val="1200"/>
        </c:scaling>
        <c:delete val="0"/>
        <c:axPos val="l"/>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46311424"/>
        <c:crosses val="autoZero"/>
        <c:crossBetween val="between"/>
        <c:majorUnit val="100"/>
      </c:valAx>
      <c:valAx>
        <c:axId val="146322944"/>
        <c:scaling>
          <c:orientation val="minMax"/>
        </c:scaling>
        <c:delete val="0"/>
        <c:axPos val="r"/>
        <c:numFmt formatCode="0.0%" sourceLinked="1"/>
        <c:majorTickMark val="out"/>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46324480"/>
        <c:crosses val="max"/>
        <c:crossBetween val="between"/>
      </c:valAx>
      <c:catAx>
        <c:axId val="146324480"/>
        <c:scaling>
          <c:orientation val="minMax"/>
        </c:scaling>
        <c:delete val="1"/>
        <c:axPos val="b"/>
        <c:numFmt formatCode="General" sourceLinked="1"/>
        <c:majorTickMark val="out"/>
        <c:minorTickMark val="none"/>
        <c:tickLblPos val="none"/>
        <c:crossAx val="146322944"/>
        <c:crosses val="autoZero"/>
        <c:auto val="1"/>
        <c:lblAlgn val="ctr"/>
        <c:lblOffset val="100"/>
        <c:noMultiLvlLbl val="0"/>
      </c:catAx>
      <c:spPr>
        <a:noFill/>
        <a:ln>
          <a:noFill/>
        </a:ln>
        <a:effectLst/>
      </c:spPr>
    </c:plotArea>
    <c:legend>
      <c:legendPos val="b"/>
      <c:layout>
        <c:manualLayout>
          <c:xMode val="edge"/>
          <c:yMode val="edge"/>
          <c:x val="6.3124836601307188E-2"/>
          <c:y val="0.8845043209876513"/>
          <c:w val="0.89242679738562058"/>
          <c:h val="8.9037654320987647E-2"/>
        </c:manualLayout>
      </c:layout>
      <c:overlay val="0"/>
      <c:spPr>
        <a:noFill/>
        <a:ln>
          <a:solidFill>
            <a:schemeClr val="bg1">
              <a:lumMod val="50000"/>
            </a:schemeClr>
          </a:solid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'2.2.24'!$B$27</c:f>
              <c:strCache>
                <c:ptCount val="1"/>
                <c:pt idx="0">
                  <c:v>počet</c:v>
                </c:pt>
              </c:strCache>
            </c:strRef>
          </c:tx>
          <c:spPr>
            <a:solidFill>
              <a:srgbClr val="0070C0"/>
            </a:solidFill>
            <a:ln>
              <a:noFill/>
            </a:ln>
            <a:effectLst/>
          </c:spPr>
          <c:invertIfNegative val="0"/>
          <c:dLbls>
            <c:numFmt formatCode="#,##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'2.2.24'!$A$28:$A$38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'2.2.24'!$B$28:$B$38</c:f>
              <c:numCache>
                <c:formatCode>General</c:formatCode>
                <c:ptCount val="11"/>
                <c:pt idx="0">
                  <c:v>14344</c:v>
                </c:pt>
                <c:pt idx="1">
                  <c:v>14551</c:v>
                </c:pt>
                <c:pt idx="2">
                  <c:v>15109</c:v>
                </c:pt>
                <c:pt idx="3">
                  <c:v>16477</c:v>
                </c:pt>
                <c:pt idx="4">
                  <c:v>18281</c:v>
                </c:pt>
                <c:pt idx="5">
                  <c:v>20237</c:v>
                </c:pt>
                <c:pt idx="6">
                  <c:v>21992</c:v>
                </c:pt>
                <c:pt idx="7">
                  <c:v>24026</c:v>
                </c:pt>
                <c:pt idx="8">
                  <c:v>26527</c:v>
                </c:pt>
                <c:pt idx="9">
                  <c:v>28380</c:v>
                </c:pt>
                <c:pt idx="10">
                  <c:v>30543</c:v>
                </c:pt>
              </c:numCache>
            </c:numRef>
          </c:val>
          <c:extLst>
            <c:ext xmlns:c16="http://schemas.microsoft.com/office/drawing/2014/chart" uri="{C3380CC4-5D6E-409C-BE32-E72D297353CC}">
              <c16:uniqueId val="{00000000-7A58-4396-9B56-D3A4E5FFF49D}"/>
            </c:ext>
          </c:extLst>
        </c:ser>
        <c:dLbls>
          <c:showLegendKey val="0"/>
          <c:showVal val="0"/>
          <c:showCatName val="0"/>
          <c:showSerName val="0"/>
          <c:showPercent val="0"/>
          <c:showBubbleSize val="0"/>
        </c:dLbls>
        <c:gapWidth val="99"/>
        <c:overlap val="3"/>
        <c:axId val="440092784"/>
        <c:axId val="579664048"/>
      </c:barChart>
      <c:lineChart>
        <c:grouping val="standard"/>
        <c:varyColors val="0"/>
        <c:ser>
          <c:idx val="1"/>
          <c:order val="1"/>
          <c:tx>
            <c:strRef>
              <c:f>'2.2.24'!$C$27</c:f>
              <c:strCache>
                <c:ptCount val="1"/>
                <c:pt idx="0">
                  <c:v>podíl na žácích v ZŠ celkem</c:v>
                </c:pt>
              </c:strCache>
            </c:strRef>
          </c:tx>
          <c:spPr>
            <a:ln w="28575" cap="rnd">
              <a:solidFill>
                <a:srgbClr val="C00000"/>
              </a:solidFill>
              <a:round/>
            </a:ln>
            <a:effectLst/>
          </c:spPr>
          <c:marker>
            <c:symbol val="none"/>
          </c:marker>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'2.2.24'!$A$28:$A$38</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'2.2.24'!$C$28:$C$38</c:f>
              <c:numCache>
                <c:formatCode>0.0%</c:formatCode>
                <c:ptCount val="11"/>
                <c:pt idx="0">
                  <c:v>1.8050895875123641E-2</c:v>
                </c:pt>
                <c:pt idx="1">
                  <c:v>1.8009777832786681E-2</c:v>
                </c:pt>
                <c:pt idx="2">
                  <c:v>1.8255212927141051E-2</c:v>
                </c:pt>
                <c:pt idx="3">
                  <c:v>1.9290816344450599E-2</c:v>
                </c:pt>
                <c:pt idx="4">
                  <c:v>2.0767940053462025E-2</c:v>
                </c:pt>
                <c:pt idx="5">
                  <c:v>2.2332010576171832E-2</c:v>
                </c:pt>
                <c:pt idx="6">
                  <c:v>2.3746690450789757E-2</c:v>
                </c:pt>
                <c:pt idx="7">
                  <c:v>2.5534366072643179E-2</c:v>
                </c:pt>
                <c:pt idx="8">
                  <c:v>2.7836834406146801E-2</c:v>
                </c:pt>
                <c:pt idx="9">
                  <c:v>2.9490371466454963E-2</c:v>
                </c:pt>
                <c:pt idx="10">
                  <c:v>3.1664854116493238E-2</c:v>
                </c:pt>
              </c:numCache>
            </c:numRef>
          </c:val>
          <c:smooth val="0"/>
          <c:extLst>
            <c:ext xmlns:c16="http://schemas.microsoft.com/office/drawing/2014/chart" uri="{C3380CC4-5D6E-409C-BE32-E72D297353CC}">
              <c16:uniqueId val="{00000001-7A58-4396-9B56-D3A4E5FFF49D}"/>
            </c:ext>
          </c:extLst>
        </c:ser>
        <c:dLbls>
          <c:showLegendKey val="0"/>
          <c:showVal val="0"/>
          <c:showCatName val="0"/>
          <c:showSerName val="0"/>
          <c:showPercent val="0"/>
          <c:showBubbleSize val="0"/>
        </c:dLbls>
        <c:marker val="1"/>
        <c:smooth val="0"/>
        <c:axId val="433294672"/>
        <c:axId val="433294256"/>
      </c:lineChart>
      <c:catAx>
        <c:axId val="440092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579664048"/>
        <c:crosses val="autoZero"/>
        <c:auto val="1"/>
        <c:lblAlgn val="ctr"/>
        <c:lblOffset val="100"/>
        <c:noMultiLvlLbl val="0"/>
      </c:catAx>
      <c:valAx>
        <c:axId val="579664048"/>
        <c:scaling>
          <c:orientation val="minMax"/>
          <c:max val="40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40092784"/>
        <c:crosses val="autoZero"/>
        <c:crossBetween val="between"/>
        <c:majorUnit val="5000"/>
      </c:valAx>
      <c:valAx>
        <c:axId val="433294256"/>
        <c:scaling>
          <c:orientation val="minMax"/>
          <c:max val="3.5000000000000003E-2"/>
        </c:scaling>
        <c:delete val="0"/>
        <c:axPos val="r"/>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33294672"/>
        <c:crosses val="max"/>
        <c:crossBetween val="between"/>
      </c:valAx>
      <c:catAx>
        <c:axId val="433294672"/>
        <c:scaling>
          <c:orientation val="minMax"/>
        </c:scaling>
        <c:delete val="1"/>
        <c:axPos val="b"/>
        <c:numFmt formatCode="General" sourceLinked="1"/>
        <c:majorTickMark val="none"/>
        <c:minorTickMark val="none"/>
        <c:tickLblPos val="nextTo"/>
        <c:crossAx val="433294256"/>
        <c:crosses val="autoZero"/>
        <c:auto val="1"/>
        <c:lblAlgn val="ctr"/>
        <c:lblOffset val="100"/>
        <c:noMultiLvlLbl val="0"/>
      </c:catAx>
      <c:spPr>
        <a:noFill/>
        <a:ln>
          <a:noFill/>
        </a:ln>
        <a:effectLst/>
      </c:spPr>
    </c:plotArea>
    <c:legend>
      <c:legendPos val="b"/>
      <c:layout>
        <c:manualLayout>
          <c:xMode val="edge"/>
          <c:yMode val="edge"/>
          <c:x val="0.24314714436970866"/>
          <c:y val="0.90578264157658261"/>
          <c:w val="0.49891749957789555"/>
          <c:h val="6.70987143556208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170683940574639E-2"/>
          <c:y val="5.2127351934253122E-2"/>
          <c:w val="0.97782931605942536"/>
          <c:h val="0.73060507810855191"/>
        </c:manualLayout>
      </c:layout>
      <c:barChart>
        <c:barDir val="col"/>
        <c:grouping val="clustered"/>
        <c:varyColors val="0"/>
        <c:ser>
          <c:idx val="0"/>
          <c:order val="0"/>
          <c:tx>
            <c:strRef>
              <c:f>'2.2.25'!$B$27</c:f>
              <c:strCache>
                <c:ptCount val="1"/>
                <c:pt idx="0">
                  <c:v>školní rok 2016/17</c:v>
                </c:pt>
              </c:strCache>
            </c:strRef>
          </c:tx>
          <c:spPr>
            <a:solidFill>
              <a:srgbClr val="FFB3B3"/>
            </a:solidFill>
            <a:ln>
              <a:noFill/>
            </a:ln>
            <a:effectLst/>
          </c:spPr>
          <c:invertIfNegative val="0"/>
          <c:dPt>
            <c:idx val="4"/>
            <c:invertIfNegative val="0"/>
            <c:bubble3D val="0"/>
            <c:extLst>
              <c:ext xmlns:c16="http://schemas.microsoft.com/office/drawing/2014/chart" uri="{C3380CC4-5D6E-409C-BE32-E72D297353CC}">
                <c16:uniqueId val="{00000000-8BD9-403A-B13C-8F6E2F881995}"/>
              </c:ext>
            </c:extLst>
          </c:dPt>
          <c:dPt>
            <c:idx val="5"/>
            <c:invertIfNegative val="0"/>
            <c:bubble3D val="0"/>
            <c:extLst>
              <c:ext xmlns:c16="http://schemas.microsoft.com/office/drawing/2014/chart" uri="{C3380CC4-5D6E-409C-BE32-E72D297353CC}">
                <c16:uniqueId val="{00000001-8BD9-403A-B13C-8F6E2F881995}"/>
              </c:ext>
            </c:extLst>
          </c:dPt>
          <c:dLbls>
            <c:dLbl>
              <c:idx val="4"/>
              <c:layout>
                <c:manualLayout>
                  <c:x val="6.2623943220958146E-3"/>
                  <c:y val="0.1140126601821831"/>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8BD9-403A-B13C-8F6E2F881995}"/>
                </c:ext>
              </c:extLst>
            </c:dLbl>
            <c:numFmt formatCode="0.0\ %" sourceLinked="0"/>
            <c:spPr>
              <a:noFill/>
              <a:ln>
                <a:noFill/>
              </a:ln>
              <a:effectLst/>
            </c:spPr>
            <c:txPr>
              <a:bodyPr rot="0" vert="horz" wrap="square" lIns="38100" tIns="19050" rIns="38100" bIns="19050" anchor="ctr">
                <a:spAutoFit/>
              </a:bodyPr>
              <a:lstStyle/>
              <a:p>
                <a:pPr>
                  <a:defRPr b="1" i="1">
                    <a:solidFill>
                      <a:srgbClr val="A01421"/>
                    </a:solidFill>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'2.2.25'!$A$28:$A$42</c:f>
              <c:strCache>
                <c:ptCount val="15"/>
                <c:pt idx="0">
                  <c:v>Praha</c:v>
                </c:pt>
                <c:pt idx="1">
                  <c:v>Plzeňský</c:v>
                </c:pt>
                <c:pt idx="2">
                  <c:v>Karlovarský</c:v>
                </c:pt>
                <c:pt idx="3">
                  <c:v>Středočeský</c:v>
                </c:pt>
                <c:pt idx="4">
                  <c:v>ČR</c:v>
                </c:pt>
                <c:pt idx="5">
                  <c:v>Liberecký</c:v>
                </c:pt>
                <c:pt idx="6">
                  <c:v>Ústecký</c:v>
                </c:pt>
                <c:pt idx="7">
                  <c:v>Jihomoravský</c:v>
                </c:pt>
                <c:pt idx="8">
                  <c:v>Jihočeský</c:v>
                </c:pt>
                <c:pt idx="9">
                  <c:v>Pardubický</c:v>
                </c:pt>
                <c:pt idx="10">
                  <c:v>Královéhradecký</c:v>
                </c:pt>
                <c:pt idx="11">
                  <c:v>Vysočina</c:v>
                </c:pt>
                <c:pt idx="12">
                  <c:v>Zlínský</c:v>
                </c:pt>
                <c:pt idx="13">
                  <c:v>Moravskoslezský</c:v>
                </c:pt>
                <c:pt idx="14">
                  <c:v>Olomoucký</c:v>
                </c:pt>
              </c:strCache>
            </c:strRef>
          </c:cat>
          <c:val>
            <c:numRef>
              <c:f>'2.2.25'!$B$28:$B$42</c:f>
              <c:numCache>
                <c:formatCode>0.0%</c:formatCode>
                <c:ptCount val="15"/>
                <c:pt idx="0">
                  <c:v>7.796098893259687E-2</c:v>
                </c:pt>
                <c:pt idx="1">
                  <c:v>3.2181722561592296E-2</c:v>
                </c:pt>
                <c:pt idx="2">
                  <c:v>3.755282753069028E-2</c:v>
                </c:pt>
                <c:pt idx="3">
                  <c:v>2.037493874228568E-2</c:v>
                </c:pt>
                <c:pt idx="4">
                  <c:v>2.2332010576171832E-2</c:v>
                </c:pt>
                <c:pt idx="5">
                  <c:v>2.2926010373080102E-2</c:v>
                </c:pt>
                <c:pt idx="6">
                  <c:v>1.8539760450289433E-2</c:v>
                </c:pt>
                <c:pt idx="7">
                  <c:v>1.5425800585917769E-2</c:v>
                </c:pt>
                <c:pt idx="8">
                  <c:v>1.4397575145238697E-2</c:v>
                </c:pt>
                <c:pt idx="9">
                  <c:v>1.1069618564950654E-2</c:v>
                </c:pt>
                <c:pt idx="10">
                  <c:v>1.2312722456750269E-2</c:v>
                </c:pt>
                <c:pt idx="11">
                  <c:v>8.8203117877655203E-3</c:v>
                </c:pt>
                <c:pt idx="12">
                  <c:v>6.010807310113133E-3</c:v>
                </c:pt>
                <c:pt idx="13">
                  <c:v>7.8442765833817551E-3</c:v>
                </c:pt>
                <c:pt idx="14">
                  <c:v>7.2474458746726658E-3</c:v>
                </c:pt>
              </c:numCache>
            </c:numRef>
          </c:val>
          <c:extLst>
            <c:ext xmlns:c16="http://schemas.microsoft.com/office/drawing/2014/chart" uri="{C3380CC4-5D6E-409C-BE32-E72D297353CC}">
              <c16:uniqueId val="{00000002-8BD9-403A-B13C-8F6E2F881995}"/>
            </c:ext>
          </c:extLst>
        </c:ser>
        <c:ser>
          <c:idx val="1"/>
          <c:order val="1"/>
          <c:tx>
            <c:strRef>
              <c:f>'2.2.25'!$C$27</c:f>
              <c:strCache>
                <c:ptCount val="1"/>
                <c:pt idx="0">
                  <c:v>školní rok 2021/22</c:v>
                </c:pt>
              </c:strCache>
            </c:strRef>
          </c:tx>
          <c:spPr>
            <a:solidFill>
              <a:srgbClr val="8BB3F5"/>
            </a:solidFill>
            <a:ln>
              <a:noFill/>
            </a:ln>
            <a:effectLst/>
          </c:spPr>
          <c:invertIfNegative val="0"/>
          <c:dPt>
            <c:idx val="4"/>
            <c:invertIfNegative val="0"/>
            <c:bubble3D val="0"/>
            <c:extLst>
              <c:ext xmlns:c16="http://schemas.microsoft.com/office/drawing/2014/chart" uri="{C3380CC4-5D6E-409C-BE32-E72D297353CC}">
                <c16:uniqueId val="{00000003-8BD9-403A-B13C-8F6E2F881995}"/>
              </c:ext>
            </c:extLst>
          </c:dPt>
          <c:dPt>
            <c:idx val="5"/>
            <c:invertIfNegative val="0"/>
            <c:bubble3D val="0"/>
            <c:extLst>
              <c:ext xmlns:c16="http://schemas.microsoft.com/office/drawing/2014/chart" uri="{C3380CC4-5D6E-409C-BE32-E72D297353CC}">
                <c16:uniqueId val="{00000005-8BD9-403A-B13C-8F6E2F881995}"/>
              </c:ext>
            </c:extLst>
          </c:dPt>
          <c:dLbls>
            <c:dLbl>
              <c:idx val="4"/>
              <c:layout>
                <c:manualLayout>
                  <c:x val="-8.3498590961277909E-3"/>
                  <c:y val="-6.5358722094648088E-17"/>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8BD9-403A-B13C-8F6E2F881995}"/>
                </c:ext>
              </c:extLst>
            </c:dLbl>
            <c:numFmt formatCode="0.0\ %" sourceLinked="0"/>
            <c:spPr>
              <a:noFill/>
              <a:ln>
                <a:noFill/>
              </a:ln>
              <a:effectLst/>
            </c:spPr>
            <c:txPr>
              <a:bodyPr rot="0" vert="horz" wrap="square" lIns="38100" tIns="19050" rIns="38100" bIns="19050" anchor="ctr">
                <a:spAutoFit/>
              </a:bodyPr>
              <a:lstStyle/>
              <a:p>
                <a:pPr>
                  <a:defRPr b="1" i="1">
                    <a:solidFill>
                      <a:schemeClr val="accent1">
                        <a:lumMod val="50000"/>
                      </a:schemeClr>
                    </a:solidFill>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'2.2.25'!$A$28:$A$42</c:f>
              <c:strCache>
                <c:ptCount val="15"/>
                <c:pt idx="0">
                  <c:v>Praha</c:v>
                </c:pt>
                <c:pt idx="1">
                  <c:v>Plzeňský</c:v>
                </c:pt>
                <c:pt idx="2">
                  <c:v>Karlovarský</c:v>
                </c:pt>
                <c:pt idx="3">
                  <c:v>Středočeský</c:v>
                </c:pt>
                <c:pt idx="4">
                  <c:v>ČR</c:v>
                </c:pt>
                <c:pt idx="5">
                  <c:v>Liberecký</c:v>
                </c:pt>
                <c:pt idx="6">
                  <c:v>Ústecký</c:v>
                </c:pt>
                <c:pt idx="7">
                  <c:v>Jihomoravský</c:v>
                </c:pt>
                <c:pt idx="8">
                  <c:v>Jihočeský</c:v>
                </c:pt>
                <c:pt idx="9">
                  <c:v>Pardubický</c:v>
                </c:pt>
                <c:pt idx="10">
                  <c:v>Královéhradecký</c:v>
                </c:pt>
                <c:pt idx="11">
                  <c:v>Vysočina</c:v>
                </c:pt>
                <c:pt idx="12">
                  <c:v>Zlínský</c:v>
                </c:pt>
                <c:pt idx="13">
                  <c:v>Moravskoslezský</c:v>
                </c:pt>
                <c:pt idx="14">
                  <c:v>Olomoucký</c:v>
                </c:pt>
              </c:strCache>
            </c:strRef>
          </c:cat>
          <c:val>
            <c:numRef>
              <c:f>'2.2.25'!$C$28:$C$42</c:f>
              <c:numCache>
                <c:formatCode>0.0%</c:formatCode>
                <c:ptCount val="15"/>
                <c:pt idx="0">
                  <c:v>9.6860530471321898E-2</c:v>
                </c:pt>
                <c:pt idx="1">
                  <c:v>4.7879538740112457E-2</c:v>
                </c:pt>
                <c:pt idx="2">
                  <c:v>4.7434968188773456E-2</c:v>
                </c:pt>
                <c:pt idx="3">
                  <c:v>3.2733683528819169E-2</c:v>
                </c:pt>
                <c:pt idx="4">
                  <c:v>3.1664854116493238E-2</c:v>
                </c:pt>
                <c:pt idx="5">
                  <c:v>3.1554735606296569E-2</c:v>
                </c:pt>
                <c:pt idx="6">
                  <c:v>2.5207513036075341E-2</c:v>
                </c:pt>
                <c:pt idx="7">
                  <c:v>2.2290631258808695E-2</c:v>
                </c:pt>
                <c:pt idx="8">
                  <c:v>2.0862237295103028E-2</c:v>
                </c:pt>
                <c:pt idx="9">
                  <c:v>1.9891805418148903E-2</c:v>
                </c:pt>
                <c:pt idx="10">
                  <c:v>1.7547047895969631E-2</c:v>
                </c:pt>
                <c:pt idx="11">
                  <c:v>1.5745620749229122E-2</c:v>
                </c:pt>
                <c:pt idx="12">
                  <c:v>1.0350334167931708E-2</c:v>
                </c:pt>
                <c:pt idx="13">
                  <c:v>1.0040585508472945E-2</c:v>
                </c:pt>
                <c:pt idx="14">
                  <c:v>9.1710124078403163E-3</c:v>
                </c:pt>
              </c:numCache>
            </c:numRef>
          </c:val>
          <c:extLst>
            <c:ext xmlns:c16="http://schemas.microsoft.com/office/drawing/2014/chart" uri="{C3380CC4-5D6E-409C-BE32-E72D297353CC}">
              <c16:uniqueId val="{00000006-8BD9-403A-B13C-8F6E2F881995}"/>
            </c:ext>
          </c:extLst>
        </c:ser>
        <c:dLbls>
          <c:showLegendKey val="0"/>
          <c:showVal val="0"/>
          <c:showCatName val="0"/>
          <c:showSerName val="0"/>
          <c:showPercent val="0"/>
          <c:showBubbleSize val="0"/>
        </c:dLbls>
        <c:gapWidth val="82"/>
        <c:axId val="184777344"/>
        <c:axId val="184779136"/>
      </c:barChart>
      <c:catAx>
        <c:axId val="184777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84779136"/>
        <c:crosses val="autoZero"/>
        <c:auto val="1"/>
        <c:lblAlgn val="ctr"/>
        <c:lblOffset val="100"/>
        <c:noMultiLvlLbl val="0"/>
      </c:catAx>
      <c:valAx>
        <c:axId val="184779136"/>
        <c:scaling>
          <c:orientation val="minMax"/>
          <c:max val="0.1"/>
        </c:scaling>
        <c:delete val="0"/>
        <c:axPos val="l"/>
        <c:majorGridlines>
          <c:spPr>
            <a:ln w="9525" cap="flat" cmpd="sng" algn="ctr">
              <a:solidFill>
                <a:schemeClr val="tx1">
                  <a:lumMod val="15000"/>
                  <a:lumOff val="85000"/>
                </a:schemeClr>
              </a:solidFill>
              <a:round/>
            </a:ln>
            <a:effectLst/>
          </c:spPr>
        </c:majorGridlines>
        <c:numFmt formatCode="0\ %"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84777344"/>
        <c:crosses val="autoZero"/>
        <c:crossBetween val="between"/>
        <c:majorUnit val="1.0000000000000005E-2"/>
      </c:valAx>
      <c:spPr>
        <a:noFill/>
        <a:ln>
          <a:noFill/>
        </a:ln>
        <a:effectLst/>
      </c:spPr>
    </c:plotArea>
    <c:legend>
      <c:legendPos val="r"/>
      <c:layout>
        <c:manualLayout>
          <c:xMode val="edge"/>
          <c:yMode val="edge"/>
          <c:x val="0.74331443129520069"/>
          <c:y val="6.0018470321551533E-2"/>
          <c:w val="0.21702416173570024"/>
          <c:h val="0.1738740100187498"/>
        </c:manualLayout>
      </c:layout>
      <c:overlay val="0"/>
      <c:spPr>
        <a:solidFill>
          <a:schemeClr val="bg1"/>
        </a:solidFill>
        <a:ln>
          <a:solidFill>
            <a:schemeClr val="bg1">
              <a:lumMod val="50000"/>
            </a:schemeClr>
          </a:solid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691460737219174E-2"/>
          <c:y val="2.1680216802168022E-2"/>
          <c:w val="0.87425411446210732"/>
          <c:h val="0.83109178516864501"/>
        </c:manualLayout>
      </c:layout>
      <c:barChart>
        <c:barDir val="bar"/>
        <c:grouping val="stacked"/>
        <c:varyColors val="0"/>
        <c:ser>
          <c:idx val="0"/>
          <c:order val="0"/>
          <c:tx>
            <c:strRef>
              <c:f>List4!$I$16</c:f>
              <c:strCache>
                <c:ptCount val="1"/>
                <c:pt idx="0">
                  <c:v>veřejné školy</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List4!$H$17:$H$27</c:f>
              <c:strCache>
                <c:ptCount val="11"/>
                <c:pt idx="0">
                  <c:v>2021/22</c:v>
                </c:pt>
                <c:pt idx="1">
                  <c:v>2020/21</c:v>
                </c:pt>
                <c:pt idx="2">
                  <c:v>2019/20</c:v>
                </c:pt>
                <c:pt idx="3">
                  <c:v>2018/19</c:v>
                </c:pt>
                <c:pt idx="4">
                  <c:v>2017/18</c:v>
                </c:pt>
                <c:pt idx="5">
                  <c:v>2016/17</c:v>
                </c:pt>
                <c:pt idx="6">
                  <c:v>2015/16</c:v>
                </c:pt>
                <c:pt idx="7">
                  <c:v>2014/15</c:v>
                </c:pt>
                <c:pt idx="8">
                  <c:v>2013/14</c:v>
                </c:pt>
                <c:pt idx="9">
                  <c:v>2012/13</c:v>
                </c:pt>
                <c:pt idx="10">
                  <c:v>2011/12</c:v>
                </c:pt>
              </c:strCache>
            </c:strRef>
          </c:cat>
          <c:val>
            <c:numRef>
              <c:f>List4!$I$17:$I$27</c:f>
              <c:numCache>
                <c:formatCode>0.0</c:formatCode>
                <c:ptCount val="11"/>
                <c:pt idx="0">
                  <c:v>95.572415323587336</c:v>
                </c:pt>
                <c:pt idx="1">
                  <c:v>95.824081790166616</c:v>
                </c:pt>
                <c:pt idx="2">
                  <c:v>95.932410546190965</c:v>
                </c:pt>
                <c:pt idx="3">
                  <c:v>95.995612684729053</c:v>
                </c:pt>
                <c:pt idx="4">
                  <c:v>96.099857755626374</c:v>
                </c:pt>
                <c:pt idx="5">
                  <c:v>96.348575635662741</c:v>
                </c:pt>
                <c:pt idx="6">
                  <c:v>96.434569810077832</c:v>
                </c:pt>
                <c:pt idx="7">
                  <c:v>96.777773848417993</c:v>
                </c:pt>
                <c:pt idx="8">
                  <c:v>97.163391717642924</c:v>
                </c:pt>
                <c:pt idx="9">
                  <c:v>97.574645820398487</c:v>
                </c:pt>
                <c:pt idx="10">
                  <c:v>97.894143716735613</c:v>
                </c:pt>
              </c:numCache>
            </c:numRef>
          </c:val>
          <c:extLst>
            <c:ext xmlns:c16="http://schemas.microsoft.com/office/drawing/2014/chart" uri="{C3380CC4-5D6E-409C-BE32-E72D297353CC}">
              <c16:uniqueId val="{00000000-1C0A-4790-9C79-BEF38FF50D47}"/>
            </c:ext>
          </c:extLst>
        </c:ser>
        <c:ser>
          <c:idx val="1"/>
          <c:order val="1"/>
          <c:tx>
            <c:strRef>
              <c:f>List4!$J$16</c:f>
              <c:strCache>
                <c:ptCount val="1"/>
                <c:pt idx="0">
                  <c:v>soukromé školy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List4!$H$17:$H$27</c:f>
              <c:strCache>
                <c:ptCount val="11"/>
                <c:pt idx="0">
                  <c:v>2021/22</c:v>
                </c:pt>
                <c:pt idx="1">
                  <c:v>2020/21</c:v>
                </c:pt>
                <c:pt idx="2">
                  <c:v>2019/20</c:v>
                </c:pt>
                <c:pt idx="3">
                  <c:v>2018/19</c:v>
                </c:pt>
                <c:pt idx="4">
                  <c:v>2017/18</c:v>
                </c:pt>
                <c:pt idx="5">
                  <c:v>2016/17</c:v>
                </c:pt>
                <c:pt idx="6">
                  <c:v>2015/16</c:v>
                </c:pt>
                <c:pt idx="7">
                  <c:v>2014/15</c:v>
                </c:pt>
                <c:pt idx="8">
                  <c:v>2013/14</c:v>
                </c:pt>
                <c:pt idx="9">
                  <c:v>2012/13</c:v>
                </c:pt>
                <c:pt idx="10">
                  <c:v>2011/12</c:v>
                </c:pt>
              </c:strCache>
            </c:strRef>
          </c:cat>
          <c:val>
            <c:numRef>
              <c:f>List4!$J$17:$J$27</c:f>
              <c:numCache>
                <c:formatCode>0.0</c:formatCode>
                <c:ptCount val="11"/>
                <c:pt idx="0">
                  <c:v>3.8605786568282063</c:v>
                </c:pt>
                <c:pt idx="1">
                  <c:v>3.6043266461221823</c:v>
                </c:pt>
                <c:pt idx="2">
                  <c:v>3.5238922580698202</c:v>
                </c:pt>
                <c:pt idx="3">
                  <c:v>3.4416783954961296</c:v>
                </c:pt>
                <c:pt idx="4">
                  <c:v>3.3424671128802834</c:v>
                </c:pt>
                <c:pt idx="5">
                  <c:v>3.103793433392251</c:v>
                </c:pt>
                <c:pt idx="6">
                  <c:v>3.0479555532568781</c:v>
                </c:pt>
                <c:pt idx="7">
                  <c:v>2.7205980364686901</c:v>
                </c:pt>
                <c:pt idx="8">
                  <c:v>2.3599436694098492</c:v>
                </c:pt>
                <c:pt idx="9">
                  <c:v>1.9661906643336908</c:v>
                </c:pt>
                <c:pt idx="10">
                  <c:v>1.6869038686679063</c:v>
                </c:pt>
              </c:numCache>
            </c:numRef>
          </c:val>
          <c:extLst>
            <c:ext xmlns:c16="http://schemas.microsoft.com/office/drawing/2014/chart" uri="{C3380CC4-5D6E-409C-BE32-E72D297353CC}">
              <c16:uniqueId val="{00000001-1C0A-4790-9C79-BEF38FF50D47}"/>
            </c:ext>
          </c:extLst>
        </c:ser>
        <c:ser>
          <c:idx val="2"/>
          <c:order val="2"/>
          <c:tx>
            <c:strRef>
              <c:f>List4!$K$16</c:f>
              <c:strCache>
                <c:ptCount val="1"/>
                <c:pt idx="0">
                  <c:v>církevní školy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List4!$H$17:$H$27</c:f>
              <c:strCache>
                <c:ptCount val="11"/>
                <c:pt idx="0">
                  <c:v>2021/22</c:v>
                </c:pt>
                <c:pt idx="1">
                  <c:v>2020/21</c:v>
                </c:pt>
                <c:pt idx="2">
                  <c:v>2019/20</c:v>
                </c:pt>
                <c:pt idx="3">
                  <c:v>2018/19</c:v>
                </c:pt>
                <c:pt idx="4">
                  <c:v>2017/18</c:v>
                </c:pt>
                <c:pt idx="5">
                  <c:v>2016/17</c:v>
                </c:pt>
                <c:pt idx="6">
                  <c:v>2015/16</c:v>
                </c:pt>
                <c:pt idx="7">
                  <c:v>2014/15</c:v>
                </c:pt>
                <c:pt idx="8">
                  <c:v>2013/14</c:v>
                </c:pt>
                <c:pt idx="9">
                  <c:v>2012/13</c:v>
                </c:pt>
                <c:pt idx="10">
                  <c:v>2011/12</c:v>
                </c:pt>
              </c:strCache>
            </c:strRef>
          </c:cat>
          <c:val>
            <c:numRef>
              <c:f>List4!$K$17:$K$27</c:f>
              <c:numCache>
                <c:formatCode>0.0</c:formatCode>
                <c:ptCount val="11"/>
                <c:pt idx="0">
                  <c:v>0.56700601958445451</c:v>
                </c:pt>
                <c:pt idx="1">
                  <c:v>0.57159156371120645</c:v>
                </c:pt>
                <c:pt idx="2">
                  <c:v>0.54369719573921171</c:v>
                </c:pt>
                <c:pt idx="3">
                  <c:v>0.56270891977480642</c:v>
                </c:pt>
                <c:pt idx="4">
                  <c:v>0.55767513149334536</c:v>
                </c:pt>
                <c:pt idx="5">
                  <c:v>0.54763093094500803</c:v>
                </c:pt>
                <c:pt idx="6">
                  <c:v>0.51747463666529647</c:v>
                </c:pt>
                <c:pt idx="7">
                  <c:v>0.50162811511331518</c:v>
                </c:pt>
                <c:pt idx="8">
                  <c:v>0.47666461294723411</c:v>
                </c:pt>
                <c:pt idx="9">
                  <c:v>0.45916351526782184</c:v>
                </c:pt>
                <c:pt idx="10">
                  <c:v>0.41895241459647731</c:v>
                </c:pt>
              </c:numCache>
            </c:numRef>
          </c:val>
          <c:extLst>
            <c:ext xmlns:c16="http://schemas.microsoft.com/office/drawing/2014/chart" uri="{C3380CC4-5D6E-409C-BE32-E72D297353CC}">
              <c16:uniqueId val="{00000002-1C0A-4790-9C79-BEF38FF50D47}"/>
            </c:ext>
          </c:extLst>
        </c:ser>
        <c:dLbls>
          <c:showLegendKey val="0"/>
          <c:showVal val="0"/>
          <c:showCatName val="0"/>
          <c:showSerName val="0"/>
          <c:showPercent val="0"/>
          <c:showBubbleSize val="0"/>
        </c:dLbls>
        <c:gapWidth val="60"/>
        <c:overlap val="100"/>
        <c:axId val="1198805951"/>
        <c:axId val="1198806367"/>
      </c:barChart>
      <c:catAx>
        <c:axId val="1198805951"/>
        <c:scaling>
          <c:orientation val="minMax"/>
        </c:scaling>
        <c:delete val="0"/>
        <c:axPos val="l"/>
        <c:numFmt formatCode="General" sourceLinked="1"/>
        <c:majorTickMark val="none"/>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198806367"/>
        <c:crosses val="autoZero"/>
        <c:auto val="1"/>
        <c:lblAlgn val="ctr"/>
        <c:lblOffset val="100"/>
        <c:noMultiLvlLbl val="0"/>
      </c:catAx>
      <c:valAx>
        <c:axId val="1198806367"/>
        <c:scaling>
          <c:orientation val="minMax"/>
          <c:max val="100"/>
          <c:min val="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198805951"/>
        <c:crosses val="autoZero"/>
        <c:crossBetween val="between"/>
      </c:valAx>
      <c:spPr>
        <a:noFill/>
        <a:ln>
          <a:noFill/>
        </a:ln>
        <a:effectLst/>
      </c:spPr>
    </c:plotArea>
    <c:legend>
      <c:legendPos val="b"/>
      <c:layout>
        <c:manualLayout>
          <c:xMode val="edge"/>
          <c:yMode val="edge"/>
          <c:x val="7.8816256458508718E-2"/>
          <c:y val="0.93112038234026717"/>
          <c:w val="0.88534405074365707"/>
          <c:h val="6.5266188741332706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18018018018018E-2"/>
          <c:y val="1.1989447610608776E-2"/>
          <c:w val="0.963963963963964"/>
          <c:h val="0.898406535500198"/>
        </c:manualLayout>
      </c:layout>
      <c:barChart>
        <c:barDir val="col"/>
        <c:grouping val="stacked"/>
        <c:varyColors val="0"/>
        <c:ser>
          <c:idx val="0"/>
          <c:order val="0"/>
          <c:tx>
            <c:strRef>
              <c:f>'2.2.24'!$V$19</c:f>
              <c:strCache>
                <c:ptCount val="1"/>
                <c:pt idx="0">
                  <c:v>Ukrajina</c:v>
                </c:pt>
              </c:strCache>
            </c:strRef>
          </c:tx>
          <c:spPr>
            <a:solidFill>
              <a:srgbClr val="FFFF00"/>
            </a:solidFill>
            <a:ln>
              <a:solidFill>
                <a:schemeClr val="tx2">
                  <a:lumMod val="60000"/>
                  <a:lumOff val="40000"/>
                </a:schemeClr>
              </a:solid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70C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'2.2.24'!$U$20:$U$30</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'2.2.24'!$V$20:$V$30</c:f>
              <c:numCache>
                <c:formatCode>0.0%</c:formatCode>
                <c:ptCount val="11"/>
                <c:pt idx="0">
                  <c:v>4.2685888739835047E-3</c:v>
                </c:pt>
                <c:pt idx="1">
                  <c:v>4.2354106070920227E-3</c:v>
                </c:pt>
                <c:pt idx="2">
                  <c:v>4.3363531137407662E-3</c:v>
                </c:pt>
                <c:pt idx="3">
                  <c:v>4.7287496034008596E-3</c:v>
                </c:pt>
                <c:pt idx="4">
                  <c:v>5.3575627860689735E-3</c:v>
                </c:pt>
                <c:pt idx="5">
                  <c:v>5.8839887528857144E-3</c:v>
                </c:pt>
                <c:pt idx="6">
                  <c:v>6.3631887425656623E-3</c:v>
                </c:pt>
                <c:pt idx="7">
                  <c:v>7.0345446197796219E-3</c:v>
                </c:pt>
                <c:pt idx="8">
                  <c:v>7.9427375737974662E-3</c:v>
                </c:pt>
                <c:pt idx="9">
                  <c:v>8.7369641751216809E-3</c:v>
                </c:pt>
                <c:pt idx="10">
                  <c:v>1.0000300651792351E-2</c:v>
                </c:pt>
              </c:numCache>
            </c:numRef>
          </c:val>
          <c:extLst>
            <c:ext xmlns:c16="http://schemas.microsoft.com/office/drawing/2014/chart" uri="{C3380CC4-5D6E-409C-BE32-E72D297353CC}">
              <c16:uniqueId val="{00000000-9130-466E-BD6C-3657BAF836C3}"/>
            </c:ext>
          </c:extLst>
        </c:ser>
        <c:ser>
          <c:idx val="1"/>
          <c:order val="1"/>
          <c:tx>
            <c:strRef>
              <c:f>'2.2.24'!$W$19</c:f>
              <c:strCache>
                <c:ptCount val="1"/>
                <c:pt idx="0">
                  <c:v>Vietnam</c:v>
                </c:pt>
              </c:strCache>
            </c:strRef>
          </c:tx>
          <c:spPr>
            <a:solidFill>
              <a:srgbClr val="640000"/>
            </a:solidFill>
            <a:ln>
              <a:solidFill>
                <a:srgbClr val="960000"/>
              </a:solid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FF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'2.2.24'!$U$20:$U$30</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'2.2.24'!$W$20:$W$30</c:f>
              <c:numCache>
                <c:formatCode>0.0%</c:formatCode>
                <c:ptCount val="11"/>
                <c:pt idx="0">
                  <c:v>3.5890375791866021E-3</c:v>
                </c:pt>
                <c:pt idx="1">
                  <c:v>3.4197660746333311E-3</c:v>
                </c:pt>
                <c:pt idx="2">
                  <c:v>3.5111290466789263E-3</c:v>
                </c:pt>
                <c:pt idx="3">
                  <c:v>3.7698870321739957E-3</c:v>
                </c:pt>
                <c:pt idx="4">
                  <c:v>4.1192796145644818E-3</c:v>
                </c:pt>
                <c:pt idx="5">
                  <c:v>4.4174056597527222E-3</c:v>
                </c:pt>
                <c:pt idx="6">
                  <c:v>4.6625231614455332E-3</c:v>
                </c:pt>
                <c:pt idx="7">
                  <c:v>4.921736838525371E-3</c:v>
                </c:pt>
                <c:pt idx="8">
                  <c:v>5.3717629330518202E-3</c:v>
                </c:pt>
                <c:pt idx="9">
                  <c:v>5.7120708932735355E-3</c:v>
                </c:pt>
                <c:pt idx="10">
                  <c:v>6.0627989023099389E-3</c:v>
                </c:pt>
              </c:numCache>
            </c:numRef>
          </c:val>
          <c:extLst>
            <c:ext xmlns:c16="http://schemas.microsoft.com/office/drawing/2014/chart" uri="{C3380CC4-5D6E-409C-BE32-E72D297353CC}">
              <c16:uniqueId val="{00000001-9130-466E-BD6C-3657BAF836C3}"/>
            </c:ext>
          </c:extLst>
        </c:ser>
        <c:ser>
          <c:idx val="2"/>
          <c:order val="2"/>
          <c:tx>
            <c:strRef>
              <c:f>'2.2.24'!$X$19</c:f>
              <c:strCache>
                <c:ptCount val="1"/>
                <c:pt idx="0">
                  <c:v>Slovensko</c:v>
                </c:pt>
              </c:strCache>
            </c:strRef>
          </c:tx>
          <c:spPr>
            <a:solidFill>
              <a:srgbClr val="3E81EE"/>
            </a:solidFill>
            <a:ln>
              <a:solidFill>
                <a:schemeClr val="tx2">
                  <a:lumMod val="40000"/>
                  <a:lumOff val="60000"/>
                </a:schemeClr>
              </a:solid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'2.2.24'!$U$20:$U$30</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'2.2.24'!$X$20:$X$30</c:f>
              <c:numCache>
                <c:formatCode>0.0%</c:formatCode>
                <c:ptCount val="11"/>
                <c:pt idx="0">
                  <c:v>3.9778919312092745E-3</c:v>
                </c:pt>
                <c:pt idx="1">
                  <c:v>4.0658456587660124E-3</c:v>
                </c:pt>
                <c:pt idx="2">
                  <c:v>4.1551179599204503E-3</c:v>
                </c:pt>
                <c:pt idx="3">
                  <c:v>4.4196656976574012E-3</c:v>
                </c:pt>
                <c:pt idx="4">
                  <c:v>4.6713948635105215E-3</c:v>
                </c:pt>
                <c:pt idx="5">
                  <c:v>4.9713745933514901E-3</c:v>
                </c:pt>
                <c:pt idx="6">
                  <c:v>5.2488478665555201E-3</c:v>
                </c:pt>
                <c:pt idx="7">
                  <c:v>5.5062661542647261E-3</c:v>
                </c:pt>
                <c:pt idx="8">
                  <c:v>5.6855267769632279E-3</c:v>
                </c:pt>
                <c:pt idx="9">
                  <c:v>5.7868879033364231E-3</c:v>
                </c:pt>
                <c:pt idx="10">
                  <c:v>5.8720405237146873E-3</c:v>
                </c:pt>
              </c:numCache>
            </c:numRef>
          </c:val>
          <c:extLst>
            <c:ext xmlns:c16="http://schemas.microsoft.com/office/drawing/2014/chart" uri="{C3380CC4-5D6E-409C-BE32-E72D297353CC}">
              <c16:uniqueId val="{00000002-9130-466E-BD6C-3657BAF836C3}"/>
            </c:ext>
          </c:extLst>
        </c:ser>
        <c:ser>
          <c:idx val="3"/>
          <c:order val="3"/>
          <c:tx>
            <c:strRef>
              <c:f>'2.2.24'!$Y$19</c:f>
              <c:strCache>
                <c:ptCount val="1"/>
                <c:pt idx="0">
                  <c:v>Rusko</c:v>
                </c:pt>
              </c:strCache>
            </c:strRef>
          </c:tx>
          <c:spPr>
            <a:solidFill>
              <a:srgbClr val="FF0000"/>
            </a:solidFill>
            <a:ln>
              <a:solidFill>
                <a:schemeClr val="tx2">
                  <a:lumMod val="50000"/>
                </a:schemeClr>
              </a:solid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FF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'2.2.24'!$U$20:$U$30</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'2.2.24'!$Y$20:$Y$30</c:f>
              <c:numCache>
                <c:formatCode>0.0%</c:formatCode>
                <c:ptCount val="11"/>
                <c:pt idx="0">
                  <c:v>1.5654848346802711E-3</c:v>
                </c:pt>
                <c:pt idx="1">
                  <c:v>1.5669286465746642E-3</c:v>
                </c:pt>
                <c:pt idx="2">
                  <c:v>1.5259999951670626E-3</c:v>
                </c:pt>
                <c:pt idx="3">
                  <c:v>1.5465903010875304E-3</c:v>
                </c:pt>
                <c:pt idx="4">
                  <c:v>1.5643265386804446E-3</c:v>
                </c:pt>
                <c:pt idx="5">
                  <c:v>1.6376292778099025E-3</c:v>
                </c:pt>
                <c:pt idx="6">
                  <c:v>1.6196815058286938E-3</c:v>
                </c:pt>
                <c:pt idx="7">
                  <c:v>1.6823816487552714E-3</c:v>
                </c:pt>
                <c:pt idx="8">
                  <c:v>1.79233660669125E-3</c:v>
                </c:pt>
                <c:pt idx="9">
                  <c:v>1.7696301130152503E-3</c:v>
                </c:pt>
                <c:pt idx="10">
                  <c:v>1.8401963152531022E-3</c:v>
                </c:pt>
              </c:numCache>
            </c:numRef>
          </c:val>
          <c:extLst>
            <c:ext xmlns:c16="http://schemas.microsoft.com/office/drawing/2014/chart" uri="{C3380CC4-5D6E-409C-BE32-E72D297353CC}">
              <c16:uniqueId val="{00000003-9130-466E-BD6C-3657BAF836C3}"/>
            </c:ext>
          </c:extLst>
        </c:ser>
        <c:ser>
          <c:idx val="4"/>
          <c:order val="4"/>
          <c:tx>
            <c:strRef>
              <c:f>'2.2.24'!$Z$19</c:f>
              <c:strCache>
                <c:ptCount val="1"/>
                <c:pt idx="0">
                  <c:v>ostatní země</c:v>
                </c:pt>
              </c:strCache>
            </c:strRef>
          </c:tx>
          <c:spPr>
            <a:solidFill>
              <a:schemeClr val="bg1">
                <a:lumMod val="75000"/>
              </a:schemeClr>
            </a:solidFill>
            <a:ln>
              <a:solidFill>
                <a:schemeClr val="tx1">
                  <a:lumMod val="50000"/>
                  <a:lumOff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1"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'2.2.24'!$U$20:$U$30</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'2.2.24'!$Z$20:$Z$30</c:f>
              <c:numCache>
                <c:formatCode>0.0%</c:formatCode>
                <c:ptCount val="11"/>
                <c:pt idx="0">
                  <c:v>4.6498926560639888E-3</c:v>
                </c:pt>
                <c:pt idx="1">
                  <c:v>4.7218268457206508E-3</c:v>
                </c:pt>
                <c:pt idx="2">
                  <c:v>4.7266128116338468E-3</c:v>
                </c:pt>
                <c:pt idx="3">
                  <c:v>4.8259237101308102E-3</c:v>
                </c:pt>
                <c:pt idx="4">
                  <c:v>5.0553762506376021E-3</c:v>
                </c:pt>
                <c:pt idx="5">
                  <c:v>5.4216122923720026E-3</c:v>
                </c:pt>
                <c:pt idx="6">
                  <c:v>5.8524491743943471E-3</c:v>
                </c:pt>
                <c:pt idx="7">
                  <c:v>6.3894368113181881E-3</c:v>
                </c:pt>
                <c:pt idx="8">
                  <c:v>7.0444705156430688E-3</c:v>
                </c:pt>
                <c:pt idx="9">
                  <c:v>7.4848183817080721E-3</c:v>
                </c:pt>
                <c:pt idx="10">
                  <c:v>7.8895177234231586E-3</c:v>
                </c:pt>
              </c:numCache>
            </c:numRef>
          </c:val>
          <c:extLst>
            <c:ext xmlns:c16="http://schemas.microsoft.com/office/drawing/2014/chart" uri="{C3380CC4-5D6E-409C-BE32-E72D297353CC}">
              <c16:uniqueId val="{00000004-9130-466E-BD6C-3657BAF836C3}"/>
            </c:ext>
          </c:extLst>
        </c:ser>
        <c:dLbls>
          <c:showLegendKey val="0"/>
          <c:showVal val="0"/>
          <c:showCatName val="0"/>
          <c:showSerName val="0"/>
          <c:showPercent val="0"/>
          <c:showBubbleSize val="0"/>
        </c:dLbls>
        <c:gapWidth val="51"/>
        <c:overlap val="100"/>
        <c:axId val="446400544"/>
        <c:axId val="446393472"/>
      </c:barChart>
      <c:scatterChart>
        <c:scatterStyle val="lineMarker"/>
        <c:varyColors val="0"/>
        <c:ser>
          <c:idx val="5"/>
          <c:order val="5"/>
          <c:tx>
            <c:strRef>
              <c:f>'2.2.24'!$AA$19</c:f>
              <c:strCache>
                <c:ptCount val="1"/>
                <c:pt idx="0">
                  <c:v>celkem</c:v>
                </c:pt>
              </c:strCache>
            </c:strRef>
          </c:tx>
          <c:spPr>
            <a:ln w="25400" cap="rnd">
              <a:noFill/>
              <a:round/>
            </a:ln>
            <a:effectLst/>
          </c:spPr>
          <c:marker>
            <c:symbol val="circle"/>
            <c:size val="5"/>
            <c:spPr>
              <a:solidFill>
                <a:schemeClr val="tx1"/>
              </a:solidFill>
              <a:ln w="28575">
                <a:solidFill>
                  <a:schemeClr val="tx1"/>
                </a:solidFill>
              </a:ln>
              <a:effectLst/>
            </c:spPr>
          </c:marker>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xVal>
            <c:strRef>
              <c:f>'2.2.24'!$U$20:$U$30</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xVal>
          <c:yVal>
            <c:numRef>
              <c:f>'2.2.24'!$AA$20:$AA$30</c:f>
              <c:numCache>
                <c:formatCode>0.0%</c:formatCode>
                <c:ptCount val="11"/>
                <c:pt idx="0">
                  <c:v>1.8050895875123645E-2</c:v>
                </c:pt>
                <c:pt idx="1">
                  <c:v>1.8009777832786681E-2</c:v>
                </c:pt>
                <c:pt idx="2">
                  <c:v>1.8255212927141051E-2</c:v>
                </c:pt>
                <c:pt idx="3">
                  <c:v>1.9290816344450599E-2</c:v>
                </c:pt>
                <c:pt idx="4">
                  <c:v>2.0767940053462025E-2</c:v>
                </c:pt>
                <c:pt idx="5">
                  <c:v>2.2332010576171832E-2</c:v>
                </c:pt>
                <c:pt idx="6">
                  <c:v>2.3746690450789754E-2</c:v>
                </c:pt>
                <c:pt idx="7">
                  <c:v>2.5534366072643179E-2</c:v>
                </c:pt>
                <c:pt idx="8">
                  <c:v>2.7836834406146836E-2</c:v>
                </c:pt>
                <c:pt idx="9">
                  <c:v>2.9490371466454963E-2</c:v>
                </c:pt>
                <c:pt idx="10">
                  <c:v>3.1664854116493238E-2</c:v>
                </c:pt>
              </c:numCache>
            </c:numRef>
          </c:yVal>
          <c:smooth val="0"/>
          <c:extLst>
            <c:ext xmlns:c16="http://schemas.microsoft.com/office/drawing/2014/chart" uri="{C3380CC4-5D6E-409C-BE32-E72D297353CC}">
              <c16:uniqueId val="{00000005-9130-466E-BD6C-3657BAF836C3}"/>
            </c:ext>
          </c:extLst>
        </c:ser>
        <c:dLbls>
          <c:showLegendKey val="0"/>
          <c:showVal val="0"/>
          <c:showCatName val="0"/>
          <c:showSerName val="0"/>
          <c:showPercent val="0"/>
          <c:showBubbleSize val="0"/>
        </c:dLbls>
        <c:axId val="446400544"/>
        <c:axId val="446393472"/>
      </c:scatterChart>
      <c:catAx>
        <c:axId val="446400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446393472"/>
        <c:crosses val="autoZero"/>
        <c:auto val="1"/>
        <c:lblAlgn val="ctr"/>
        <c:lblOffset val="100"/>
        <c:noMultiLvlLbl val="0"/>
      </c:catAx>
      <c:valAx>
        <c:axId val="446393472"/>
        <c:scaling>
          <c:orientation val="minMax"/>
        </c:scaling>
        <c:delete val="0"/>
        <c:axPos val="l"/>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446400544"/>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Entry>
      <c:legendEntry>
        <c:idx val="2"/>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Entry>
      <c:legendEntry>
        <c:idx val="4"/>
        <c:txPr>
          <a:bodyPr rot="0" spcFirstLastPara="1" vertOverflow="ellipsis" vert="horz" wrap="square" anchor="ctr" anchorCtr="1"/>
          <a:lstStyle/>
          <a:p>
            <a:pPr>
              <a:defRPr sz="800" b="1"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Entry>
      <c:legendEntry>
        <c:idx val="5"/>
        <c:delete val="1"/>
      </c:legendEntry>
      <c:layout>
        <c:manualLayout>
          <c:xMode val="edge"/>
          <c:yMode val="edge"/>
          <c:x val="2.1623674548374182E-2"/>
          <c:y val="0.15112108156291787"/>
          <c:w val="0.33022726291653992"/>
          <c:h val="0.1719655326103105"/>
        </c:manualLayout>
      </c:layout>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userShapes r:id="rId4"/>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07070585642443"/>
          <c:y val="3.8394415357766144E-2"/>
          <c:w val="0.81094973052032615"/>
          <c:h val="0.7780575008769065"/>
        </c:manualLayout>
      </c:layout>
      <c:barChart>
        <c:barDir val="bar"/>
        <c:grouping val="stacked"/>
        <c:varyColors val="0"/>
        <c:ser>
          <c:idx val="0"/>
          <c:order val="0"/>
          <c:tx>
            <c:strRef>
              <c:f>'[Graf v aplikaci Microsoft PowerPoint]List38'!$B$73</c:f>
              <c:strCache>
                <c:ptCount val="1"/>
                <c:pt idx="0">
                  <c:v>Slovensko</c:v>
                </c:pt>
              </c:strCache>
            </c:strRef>
          </c:tx>
          <c:spPr>
            <a:solidFill>
              <a:schemeClr val="accent1"/>
            </a:solidFill>
            <a:ln>
              <a:solidFill>
                <a:schemeClr val="tx1"/>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 v aplikaci Microsoft PowerPoint]List38'!$A$74:$A$88</c:f>
              <c:strCache>
                <c:ptCount val="15"/>
                <c:pt idx="0">
                  <c:v>Liberecký </c:v>
                </c:pt>
                <c:pt idx="1">
                  <c:v>Praha</c:v>
                </c:pt>
                <c:pt idx="2">
                  <c:v>Moravskoslezský</c:v>
                </c:pt>
                <c:pt idx="3">
                  <c:v>Česká republika</c:v>
                </c:pt>
                <c:pt idx="4">
                  <c:v>Vysočina</c:v>
                </c:pt>
                <c:pt idx="5">
                  <c:v>Pardubický </c:v>
                </c:pt>
                <c:pt idx="6">
                  <c:v>Jihomoravský </c:v>
                </c:pt>
                <c:pt idx="7">
                  <c:v>Karlovarský </c:v>
                </c:pt>
                <c:pt idx="8">
                  <c:v>Středočeský </c:v>
                </c:pt>
                <c:pt idx="9">
                  <c:v>Zlínský </c:v>
                </c:pt>
                <c:pt idx="10">
                  <c:v>Královéhradecký </c:v>
                </c:pt>
                <c:pt idx="11">
                  <c:v>Ústecký </c:v>
                </c:pt>
                <c:pt idx="12">
                  <c:v>Olomoucký </c:v>
                </c:pt>
                <c:pt idx="13">
                  <c:v>Plzeňský </c:v>
                </c:pt>
                <c:pt idx="14">
                  <c:v>Jihočeský </c:v>
                </c:pt>
              </c:strCache>
            </c:strRef>
          </c:cat>
          <c:val>
            <c:numRef>
              <c:f>'[Graf v aplikaci Microsoft PowerPoint]List38'!$B$74:$B$88</c:f>
              <c:numCache>
                <c:formatCode>0.0</c:formatCode>
                <c:ptCount val="15"/>
                <c:pt idx="0">
                  <c:v>17.463933181473045</c:v>
                </c:pt>
                <c:pt idx="1">
                  <c:v>13.373860182370819</c:v>
                </c:pt>
                <c:pt idx="2">
                  <c:v>31.513409961685824</c:v>
                </c:pt>
                <c:pt idx="3">
                  <c:v>18.544347313623415</c:v>
                </c:pt>
                <c:pt idx="4">
                  <c:v>16.666666666666664</c:v>
                </c:pt>
                <c:pt idx="5">
                  <c:v>19.788359788359788</c:v>
                </c:pt>
                <c:pt idx="6">
                  <c:v>22.878535773710482</c:v>
                </c:pt>
                <c:pt idx="7">
                  <c:v>9.9320882852292023</c:v>
                </c:pt>
                <c:pt idx="8">
                  <c:v>26.379424049241589</c:v>
                </c:pt>
                <c:pt idx="9">
                  <c:v>37.333333333333336</c:v>
                </c:pt>
                <c:pt idx="10">
                  <c:v>12.658227848101266</c:v>
                </c:pt>
                <c:pt idx="11">
                  <c:v>15.356200527704486</c:v>
                </c:pt>
                <c:pt idx="12">
                  <c:v>25.490196078431371</c:v>
                </c:pt>
                <c:pt idx="13">
                  <c:v>22.651273885350317</c:v>
                </c:pt>
                <c:pt idx="14">
                  <c:v>15.024630541871922</c:v>
                </c:pt>
              </c:numCache>
            </c:numRef>
          </c:val>
          <c:extLst>
            <c:ext xmlns:c16="http://schemas.microsoft.com/office/drawing/2014/chart" uri="{C3380CC4-5D6E-409C-BE32-E72D297353CC}">
              <c16:uniqueId val="{00000000-E573-445A-8753-27238A7D4B5C}"/>
            </c:ext>
          </c:extLst>
        </c:ser>
        <c:ser>
          <c:idx val="1"/>
          <c:order val="1"/>
          <c:tx>
            <c:strRef>
              <c:f>'[Graf v aplikaci Microsoft PowerPoint]List38'!$C$73</c:f>
              <c:strCache>
                <c:ptCount val="1"/>
                <c:pt idx="0">
                  <c:v>Ukrajina</c:v>
                </c:pt>
              </c:strCache>
            </c:strRef>
          </c:tx>
          <c:spPr>
            <a:solidFill>
              <a:srgbClr val="FFFF00"/>
            </a:solidFill>
            <a:ln>
              <a:solidFill>
                <a:schemeClr val="tx1"/>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 v aplikaci Microsoft PowerPoint]List38'!$A$74:$A$88</c:f>
              <c:strCache>
                <c:ptCount val="15"/>
                <c:pt idx="0">
                  <c:v>Liberecký </c:v>
                </c:pt>
                <c:pt idx="1">
                  <c:v>Praha</c:v>
                </c:pt>
                <c:pt idx="2">
                  <c:v>Moravskoslezský</c:v>
                </c:pt>
                <c:pt idx="3">
                  <c:v>Česká republika</c:v>
                </c:pt>
                <c:pt idx="4">
                  <c:v>Vysočina</c:v>
                </c:pt>
                <c:pt idx="5">
                  <c:v>Pardubický </c:v>
                </c:pt>
                <c:pt idx="6">
                  <c:v>Jihomoravský </c:v>
                </c:pt>
                <c:pt idx="7">
                  <c:v>Karlovarský </c:v>
                </c:pt>
                <c:pt idx="8">
                  <c:v>Středočeský </c:v>
                </c:pt>
                <c:pt idx="9">
                  <c:v>Zlínský </c:v>
                </c:pt>
                <c:pt idx="10">
                  <c:v>Královéhradecký </c:v>
                </c:pt>
                <c:pt idx="11">
                  <c:v>Ústecký </c:v>
                </c:pt>
                <c:pt idx="12">
                  <c:v>Olomoucký </c:v>
                </c:pt>
                <c:pt idx="13">
                  <c:v>Plzeňský </c:v>
                </c:pt>
                <c:pt idx="14">
                  <c:v>Jihočeský </c:v>
                </c:pt>
              </c:strCache>
            </c:strRef>
          </c:cat>
          <c:val>
            <c:numRef>
              <c:f>'[Graf v aplikaci Microsoft PowerPoint]List38'!$C$74:$C$88</c:f>
              <c:numCache>
                <c:formatCode>0.0</c:formatCode>
                <c:ptCount val="15"/>
                <c:pt idx="0">
                  <c:v>29.840546697038722</c:v>
                </c:pt>
                <c:pt idx="1">
                  <c:v>35.995210463295571</c:v>
                </c:pt>
                <c:pt idx="2">
                  <c:v>11.973180076628353</c:v>
                </c:pt>
                <c:pt idx="3">
                  <c:v>31.581704482205414</c:v>
                </c:pt>
                <c:pt idx="4">
                  <c:v>35</c:v>
                </c:pt>
                <c:pt idx="5">
                  <c:v>32.592592592592595</c:v>
                </c:pt>
                <c:pt idx="6">
                  <c:v>29.201331114808653</c:v>
                </c:pt>
                <c:pt idx="7">
                  <c:v>19.100169779286926</c:v>
                </c:pt>
                <c:pt idx="8">
                  <c:v>34.447131237634643</c:v>
                </c:pt>
                <c:pt idx="9">
                  <c:v>18.476190476190478</c:v>
                </c:pt>
                <c:pt idx="10">
                  <c:v>42.117376294591487</c:v>
                </c:pt>
                <c:pt idx="11">
                  <c:v>23.58839050131926</c:v>
                </c:pt>
                <c:pt idx="12">
                  <c:v>22.549019607843139</c:v>
                </c:pt>
                <c:pt idx="13">
                  <c:v>28.503184713375795</c:v>
                </c:pt>
                <c:pt idx="14">
                  <c:v>34.893267651888344</c:v>
                </c:pt>
              </c:numCache>
            </c:numRef>
          </c:val>
          <c:extLst>
            <c:ext xmlns:c16="http://schemas.microsoft.com/office/drawing/2014/chart" uri="{C3380CC4-5D6E-409C-BE32-E72D297353CC}">
              <c16:uniqueId val="{00000001-E573-445A-8753-27238A7D4B5C}"/>
            </c:ext>
          </c:extLst>
        </c:ser>
        <c:ser>
          <c:idx val="2"/>
          <c:order val="2"/>
          <c:tx>
            <c:strRef>
              <c:f>'[Graf v aplikaci Microsoft PowerPoint]List38'!$D$73</c:f>
              <c:strCache>
                <c:ptCount val="1"/>
                <c:pt idx="0">
                  <c:v>Vietnam</c:v>
                </c:pt>
              </c:strCache>
            </c:strRef>
          </c:tx>
          <c:spPr>
            <a:solidFill>
              <a:srgbClr val="92D050"/>
            </a:solidFill>
            <a:ln>
              <a:solidFill>
                <a:schemeClr val="tx1"/>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 v aplikaci Microsoft PowerPoint]List38'!$A$74:$A$88</c:f>
              <c:strCache>
                <c:ptCount val="15"/>
                <c:pt idx="0">
                  <c:v>Liberecký </c:v>
                </c:pt>
                <c:pt idx="1">
                  <c:v>Praha</c:v>
                </c:pt>
                <c:pt idx="2">
                  <c:v>Moravskoslezský</c:v>
                </c:pt>
                <c:pt idx="3">
                  <c:v>Česká republika</c:v>
                </c:pt>
                <c:pt idx="4">
                  <c:v>Vysočina</c:v>
                </c:pt>
                <c:pt idx="5">
                  <c:v>Pardubický </c:v>
                </c:pt>
                <c:pt idx="6">
                  <c:v>Jihomoravský </c:v>
                </c:pt>
                <c:pt idx="7">
                  <c:v>Karlovarský </c:v>
                </c:pt>
                <c:pt idx="8">
                  <c:v>Středočeský </c:v>
                </c:pt>
                <c:pt idx="9">
                  <c:v>Zlínský </c:v>
                </c:pt>
                <c:pt idx="10">
                  <c:v>Královéhradecký </c:v>
                </c:pt>
                <c:pt idx="11">
                  <c:v>Ústecký </c:v>
                </c:pt>
                <c:pt idx="12">
                  <c:v>Olomoucký </c:v>
                </c:pt>
                <c:pt idx="13">
                  <c:v>Plzeňský </c:v>
                </c:pt>
                <c:pt idx="14">
                  <c:v>Jihočeský </c:v>
                </c:pt>
              </c:strCache>
            </c:strRef>
          </c:cat>
          <c:val>
            <c:numRef>
              <c:f>'[Graf v aplikaci Microsoft PowerPoint]List38'!$D$74:$D$88</c:f>
              <c:numCache>
                <c:formatCode>0.0</c:formatCode>
                <c:ptCount val="15"/>
                <c:pt idx="0">
                  <c:v>14.047076689445708</c:v>
                </c:pt>
                <c:pt idx="1">
                  <c:v>13.825181910288292</c:v>
                </c:pt>
                <c:pt idx="2">
                  <c:v>21.072796934865899</c:v>
                </c:pt>
                <c:pt idx="3">
                  <c:v>19.146776675506665</c:v>
                </c:pt>
                <c:pt idx="4">
                  <c:v>18.055555555555554</c:v>
                </c:pt>
                <c:pt idx="5">
                  <c:v>18.412698412698415</c:v>
                </c:pt>
                <c:pt idx="6">
                  <c:v>19.093178036605657</c:v>
                </c:pt>
                <c:pt idx="7">
                  <c:v>43.208828522920207</c:v>
                </c:pt>
                <c:pt idx="8">
                  <c:v>12.92591778412838</c:v>
                </c:pt>
                <c:pt idx="9">
                  <c:v>18.095238095238095</c:v>
                </c:pt>
                <c:pt idx="10">
                  <c:v>19.217491369390103</c:v>
                </c:pt>
                <c:pt idx="11">
                  <c:v>35.356200527704488</c:v>
                </c:pt>
                <c:pt idx="12">
                  <c:v>27.450980392156865</c:v>
                </c:pt>
                <c:pt idx="13">
                  <c:v>26.552547770700635</c:v>
                </c:pt>
                <c:pt idx="14">
                  <c:v>28.160919540229884</c:v>
                </c:pt>
              </c:numCache>
            </c:numRef>
          </c:val>
          <c:extLst>
            <c:ext xmlns:c16="http://schemas.microsoft.com/office/drawing/2014/chart" uri="{C3380CC4-5D6E-409C-BE32-E72D297353CC}">
              <c16:uniqueId val="{00000002-E573-445A-8753-27238A7D4B5C}"/>
            </c:ext>
          </c:extLst>
        </c:ser>
        <c:ser>
          <c:idx val="3"/>
          <c:order val="3"/>
          <c:tx>
            <c:strRef>
              <c:f>'[Graf v aplikaci Microsoft PowerPoint]List38'!$E$73</c:f>
              <c:strCache>
                <c:ptCount val="1"/>
                <c:pt idx="0">
                  <c:v>jiné státy EU</c:v>
                </c:pt>
              </c:strCache>
            </c:strRef>
          </c:tx>
          <c:spPr>
            <a:solidFill>
              <a:schemeClr val="accent1">
                <a:lumMod val="50000"/>
              </a:schemeClr>
            </a:solidFill>
            <a:ln>
              <a:solidFill>
                <a:schemeClr val="tx1"/>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 v aplikaci Microsoft PowerPoint]List38'!$A$74:$A$88</c:f>
              <c:strCache>
                <c:ptCount val="15"/>
                <c:pt idx="0">
                  <c:v>Liberecký </c:v>
                </c:pt>
                <c:pt idx="1">
                  <c:v>Praha</c:v>
                </c:pt>
                <c:pt idx="2">
                  <c:v>Moravskoslezský</c:v>
                </c:pt>
                <c:pt idx="3">
                  <c:v>Česká republika</c:v>
                </c:pt>
                <c:pt idx="4">
                  <c:v>Vysočina</c:v>
                </c:pt>
                <c:pt idx="5">
                  <c:v>Pardubický </c:v>
                </c:pt>
                <c:pt idx="6">
                  <c:v>Jihomoravský </c:v>
                </c:pt>
                <c:pt idx="7">
                  <c:v>Karlovarský </c:v>
                </c:pt>
                <c:pt idx="8">
                  <c:v>Středočeský </c:v>
                </c:pt>
                <c:pt idx="9">
                  <c:v>Zlínský </c:v>
                </c:pt>
                <c:pt idx="10">
                  <c:v>Královéhradecký </c:v>
                </c:pt>
                <c:pt idx="11">
                  <c:v>Ústecký </c:v>
                </c:pt>
                <c:pt idx="12">
                  <c:v>Olomoucký </c:v>
                </c:pt>
                <c:pt idx="13">
                  <c:v>Plzeňský </c:v>
                </c:pt>
                <c:pt idx="14">
                  <c:v>Jihočeský </c:v>
                </c:pt>
              </c:strCache>
            </c:strRef>
          </c:cat>
          <c:val>
            <c:numRef>
              <c:f>'[Graf v aplikaci Microsoft PowerPoint]List38'!$E$74:$E$88</c:f>
              <c:numCache>
                <c:formatCode>0.0</c:formatCode>
                <c:ptCount val="15"/>
                <c:pt idx="0">
                  <c:v>9.4912680334092645</c:v>
                </c:pt>
                <c:pt idx="1">
                  <c:v>10.058027079303674</c:v>
                </c:pt>
                <c:pt idx="2">
                  <c:v>22.796934865900383</c:v>
                </c:pt>
                <c:pt idx="3">
                  <c:v>9.9040696722653312</c:v>
                </c:pt>
                <c:pt idx="4">
                  <c:v>9.8611111111111107</c:v>
                </c:pt>
                <c:pt idx="5">
                  <c:v>7.6190476190476195</c:v>
                </c:pt>
                <c:pt idx="6">
                  <c:v>8.4858569051580695</c:v>
                </c:pt>
                <c:pt idx="7">
                  <c:v>7.2156196943972839</c:v>
                </c:pt>
                <c:pt idx="8">
                  <c:v>9.408661244229501</c:v>
                </c:pt>
                <c:pt idx="9">
                  <c:v>6.666666666666667</c:v>
                </c:pt>
                <c:pt idx="10">
                  <c:v>6.6743383199079398</c:v>
                </c:pt>
                <c:pt idx="11">
                  <c:v>5.8047493403693933</c:v>
                </c:pt>
                <c:pt idx="12">
                  <c:v>8.235294117647058</c:v>
                </c:pt>
                <c:pt idx="13">
                  <c:v>14.490445859872612</c:v>
                </c:pt>
                <c:pt idx="14">
                  <c:v>8.292282430213465</c:v>
                </c:pt>
              </c:numCache>
            </c:numRef>
          </c:val>
          <c:extLst>
            <c:ext xmlns:c16="http://schemas.microsoft.com/office/drawing/2014/chart" uri="{C3380CC4-5D6E-409C-BE32-E72D297353CC}">
              <c16:uniqueId val="{00000003-E573-445A-8753-27238A7D4B5C}"/>
            </c:ext>
          </c:extLst>
        </c:ser>
        <c:ser>
          <c:idx val="4"/>
          <c:order val="4"/>
          <c:tx>
            <c:strRef>
              <c:f>'[Graf v aplikaci Microsoft PowerPoint]List38'!$F$73</c:f>
              <c:strCache>
                <c:ptCount val="1"/>
                <c:pt idx="0">
                  <c:v>jiné státy Evropy kromě EU</c:v>
                </c:pt>
              </c:strCache>
            </c:strRef>
          </c:tx>
          <c:spPr>
            <a:solidFill>
              <a:srgbClr val="D6BD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 v aplikaci Microsoft PowerPoint]List38'!$A$74:$A$88</c:f>
              <c:strCache>
                <c:ptCount val="15"/>
                <c:pt idx="0">
                  <c:v>Liberecký </c:v>
                </c:pt>
                <c:pt idx="1">
                  <c:v>Praha</c:v>
                </c:pt>
                <c:pt idx="2">
                  <c:v>Moravskoslezský</c:v>
                </c:pt>
                <c:pt idx="3">
                  <c:v>Česká republika</c:v>
                </c:pt>
                <c:pt idx="4">
                  <c:v>Vysočina</c:v>
                </c:pt>
                <c:pt idx="5">
                  <c:v>Pardubický </c:v>
                </c:pt>
                <c:pt idx="6">
                  <c:v>Jihomoravský </c:v>
                </c:pt>
                <c:pt idx="7">
                  <c:v>Karlovarský </c:v>
                </c:pt>
                <c:pt idx="8">
                  <c:v>Středočeský </c:v>
                </c:pt>
                <c:pt idx="9">
                  <c:v>Zlínský </c:v>
                </c:pt>
                <c:pt idx="10">
                  <c:v>Královéhradecký </c:v>
                </c:pt>
                <c:pt idx="11">
                  <c:v>Ústecký </c:v>
                </c:pt>
                <c:pt idx="12">
                  <c:v>Olomoucký </c:v>
                </c:pt>
                <c:pt idx="13">
                  <c:v>Plzeňský </c:v>
                </c:pt>
                <c:pt idx="14">
                  <c:v>Jihočeský </c:v>
                </c:pt>
              </c:strCache>
            </c:strRef>
          </c:cat>
          <c:val>
            <c:numRef>
              <c:f>'[Graf v aplikaci Microsoft PowerPoint]List38'!$F$74:$F$88</c:f>
              <c:numCache>
                <c:formatCode>0.0</c:formatCode>
                <c:ptCount val="15"/>
                <c:pt idx="0">
                  <c:v>7.2133637053910409</c:v>
                </c:pt>
                <c:pt idx="1">
                  <c:v>15.860735009671178</c:v>
                </c:pt>
                <c:pt idx="2">
                  <c:v>5.6513409961685825</c:v>
                </c:pt>
                <c:pt idx="3">
                  <c:v>10.621091575811151</c:v>
                </c:pt>
                <c:pt idx="4">
                  <c:v>6.25</c:v>
                </c:pt>
                <c:pt idx="5">
                  <c:v>3.9153439153439153</c:v>
                </c:pt>
                <c:pt idx="6">
                  <c:v>6.9467554076539093</c:v>
                </c:pt>
                <c:pt idx="7">
                  <c:v>11.799660441426147</c:v>
                </c:pt>
                <c:pt idx="8">
                  <c:v>10.595735326445373</c:v>
                </c:pt>
                <c:pt idx="9">
                  <c:v>6.666666666666667</c:v>
                </c:pt>
                <c:pt idx="10">
                  <c:v>7.3647871116225545</c:v>
                </c:pt>
                <c:pt idx="11">
                  <c:v>7.3878627968337733</c:v>
                </c:pt>
                <c:pt idx="12">
                  <c:v>9.8039215686274517</c:v>
                </c:pt>
                <c:pt idx="13">
                  <c:v>4.8168789808917198</c:v>
                </c:pt>
                <c:pt idx="14">
                  <c:v>7.2249589490968793</c:v>
                </c:pt>
              </c:numCache>
            </c:numRef>
          </c:val>
          <c:extLst>
            <c:ext xmlns:c16="http://schemas.microsoft.com/office/drawing/2014/chart" uri="{C3380CC4-5D6E-409C-BE32-E72D297353CC}">
              <c16:uniqueId val="{00000004-E573-445A-8753-27238A7D4B5C}"/>
            </c:ext>
          </c:extLst>
        </c:ser>
        <c:ser>
          <c:idx val="5"/>
          <c:order val="5"/>
          <c:tx>
            <c:strRef>
              <c:f>'[Graf v aplikaci Microsoft PowerPoint]List38'!$G$73</c:f>
              <c:strCache>
                <c:ptCount val="1"/>
                <c:pt idx="0">
                  <c:v> jiné mimoevrospké a nezjištěné</c:v>
                </c:pt>
              </c:strCache>
            </c:strRef>
          </c:tx>
          <c:spPr>
            <a:solidFill>
              <a:srgbClr val="476D2D"/>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'[Graf v aplikaci Microsoft PowerPoint]List38'!$A$74:$A$88</c:f>
              <c:strCache>
                <c:ptCount val="15"/>
                <c:pt idx="0">
                  <c:v>Liberecký </c:v>
                </c:pt>
                <c:pt idx="1">
                  <c:v>Praha</c:v>
                </c:pt>
                <c:pt idx="2">
                  <c:v>Moravskoslezský</c:v>
                </c:pt>
                <c:pt idx="3">
                  <c:v>Česká republika</c:v>
                </c:pt>
                <c:pt idx="4">
                  <c:v>Vysočina</c:v>
                </c:pt>
                <c:pt idx="5">
                  <c:v>Pardubický </c:v>
                </c:pt>
                <c:pt idx="6">
                  <c:v>Jihomoravský </c:v>
                </c:pt>
                <c:pt idx="7">
                  <c:v>Karlovarský </c:v>
                </c:pt>
                <c:pt idx="8">
                  <c:v>Středočeský </c:v>
                </c:pt>
                <c:pt idx="9">
                  <c:v>Zlínský </c:v>
                </c:pt>
                <c:pt idx="10">
                  <c:v>Královéhradecký </c:v>
                </c:pt>
                <c:pt idx="11">
                  <c:v>Ústecký </c:v>
                </c:pt>
                <c:pt idx="12">
                  <c:v>Olomoucký </c:v>
                </c:pt>
                <c:pt idx="13">
                  <c:v>Plzeňský </c:v>
                </c:pt>
                <c:pt idx="14">
                  <c:v>Jihočeský </c:v>
                </c:pt>
              </c:strCache>
            </c:strRef>
          </c:cat>
          <c:val>
            <c:numRef>
              <c:f>'[Graf v aplikaci Microsoft PowerPoint]List38'!$G$74:$G$88</c:f>
              <c:numCache>
                <c:formatCode>0.0</c:formatCode>
                <c:ptCount val="15"/>
                <c:pt idx="0">
                  <c:v>21.943811693242218</c:v>
                </c:pt>
                <c:pt idx="1">
                  <c:v>10.886985355070461</c:v>
                </c:pt>
                <c:pt idx="2">
                  <c:v>6.9923371647509569</c:v>
                </c:pt>
                <c:pt idx="3">
                  <c:v>10.202010280588024</c:v>
                </c:pt>
                <c:pt idx="4">
                  <c:v>14.166666666666666</c:v>
                </c:pt>
                <c:pt idx="5">
                  <c:v>17.671957671957671</c:v>
                </c:pt>
                <c:pt idx="6">
                  <c:v>13.394342762063227</c:v>
                </c:pt>
                <c:pt idx="7">
                  <c:v>8.7436332767402387</c:v>
                </c:pt>
                <c:pt idx="8">
                  <c:v>6.24313035832051</c:v>
                </c:pt>
                <c:pt idx="9">
                  <c:v>12.761904761904763</c:v>
                </c:pt>
                <c:pt idx="10">
                  <c:v>11.967779056386652</c:v>
                </c:pt>
                <c:pt idx="11">
                  <c:v>12.506596306068602</c:v>
                </c:pt>
                <c:pt idx="12">
                  <c:v>6.4705882352941186</c:v>
                </c:pt>
                <c:pt idx="13">
                  <c:v>2.9856687898089174</c:v>
                </c:pt>
                <c:pt idx="14">
                  <c:v>6.403940886699508</c:v>
                </c:pt>
              </c:numCache>
            </c:numRef>
          </c:val>
          <c:extLst>
            <c:ext xmlns:c16="http://schemas.microsoft.com/office/drawing/2014/chart" uri="{C3380CC4-5D6E-409C-BE32-E72D297353CC}">
              <c16:uniqueId val="{00000005-E573-445A-8753-27238A7D4B5C}"/>
            </c:ext>
          </c:extLst>
        </c:ser>
        <c:dLbls>
          <c:showLegendKey val="0"/>
          <c:showVal val="0"/>
          <c:showCatName val="0"/>
          <c:showSerName val="0"/>
          <c:showPercent val="0"/>
          <c:showBubbleSize val="0"/>
        </c:dLbls>
        <c:gapWidth val="30"/>
        <c:overlap val="100"/>
        <c:axId val="717511152"/>
        <c:axId val="717503664"/>
      </c:barChart>
      <c:catAx>
        <c:axId val="717511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717503664"/>
        <c:crosses val="autoZero"/>
        <c:auto val="1"/>
        <c:lblAlgn val="ctr"/>
        <c:lblOffset val="100"/>
        <c:noMultiLvlLbl val="0"/>
      </c:catAx>
      <c:valAx>
        <c:axId val="717503664"/>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717511152"/>
        <c:crosses val="autoZero"/>
        <c:crossBetween val="between"/>
      </c:valAx>
      <c:spPr>
        <a:noFill/>
        <a:ln>
          <a:noFill/>
        </a:ln>
        <a:effectLst/>
      </c:spPr>
    </c:plotArea>
    <c:legend>
      <c:legendPos val="b"/>
      <c:layout>
        <c:manualLayout>
          <c:xMode val="edge"/>
          <c:yMode val="edge"/>
          <c:x val="0.12531810622908779"/>
          <c:y val="0.89289935532252018"/>
          <c:w val="0.81043248983190075"/>
          <c:h val="8.6158181840173223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userShapes r:id="rId4"/>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Žáci celkem</a:t>
            </a:r>
            <a:endParaRPr lang="en-US" sz="800" b="1">
              <a:solidFill>
                <a:sysClr val="windowText" lastClr="000000"/>
              </a:solidFill>
            </a:endParaRPr>
          </a:p>
        </c:rich>
      </c:tx>
      <c:layout/>
      <c:overlay val="0"/>
      <c:spPr>
        <a:noFill/>
        <a:ln>
          <a:noFill/>
        </a:ln>
        <a:effectLst/>
      </c:spPr>
    </c:title>
    <c:autoTitleDeleted val="0"/>
    <c:plotArea>
      <c:layout>
        <c:manualLayout>
          <c:layoutTarget val="inner"/>
          <c:xMode val="edge"/>
          <c:yMode val="edge"/>
          <c:x val="2.3980682970184283E-2"/>
          <c:y val="0.16756944444444499"/>
          <c:w val="0.95379917788054269"/>
          <c:h val="0.68120601826180183"/>
        </c:manualLayout>
      </c:layout>
      <c:barChart>
        <c:barDir val="col"/>
        <c:grouping val="clustered"/>
        <c:varyColors val="0"/>
        <c:ser>
          <c:idx val="0"/>
          <c:order val="0"/>
          <c:tx>
            <c:strRef>
              <c:f>'2.2.31'!$B$29</c:f>
              <c:strCache>
                <c:ptCount val="1"/>
                <c:pt idx="0">
                  <c:v>počet</c:v>
                </c:pt>
              </c:strCache>
            </c:strRef>
          </c:tx>
          <c:spPr>
            <a:solidFill>
              <a:srgbClr val="0070C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'2.2.31'!$A$30:$A$36</c:f>
              <c:strCache>
                <c:ptCount val="7"/>
                <c:pt idx="0">
                  <c:v>2015/16</c:v>
                </c:pt>
                <c:pt idx="1">
                  <c:v>2016/17</c:v>
                </c:pt>
                <c:pt idx="2">
                  <c:v>2017/18</c:v>
                </c:pt>
                <c:pt idx="3">
                  <c:v>2018/19</c:v>
                </c:pt>
                <c:pt idx="4">
                  <c:v>2019/20</c:v>
                </c:pt>
                <c:pt idx="5">
                  <c:v>2020/21</c:v>
                </c:pt>
                <c:pt idx="6">
                  <c:v>2021/22</c:v>
                </c:pt>
              </c:strCache>
            </c:strRef>
          </c:cat>
          <c:val>
            <c:numRef>
              <c:f>'2.2.31'!$B$30:$B$36</c:f>
              <c:numCache>
                <c:formatCode>#\ ##0_ ;\-#\ ##0\ </c:formatCode>
                <c:ptCount val="7"/>
                <c:pt idx="0">
                  <c:v>78717</c:v>
                </c:pt>
                <c:pt idx="1">
                  <c:v>81644</c:v>
                </c:pt>
                <c:pt idx="2">
                  <c:v>95631</c:v>
                </c:pt>
                <c:pt idx="3">
                  <c:v>101983</c:v>
                </c:pt>
                <c:pt idx="4">
                  <c:v>110940</c:v>
                </c:pt>
                <c:pt idx="5">
                  <c:v>114108</c:v>
                </c:pt>
                <c:pt idx="6">
                  <c:v>111855</c:v>
                </c:pt>
              </c:numCache>
            </c:numRef>
          </c:val>
          <c:extLst>
            <c:ext xmlns:c16="http://schemas.microsoft.com/office/drawing/2014/chart" uri="{C3380CC4-5D6E-409C-BE32-E72D297353CC}">
              <c16:uniqueId val="{00000000-398B-44FA-99C4-1E8E32E9C644}"/>
            </c:ext>
          </c:extLst>
        </c:ser>
        <c:dLbls>
          <c:showLegendKey val="0"/>
          <c:showVal val="0"/>
          <c:showCatName val="0"/>
          <c:showSerName val="0"/>
          <c:showPercent val="0"/>
          <c:showBubbleSize val="0"/>
        </c:dLbls>
        <c:gapWidth val="49"/>
        <c:overlap val="3"/>
        <c:axId val="195569920"/>
        <c:axId val="195575808"/>
      </c:barChart>
      <c:lineChart>
        <c:grouping val="standard"/>
        <c:varyColors val="0"/>
        <c:ser>
          <c:idx val="1"/>
          <c:order val="1"/>
          <c:tx>
            <c:strRef>
              <c:f>'2.2.31'!$C$29</c:f>
              <c:strCache>
                <c:ptCount val="1"/>
                <c:pt idx="0">
                  <c:v>podíl na žácích ZŠ celkem</c:v>
                </c:pt>
              </c:strCache>
            </c:strRef>
          </c:tx>
          <c:spPr>
            <a:ln w="28575" cap="rnd">
              <a:solidFill>
                <a:srgbClr val="C00000"/>
              </a:solidFill>
              <a:round/>
            </a:ln>
            <a:effectLst/>
          </c:spPr>
          <c:marker>
            <c:symbol val="diamond"/>
            <c:size val="7"/>
            <c:spPr>
              <a:solidFill>
                <a:schemeClr val="tx1"/>
              </a:solidFill>
              <a:ln w="9525">
                <a:noFill/>
              </a:ln>
              <a:effectLst/>
            </c:spPr>
          </c:marker>
          <c:dLbls>
            <c:numFmt formatCode="0.0\ %" sourceLinked="0"/>
            <c:spPr>
              <a:solidFill>
                <a:srgbClr val="FF0000"/>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'2.2.31'!$A$30:$A$36</c:f>
              <c:strCache>
                <c:ptCount val="7"/>
                <c:pt idx="0">
                  <c:v>2015/16</c:v>
                </c:pt>
                <c:pt idx="1">
                  <c:v>2016/17</c:v>
                </c:pt>
                <c:pt idx="2">
                  <c:v>2017/18</c:v>
                </c:pt>
                <c:pt idx="3">
                  <c:v>2018/19</c:v>
                </c:pt>
                <c:pt idx="4">
                  <c:v>2019/20</c:v>
                </c:pt>
                <c:pt idx="5">
                  <c:v>2020/21</c:v>
                </c:pt>
                <c:pt idx="6">
                  <c:v>2021/22</c:v>
                </c:pt>
              </c:strCache>
            </c:strRef>
          </c:cat>
          <c:val>
            <c:numRef>
              <c:f>'2.2.31'!$C$30:$C$36</c:f>
              <c:numCache>
                <c:formatCode>0.0%</c:formatCode>
                <c:ptCount val="7"/>
                <c:pt idx="0">
                  <c:v>8.9425629735155082E-2</c:v>
                </c:pt>
                <c:pt idx="1">
                  <c:v>9.0096094850075262E-2</c:v>
                </c:pt>
                <c:pt idx="2">
                  <c:v>0.10326117472260254</c:v>
                </c:pt>
                <c:pt idx="3">
                  <c:v>0.10838555128553938</c:v>
                </c:pt>
                <c:pt idx="4">
                  <c:v>0.11641792924258</c:v>
                </c:pt>
                <c:pt idx="5">
                  <c:v>0.1185724914480001</c:v>
                </c:pt>
                <c:pt idx="6">
                  <c:v>0.11596346977049901</c:v>
                </c:pt>
              </c:numCache>
            </c:numRef>
          </c:val>
          <c:smooth val="0"/>
          <c:extLst>
            <c:ext xmlns:c16="http://schemas.microsoft.com/office/drawing/2014/chart" uri="{C3380CC4-5D6E-409C-BE32-E72D297353CC}">
              <c16:uniqueId val="{00000001-398B-44FA-99C4-1E8E32E9C644}"/>
            </c:ext>
          </c:extLst>
        </c:ser>
        <c:dLbls>
          <c:showLegendKey val="0"/>
          <c:showVal val="0"/>
          <c:showCatName val="0"/>
          <c:showSerName val="0"/>
          <c:showPercent val="0"/>
          <c:showBubbleSize val="0"/>
        </c:dLbls>
        <c:marker val="1"/>
        <c:smooth val="0"/>
        <c:axId val="195578880"/>
        <c:axId val="195577344"/>
      </c:lineChart>
      <c:catAx>
        <c:axId val="195569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9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95575808"/>
        <c:crosses val="autoZero"/>
        <c:auto val="1"/>
        <c:lblAlgn val="ctr"/>
        <c:lblOffset val="100"/>
        <c:noMultiLvlLbl val="0"/>
      </c:catAx>
      <c:valAx>
        <c:axId val="195575808"/>
        <c:scaling>
          <c:orientation val="minMax"/>
          <c:max val="120000"/>
        </c:scaling>
        <c:delete val="0"/>
        <c:axPos val="l"/>
        <c:numFmt formatCode="#\ ##0_ ;\-#\ ##0\ "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95569920"/>
        <c:crosses val="autoZero"/>
        <c:crossBetween val="between"/>
        <c:majorUnit val="10000"/>
        <c:minorUnit val="500"/>
      </c:valAx>
      <c:valAx>
        <c:axId val="195577344"/>
        <c:scaling>
          <c:orientation val="minMax"/>
          <c:max val="0.12000000000000002"/>
        </c:scaling>
        <c:delete val="0"/>
        <c:axPos val="r"/>
        <c:numFmt formatCode="0.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95578880"/>
        <c:crosses val="max"/>
        <c:crossBetween val="between"/>
      </c:valAx>
      <c:catAx>
        <c:axId val="195578880"/>
        <c:scaling>
          <c:orientation val="minMax"/>
        </c:scaling>
        <c:delete val="1"/>
        <c:axPos val="b"/>
        <c:numFmt formatCode="General" sourceLinked="1"/>
        <c:majorTickMark val="none"/>
        <c:minorTickMark val="none"/>
        <c:tickLblPos val="none"/>
        <c:crossAx val="195577344"/>
        <c:crosses val="autoZero"/>
        <c:auto val="1"/>
        <c:lblAlgn val="ctr"/>
        <c:lblOffset val="100"/>
        <c:noMultiLvlLbl val="0"/>
      </c:catAx>
      <c:spPr>
        <a:noFill/>
        <a:ln>
          <a:noFill/>
        </a:ln>
        <a:effectLst/>
      </c:spPr>
    </c:plotArea>
    <c:legend>
      <c:legendPos val="b"/>
      <c:layout>
        <c:manualLayout>
          <c:xMode val="edge"/>
          <c:yMode val="edge"/>
          <c:x val="0"/>
          <c:y val="0.91051479122878565"/>
          <c:w val="1"/>
          <c:h val="8.9485208771214367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800" b="1">
                <a:solidFill>
                  <a:sysClr val="windowText" lastClr="000000"/>
                </a:solidFill>
              </a:rPr>
              <a:t>Žáci podle pohlaví</a:t>
            </a:r>
            <a:endParaRPr lang="en-US" sz="800" b="1">
              <a:solidFill>
                <a:sysClr val="windowText" lastClr="000000"/>
              </a:solidFill>
            </a:endParaRPr>
          </a:p>
        </c:rich>
      </c:tx>
      <c:layout/>
      <c:overlay val="0"/>
      <c:spPr>
        <a:noFill/>
        <a:ln>
          <a:noFill/>
        </a:ln>
        <a:effectLst/>
      </c:spPr>
    </c:title>
    <c:autoTitleDeleted val="0"/>
    <c:plotArea>
      <c:layout>
        <c:manualLayout>
          <c:layoutTarget val="inner"/>
          <c:xMode val="edge"/>
          <c:yMode val="edge"/>
          <c:x val="2.5454863596595882E-2"/>
          <c:y val="9.6034027777777795E-2"/>
          <c:w val="0.95679153742145873"/>
          <c:h val="0.61261944444444616"/>
        </c:manualLayout>
      </c:layout>
      <c:barChart>
        <c:barDir val="col"/>
        <c:grouping val="clustered"/>
        <c:varyColors val="0"/>
        <c:ser>
          <c:idx val="0"/>
          <c:order val="0"/>
          <c:tx>
            <c:strRef>
              <c:f>'2.2.31'!$B$51</c:f>
              <c:strCache>
                <c:ptCount val="1"/>
                <c:pt idx="0">
                  <c:v>chlapci - počet v tis.</c:v>
                </c:pt>
              </c:strCache>
            </c:strRef>
          </c:tx>
          <c:spPr>
            <a:solidFill>
              <a:schemeClr val="accent1">
                <a:lumMod val="60000"/>
                <a:lumOff val="40000"/>
              </a:schemeClr>
            </a:solidFill>
            <a:ln>
              <a:noFill/>
              <a:prstDash val="sysDash"/>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lumMod val="50000"/>
                      </a:schemeClr>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'2.2.31'!$A$52:$A$58</c:f>
              <c:strCache>
                <c:ptCount val="7"/>
                <c:pt idx="0">
                  <c:v>2015/16</c:v>
                </c:pt>
                <c:pt idx="1">
                  <c:v>2016/17</c:v>
                </c:pt>
                <c:pt idx="2">
                  <c:v>2017/18</c:v>
                </c:pt>
                <c:pt idx="3">
                  <c:v>2018/19</c:v>
                </c:pt>
                <c:pt idx="4">
                  <c:v>2019/20</c:v>
                </c:pt>
                <c:pt idx="5">
                  <c:v>2020/21</c:v>
                </c:pt>
                <c:pt idx="6">
                  <c:v>2021/22</c:v>
                </c:pt>
              </c:strCache>
            </c:strRef>
          </c:cat>
          <c:val>
            <c:numRef>
              <c:f>'2.2.31'!$B$52:$B$58</c:f>
              <c:numCache>
                <c:formatCode>General</c:formatCode>
                <c:ptCount val="7"/>
                <c:pt idx="0">
                  <c:v>53.41</c:v>
                </c:pt>
                <c:pt idx="1">
                  <c:v>55.652000000000001</c:v>
                </c:pt>
                <c:pt idx="2">
                  <c:v>64.963999999999999</c:v>
                </c:pt>
                <c:pt idx="3">
                  <c:v>69.103999999999999</c:v>
                </c:pt>
                <c:pt idx="4">
                  <c:v>74.805999999999997</c:v>
                </c:pt>
                <c:pt idx="5">
                  <c:v>76.575999999999993</c:v>
                </c:pt>
                <c:pt idx="6">
                  <c:v>74.742999999999995</c:v>
                </c:pt>
              </c:numCache>
            </c:numRef>
          </c:val>
          <c:extLst>
            <c:ext xmlns:c16="http://schemas.microsoft.com/office/drawing/2014/chart" uri="{C3380CC4-5D6E-409C-BE32-E72D297353CC}">
              <c16:uniqueId val="{00000000-F425-4E71-AB9F-33EC4295F26A}"/>
            </c:ext>
          </c:extLst>
        </c:ser>
        <c:ser>
          <c:idx val="1"/>
          <c:order val="1"/>
          <c:tx>
            <c:strRef>
              <c:f>'2.2.31'!$C$51</c:f>
              <c:strCache>
                <c:ptCount val="1"/>
                <c:pt idx="0">
                  <c:v>dívky - počet v tis.</c:v>
                </c:pt>
              </c:strCache>
            </c:strRef>
          </c:tx>
          <c:spPr>
            <a:solidFill>
              <a:srgbClr val="C00000"/>
            </a:solidFill>
            <a:ln>
              <a:solidFill>
                <a:srgbClr val="C00000"/>
              </a:solid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'2.2.31'!$A$52:$A$58</c:f>
              <c:strCache>
                <c:ptCount val="7"/>
                <c:pt idx="0">
                  <c:v>2015/16</c:v>
                </c:pt>
                <c:pt idx="1">
                  <c:v>2016/17</c:v>
                </c:pt>
                <c:pt idx="2">
                  <c:v>2017/18</c:v>
                </c:pt>
                <c:pt idx="3">
                  <c:v>2018/19</c:v>
                </c:pt>
                <c:pt idx="4">
                  <c:v>2019/20</c:v>
                </c:pt>
                <c:pt idx="5">
                  <c:v>2020/21</c:v>
                </c:pt>
                <c:pt idx="6">
                  <c:v>2021/22</c:v>
                </c:pt>
              </c:strCache>
            </c:strRef>
          </c:cat>
          <c:val>
            <c:numRef>
              <c:f>'2.2.31'!$C$52:$C$58</c:f>
              <c:numCache>
                <c:formatCode>General</c:formatCode>
                <c:ptCount val="7"/>
                <c:pt idx="0">
                  <c:v>25.306999999999999</c:v>
                </c:pt>
                <c:pt idx="1">
                  <c:v>25.992000000000001</c:v>
                </c:pt>
                <c:pt idx="2">
                  <c:v>30.667000000000002</c:v>
                </c:pt>
                <c:pt idx="3">
                  <c:v>32.878999999999998</c:v>
                </c:pt>
                <c:pt idx="4">
                  <c:v>36.134</c:v>
                </c:pt>
                <c:pt idx="5">
                  <c:v>37.531999999999996</c:v>
                </c:pt>
                <c:pt idx="6">
                  <c:v>37.112000000000002</c:v>
                </c:pt>
              </c:numCache>
            </c:numRef>
          </c:val>
          <c:extLst>
            <c:ext xmlns:c16="http://schemas.microsoft.com/office/drawing/2014/chart" uri="{C3380CC4-5D6E-409C-BE32-E72D297353CC}">
              <c16:uniqueId val="{00000001-F425-4E71-AB9F-33EC4295F26A}"/>
            </c:ext>
          </c:extLst>
        </c:ser>
        <c:dLbls>
          <c:showLegendKey val="0"/>
          <c:showVal val="0"/>
          <c:showCatName val="0"/>
          <c:showSerName val="0"/>
          <c:showPercent val="0"/>
          <c:showBubbleSize val="0"/>
        </c:dLbls>
        <c:gapWidth val="6"/>
        <c:overlap val="74"/>
        <c:axId val="198819840"/>
        <c:axId val="198821376"/>
      </c:barChart>
      <c:lineChart>
        <c:grouping val="standard"/>
        <c:varyColors val="0"/>
        <c:ser>
          <c:idx val="2"/>
          <c:order val="2"/>
          <c:tx>
            <c:strRef>
              <c:f>'2.2.31'!$D$51</c:f>
              <c:strCache>
                <c:ptCount val="1"/>
                <c:pt idx="0">
                  <c:v>chlapci - podíl na chlapcích v ZŠ celkem</c:v>
                </c:pt>
              </c:strCache>
            </c:strRef>
          </c:tx>
          <c:spPr>
            <a:ln w="12700" cap="rnd">
              <a:solidFill>
                <a:srgbClr val="0070C4"/>
              </a:solidFill>
              <a:prstDash val="dash"/>
              <a:round/>
            </a:ln>
            <a:effectLst/>
          </c:spPr>
          <c:marker>
            <c:symbol val="triangle"/>
            <c:size val="6"/>
            <c:spPr>
              <a:solidFill>
                <a:srgbClr val="0070C4"/>
              </a:solidFill>
              <a:ln w="9525">
                <a:noFill/>
              </a:ln>
              <a:effectLst/>
            </c:spPr>
          </c:marker>
          <c:dLbls>
            <c:dLbl>
              <c:idx val="0"/>
              <c:layout>
                <c:manualLayout>
                  <c:x val="-8.3329982228333488E-2"/>
                  <c:y val="-3.354196746200675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F425-4E71-AB9F-33EC4295F26A}"/>
                </c:ext>
              </c:extLst>
            </c:dLbl>
            <c:dLbl>
              <c:idx val="1"/>
              <c:layout>
                <c:manualLayout>
                  <c:x val="-7.9211366083358228E-2"/>
                  <c:y val="-3.82678653826116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F425-4E71-AB9F-33EC4295F26A}"/>
                </c:ext>
              </c:extLst>
            </c:dLbl>
            <c:dLbl>
              <c:idx val="2"/>
              <c:layout>
                <c:manualLayout>
                  <c:x val="-7.9211366083358201E-2"/>
                  <c:y val="-4.2993763303216588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F425-4E71-AB9F-33EC4295F26A}"/>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1" i="1" u="none" strike="noStrike" kern="1200" baseline="0">
                    <a:solidFill>
                      <a:schemeClr val="accent1">
                        <a:lumMod val="50000"/>
                      </a:schemeClr>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'2.2.31'!$A$52:$A$58</c:f>
              <c:strCache>
                <c:ptCount val="7"/>
                <c:pt idx="0">
                  <c:v>2015/16</c:v>
                </c:pt>
                <c:pt idx="1">
                  <c:v>2016/17</c:v>
                </c:pt>
                <c:pt idx="2">
                  <c:v>2017/18</c:v>
                </c:pt>
                <c:pt idx="3">
                  <c:v>2018/19</c:v>
                </c:pt>
                <c:pt idx="4">
                  <c:v>2019/20</c:v>
                </c:pt>
                <c:pt idx="5">
                  <c:v>2020/21</c:v>
                </c:pt>
                <c:pt idx="6">
                  <c:v>2021/22</c:v>
                </c:pt>
              </c:strCache>
            </c:strRef>
          </c:cat>
          <c:val>
            <c:numRef>
              <c:f>'2.2.31'!$D$52:$D$58</c:f>
              <c:numCache>
                <c:formatCode>0.0%</c:formatCode>
                <c:ptCount val="7"/>
                <c:pt idx="0">
                  <c:v>0.1214399075956217</c:v>
                </c:pt>
                <c:pt idx="1">
                  <c:v>0.11943822057396963</c:v>
                </c:pt>
                <c:pt idx="2">
                  <c:v>0.13634894449411697</c:v>
                </c:pt>
                <c:pt idx="3">
                  <c:v>0.14272643342951147</c:v>
                </c:pt>
                <c:pt idx="4">
                  <c:v>0.15265191013849805</c:v>
                </c:pt>
                <c:pt idx="5">
                  <c:v>0.15478028863645552</c:v>
                </c:pt>
                <c:pt idx="6">
                  <c:v>0.1508387216558093</c:v>
                </c:pt>
              </c:numCache>
            </c:numRef>
          </c:val>
          <c:smooth val="0"/>
          <c:extLst>
            <c:ext xmlns:c16="http://schemas.microsoft.com/office/drawing/2014/chart" uri="{C3380CC4-5D6E-409C-BE32-E72D297353CC}">
              <c16:uniqueId val="{00000005-F425-4E71-AB9F-33EC4295F26A}"/>
            </c:ext>
          </c:extLst>
        </c:ser>
        <c:ser>
          <c:idx val="3"/>
          <c:order val="3"/>
          <c:tx>
            <c:strRef>
              <c:f>'2.2.31'!$E$51</c:f>
              <c:strCache>
                <c:ptCount val="1"/>
                <c:pt idx="0">
                  <c:v>dívky - podíl na dívkách v ZŠ celkem</c:v>
                </c:pt>
              </c:strCache>
            </c:strRef>
          </c:tx>
          <c:spPr>
            <a:ln w="12700" cap="rnd">
              <a:solidFill>
                <a:srgbClr val="C00000"/>
              </a:solidFill>
              <a:prstDash val="dash"/>
              <a:round/>
            </a:ln>
            <a:effectLst/>
          </c:spPr>
          <c:marker>
            <c:symbol val="diamond"/>
            <c:size val="6"/>
            <c:spPr>
              <a:solidFill>
                <a:srgbClr val="C00000"/>
              </a:solidFill>
              <a:ln w="9525">
                <a:solidFill>
                  <a:schemeClr val="accent4"/>
                </a:solidFill>
              </a:ln>
              <a:effectLst/>
            </c:spPr>
          </c:marker>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Arial" panose="020B0604020202020204" pitchFamily="34" charset="0"/>
                    <a:ea typeface="+mn-ea"/>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'2.2.31'!$A$52:$A$58</c:f>
              <c:strCache>
                <c:ptCount val="7"/>
                <c:pt idx="0">
                  <c:v>2015/16</c:v>
                </c:pt>
                <c:pt idx="1">
                  <c:v>2016/17</c:v>
                </c:pt>
                <c:pt idx="2">
                  <c:v>2017/18</c:v>
                </c:pt>
                <c:pt idx="3">
                  <c:v>2018/19</c:v>
                </c:pt>
                <c:pt idx="4">
                  <c:v>2019/20</c:v>
                </c:pt>
                <c:pt idx="5">
                  <c:v>2020/21</c:v>
                </c:pt>
                <c:pt idx="6">
                  <c:v>2021/22</c:v>
                </c:pt>
              </c:strCache>
            </c:strRef>
          </c:cat>
          <c:val>
            <c:numRef>
              <c:f>'2.2.31'!$E$52:$E$58</c:f>
              <c:numCache>
                <c:formatCode>0.0%</c:formatCode>
                <c:ptCount val="7"/>
                <c:pt idx="0">
                  <c:v>5.9206663001392025E-2</c:v>
                </c:pt>
                <c:pt idx="1">
                  <c:v>5.9040523350899508E-2</c:v>
                </c:pt>
                <c:pt idx="2">
                  <c:v>6.8201328132297276E-2</c:v>
                </c:pt>
                <c:pt idx="3">
                  <c:v>7.1983571133009461E-2</c:v>
                </c:pt>
                <c:pt idx="4">
                  <c:v>7.8059550272951347E-2</c:v>
                </c:pt>
                <c:pt idx="5">
                  <c:v>8.0263810713246994E-2</c:v>
                </c:pt>
                <c:pt idx="6">
                  <c:v>7.9120785408960601E-2</c:v>
                </c:pt>
              </c:numCache>
            </c:numRef>
          </c:val>
          <c:smooth val="0"/>
          <c:extLst>
            <c:ext xmlns:c16="http://schemas.microsoft.com/office/drawing/2014/chart" uri="{C3380CC4-5D6E-409C-BE32-E72D297353CC}">
              <c16:uniqueId val="{00000006-F425-4E71-AB9F-33EC4295F26A}"/>
            </c:ext>
          </c:extLst>
        </c:ser>
        <c:dLbls>
          <c:showLegendKey val="0"/>
          <c:showVal val="0"/>
          <c:showCatName val="0"/>
          <c:showSerName val="0"/>
          <c:showPercent val="0"/>
          <c:showBubbleSize val="0"/>
        </c:dLbls>
        <c:marker val="1"/>
        <c:smooth val="0"/>
        <c:axId val="198828800"/>
        <c:axId val="198822912"/>
      </c:lineChart>
      <c:catAx>
        <c:axId val="198819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9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98821376"/>
        <c:crosses val="autoZero"/>
        <c:auto val="1"/>
        <c:lblAlgn val="ctr"/>
        <c:lblOffset val="100"/>
        <c:noMultiLvlLbl val="0"/>
      </c:catAx>
      <c:valAx>
        <c:axId val="198821376"/>
        <c:scaling>
          <c:orientation val="minMax"/>
          <c:max val="100"/>
        </c:scaling>
        <c:delete val="0"/>
        <c:axPos val="l"/>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98819840"/>
        <c:crosses val="autoZero"/>
        <c:crossBetween val="between"/>
      </c:valAx>
      <c:valAx>
        <c:axId val="198822912"/>
        <c:scaling>
          <c:orientation val="minMax"/>
          <c:max val="0.18000000000000024"/>
        </c:scaling>
        <c:delete val="0"/>
        <c:axPos val="r"/>
        <c:numFmt formatCode="0%"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98828800"/>
        <c:crosses val="max"/>
        <c:crossBetween val="between"/>
        <c:majorUnit val="1.0000000000000005E-2"/>
      </c:valAx>
      <c:catAx>
        <c:axId val="198828800"/>
        <c:scaling>
          <c:orientation val="minMax"/>
        </c:scaling>
        <c:delete val="1"/>
        <c:axPos val="b"/>
        <c:numFmt formatCode="General" sourceLinked="1"/>
        <c:majorTickMark val="none"/>
        <c:minorTickMark val="none"/>
        <c:tickLblPos val="none"/>
        <c:crossAx val="198822912"/>
        <c:crosses val="autoZero"/>
        <c:auto val="1"/>
        <c:lblAlgn val="ctr"/>
        <c:lblOffset val="100"/>
        <c:noMultiLvlLbl val="0"/>
      </c:catAx>
      <c:spPr>
        <a:noFill/>
        <a:ln>
          <a:noFill/>
        </a:ln>
        <a:effectLst/>
      </c:spPr>
    </c:plotArea>
    <c:legend>
      <c:legendPos val="b"/>
      <c:layout>
        <c:manualLayout>
          <c:xMode val="edge"/>
          <c:yMode val="edge"/>
          <c:x val="1.8685437047641775E-2"/>
          <c:y val="0.80683620628502517"/>
          <c:w val="0.96666952994512045"/>
          <c:h val="0.18586062836819953"/>
        </c:manualLayout>
      </c:layout>
      <c:overlay val="0"/>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List39!$B$18</c:f>
              <c:strCache>
                <c:ptCount val="1"/>
                <c:pt idx="0">
                  <c:v>počet</c:v>
                </c:pt>
              </c:strCache>
            </c:strRef>
          </c:tx>
          <c:spPr>
            <a:solidFill>
              <a:srgbClr val="70AD4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List39!$A$19:$A$29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List39!$B$19:$B$29</c:f>
              <c:numCache>
                <c:formatCode>#\ ##0_ ;\-#\ ##0\ </c:formatCode>
                <c:ptCount val="11"/>
                <c:pt idx="0">
                  <c:v>39160</c:v>
                </c:pt>
                <c:pt idx="1">
                  <c:v>40888</c:v>
                </c:pt>
                <c:pt idx="2">
                  <c:v>43352</c:v>
                </c:pt>
                <c:pt idx="3">
                  <c:v>45853</c:v>
                </c:pt>
                <c:pt idx="4">
                  <c:v>49225</c:v>
                </c:pt>
                <c:pt idx="5">
                  <c:v>53206</c:v>
                </c:pt>
                <c:pt idx="6">
                  <c:v>68419</c:v>
                </c:pt>
                <c:pt idx="7">
                  <c:v>76037</c:v>
                </c:pt>
                <c:pt idx="8">
                  <c:v>84010</c:v>
                </c:pt>
                <c:pt idx="9">
                  <c:v>87306</c:v>
                </c:pt>
                <c:pt idx="10">
                  <c:v>84344</c:v>
                </c:pt>
              </c:numCache>
            </c:numRef>
          </c:val>
          <c:extLst>
            <c:ext xmlns:c16="http://schemas.microsoft.com/office/drawing/2014/chart" uri="{C3380CC4-5D6E-409C-BE32-E72D297353CC}">
              <c16:uniqueId val="{00000000-6C4F-475C-B3B9-306E07157D2C}"/>
            </c:ext>
          </c:extLst>
        </c:ser>
        <c:dLbls>
          <c:showLegendKey val="0"/>
          <c:showVal val="0"/>
          <c:showCatName val="0"/>
          <c:showSerName val="0"/>
          <c:showPercent val="0"/>
          <c:showBubbleSize val="0"/>
        </c:dLbls>
        <c:gapWidth val="49"/>
        <c:overlap val="3"/>
        <c:axId val="202468352"/>
        <c:axId val="202482432"/>
      </c:barChart>
      <c:lineChart>
        <c:grouping val="standard"/>
        <c:varyColors val="0"/>
        <c:ser>
          <c:idx val="1"/>
          <c:order val="1"/>
          <c:tx>
            <c:strRef>
              <c:f>List39!$C$18</c:f>
              <c:strCache>
                <c:ptCount val="1"/>
                <c:pt idx="0">
                  <c:v>podíl na žácích se zdravotním postižením v ZŠ celkem</c:v>
                </c:pt>
              </c:strCache>
            </c:strRef>
          </c:tx>
          <c:marker>
            <c:symbol val="none"/>
          </c:marker>
          <c:dLbls>
            <c:numFmt formatCode="0.0\ %" sourceLinked="0"/>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List39!$A$19:$A$29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List39!$C$19:$C$29</c:f>
              <c:numCache>
                <c:formatCode>0.0%</c:formatCode>
                <c:ptCount val="11"/>
                <c:pt idx="0">
                  <c:v>0.54547227368333084</c:v>
                </c:pt>
                <c:pt idx="1">
                  <c:v>0.56702260435445839</c:v>
                </c:pt>
                <c:pt idx="2">
                  <c:v>0.58878974317184807</c:v>
                </c:pt>
                <c:pt idx="3">
                  <c:v>0.60453802341525154</c:v>
                </c:pt>
                <c:pt idx="4">
                  <c:v>0.62534141290953671</c:v>
                </c:pt>
                <c:pt idx="5">
                  <c:v>0.65168291607466555</c:v>
                </c:pt>
                <c:pt idx="6">
                  <c:v>0.71544791960765863</c:v>
                </c:pt>
                <c:pt idx="7">
                  <c:v>0.74558504848847362</c:v>
                </c:pt>
                <c:pt idx="8">
                  <c:v>0.7572561745087435</c:v>
                </c:pt>
                <c:pt idx="9">
                  <c:v>0.76511725733515612</c:v>
                </c:pt>
                <c:pt idx="10">
                  <c:v>0.75404765097671089</c:v>
                </c:pt>
              </c:numCache>
            </c:numRef>
          </c:val>
          <c:smooth val="0"/>
          <c:extLst>
            <c:ext xmlns:c16="http://schemas.microsoft.com/office/drawing/2014/chart" uri="{C3380CC4-5D6E-409C-BE32-E72D297353CC}">
              <c16:uniqueId val="{00000001-6C4F-475C-B3B9-306E07157D2C}"/>
            </c:ext>
          </c:extLst>
        </c:ser>
        <c:dLbls>
          <c:showLegendKey val="0"/>
          <c:showVal val="0"/>
          <c:showCatName val="0"/>
          <c:showSerName val="0"/>
          <c:showPercent val="0"/>
          <c:showBubbleSize val="0"/>
        </c:dLbls>
        <c:marker val="1"/>
        <c:smooth val="0"/>
        <c:axId val="288302975"/>
        <c:axId val="288302559"/>
      </c:lineChart>
      <c:catAx>
        <c:axId val="202468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02482432"/>
        <c:crosses val="autoZero"/>
        <c:auto val="1"/>
        <c:lblAlgn val="ctr"/>
        <c:lblOffset val="100"/>
        <c:noMultiLvlLbl val="0"/>
      </c:catAx>
      <c:valAx>
        <c:axId val="202482432"/>
        <c:scaling>
          <c:orientation val="minMax"/>
          <c:max val="100000"/>
        </c:scaling>
        <c:delete val="0"/>
        <c:axPos val="l"/>
        <c:numFmt formatCode="#\ ##0_ ;\-#\ ##0\ "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202468352"/>
        <c:crosses val="autoZero"/>
        <c:crossBetween val="between"/>
        <c:majorUnit val="10000"/>
        <c:minorUnit val="100"/>
      </c:valAx>
      <c:valAx>
        <c:axId val="288302559"/>
        <c:scaling>
          <c:orientation val="minMax"/>
          <c:max val="0.8"/>
        </c:scaling>
        <c:delete val="0"/>
        <c:axPos val="r"/>
        <c:numFmt formatCode="0.0%" sourceLinked="1"/>
        <c:majorTickMark val="out"/>
        <c:minorTickMark val="none"/>
        <c:tickLblPos val="none"/>
        <c:spPr>
          <a:ln>
            <a:noFill/>
          </a:ln>
        </c:spPr>
        <c:crossAx val="288302975"/>
        <c:crosses val="max"/>
        <c:crossBetween val="between"/>
      </c:valAx>
      <c:catAx>
        <c:axId val="288302975"/>
        <c:scaling>
          <c:orientation val="minMax"/>
        </c:scaling>
        <c:delete val="1"/>
        <c:axPos val="b"/>
        <c:numFmt formatCode="General" sourceLinked="1"/>
        <c:majorTickMark val="out"/>
        <c:minorTickMark val="none"/>
        <c:tickLblPos val="nextTo"/>
        <c:crossAx val="288302559"/>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cs-CZ"/>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6255154143173598E-2"/>
          <c:y val="5.0925925925925923E-2"/>
          <c:w val="0.9537448458568264"/>
          <c:h val="0.59054523042919227"/>
        </c:manualLayout>
      </c:layout>
      <c:barChart>
        <c:barDir val="col"/>
        <c:grouping val="clustered"/>
        <c:varyColors val="0"/>
        <c:ser>
          <c:idx val="0"/>
          <c:order val="0"/>
          <c:spPr>
            <a:solidFill>
              <a:srgbClr val="0070C4"/>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'2.2.34'!$A$28:$A$42</c:f>
              <c:strCache>
                <c:ptCount val="15"/>
                <c:pt idx="0">
                  <c:v>Karlovarský </c:v>
                </c:pt>
                <c:pt idx="1">
                  <c:v>Ústecký </c:v>
                </c:pt>
                <c:pt idx="2">
                  <c:v>Královéhradecký </c:v>
                </c:pt>
                <c:pt idx="3">
                  <c:v>Olomoucký </c:v>
                </c:pt>
                <c:pt idx="4">
                  <c:v>Liberecký </c:v>
                </c:pt>
                <c:pt idx="5">
                  <c:v>Moravskoslezský </c:v>
                </c:pt>
                <c:pt idx="6">
                  <c:v>Česká republika</c:v>
                </c:pt>
                <c:pt idx="7">
                  <c:v>Zlínský </c:v>
                </c:pt>
                <c:pt idx="8">
                  <c:v>Jihomoravský </c:v>
                </c:pt>
                <c:pt idx="9">
                  <c:v>Středočeský </c:v>
                </c:pt>
                <c:pt idx="10">
                  <c:v>Plzeňský </c:v>
                </c:pt>
                <c:pt idx="11">
                  <c:v>Pardubický </c:v>
                </c:pt>
                <c:pt idx="12">
                  <c:v>Vysočina</c:v>
                </c:pt>
                <c:pt idx="13">
                  <c:v>Praha</c:v>
                </c:pt>
                <c:pt idx="14">
                  <c:v>Jihočeský </c:v>
                </c:pt>
              </c:strCache>
            </c:strRef>
          </c:cat>
          <c:val>
            <c:numRef>
              <c:f>'2.2.34'!$B$28:$B$42</c:f>
              <c:numCache>
                <c:formatCode>0%</c:formatCode>
                <c:ptCount val="15"/>
                <c:pt idx="0">
                  <c:v>0.16022388660707096</c:v>
                </c:pt>
                <c:pt idx="1">
                  <c:v>0.1380227732254975</c:v>
                </c:pt>
                <c:pt idx="2">
                  <c:v>0.13088603505371132</c:v>
                </c:pt>
                <c:pt idx="3">
                  <c:v>0.13035425283222443</c:v>
                </c:pt>
                <c:pt idx="4">
                  <c:v>0.12772839447013443</c:v>
                </c:pt>
                <c:pt idx="5">
                  <c:v>0.11920790936544269</c:v>
                </c:pt>
                <c:pt idx="6">
                  <c:v>0.11596346977049901</c:v>
                </c:pt>
                <c:pt idx="7">
                  <c:v>0.11570687853636417</c:v>
                </c:pt>
                <c:pt idx="8">
                  <c:v>0.11561642311401231</c:v>
                </c:pt>
                <c:pt idx="9">
                  <c:v>0.11155645103259697</c:v>
                </c:pt>
                <c:pt idx="10">
                  <c:v>0.11104545887734681</c:v>
                </c:pt>
                <c:pt idx="11">
                  <c:v>0.10571073736501989</c:v>
                </c:pt>
                <c:pt idx="12">
                  <c:v>0.10330876724910884</c:v>
                </c:pt>
                <c:pt idx="13">
                  <c:v>9.9849226953581532E-2</c:v>
                </c:pt>
                <c:pt idx="14">
                  <c:v>9.3143552061387733E-2</c:v>
                </c:pt>
              </c:numCache>
            </c:numRef>
          </c:val>
          <c:extLst>
            <c:ext xmlns:c16="http://schemas.microsoft.com/office/drawing/2014/chart" uri="{C3380CC4-5D6E-409C-BE32-E72D297353CC}">
              <c16:uniqueId val="{00000000-E1E7-45BD-8622-6081A46736B1}"/>
            </c:ext>
          </c:extLst>
        </c:ser>
        <c:dLbls>
          <c:showLegendKey val="0"/>
          <c:showVal val="0"/>
          <c:showCatName val="0"/>
          <c:showSerName val="0"/>
          <c:showPercent val="0"/>
          <c:showBubbleSize val="0"/>
        </c:dLbls>
        <c:gapWidth val="93"/>
        <c:overlap val="-27"/>
        <c:axId val="1989150943"/>
        <c:axId val="1989148863"/>
      </c:barChart>
      <c:catAx>
        <c:axId val="19891509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989148863"/>
        <c:crosses val="autoZero"/>
        <c:auto val="1"/>
        <c:lblAlgn val="ctr"/>
        <c:lblOffset val="100"/>
        <c:noMultiLvlLbl val="0"/>
      </c:catAx>
      <c:valAx>
        <c:axId val="1989148863"/>
        <c:scaling>
          <c:orientation val="minMax"/>
        </c:scaling>
        <c:delete val="0"/>
        <c:axPos val="l"/>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crossAx val="198915094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'3.1.1'!$B$28</c:f>
              <c:strCache>
                <c:ptCount val="1"/>
                <c:pt idx="0">
                  <c:v>počet žáků</c:v>
                </c:pt>
              </c:strCache>
            </c:strRef>
          </c:tx>
          <c:spPr>
            <a:solidFill>
              <a:schemeClr val="accent1">
                <a:lumMod val="40000"/>
                <a:lumOff val="60000"/>
              </a:schemeClr>
            </a:solidFill>
          </c:spPr>
          <c:invertIfNegative val="0"/>
          <c:dLbls>
            <c:spPr>
              <a:noFill/>
              <a:ln>
                <a:noFill/>
              </a:ln>
              <a:effectLst/>
            </c:spPr>
            <c:txPr>
              <a:bodyPr/>
              <a:lstStyle/>
              <a:p>
                <a:pPr>
                  <a:defRPr sz="800">
                    <a:latin typeface="Arial" panose="020B0604020202020204" pitchFamily="34" charset="0"/>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'3.1.1'!$A$29:$A$39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'3.1.1'!$B$29:$B$39</c:f>
              <c:numCache>
                <c:formatCode>#\ ##0_ ;\-#\ ##0\ </c:formatCode>
                <c:ptCount val="11"/>
                <c:pt idx="0">
                  <c:v>501220</c:v>
                </c:pt>
                <c:pt idx="1">
                  <c:v>470754</c:v>
                </c:pt>
                <c:pt idx="2">
                  <c:v>448792</c:v>
                </c:pt>
                <c:pt idx="3">
                  <c:v>435542</c:v>
                </c:pt>
                <c:pt idx="4">
                  <c:v>427107</c:v>
                </c:pt>
                <c:pt idx="5">
                  <c:v>424849</c:v>
                </c:pt>
                <c:pt idx="6">
                  <c:v>421535</c:v>
                </c:pt>
                <c:pt idx="7">
                  <c:v>420814</c:v>
                </c:pt>
                <c:pt idx="8">
                  <c:v>423838</c:v>
                </c:pt>
                <c:pt idx="9">
                  <c:v>432906</c:v>
                </c:pt>
                <c:pt idx="10">
                  <c:v>446254</c:v>
                </c:pt>
              </c:numCache>
            </c:numRef>
          </c:val>
          <c:extLst>
            <c:ext xmlns:c16="http://schemas.microsoft.com/office/drawing/2014/chart" uri="{C3380CC4-5D6E-409C-BE32-E72D297353CC}">
              <c16:uniqueId val="{00000000-C6CE-45C0-A2ED-8754E2828257}"/>
            </c:ext>
          </c:extLst>
        </c:ser>
        <c:dLbls>
          <c:showLegendKey val="0"/>
          <c:showVal val="0"/>
          <c:showCatName val="0"/>
          <c:showSerName val="0"/>
          <c:showPercent val="0"/>
          <c:showBubbleSize val="0"/>
        </c:dLbls>
        <c:gapWidth val="20"/>
        <c:axId val="191516160"/>
        <c:axId val="160820608"/>
      </c:barChart>
      <c:lineChart>
        <c:grouping val="standard"/>
        <c:varyColors val="0"/>
        <c:ser>
          <c:idx val="1"/>
          <c:order val="1"/>
          <c:tx>
            <c:strRef>
              <c:f>'3.1.1'!$C$28</c:f>
              <c:strCache>
                <c:ptCount val="1"/>
                <c:pt idx="0">
                  <c:v>jiná než denní forma</c:v>
                </c:pt>
              </c:strCache>
            </c:strRef>
          </c:tx>
          <c:marker>
            <c:symbol val="none"/>
          </c:marker>
          <c:dLbls>
            <c:numFmt formatCode="0.0\ %"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'3.1.1'!$A$29:$A$39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'3.1.1'!$C$29:$C$39</c:f>
              <c:numCache>
                <c:formatCode>0.0%</c:formatCode>
                <c:ptCount val="11"/>
                <c:pt idx="0">
                  <c:v>6.1595706476198074E-2</c:v>
                </c:pt>
                <c:pt idx="1">
                  <c:v>5.7429145583468226E-2</c:v>
                </c:pt>
                <c:pt idx="2">
                  <c:v>5.5546890318900512E-2</c:v>
                </c:pt>
                <c:pt idx="3">
                  <c:v>5.2830725854223014E-2</c:v>
                </c:pt>
                <c:pt idx="4">
                  <c:v>5.0282481907344058E-2</c:v>
                </c:pt>
                <c:pt idx="5">
                  <c:v>4.8869127619460093E-2</c:v>
                </c:pt>
                <c:pt idx="6">
                  <c:v>4.3927550499958487E-2</c:v>
                </c:pt>
                <c:pt idx="7">
                  <c:v>4.0058077915658699E-2</c:v>
                </c:pt>
                <c:pt idx="8">
                  <c:v>3.7160424501814372E-2</c:v>
                </c:pt>
                <c:pt idx="9">
                  <c:v>3.6044776464174672E-2</c:v>
                </c:pt>
                <c:pt idx="10">
                  <c:v>3.5939173654465841E-2</c:v>
                </c:pt>
              </c:numCache>
            </c:numRef>
          </c:val>
          <c:smooth val="0"/>
          <c:extLst>
            <c:ext xmlns:c16="http://schemas.microsoft.com/office/drawing/2014/chart" uri="{C3380CC4-5D6E-409C-BE32-E72D297353CC}">
              <c16:uniqueId val="{00000001-C6CE-45C0-A2ED-8754E2828257}"/>
            </c:ext>
          </c:extLst>
        </c:ser>
        <c:ser>
          <c:idx val="2"/>
          <c:order val="2"/>
          <c:tx>
            <c:strRef>
              <c:f>'3.1.1'!$D$28</c:f>
              <c:strCache>
                <c:ptCount val="1"/>
                <c:pt idx="0">
                  <c:v>podíl žáků v soukromých a církevních školách</c:v>
                </c:pt>
              </c:strCache>
            </c:strRef>
          </c:tx>
          <c:spPr>
            <a:ln>
              <a:solidFill>
                <a:schemeClr val="accent2">
                  <a:lumMod val="60000"/>
                  <a:lumOff val="40000"/>
                </a:schemeClr>
              </a:solidFill>
            </a:ln>
          </c:spPr>
          <c:marker>
            <c:symbol val="none"/>
          </c:marker>
          <c:dLbls>
            <c:numFmt formatCode="0.0\ %"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'3.1.1'!$A$29:$A$39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'3.1.1'!$D$29:$D$39</c:f>
              <c:numCache>
                <c:formatCode>0.0%</c:formatCode>
                <c:ptCount val="11"/>
                <c:pt idx="0">
                  <c:v>0.1470551853477515</c:v>
                </c:pt>
                <c:pt idx="1">
                  <c:v>0.14442575102919997</c:v>
                </c:pt>
                <c:pt idx="2">
                  <c:v>0.14459705164084921</c:v>
                </c:pt>
                <c:pt idx="3">
                  <c:v>0.14833701457035142</c:v>
                </c:pt>
                <c:pt idx="4">
                  <c:v>0.15173949385048713</c:v>
                </c:pt>
                <c:pt idx="5">
                  <c:v>0.15694988101654941</c:v>
                </c:pt>
                <c:pt idx="6">
                  <c:v>0.1607838020567687</c:v>
                </c:pt>
                <c:pt idx="7">
                  <c:v>0.16147989372977134</c:v>
                </c:pt>
                <c:pt idx="8">
                  <c:v>0.16397774621435549</c:v>
                </c:pt>
                <c:pt idx="9">
                  <c:v>0.16665742678549153</c:v>
                </c:pt>
                <c:pt idx="10">
                  <c:v>0.17127241436491325</c:v>
                </c:pt>
              </c:numCache>
            </c:numRef>
          </c:val>
          <c:smooth val="0"/>
          <c:extLst>
            <c:ext xmlns:c16="http://schemas.microsoft.com/office/drawing/2014/chart" uri="{C3380CC4-5D6E-409C-BE32-E72D297353CC}">
              <c16:uniqueId val="{00000002-C6CE-45C0-A2ED-8754E2828257}"/>
            </c:ext>
          </c:extLst>
        </c:ser>
        <c:dLbls>
          <c:showLegendKey val="0"/>
          <c:showVal val="0"/>
          <c:showCatName val="0"/>
          <c:showSerName val="0"/>
          <c:showPercent val="0"/>
          <c:showBubbleSize val="0"/>
        </c:dLbls>
        <c:marker val="1"/>
        <c:smooth val="0"/>
        <c:axId val="193466880"/>
        <c:axId val="160821184"/>
      </c:lineChart>
      <c:catAx>
        <c:axId val="191516160"/>
        <c:scaling>
          <c:orientation val="minMax"/>
        </c:scaling>
        <c:delete val="0"/>
        <c:axPos val="b"/>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60820608"/>
        <c:crosses val="autoZero"/>
        <c:auto val="1"/>
        <c:lblAlgn val="ctr"/>
        <c:lblOffset val="100"/>
        <c:noMultiLvlLbl val="0"/>
      </c:catAx>
      <c:valAx>
        <c:axId val="160820608"/>
        <c:scaling>
          <c:orientation val="minMax"/>
          <c:max val="650000"/>
          <c:min val="0"/>
        </c:scaling>
        <c:delete val="0"/>
        <c:axPos val="l"/>
        <c:majorGridlines>
          <c:spPr>
            <a:ln>
              <a:noFill/>
            </a:ln>
          </c:spPr>
        </c:majorGridlines>
        <c:numFmt formatCode="#\ ##0_ ;\-#\ ##0\ " sourceLinked="1"/>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1516160"/>
        <c:crosses val="autoZero"/>
        <c:crossBetween val="between"/>
        <c:majorUnit val="50000"/>
      </c:valAx>
      <c:valAx>
        <c:axId val="160821184"/>
        <c:scaling>
          <c:orientation val="minMax"/>
        </c:scaling>
        <c:delete val="0"/>
        <c:axPos val="r"/>
        <c:numFmt formatCode="0\ %"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3466880"/>
        <c:crosses val="max"/>
        <c:crossBetween val="between"/>
      </c:valAx>
      <c:catAx>
        <c:axId val="193466880"/>
        <c:scaling>
          <c:orientation val="minMax"/>
        </c:scaling>
        <c:delete val="1"/>
        <c:axPos val="b"/>
        <c:numFmt formatCode="General" sourceLinked="1"/>
        <c:majorTickMark val="out"/>
        <c:minorTickMark val="none"/>
        <c:tickLblPos val="nextTo"/>
        <c:crossAx val="160821184"/>
        <c:crosses val="autoZero"/>
        <c:auto val="1"/>
        <c:lblAlgn val="ctr"/>
        <c:lblOffset val="100"/>
        <c:noMultiLvlLbl val="0"/>
      </c:catAx>
    </c:plotArea>
    <c:legend>
      <c:legendPos val="b"/>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chemeClr val="bg1">
          <a:lumMod val="85000"/>
        </a:schemeClr>
      </a:solidFill>
    </a:ln>
  </c:spPr>
  <c:externalData r:id="rId2">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6046695495030337E-2"/>
          <c:y val="0.16732308216991834"/>
          <c:w val="0.93688024396540592"/>
          <c:h val="0.74939591742276246"/>
        </c:manualLayout>
      </c:layout>
      <c:barChart>
        <c:barDir val="col"/>
        <c:grouping val="clustered"/>
        <c:varyColors val="0"/>
        <c:ser>
          <c:idx val="0"/>
          <c:order val="0"/>
          <c:tx>
            <c:strRef>
              <c:f>'populace 2021'!$A$70</c:f>
              <c:strCache>
                <c:ptCount val="1"/>
                <c:pt idx="0">
                  <c:v>věk 15-18 let</c:v>
                </c:pt>
              </c:strCache>
            </c:strRef>
          </c:tx>
          <c:spPr>
            <a:solidFill>
              <a:schemeClr val="accent6">
                <a:lumMod val="7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'populace 2021'!$B$69:$D$69</c:f>
              <c:numCache>
                <c:formatCode>General</c:formatCode>
                <c:ptCount val="3"/>
                <c:pt idx="0">
                  <c:v>2011</c:v>
                </c:pt>
                <c:pt idx="1">
                  <c:v>2016</c:v>
                </c:pt>
                <c:pt idx="2">
                  <c:v>2021</c:v>
                </c:pt>
              </c:numCache>
            </c:numRef>
          </c:cat>
          <c:val>
            <c:numRef>
              <c:f>'populace 2021'!$B$70:$D$70</c:f>
              <c:numCache>
                <c:formatCode>0.0</c:formatCode>
                <c:ptCount val="3"/>
                <c:pt idx="0">
                  <c:v>433.27100000000002</c:v>
                </c:pt>
                <c:pt idx="1">
                  <c:v>365.12799999999999</c:v>
                </c:pt>
                <c:pt idx="2">
                  <c:v>399.02</c:v>
                </c:pt>
              </c:numCache>
            </c:numRef>
          </c:val>
          <c:extLst>
            <c:ext xmlns:c16="http://schemas.microsoft.com/office/drawing/2014/chart" uri="{C3380CC4-5D6E-409C-BE32-E72D297353CC}">
              <c16:uniqueId val="{00000000-9D50-461D-9E69-025E7A2F766B}"/>
            </c:ext>
          </c:extLst>
        </c:ser>
        <c:ser>
          <c:idx val="1"/>
          <c:order val="1"/>
          <c:tx>
            <c:strRef>
              <c:f>'populace 2021'!$A$71</c:f>
              <c:strCache>
                <c:ptCount val="1"/>
                <c:pt idx="0">
                  <c:v>věk 14-17 let</c:v>
                </c:pt>
              </c:strCache>
            </c:strRef>
          </c:tx>
          <c:spPr>
            <a:solidFill>
              <a:srgbClr val="24538C"/>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'populace 2021'!$B$69:$D$69</c:f>
              <c:numCache>
                <c:formatCode>General</c:formatCode>
                <c:ptCount val="3"/>
                <c:pt idx="0">
                  <c:v>2011</c:v>
                </c:pt>
                <c:pt idx="1">
                  <c:v>2016</c:v>
                </c:pt>
                <c:pt idx="2">
                  <c:v>2021</c:v>
                </c:pt>
              </c:numCache>
            </c:numRef>
          </c:cat>
          <c:val>
            <c:numRef>
              <c:f>'populace 2021'!$B$71:$D$71</c:f>
              <c:numCache>
                <c:formatCode>0.0</c:formatCode>
                <c:ptCount val="3"/>
                <c:pt idx="0">
                  <c:v>401.46499999999997</c:v>
                </c:pt>
                <c:pt idx="1">
                  <c:v>365.74599999999998</c:v>
                </c:pt>
                <c:pt idx="2">
                  <c:v>414.21800000000002</c:v>
                </c:pt>
              </c:numCache>
            </c:numRef>
          </c:val>
          <c:extLst>
            <c:ext xmlns:c16="http://schemas.microsoft.com/office/drawing/2014/chart" uri="{C3380CC4-5D6E-409C-BE32-E72D297353CC}">
              <c16:uniqueId val="{00000001-9D50-461D-9E69-025E7A2F766B}"/>
            </c:ext>
          </c:extLst>
        </c:ser>
        <c:ser>
          <c:idx val="2"/>
          <c:order val="2"/>
          <c:tx>
            <c:strRef>
              <c:f>'populace 2021'!$A$72</c:f>
              <c:strCache>
                <c:ptCount val="1"/>
                <c:pt idx="0">
                  <c:v>věk 13-16 let</c:v>
                </c:pt>
              </c:strCache>
            </c:strRef>
          </c:tx>
          <c:spPr>
            <a:solidFill>
              <a:srgbClr val="3176C9"/>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'populace 2021'!$B$69:$D$69</c:f>
              <c:numCache>
                <c:formatCode>General</c:formatCode>
                <c:ptCount val="3"/>
                <c:pt idx="0">
                  <c:v>2011</c:v>
                </c:pt>
                <c:pt idx="1">
                  <c:v>2016</c:v>
                </c:pt>
                <c:pt idx="2">
                  <c:v>2021</c:v>
                </c:pt>
              </c:numCache>
            </c:numRef>
          </c:cat>
          <c:val>
            <c:numRef>
              <c:f>'populace 2021'!$B$72:$D$72</c:f>
              <c:numCache>
                <c:formatCode>0.0</c:formatCode>
                <c:ptCount val="3"/>
                <c:pt idx="0">
                  <c:v>377.21600000000001</c:v>
                </c:pt>
                <c:pt idx="1">
                  <c:v>369.20299999999997</c:v>
                </c:pt>
                <c:pt idx="2">
                  <c:v>434.959</c:v>
                </c:pt>
              </c:numCache>
            </c:numRef>
          </c:val>
          <c:extLst>
            <c:ext xmlns:c16="http://schemas.microsoft.com/office/drawing/2014/chart" uri="{C3380CC4-5D6E-409C-BE32-E72D297353CC}">
              <c16:uniqueId val="{00000002-9D50-461D-9E69-025E7A2F766B}"/>
            </c:ext>
          </c:extLst>
        </c:ser>
        <c:ser>
          <c:idx val="3"/>
          <c:order val="3"/>
          <c:tx>
            <c:strRef>
              <c:f>'populace 2021'!$A$73</c:f>
              <c:strCache>
                <c:ptCount val="1"/>
                <c:pt idx="0">
                  <c:v>věk 12-15 let</c:v>
                </c:pt>
              </c:strCache>
            </c:strRef>
          </c:tx>
          <c:spPr>
            <a:solidFill>
              <a:schemeClr val="tx2">
                <a:lumMod val="40000"/>
                <a:lumOff val="6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'populace 2021'!$B$69:$D$69</c:f>
              <c:numCache>
                <c:formatCode>General</c:formatCode>
                <c:ptCount val="3"/>
                <c:pt idx="0">
                  <c:v>2011</c:v>
                </c:pt>
                <c:pt idx="1">
                  <c:v>2016</c:v>
                </c:pt>
                <c:pt idx="2">
                  <c:v>2021</c:v>
                </c:pt>
              </c:numCache>
            </c:numRef>
          </c:cat>
          <c:val>
            <c:numRef>
              <c:f>'populace 2021'!$B$73:$D$73</c:f>
              <c:numCache>
                <c:formatCode>0.0</c:formatCode>
                <c:ptCount val="3"/>
                <c:pt idx="0">
                  <c:v>364.995</c:v>
                </c:pt>
                <c:pt idx="1">
                  <c:v>375.13900000000001</c:v>
                </c:pt>
                <c:pt idx="2">
                  <c:v>453.39600000000002</c:v>
                </c:pt>
              </c:numCache>
            </c:numRef>
          </c:val>
          <c:extLst>
            <c:ext xmlns:c16="http://schemas.microsoft.com/office/drawing/2014/chart" uri="{C3380CC4-5D6E-409C-BE32-E72D297353CC}">
              <c16:uniqueId val="{00000003-9D50-461D-9E69-025E7A2F766B}"/>
            </c:ext>
          </c:extLst>
        </c:ser>
        <c:dLbls>
          <c:showLegendKey val="0"/>
          <c:showVal val="0"/>
          <c:showCatName val="0"/>
          <c:showSerName val="0"/>
          <c:showPercent val="0"/>
          <c:showBubbleSize val="0"/>
        </c:dLbls>
        <c:gapWidth val="219"/>
        <c:overlap val="-27"/>
        <c:axId val="2057265039"/>
        <c:axId val="2057265455"/>
      </c:barChart>
      <c:catAx>
        <c:axId val="20572650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057265455"/>
        <c:crosses val="autoZero"/>
        <c:auto val="1"/>
        <c:lblAlgn val="ctr"/>
        <c:lblOffset val="100"/>
        <c:noMultiLvlLbl val="0"/>
      </c:catAx>
      <c:valAx>
        <c:axId val="20572654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r>
                  <a:rPr lang="cs-CZ" sz="800" b="0" dirty="0">
                    <a:solidFill>
                      <a:sysClr val="windowText" lastClr="000000"/>
                    </a:solidFill>
                    <a:latin typeface="Arial" panose="020B0604020202020204" pitchFamily="34" charset="0"/>
                    <a:cs typeface="Arial" panose="020B0604020202020204" pitchFamily="34" charset="0"/>
                  </a:rPr>
                  <a:t>tis.</a:t>
                </a:r>
              </a:p>
            </c:rich>
          </c:tx>
          <c:layout>
            <c:manualLayout>
              <c:xMode val="edge"/>
              <c:yMode val="edge"/>
              <c:x val="1.479298438105073E-2"/>
              <c:y val="4.0491490982981965E-2"/>
            </c:manualLayout>
          </c:layout>
          <c:overlay val="0"/>
          <c:spPr>
            <a:noFill/>
            <a:ln>
              <a:noFill/>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cs-CZ"/>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057265039"/>
        <c:crosses val="autoZero"/>
        <c:crossBetween val="between"/>
      </c:valAx>
      <c:spPr>
        <a:noFill/>
        <a:ln>
          <a:noFill/>
        </a:ln>
        <a:effectLst/>
      </c:spPr>
    </c:plotArea>
    <c:legend>
      <c:legendPos val="b"/>
      <c:layout>
        <c:manualLayout>
          <c:xMode val="edge"/>
          <c:yMode val="edge"/>
          <c:x val="7.9919311548010463E-2"/>
          <c:y val="2.5315945324858022E-2"/>
          <c:w val="0.8555494279675232"/>
          <c:h val="7.8270441947671521E-2"/>
        </c:manualLayout>
      </c:layout>
      <c:overlay val="0"/>
      <c:spPr>
        <a:noFill/>
        <a:ln>
          <a:solidFill>
            <a:sysClr val="window" lastClr="FFFFFF">
              <a:lumMod val="75000"/>
            </a:sysClr>
          </a:solid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496791607673646E-2"/>
          <c:y val="2.4670410822303125E-2"/>
          <c:w val="0.92503208392326353"/>
          <c:h val="0.733699989628956"/>
        </c:manualLayout>
      </c:layout>
      <c:barChart>
        <c:barDir val="col"/>
        <c:grouping val="clustered"/>
        <c:varyColors val="0"/>
        <c:ser>
          <c:idx val="0"/>
          <c:order val="0"/>
          <c:tx>
            <c:strRef>
              <c:f>'3.1.3'!$Q$23</c:f>
              <c:strCache>
                <c:ptCount val="1"/>
                <c:pt idx="0">
                  <c:v>počet</c:v>
                </c:pt>
              </c:strCache>
            </c:strRef>
          </c:tx>
          <c:invertIfNegative val="0"/>
          <c:dLbls>
            <c:spPr>
              <a:noFill/>
              <a:ln>
                <a:noFill/>
              </a:ln>
              <a:effectLst/>
            </c:spPr>
            <c:txPr>
              <a:bodyPr/>
              <a:lstStyle/>
              <a:p>
                <a:pPr>
                  <a:defRPr sz="800">
                    <a:solidFill>
                      <a:schemeClr val="accent1">
                        <a:lumMod val="75000"/>
                      </a:schemeClr>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'3.1.3'!$P$24:$P$37</c:f>
              <c:strCache>
                <c:ptCount val="14"/>
                <c:pt idx="0">
                  <c:v>Praha</c:v>
                </c:pt>
                <c:pt idx="1">
                  <c:v>Moravskoslezský </c:v>
                </c:pt>
                <c:pt idx="2">
                  <c:v>Jihomoravský </c:v>
                </c:pt>
                <c:pt idx="3">
                  <c:v>Středočeský </c:v>
                </c:pt>
                <c:pt idx="4">
                  <c:v>Ústecký </c:v>
                </c:pt>
                <c:pt idx="5">
                  <c:v>Jihočeský </c:v>
                </c:pt>
                <c:pt idx="6">
                  <c:v>Olomoucký </c:v>
                </c:pt>
                <c:pt idx="7">
                  <c:v>Zlínský </c:v>
                </c:pt>
                <c:pt idx="8">
                  <c:v>Plzeňský </c:v>
                </c:pt>
                <c:pt idx="9">
                  <c:v>Královéhradecký </c:v>
                </c:pt>
                <c:pt idx="10">
                  <c:v>Pardubický </c:v>
                </c:pt>
                <c:pt idx="11">
                  <c:v>Vysočina</c:v>
                </c:pt>
                <c:pt idx="12">
                  <c:v>Liberecký </c:v>
                </c:pt>
                <c:pt idx="13">
                  <c:v>Karlovarský </c:v>
                </c:pt>
              </c:strCache>
            </c:strRef>
          </c:cat>
          <c:val>
            <c:numRef>
              <c:f>'3.1.3'!$Q$24:$Q$37</c:f>
              <c:numCache>
                <c:formatCode>#\ ##0_ ;\-#\ ##0\ </c:formatCode>
                <c:ptCount val="14"/>
                <c:pt idx="0">
                  <c:v>71376</c:v>
                </c:pt>
                <c:pt idx="1">
                  <c:v>49021</c:v>
                </c:pt>
                <c:pt idx="2">
                  <c:v>47978</c:v>
                </c:pt>
                <c:pt idx="3">
                  <c:v>42592</c:v>
                </c:pt>
                <c:pt idx="4">
                  <c:v>33730</c:v>
                </c:pt>
                <c:pt idx="5">
                  <c:v>28319</c:v>
                </c:pt>
                <c:pt idx="6">
                  <c:v>27965</c:v>
                </c:pt>
                <c:pt idx="7">
                  <c:v>25182</c:v>
                </c:pt>
                <c:pt idx="8">
                  <c:v>23783</c:v>
                </c:pt>
                <c:pt idx="9">
                  <c:v>23655</c:v>
                </c:pt>
                <c:pt idx="10">
                  <c:v>23147</c:v>
                </c:pt>
                <c:pt idx="11">
                  <c:v>22243</c:v>
                </c:pt>
                <c:pt idx="12">
                  <c:v>16581</c:v>
                </c:pt>
                <c:pt idx="13">
                  <c:v>10682</c:v>
                </c:pt>
              </c:numCache>
            </c:numRef>
          </c:val>
          <c:extLst>
            <c:ext xmlns:c16="http://schemas.microsoft.com/office/drawing/2014/chart" uri="{C3380CC4-5D6E-409C-BE32-E72D297353CC}">
              <c16:uniqueId val="{00000000-8E07-4034-9456-23BB350BDC58}"/>
            </c:ext>
          </c:extLst>
        </c:ser>
        <c:dLbls>
          <c:showLegendKey val="0"/>
          <c:showVal val="0"/>
          <c:showCatName val="0"/>
          <c:showSerName val="0"/>
          <c:showPercent val="0"/>
          <c:showBubbleSize val="0"/>
        </c:dLbls>
        <c:gapWidth val="123"/>
        <c:axId val="233277440"/>
        <c:axId val="160822912"/>
      </c:barChart>
      <c:lineChart>
        <c:grouping val="standard"/>
        <c:varyColors val="0"/>
        <c:ser>
          <c:idx val="1"/>
          <c:order val="1"/>
          <c:tx>
            <c:strRef>
              <c:f>'3.1.3'!$R$23</c:f>
              <c:strCache>
                <c:ptCount val="1"/>
                <c:pt idx="0">
                  <c:v>podíl z celkového počtu žáků středních škol v ČR (v %)</c:v>
                </c:pt>
              </c:strCache>
            </c:strRef>
          </c:tx>
          <c:spPr>
            <a:ln w="15875">
              <a:solidFill>
                <a:srgbClr val="FF0000"/>
              </a:solidFill>
            </a:ln>
          </c:spPr>
          <c:marker>
            <c:symbol val="none"/>
          </c:marker>
          <c:dLbls>
            <c:spPr>
              <a:solidFill>
                <a:srgbClr val="FFFF00"/>
              </a:solidFill>
              <a:ln>
                <a:noFill/>
              </a:ln>
              <a:effectLst/>
            </c:spPr>
            <c:txPr>
              <a:bodyPr wrap="square" lIns="38100" tIns="19050" rIns="38100" bIns="19050" anchor="ctr">
                <a:spAutoFit/>
              </a:bodyPr>
              <a:lstStyle/>
              <a:p>
                <a:pPr>
                  <a:defRPr sz="800" i="1">
                    <a:solidFill>
                      <a:srgbClr val="C00000"/>
                    </a:solidFill>
                    <a:latin typeface="Arial" panose="020B0604020202020204" pitchFamily="34" charset="0"/>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'3.1.3'!$P$24:$P$37</c:f>
              <c:strCache>
                <c:ptCount val="14"/>
                <c:pt idx="0">
                  <c:v>Praha</c:v>
                </c:pt>
                <c:pt idx="1">
                  <c:v>Moravskoslezský </c:v>
                </c:pt>
                <c:pt idx="2">
                  <c:v>Jihomoravský </c:v>
                </c:pt>
                <c:pt idx="3">
                  <c:v>Středočeský </c:v>
                </c:pt>
                <c:pt idx="4">
                  <c:v>Ústecký </c:v>
                </c:pt>
                <c:pt idx="5">
                  <c:v>Jihočeský </c:v>
                </c:pt>
                <c:pt idx="6">
                  <c:v>Olomoucký </c:v>
                </c:pt>
                <c:pt idx="7">
                  <c:v>Zlínský </c:v>
                </c:pt>
                <c:pt idx="8">
                  <c:v>Plzeňský </c:v>
                </c:pt>
                <c:pt idx="9">
                  <c:v>Královéhradecký </c:v>
                </c:pt>
                <c:pt idx="10">
                  <c:v>Pardubický </c:v>
                </c:pt>
                <c:pt idx="11">
                  <c:v>Vysočina</c:v>
                </c:pt>
                <c:pt idx="12">
                  <c:v>Liberecký </c:v>
                </c:pt>
                <c:pt idx="13">
                  <c:v>Karlovarský </c:v>
                </c:pt>
              </c:strCache>
            </c:strRef>
          </c:cat>
          <c:val>
            <c:numRef>
              <c:f>'3.1.3'!$R$24:$R$37</c:f>
              <c:numCache>
                <c:formatCode>#\ ##0.0_ ;\-#\ ##0.0\ </c:formatCode>
                <c:ptCount val="14"/>
                <c:pt idx="0">
                  <c:v>15.994478480865157</c:v>
                </c:pt>
                <c:pt idx="1">
                  <c:v>10.984999574233509</c:v>
                </c:pt>
                <c:pt idx="2">
                  <c:v>10.751276179037051</c:v>
                </c:pt>
                <c:pt idx="3">
                  <c:v>9.5443402187991584</c:v>
                </c:pt>
                <c:pt idx="4">
                  <c:v>7.5584756663245596</c:v>
                </c:pt>
                <c:pt idx="5">
                  <c:v>6.3459375154060247</c:v>
                </c:pt>
                <c:pt idx="6">
                  <c:v>6.2666104953681092</c:v>
                </c:pt>
                <c:pt idx="7">
                  <c:v>5.6429746287988456</c:v>
                </c:pt>
                <c:pt idx="8">
                  <c:v>5.3294760383100206</c:v>
                </c:pt>
                <c:pt idx="9">
                  <c:v>5.3007928220251248</c:v>
                </c:pt>
                <c:pt idx="10">
                  <c:v>5.1869563073944436</c:v>
                </c:pt>
                <c:pt idx="11">
                  <c:v>4.9843810923823648</c:v>
                </c:pt>
                <c:pt idx="12">
                  <c:v>3.7155969470301669</c:v>
                </c:pt>
                <c:pt idx="13">
                  <c:v>2.3937040340254656</c:v>
                </c:pt>
              </c:numCache>
            </c:numRef>
          </c:val>
          <c:smooth val="0"/>
          <c:extLst>
            <c:ext xmlns:c16="http://schemas.microsoft.com/office/drawing/2014/chart" uri="{C3380CC4-5D6E-409C-BE32-E72D297353CC}">
              <c16:uniqueId val="{00000001-8E07-4034-9456-23BB350BDC58}"/>
            </c:ext>
          </c:extLst>
        </c:ser>
        <c:dLbls>
          <c:showLegendKey val="0"/>
          <c:showVal val="0"/>
          <c:showCatName val="0"/>
          <c:showSerName val="0"/>
          <c:showPercent val="0"/>
          <c:showBubbleSize val="0"/>
        </c:dLbls>
        <c:marker val="1"/>
        <c:smooth val="0"/>
        <c:axId val="638685167"/>
        <c:axId val="638689327"/>
      </c:lineChart>
      <c:catAx>
        <c:axId val="233277440"/>
        <c:scaling>
          <c:orientation val="minMax"/>
        </c:scaling>
        <c:delete val="0"/>
        <c:axPos val="b"/>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60822912"/>
        <c:crosses val="autoZero"/>
        <c:auto val="1"/>
        <c:lblAlgn val="ctr"/>
        <c:lblOffset val="100"/>
        <c:noMultiLvlLbl val="0"/>
      </c:catAx>
      <c:valAx>
        <c:axId val="160822912"/>
        <c:scaling>
          <c:orientation val="minMax"/>
          <c:max val="80000"/>
        </c:scaling>
        <c:delete val="0"/>
        <c:axPos val="l"/>
        <c:numFmt formatCode="#,##0"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233277440"/>
        <c:crosses val="autoZero"/>
        <c:crossBetween val="between"/>
      </c:valAx>
      <c:valAx>
        <c:axId val="638689327"/>
        <c:scaling>
          <c:orientation val="minMax"/>
          <c:max val="30"/>
        </c:scaling>
        <c:delete val="0"/>
        <c:axPos val="r"/>
        <c:numFmt formatCode="#,##0"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638685167"/>
        <c:crosses val="max"/>
        <c:crossBetween val="between"/>
      </c:valAx>
      <c:catAx>
        <c:axId val="638685167"/>
        <c:scaling>
          <c:orientation val="minMax"/>
        </c:scaling>
        <c:delete val="1"/>
        <c:axPos val="b"/>
        <c:numFmt formatCode="General" sourceLinked="1"/>
        <c:majorTickMark val="out"/>
        <c:minorTickMark val="none"/>
        <c:tickLblPos val="nextTo"/>
        <c:crossAx val="638689327"/>
        <c:crosses val="autoZero"/>
        <c:auto val="1"/>
        <c:lblAlgn val="ctr"/>
        <c:lblOffset val="100"/>
        <c:noMultiLvlLbl val="0"/>
      </c:catAx>
    </c:plotArea>
    <c:legend>
      <c:legendPos val="t"/>
      <c:legendEntry>
        <c:idx val="0"/>
        <c:txPr>
          <a:bodyPr/>
          <a:lstStyle/>
          <a:p>
            <a:pPr>
              <a:defRPr sz="800">
                <a:solidFill>
                  <a:schemeClr val="accent1">
                    <a:lumMod val="75000"/>
                  </a:schemeClr>
                </a:solidFill>
                <a:latin typeface="Arial" panose="020B0604020202020204" pitchFamily="34" charset="0"/>
                <a:cs typeface="Arial" panose="020B0604020202020204" pitchFamily="34" charset="0"/>
              </a:defRPr>
            </a:pPr>
            <a:endParaRPr lang="cs-CZ"/>
          </a:p>
        </c:txPr>
      </c:legendEntry>
      <c:legendEntry>
        <c:idx val="1"/>
        <c:txPr>
          <a:bodyPr/>
          <a:lstStyle/>
          <a:p>
            <a:pPr>
              <a:defRPr sz="800" i="1">
                <a:solidFill>
                  <a:srgbClr val="C00000"/>
                </a:solidFill>
                <a:latin typeface="Arial" panose="020B0604020202020204" pitchFamily="34" charset="0"/>
                <a:cs typeface="Arial" panose="020B0604020202020204" pitchFamily="34" charset="0"/>
              </a:defRPr>
            </a:pPr>
            <a:endParaRPr lang="cs-CZ"/>
          </a:p>
        </c:txPr>
      </c:legendEntry>
      <c:layout>
        <c:manualLayout>
          <c:xMode val="edge"/>
          <c:yMode val="edge"/>
          <c:x val="0.6175914288316483"/>
          <c:y val="4.8632218844984802E-2"/>
          <c:w val="0.33474353560694503"/>
          <c:h val="0.17460147268825441"/>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chemeClr val="bg1">
          <a:lumMod val="85000"/>
        </a:schemeClr>
      </a:solidFill>
    </a:ln>
  </c:spPr>
  <c:externalData r:id="rId1">
    <c:autoUpdate val="0"/>
  </c:externalData>
  <c:userShapes r:id="rId2"/>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6715441819772528E-2"/>
          <c:y val="7.3041951723247706E-2"/>
          <c:w val="0.4560303731133778"/>
          <c:h val="0.88066193365173617"/>
        </c:manualLayout>
      </c:layout>
      <c:pieChart>
        <c:varyColors val="1"/>
        <c:ser>
          <c:idx val="0"/>
          <c:order val="0"/>
          <c:dPt>
            <c:idx val="0"/>
            <c:bubble3D val="0"/>
            <c:spPr>
              <a:solidFill>
                <a:schemeClr val="accent1">
                  <a:lumMod val="50000"/>
                </a:schemeClr>
              </a:solidFill>
            </c:spPr>
            <c:extLst>
              <c:ext xmlns:c16="http://schemas.microsoft.com/office/drawing/2014/chart" uri="{C3380CC4-5D6E-409C-BE32-E72D297353CC}">
                <c16:uniqueId val="{00000001-4FC7-4888-9E18-D1C0943C21C9}"/>
              </c:ext>
            </c:extLst>
          </c:dPt>
          <c:dPt>
            <c:idx val="1"/>
            <c:bubble3D val="0"/>
            <c:spPr>
              <a:solidFill>
                <a:srgbClr val="92D050"/>
              </a:solidFill>
            </c:spPr>
            <c:extLst>
              <c:ext xmlns:c16="http://schemas.microsoft.com/office/drawing/2014/chart" uri="{C3380CC4-5D6E-409C-BE32-E72D297353CC}">
                <c16:uniqueId val="{00000003-4FC7-4888-9E18-D1C0943C21C9}"/>
              </c:ext>
            </c:extLst>
          </c:dPt>
          <c:dPt>
            <c:idx val="2"/>
            <c:bubble3D val="0"/>
            <c:spPr>
              <a:solidFill>
                <a:schemeClr val="accent1">
                  <a:lumMod val="60000"/>
                  <a:lumOff val="40000"/>
                </a:schemeClr>
              </a:solidFill>
            </c:spPr>
            <c:extLst>
              <c:ext xmlns:c16="http://schemas.microsoft.com/office/drawing/2014/chart" uri="{C3380CC4-5D6E-409C-BE32-E72D297353CC}">
                <c16:uniqueId val="{00000005-4FC7-4888-9E18-D1C0943C21C9}"/>
              </c:ext>
            </c:extLst>
          </c:dPt>
          <c:dPt>
            <c:idx val="3"/>
            <c:bubble3D val="0"/>
            <c:spPr>
              <a:solidFill>
                <a:schemeClr val="accent1">
                  <a:lumMod val="75000"/>
                </a:schemeClr>
              </a:solidFill>
            </c:spPr>
            <c:extLst>
              <c:ext xmlns:c16="http://schemas.microsoft.com/office/drawing/2014/chart" uri="{C3380CC4-5D6E-409C-BE32-E72D297353CC}">
                <c16:uniqueId val="{00000007-4FC7-4888-9E18-D1C0943C21C9}"/>
              </c:ext>
            </c:extLst>
          </c:dPt>
          <c:dPt>
            <c:idx val="4"/>
            <c:bubble3D val="0"/>
            <c:spPr>
              <a:solidFill>
                <a:srgbClr val="FFC000"/>
              </a:solidFill>
            </c:spPr>
            <c:extLst>
              <c:ext xmlns:c16="http://schemas.microsoft.com/office/drawing/2014/chart" uri="{C3380CC4-5D6E-409C-BE32-E72D297353CC}">
                <c16:uniqueId val="{00000009-4FC7-4888-9E18-D1C0943C21C9}"/>
              </c:ext>
            </c:extLst>
          </c:dPt>
          <c:dLbls>
            <c:dLbl>
              <c:idx val="0"/>
              <c:layout/>
              <c:numFmt formatCode="0.0\ %" sourceLinked="0"/>
              <c:spPr>
                <a:noFill/>
                <a:ln>
                  <a:noFill/>
                </a:ln>
                <a:effectLst/>
              </c:spPr>
              <c:txPr>
                <a:bodyPr wrap="square" lIns="38100" tIns="19050" rIns="38100" bIns="19050" anchor="ctr">
                  <a:spAutoFit/>
                </a:bodyPr>
                <a:lstStyle/>
                <a:p>
                  <a:pPr>
                    <a:defRPr sz="800">
                      <a:solidFill>
                        <a:schemeClr val="bg1"/>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FC7-4888-9E18-D1C0943C21C9}"/>
                </c:ext>
              </c:extLst>
            </c:dLbl>
            <c:dLbl>
              <c:idx val="1"/>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4FC7-4888-9E18-D1C0943C21C9}"/>
                </c:ext>
              </c:extLst>
            </c:dLbl>
            <c:dLbl>
              <c:idx val="2"/>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4FC7-4888-9E18-D1C0943C21C9}"/>
                </c:ext>
              </c:extLst>
            </c:dLbl>
            <c:dLbl>
              <c:idx val="3"/>
              <c:layout>
                <c:manualLayout>
                  <c:x val="6.7911714770797545E-3"/>
                  <c:y val="1.3114754098360656E-2"/>
                </c:manualLayout>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4FC7-4888-9E18-D1C0943C21C9}"/>
                </c:ext>
              </c:extLst>
            </c:dLbl>
            <c:dLbl>
              <c:idx val="4"/>
              <c:layout>
                <c:manualLayout>
                  <c:x val="3.0464018822774486E-2"/>
                  <c:y val="1.7468783615162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4FC7-4888-9E18-D1C0943C21C9}"/>
                </c:ext>
              </c:extLst>
            </c:dLbl>
            <c:numFmt formatCode="0.0\ %" sourceLinked="0"/>
            <c:spPr>
              <a:noFill/>
              <a:ln>
                <a:noFill/>
              </a:ln>
              <a:effectLst/>
            </c:spPr>
            <c:txPr>
              <a:bodyPr wrap="square" lIns="38100" tIns="19050" rIns="38100" bIns="19050" anchor="ctr">
                <a:spAutoFit/>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showLegendKey val="0"/>
            <c:showVal val="0"/>
            <c:showCatName val="0"/>
            <c:showSerName val="0"/>
            <c:showPercent val="0"/>
            <c:showBubbleSize val="0"/>
            <c:extLst>
              <c:ext xmlns:c15="http://schemas.microsoft.com/office/drawing/2012/chart" uri="{CE6537A1-D6FC-4f65-9D91-7224C49458BB}"/>
            </c:extLst>
          </c:dLbls>
          <c:cat>
            <c:strRef>
              <c:f>List1!$M$28:$M$32</c:f>
              <c:strCache>
                <c:ptCount val="5"/>
                <c:pt idx="0">
                  <c:v>střední vzdělávání s maturitní zkouškou odborné 
(203 962 žáků, z toho dívky 51,7 %)</c:v>
                </c:pt>
                <c:pt idx="1">
                  <c:v>gymnázia 
(133 321 žáků, z toho dívky 56,8 %)</c:v>
                </c:pt>
                <c:pt idx="2">
                  <c:v>střední vzdělávání s výučním listem 
(91 256 žáků, z toho dívky 34,9 %)</c:v>
                </c:pt>
                <c:pt idx="3">
                  <c:v>nástavbové studium 
(14 952 žáků, z toho dívky 43,9 %) </c:v>
                </c:pt>
                <c:pt idx="4">
                  <c:v>střední vzdělávání bez maturitní zkoušky a bez výučního listu
(2 763 žáků, z toho dívky 45,2 %)</c:v>
                </c:pt>
              </c:strCache>
            </c:strRef>
          </c:cat>
          <c:val>
            <c:numRef>
              <c:f>List1!$N$28:$N$32</c:f>
              <c:numCache>
                <c:formatCode>0.0%</c:formatCode>
                <c:ptCount val="5"/>
                <c:pt idx="0">
                  <c:v>0.45705360624218494</c:v>
                </c:pt>
                <c:pt idx="1">
                  <c:v>0.29875586549364264</c:v>
                </c:pt>
                <c:pt idx="2">
                  <c:v>0.20449340510113076</c:v>
                </c:pt>
                <c:pt idx="3">
                  <c:v>3.3505582022794196E-2</c:v>
                </c:pt>
                <c:pt idx="4">
                  <c:v>6.1915411402474821E-3</c:v>
                </c:pt>
              </c:numCache>
            </c:numRef>
          </c:val>
          <c:extLst>
            <c:ext xmlns:c16="http://schemas.microsoft.com/office/drawing/2014/chart" uri="{C3380CC4-5D6E-409C-BE32-E72D297353CC}">
              <c16:uniqueId val="{0000000A-4FC7-4888-9E18-D1C0943C21C9}"/>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9134045453620621"/>
          <c:y val="2.7190529755209164E-2"/>
          <c:w val="0.39565142729251868"/>
          <c:h val="0.92240856490876788"/>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chemeClr val="bg1">
          <a:lumMod val="85000"/>
        </a:schemeClr>
      </a:solid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943569553805782E-2"/>
          <c:y val="4.4176706827309238E-2"/>
          <c:w val="0.93905643044619425"/>
          <c:h val="0.68963425963507141"/>
        </c:manualLayout>
      </c:layout>
      <c:barChart>
        <c:barDir val="col"/>
        <c:grouping val="clustered"/>
        <c:varyColors val="0"/>
        <c:ser>
          <c:idx val="0"/>
          <c:order val="0"/>
          <c:tx>
            <c:strRef>
              <c:f>'1.1.6'!$B$40</c:f>
              <c:strCache>
                <c:ptCount val="1"/>
                <c:pt idx="0">
                  <c:v>2011/12</c:v>
                </c:pt>
              </c:strCache>
            </c:strRef>
          </c:tx>
          <c:spPr>
            <a:solidFill>
              <a:srgbClr val="0070C0"/>
            </a:solidFill>
            <a:ln>
              <a:noFill/>
            </a:ln>
            <a:effectLst/>
          </c:spPr>
          <c:invertIfNegative val="0"/>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'1.1.6'!$A$41:$A$55</c:f>
              <c:strCache>
                <c:ptCount val="15"/>
                <c:pt idx="0">
                  <c:v>Olomoucký</c:v>
                </c:pt>
                <c:pt idx="1">
                  <c:v>Zlínský</c:v>
                </c:pt>
                <c:pt idx="2">
                  <c:v>Jihočeský</c:v>
                </c:pt>
                <c:pt idx="3">
                  <c:v>Vysočina</c:v>
                </c:pt>
                <c:pt idx="4">
                  <c:v>Královéhradecký</c:v>
                </c:pt>
                <c:pt idx="5">
                  <c:v>Pardubický</c:v>
                </c:pt>
                <c:pt idx="6">
                  <c:v>Moravskoslezský</c:v>
                </c:pt>
                <c:pt idx="7">
                  <c:v>Liberecký</c:v>
                </c:pt>
                <c:pt idx="8">
                  <c:v>ČR</c:v>
                </c:pt>
                <c:pt idx="9">
                  <c:v>Plzeňský</c:v>
                </c:pt>
                <c:pt idx="10">
                  <c:v>Středočeský</c:v>
                </c:pt>
                <c:pt idx="11">
                  <c:v>Jihomoravský</c:v>
                </c:pt>
                <c:pt idx="12">
                  <c:v>Karlovarský</c:v>
                </c:pt>
                <c:pt idx="13">
                  <c:v>Praha</c:v>
                </c:pt>
                <c:pt idx="14">
                  <c:v>Ústecký</c:v>
                </c:pt>
              </c:strCache>
            </c:strRef>
          </c:cat>
          <c:val>
            <c:numRef>
              <c:f>'1.1.6'!$B$41:$B$55</c:f>
              <c:numCache>
                <c:formatCode>0.0</c:formatCode>
                <c:ptCount val="15"/>
                <c:pt idx="0">
                  <c:v>65.633752458137181</c:v>
                </c:pt>
                <c:pt idx="1">
                  <c:v>65.522892210962851</c:v>
                </c:pt>
                <c:pt idx="2">
                  <c:v>65.099324065055058</c:v>
                </c:pt>
                <c:pt idx="3">
                  <c:v>64.048372513562384</c:v>
                </c:pt>
                <c:pt idx="4">
                  <c:v>64.825472501277019</c:v>
                </c:pt>
                <c:pt idx="5">
                  <c:v>65.717103100690252</c:v>
                </c:pt>
                <c:pt idx="6">
                  <c:v>61.406959861364804</c:v>
                </c:pt>
                <c:pt idx="7">
                  <c:v>61.503454552976713</c:v>
                </c:pt>
                <c:pt idx="8">
                  <c:v>60.888725343800218</c:v>
                </c:pt>
                <c:pt idx="9">
                  <c:v>61.643016184241141</c:v>
                </c:pt>
                <c:pt idx="10">
                  <c:v>55.609288145393378</c:v>
                </c:pt>
                <c:pt idx="11">
                  <c:v>62.06109607798389</c:v>
                </c:pt>
                <c:pt idx="12">
                  <c:v>57.317600543646144</c:v>
                </c:pt>
                <c:pt idx="13">
                  <c:v>58.395149224348373</c:v>
                </c:pt>
                <c:pt idx="14">
                  <c:v>54.498106060606055</c:v>
                </c:pt>
              </c:numCache>
            </c:numRef>
          </c:val>
          <c:extLst>
            <c:ext xmlns:c16="http://schemas.microsoft.com/office/drawing/2014/chart" uri="{C3380CC4-5D6E-409C-BE32-E72D297353CC}">
              <c16:uniqueId val="{00000000-CAD3-415C-8338-BAF179E4AA75}"/>
            </c:ext>
          </c:extLst>
        </c:ser>
        <c:ser>
          <c:idx val="1"/>
          <c:order val="1"/>
          <c:tx>
            <c:strRef>
              <c:f>'1.1.6'!$C$40</c:f>
              <c:strCache>
                <c:ptCount val="1"/>
                <c:pt idx="0">
                  <c:v>2021/22</c:v>
                </c:pt>
              </c:strCache>
            </c:strRef>
          </c:tx>
          <c:spPr>
            <a:solidFill>
              <a:srgbClr val="EABA64"/>
            </a:solidFill>
            <a:ln>
              <a:noFill/>
            </a:ln>
            <a:effectLst/>
          </c:spPr>
          <c:invertIfNegative val="0"/>
          <c:dLbls>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'1.1.6'!$A$41:$A$55</c:f>
              <c:strCache>
                <c:ptCount val="15"/>
                <c:pt idx="0">
                  <c:v>Olomoucký</c:v>
                </c:pt>
                <c:pt idx="1">
                  <c:v>Zlínský</c:v>
                </c:pt>
                <c:pt idx="2">
                  <c:v>Jihočeský</c:v>
                </c:pt>
                <c:pt idx="3">
                  <c:v>Vysočina</c:v>
                </c:pt>
                <c:pt idx="4">
                  <c:v>Královéhradecký</c:v>
                </c:pt>
                <c:pt idx="5">
                  <c:v>Pardubický</c:v>
                </c:pt>
                <c:pt idx="6">
                  <c:v>Moravskoslezský</c:v>
                </c:pt>
                <c:pt idx="7">
                  <c:v>Liberecký</c:v>
                </c:pt>
                <c:pt idx="8">
                  <c:v>ČR</c:v>
                </c:pt>
                <c:pt idx="9">
                  <c:v>Plzeňský</c:v>
                </c:pt>
                <c:pt idx="10">
                  <c:v>Středočeský</c:v>
                </c:pt>
                <c:pt idx="11">
                  <c:v>Jihomoravský</c:v>
                </c:pt>
                <c:pt idx="12">
                  <c:v>Karlovarský</c:v>
                </c:pt>
                <c:pt idx="13">
                  <c:v>Praha</c:v>
                </c:pt>
                <c:pt idx="14">
                  <c:v>Ústecký</c:v>
                </c:pt>
              </c:strCache>
            </c:strRef>
          </c:cat>
          <c:val>
            <c:numRef>
              <c:f>'1.1.6'!$C$41:$C$55</c:f>
              <c:numCache>
                <c:formatCode>0.0</c:formatCode>
                <c:ptCount val="15"/>
                <c:pt idx="0">
                  <c:v>68.997690531177824</c:v>
                </c:pt>
                <c:pt idx="1">
                  <c:v>68.016027946162538</c:v>
                </c:pt>
                <c:pt idx="2">
                  <c:v>67.659308621407746</c:v>
                </c:pt>
                <c:pt idx="3">
                  <c:v>66.912487708947893</c:v>
                </c:pt>
                <c:pt idx="4">
                  <c:v>66.666666666666657</c:v>
                </c:pt>
                <c:pt idx="5">
                  <c:v>65.784658175962534</c:v>
                </c:pt>
                <c:pt idx="6">
                  <c:v>64.823146790691396</c:v>
                </c:pt>
                <c:pt idx="7">
                  <c:v>64.805732076598289</c:v>
                </c:pt>
                <c:pt idx="8">
                  <c:v>64.104547548044181</c:v>
                </c:pt>
                <c:pt idx="9">
                  <c:v>63.429028708612591</c:v>
                </c:pt>
                <c:pt idx="10">
                  <c:v>63.021593230230522</c:v>
                </c:pt>
                <c:pt idx="11">
                  <c:v>62.835225899975846</c:v>
                </c:pt>
                <c:pt idx="12">
                  <c:v>62.120761451516962</c:v>
                </c:pt>
                <c:pt idx="13">
                  <c:v>60.898169336384441</c:v>
                </c:pt>
                <c:pt idx="14">
                  <c:v>59.254194241617618</c:v>
                </c:pt>
              </c:numCache>
            </c:numRef>
          </c:val>
          <c:extLst>
            <c:ext xmlns:c16="http://schemas.microsoft.com/office/drawing/2014/chart" uri="{C3380CC4-5D6E-409C-BE32-E72D297353CC}">
              <c16:uniqueId val="{00000001-CAD3-415C-8338-BAF179E4AA75}"/>
            </c:ext>
          </c:extLst>
        </c:ser>
        <c:dLbls>
          <c:showLegendKey val="0"/>
          <c:showVal val="0"/>
          <c:showCatName val="0"/>
          <c:showSerName val="0"/>
          <c:showPercent val="0"/>
          <c:showBubbleSize val="0"/>
        </c:dLbls>
        <c:gapWidth val="69"/>
        <c:overlap val="13"/>
        <c:axId val="1444166591"/>
        <c:axId val="1444167839"/>
      </c:barChart>
      <c:catAx>
        <c:axId val="14441665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444167839"/>
        <c:crosses val="autoZero"/>
        <c:auto val="1"/>
        <c:lblAlgn val="ctr"/>
        <c:lblOffset val="100"/>
        <c:noMultiLvlLbl val="0"/>
      </c:catAx>
      <c:valAx>
        <c:axId val="1444167839"/>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444166591"/>
        <c:crosses val="autoZero"/>
        <c:crossBetween val="between"/>
      </c:valAx>
      <c:spPr>
        <a:noFill/>
        <a:ln>
          <a:noFill/>
        </a:ln>
        <a:effectLst/>
      </c:spPr>
    </c:plotArea>
    <c:legend>
      <c:legendPos val="b"/>
      <c:layout>
        <c:manualLayout>
          <c:xMode val="edge"/>
          <c:yMode val="edge"/>
          <c:x val="0.85210839122140991"/>
          <c:y val="1.0805549306336705E-2"/>
          <c:w val="0.13221369377352682"/>
          <c:h val="0.1331410573678290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2515796636531548E-2"/>
          <c:y val="0.11976763933920025"/>
          <c:w val="0.88637751772741113"/>
          <c:h val="0.69326694457310478"/>
        </c:manualLayout>
      </c:layout>
      <c:barChart>
        <c:barDir val="col"/>
        <c:grouping val="clustered"/>
        <c:varyColors val="0"/>
        <c:ser>
          <c:idx val="0"/>
          <c:order val="0"/>
          <c:tx>
            <c:strRef>
              <c:f>List44!$C$14</c:f>
              <c:strCache>
                <c:ptCount val="1"/>
                <c:pt idx="0">
                  <c:v>bez výučního listu a bez maturity</c:v>
                </c:pt>
              </c:strCache>
            </c:strRef>
          </c:tx>
          <c:spPr>
            <a:solidFill>
              <a:srgbClr val="618DC3"/>
            </a:solidFill>
          </c:spPr>
          <c:invertIfNegative val="0"/>
          <c:dLbls>
            <c:dLbl>
              <c:idx val="0"/>
              <c:layout>
                <c:manualLayout>
                  <c:x val="0"/>
                  <c:y val="1.47058823529410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C4B4-4426-9BC9-E3B9304BF022}"/>
                </c:ext>
              </c:extLst>
            </c:dLbl>
            <c:dLbl>
              <c:idx val="1"/>
              <c:layout>
                <c:manualLayout>
                  <c:x val="0"/>
                  <c:y val="1.470588235294117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4B4-4426-9BC9-E3B9304BF022}"/>
                </c:ext>
              </c:extLst>
            </c:dLbl>
            <c:dLbl>
              <c:idx val="2"/>
              <c:layout>
                <c:manualLayout>
                  <c:x val="0"/>
                  <c:y val="1.47058823529410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C4B4-4426-9BC9-E3B9304BF022}"/>
                </c:ext>
              </c:extLst>
            </c:dLbl>
            <c:dLbl>
              <c:idx val="3"/>
              <c:layout>
                <c:manualLayout>
                  <c:x val="-4.04169346286349E-17"/>
                  <c:y val="1.47058823529410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C4B4-4426-9BC9-E3B9304BF022}"/>
                </c:ext>
              </c:extLst>
            </c:dLbl>
            <c:dLbl>
              <c:idx val="4"/>
              <c:layout>
                <c:manualLayout>
                  <c:x val="0"/>
                  <c:y val="1.4705882352940998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C4B4-4426-9BC9-E3B9304BF022}"/>
                </c:ext>
              </c:extLst>
            </c:dLbl>
            <c:dLbl>
              <c:idx val="5"/>
              <c:layout>
                <c:manualLayout>
                  <c:x val="0"/>
                  <c:y val="1.47058823529410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C4B4-4426-9BC9-E3B9304BF022}"/>
                </c:ext>
              </c:extLst>
            </c:dLbl>
            <c:dLbl>
              <c:idx val="6"/>
              <c:layout>
                <c:manualLayout>
                  <c:x val="0"/>
                  <c:y val="1.47058823529410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C4B4-4426-9BC9-E3B9304BF022}"/>
                </c:ext>
              </c:extLst>
            </c:dLbl>
            <c:dLbl>
              <c:idx val="7"/>
              <c:layout>
                <c:manualLayout>
                  <c:x val="0"/>
                  <c:y val="1.470588235294117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C4B4-4426-9BC9-E3B9304BF022}"/>
                </c:ext>
              </c:extLst>
            </c:dLbl>
            <c:dLbl>
              <c:idx val="8"/>
              <c:layout>
                <c:manualLayout>
                  <c:x val="-8.0833869257269799E-17"/>
                  <c:y val="1.47058823529410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C4B4-4426-9BC9-E3B9304BF022}"/>
                </c:ext>
              </c:extLst>
            </c:dLbl>
            <c:dLbl>
              <c:idx val="9"/>
              <c:layout>
                <c:manualLayout>
                  <c:x val="-1.616677385145396E-16"/>
                  <c:y val="9.8039215686273606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C4B4-4426-9BC9-E3B9304BF022}"/>
                </c:ext>
              </c:extLst>
            </c:dLbl>
            <c:dLbl>
              <c:idx val="10"/>
              <c:layout>
                <c:manualLayout>
                  <c:x val="0"/>
                  <c:y val="1.47058823529410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C4B4-4426-9BC9-E3B9304BF022}"/>
                </c:ext>
              </c:extLst>
            </c:dLbl>
            <c:spPr>
              <a:noFill/>
              <a:ln>
                <a:noFill/>
              </a:ln>
              <a:effectLst/>
            </c:spPr>
            <c:txPr>
              <a:bodyPr/>
              <a:lstStyle/>
              <a:p>
                <a:pPr>
                  <a:defRPr sz="750">
                    <a:solidFill>
                      <a:srgbClr val="0070C0"/>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List44!$A$15:$B$25</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List44!$C$15:$C$25</c:f>
              <c:numCache>
                <c:formatCode>0.0</c:formatCode>
                <c:ptCount val="11"/>
                <c:pt idx="0">
                  <c:v>2.0529999999999999</c:v>
                </c:pt>
                <c:pt idx="1">
                  <c:v>1.9650000000000001</c:v>
                </c:pt>
                <c:pt idx="2">
                  <c:v>1.9650000000000001</c:v>
                </c:pt>
                <c:pt idx="3">
                  <c:v>2.04</c:v>
                </c:pt>
                <c:pt idx="4">
                  <c:v>2.2010000000000001</c:v>
                </c:pt>
                <c:pt idx="5">
                  <c:v>2.4039999999999999</c:v>
                </c:pt>
                <c:pt idx="6">
                  <c:v>2.6120000000000001</c:v>
                </c:pt>
                <c:pt idx="7">
                  <c:v>2.7229999999999999</c:v>
                </c:pt>
                <c:pt idx="8">
                  <c:v>2.7189999999999999</c:v>
                </c:pt>
                <c:pt idx="9">
                  <c:v>2.72</c:v>
                </c:pt>
                <c:pt idx="10">
                  <c:v>2.7629999999999999</c:v>
                </c:pt>
              </c:numCache>
            </c:numRef>
          </c:val>
          <c:extLst>
            <c:ext xmlns:c16="http://schemas.microsoft.com/office/drawing/2014/chart" uri="{C3380CC4-5D6E-409C-BE32-E72D297353CC}">
              <c16:uniqueId val="{0000000B-C4B4-4426-9BC9-E3B9304BF022}"/>
            </c:ext>
          </c:extLst>
        </c:ser>
        <c:ser>
          <c:idx val="1"/>
          <c:order val="1"/>
          <c:tx>
            <c:strRef>
              <c:f>List44!$D$14</c:f>
              <c:strCache>
                <c:ptCount val="1"/>
                <c:pt idx="0">
                  <c:v>s výučním listem</c:v>
                </c:pt>
              </c:strCache>
            </c:strRef>
          </c:tx>
          <c:spPr>
            <a:solidFill>
              <a:schemeClr val="accent3">
                <a:lumMod val="60000"/>
                <a:lumOff val="40000"/>
              </a:schemeClr>
            </a:solidFill>
          </c:spPr>
          <c:invertIfNegative val="0"/>
          <c:dLbls>
            <c:spPr>
              <a:noFill/>
              <a:ln>
                <a:noFill/>
              </a:ln>
              <a:effectLst/>
            </c:spPr>
            <c:txPr>
              <a:bodyPr/>
              <a:lstStyle/>
              <a:p>
                <a:pPr>
                  <a:defRPr sz="800">
                    <a:solidFill>
                      <a:srgbClr val="00B050"/>
                    </a:solidFill>
                    <a:latin typeface="Arial" panose="020B0604020202020204" pitchFamily="34" charset="0"/>
                    <a:cs typeface="Arial" panose="020B0604020202020204" pitchFamily="34" charset="0"/>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List44!$A$15:$B$25</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List44!$D$15:$D$25</c:f>
              <c:numCache>
                <c:formatCode>0.0</c:formatCode>
                <c:ptCount val="11"/>
                <c:pt idx="0">
                  <c:v>103.685</c:v>
                </c:pt>
                <c:pt idx="1">
                  <c:v>100.55800000000001</c:v>
                </c:pt>
                <c:pt idx="2">
                  <c:v>97.491</c:v>
                </c:pt>
                <c:pt idx="3">
                  <c:v>94.759</c:v>
                </c:pt>
                <c:pt idx="4">
                  <c:v>91.840999999999994</c:v>
                </c:pt>
                <c:pt idx="5">
                  <c:v>89.466999999999999</c:v>
                </c:pt>
                <c:pt idx="6">
                  <c:v>87.436999999999998</c:v>
                </c:pt>
                <c:pt idx="7">
                  <c:v>86.59</c:v>
                </c:pt>
                <c:pt idx="8">
                  <c:v>88.783000000000001</c:v>
                </c:pt>
                <c:pt idx="9">
                  <c:v>90.641000000000005</c:v>
                </c:pt>
                <c:pt idx="10">
                  <c:v>91.256</c:v>
                </c:pt>
              </c:numCache>
            </c:numRef>
          </c:val>
          <c:extLst>
            <c:ext xmlns:c16="http://schemas.microsoft.com/office/drawing/2014/chart" uri="{C3380CC4-5D6E-409C-BE32-E72D297353CC}">
              <c16:uniqueId val="{0000000C-C4B4-4426-9BC9-E3B9304BF022}"/>
            </c:ext>
          </c:extLst>
        </c:ser>
        <c:ser>
          <c:idx val="2"/>
          <c:order val="2"/>
          <c:tx>
            <c:strRef>
              <c:f>List44!$E$14</c:f>
              <c:strCache>
                <c:ptCount val="1"/>
                <c:pt idx="0">
                  <c:v>s maturitní zkouškou</c:v>
                </c:pt>
              </c:strCache>
            </c:strRef>
          </c:tx>
          <c:spPr>
            <a:solidFill>
              <a:schemeClr val="accent6">
                <a:lumMod val="60000"/>
                <a:lumOff val="40000"/>
              </a:schemeClr>
            </a:solidFill>
          </c:spPr>
          <c:invertIfNegative val="0"/>
          <c:dLbls>
            <c:spPr>
              <a:noFill/>
              <a:ln>
                <a:noFill/>
              </a:ln>
              <a:effectLst/>
            </c:spPr>
            <c:txPr>
              <a:bodyPr/>
              <a:lstStyle/>
              <a:p>
                <a:pPr>
                  <a:defRPr sz="800">
                    <a:solidFill>
                      <a:schemeClr val="accent6">
                        <a:lumMod val="50000"/>
                      </a:schemeClr>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List44!$A$15:$B$25</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List44!$E$15:$E$25</c:f>
              <c:numCache>
                <c:formatCode>0.0</c:formatCode>
                <c:ptCount val="11"/>
                <c:pt idx="0">
                  <c:v>359</c:v>
                </c:pt>
                <c:pt idx="1">
                  <c:v>338.065</c:v>
                </c:pt>
                <c:pt idx="2">
                  <c:v>322.85300000000001</c:v>
                </c:pt>
                <c:pt idx="3">
                  <c:v>315.98500000000001</c:v>
                </c:pt>
                <c:pt idx="4">
                  <c:v>312.62799999999999</c:v>
                </c:pt>
                <c:pt idx="5">
                  <c:v>314</c:v>
                </c:pt>
                <c:pt idx="6">
                  <c:v>315</c:v>
                </c:pt>
                <c:pt idx="7">
                  <c:v>316.69799999999998</c:v>
                </c:pt>
                <c:pt idx="8">
                  <c:v>318.81599999999997</c:v>
                </c:pt>
                <c:pt idx="9">
                  <c:v>326.00700000000001</c:v>
                </c:pt>
                <c:pt idx="10">
                  <c:v>337.28300000000002</c:v>
                </c:pt>
              </c:numCache>
            </c:numRef>
          </c:val>
          <c:extLst>
            <c:ext xmlns:c16="http://schemas.microsoft.com/office/drawing/2014/chart" uri="{C3380CC4-5D6E-409C-BE32-E72D297353CC}">
              <c16:uniqueId val="{0000000D-C4B4-4426-9BC9-E3B9304BF022}"/>
            </c:ext>
          </c:extLst>
        </c:ser>
        <c:ser>
          <c:idx val="3"/>
          <c:order val="3"/>
          <c:tx>
            <c:strRef>
              <c:f>List44!$F$14</c:f>
              <c:strCache>
                <c:ptCount val="1"/>
                <c:pt idx="0">
                  <c:v>nástavbové studium</c:v>
                </c:pt>
              </c:strCache>
            </c:strRef>
          </c:tx>
          <c:spPr>
            <a:solidFill>
              <a:schemeClr val="accent2">
                <a:lumMod val="75000"/>
              </a:schemeClr>
            </a:solidFill>
          </c:spPr>
          <c:invertIfNegative val="0"/>
          <c:dLbls>
            <c:spPr>
              <a:noFill/>
              <a:ln>
                <a:noFill/>
              </a:ln>
              <a:effectLst/>
            </c:spPr>
            <c:txPr>
              <a:bodyPr wrap="square" lIns="38100" tIns="19050" rIns="38100" bIns="19050" anchor="ctr">
                <a:spAutoFit/>
              </a:bodyPr>
              <a:lstStyle/>
              <a:p>
                <a:pPr>
                  <a:defRPr sz="800">
                    <a:solidFill>
                      <a:srgbClr val="C00000"/>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List44!$A$15:$B$25</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List44!$F$15:$F$25</c:f>
              <c:numCache>
                <c:formatCode>0.0</c:formatCode>
                <c:ptCount val="11"/>
                <c:pt idx="0">
                  <c:v>36.481999999999999</c:v>
                </c:pt>
                <c:pt idx="1">
                  <c:v>30.166</c:v>
                </c:pt>
                <c:pt idx="2">
                  <c:v>26.483000000000001</c:v>
                </c:pt>
                <c:pt idx="3">
                  <c:v>22.757999999999999</c:v>
                </c:pt>
                <c:pt idx="4">
                  <c:v>20.437000000000001</c:v>
                </c:pt>
                <c:pt idx="5">
                  <c:v>18.978000000000002</c:v>
                </c:pt>
                <c:pt idx="6">
                  <c:v>16.486000000000001</c:v>
                </c:pt>
                <c:pt idx="7">
                  <c:v>14.803000000000001</c:v>
                </c:pt>
                <c:pt idx="8">
                  <c:v>13.52</c:v>
                </c:pt>
                <c:pt idx="9">
                  <c:v>13.538</c:v>
                </c:pt>
                <c:pt idx="10">
                  <c:v>14.952</c:v>
                </c:pt>
              </c:numCache>
            </c:numRef>
          </c:val>
          <c:extLst>
            <c:ext xmlns:c16="http://schemas.microsoft.com/office/drawing/2014/chart" uri="{C3380CC4-5D6E-409C-BE32-E72D297353CC}">
              <c16:uniqueId val="{0000000E-C4B4-4426-9BC9-E3B9304BF022}"/>
            </c:ext>
          </c:extLst>
        </c:ser>
        <c:dLbls>
          <c:showLegendKey val="0"/>
          <c:showVal val="0"/>
          <c:showCatName val="0"/>
          <c:showSerName val="0"/>
          <c:showPercent val="0"/>
          <c:showBubbleSize val="0"/>
        </c:dLbls>
        <c:gapWidth val="55"/>
        <c:axId val="191759360"/>
        <c:axId val="191709760"/>
      </c:barChart>
      <c:catAx>
        <c:axId val="191759360"/>
        <c:scaling>
          <c:orientation val="minMax"/>
        </c:scaling>
        <c:delete val="0"/>
        <c:axPos val="b"/>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1709760"/>
        <c:crosses val="autoZero"/>
        <c:auto val="1"/>
        <c:lblAlgn val="ctr"/>
        <c:lblOffset val="100"/>
        <c:noMultiLvlLbl val="0"/>
      </c:catAx>
      <c:valAx>
        <c:axId val="191709760"/>
        <c:scaling>
          <c:orientation val="minMax"/>
          <c:max val="400"/>
        </c:scaling>
        <c:delete val="0"/>
        <c:axPos val="l"/>
        <c:majorGridlines>
          <c:spPr>
            <a:ln>
              <a:noFill/>
            </a:ln>
          </c:spPr>
        </c:majorGridlines>
        <c:numFmt formatCode="#\ ##0&quot; &quot;"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1759360"/>
        <c:crosses val="autoZero"/>
        <c:crossBetween val="between"/>
      </c:valAx>
    </c:plotArea>
    <c:legend>
      <c:legendPos val="b"/>
      <c:layout>
        <c:manualLayout>
          <c:xMode val="edge"/>
          <c:yMode val="edge"/>
          <c:x val="3.6832412523020261E-2"/>
          <c:y val="0.90838351088466884"/>
          <c:w val="0.89760517956893715"/>
          <c:h val="7.277250270186815E-2"/>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chemeClr val="bg1">
          <a:lumMod val="85000"/>
        </a:schemeClr>
      </a:solidFill>
    </a:ln>
  </c:spPr>
  <c:externalData r:id="rId1">
    <c:autoUpdate val="0"/>
  </c:externalData>
  <c:userShapes r:id="rId2"/>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2515796636531548E-2"/>
          <c:y val="7.9363715899148965E-2"/>
          <c:w val="0.88637751772741113"/>
          <c:h val="0.66041080092261206"/>
        </c:manualLayout>
      </c:layout>
      <c:barChart>
        <c:barDir val="col"/>
        <c:grouping val="clustered"/>
        <c:varyColors val="0"/>
        <c:ser>
          <c:idx val="0"/>
          <c:order val="0"/>
          <c:tx>
            <c:strRef>
              <c:f>List1!$B$19</c:f>
              <c:strCache>
                <c:ptCount val="1"/>
                <c:pt idx="0">
                  <c:v>gymnázia</c:v>
                </c:pt>
              </c:strCache>
            </c:strRef>
          </c:tx>
          <c:spPr>
            <a:solidFill>
              <a:srgbClr val="FFC45B"/>
            </a:solidFill>
          </c:spPr>
          <c:invertIfNegative val="0"/>
          <c:dLbls>
            <c:dLbl>
              <c:idx val="8"/>
              <c:layout>
                <c:manualLayout>
                  <c:x val="0"/>
                  <c:y val="1.47058823529410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8E24-4FEC-ACE7-898A04FFCDCF}"/>
                </c:ext>
              </c:extLst>
            </c:dLbl>
            <c:dLbl>
              <c:idx val="9"/>
              <c:layout>
                <c:manualLayout>
                  <c:x val="0"/>
                  <c:y val="1.470588235294117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8E24-4FEC-ACE7-898A04FFCDCF}"/>
                </c:ext>
              </c:extLst>
            </c:dLbl>
            <c:dLbl>
              <c:idx val="10"/>
              <c:layout>
                <c:manualLayout>
                  <c:x val="0"/>
                  <c:y val="1.470588235294108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8E24-4FEC-ACE7-898A04FFCDCF}"/>
                </c:ext>
              </c:extLst>
            </c:dLbl>
            <c:spPr>
              <a:noFill/>
              <a:ln>
                <a:noFill/>
              </a:ln>
              <a:effectLst/>
            </c:spPr>
            <c:txPr>
              <a:bodyPr/>
              <a:lstStyle/>
              <a:p>
                <a:pPr>
                  <a:defRPr sz="750">
                    <a:solidFill>
                      <a:srgbClr val="BE6402"/>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List1!$A$20:$A$30</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List1!$B$20:$B$30</c:f>
              <c:numCache>
                <c:formatCode>0.0</c:formatCode>
                <c:ptCount val="11"/>
                <c:pt idx="0">
                  <c:v>134.965</c:v>
                </c:pt>
                <c:pt idx="1">
                  <c:v>131.01300000000001</c:v>
                </c:pt>
                <c:pt idx="2">
                  <c:v>128.52699999999999</c:v>
                </c:pt>
                <c:pt idx="3">
                  <c:v>127.666</c:v>
                </c:pt>
                <c:pt idx="4">
                  <c:v>128.04499999999999</c:v>
                </c:pt>
                <c:pt idx="5">
                  <c:v>128.994</c:v>
                </c:pt>
                <c:pt idx="6">
                  <c:v>129.554</c:v>
                </c:pt>
                <c:pt idx="7">
                  <c:v>130.13300000000001</c:v>
                </c:pt>
                <c:pt idx="8">
                  <c:v>130.72499999999999</c:v>
                </c:pt>
                <c:pt idx="9">
                  <c:v>131.79900000000001</c:v>
                </c:pt>
                <c:pt idx="10">
                  <c:v>133.321</c:v>
                </c:pt>
              </c:numCache>
            </c:numRef>
          </c:val>
          <c:extLst>
            <c:ext xmlns:c16="http://schemas.microsoft.com/office/drawing/2014/chart" uri="{C3380CC4-5D6E-409C-BE32-E72D297353CC}">
              <c16:uniqueId val="{00000003-8E24-4FEC-ACE7-898A04FFCDCF}"/>
            </c:ext>
          </c:extLst>
        </c:ser>
        <c:ser>
          <c:idx val="1"/>
          <c:order val="1"/>
          <c:tx>
            <c:strRef>
              <c:f>List1!$C$19</c:f>
              <c:strCache>
                <c:ptCount val="1"/>
                <c:pt idx="0">
                  <c:v>odborné školy s maturitní zkouškou</c:v>
                </c:pt>
              </c:strCache>
            </c:strRef>
          </c:tx>
          <c:spPr>
            <a:solidFill>
              <a:schemeClr val="accent3">
                <a:lumMod val="60000"/>
                <a:lumOff val="40000"/>
              </a:schemeClr>
            </a:solidFill>
          </c:spPr>
          <c:invertIfNegative val="0"/>
          <c:dLbls>
            <c:spPr>
              <a:noFill/>
              <a:ln>
                <a:noFill/>
              </a:ln>
              <a:effectLst/>
            </c:spPr>
            <c:txPr>
              <a:bodyPr/>
              <a:lstStyle/>
              <a:p>
                <a:pPr>
                  <a:defRPr sz="800">
                    <a:solidFill>
                      <a:schemeClr val="tx1">
                        <a:lumMod val="65000"/>
                        <a:lumOff val="35000"/>
                      </a:schemeClr>
                    </a:solidFill>
                    <a:latin typeface="Arial" panose="020B0604020202020204" pitchFamily="34" charset="0"/>
                    <a:cs typeface="Arial" panose="020B0604020202020204" pitchFamily="34" charset="0"/>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List1!$A$20:$A$30</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List1!$C$20:$C$30</c:f>
              <c:numCache>
                <c:formatCode>0.0</c:formatCode>
                <c:ptCount val="11"/>
                <c:pt idx="0">
                  <c:v>224.035</c:v>
                </c:pt>
                <c:pt idx="1">
                  <c:v>207.05199999999999</c:v>
                </c:pt>
                <c:pt idx="2">
                  <c:v>194.32599999999999</c:v>
                </c:pt>
                <c:pt idx="3">
                  <c:v>188.31899999999999</c:v>
                </c:pt>
                <c:pt idx="4">
                  <c:v>184.583</c:v>
                </c:pt>
                <c:pt idx="5">
                  <c:v>185.006</c:v>
                </c:pt>
                <c:pt idx="6">
                  <c:v>185.446</c:v>
                </c:pt>
                <c:pt idx="7">
                  <c:v>186.565</c:v>
                </c:pt>
                <c:pt idx="8">
                  <c:v>188.09100000000001</c:v>
                </c:pt>
                <c:pt idx="9">
                  <c:v>194.208</c:v>
                </c:pt>
                <c:pt idx="10">
                  <c:v>203.96199999999999</c:v>
                </c:pt>
              </c:numCache>
            </c:numRef>
          </c:val>
          <c:extLst>
            <c:ext xmlns:c16="http://schemas.microsoft.com/office/drawing/2014/chart" uri="{C3380CC4-5D6E-409C-BE32-E72D297353CC}">
              <c16:uniqueId val="{00000004-8E24-4FEC-ACE7-898A04FFCDCF}"/>
            </c:ext>
          </c:extLst>
        </c:ser>
        <c:dLbls>
          <c:showLegendKey val="0"/>
          <c:showVal val="0"/>
          <c:showCatName val="0"/>
          <c:showSerName val="0"/>
          <c:showPercent val="0"/>
          <c:showBubbleSize val="0"/>
        </c:dLbls>
        <c:gapWidth val="55"/>
        <c:axId val="191759360"/>
        <c:axId val="191709760"/>
      </c:barChart>
      <c:catAx>
        <c:axId val="191759360"/>
        <c:scaling>
          <c:orientation val="minMax"/>
        </c:scaling>
        <c:delete val="0"/>
        <c:axPos val="b"/>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1709760"/>
        <c:crosses val="autoZero"/>
        <c:auto val="1"/>
        <c:lblAlgn val="ctr"/>
        <c:lblOffset val="100"/>
        <c:noMultiLvlLbl val="0"/>
      </c:catAx>
      <c:valAx>
        <c:axId val="191709760"/>
        <c:scaling>
          <c:orientation val="minMax"/>
          <c:max val="250"/>
        </c:scaling>
        <c:delete val="0"/>
        <c:axPos val="l"/>
        <c:majorGridlines>
          <c:spPr>
            <a:ln>
              <a:noFill/>
            </a:ln>
          </c:spPr>
        </c:majorGridlines>
        <c:numFmt formatCode="#\ ##0&quot; &quot;"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1759360"/>
        <c:crosses val="autoZero"/>
        <c:crossBetween val="between"/>
      </c:valAx>
    </c:plotArea>
    <c:legend>
      <c:legendPos val="b"/>
      <c:layout>
        <c:manualLayout>
          <c:xMode val="edge"/>
          <c:yMode val="edge"/>
          <c:x val="3.6832412523020261E-2"/>
          <c:y val="0.90838351088466884"/>
          <c:w val="0.89760517956893715"/>
          <c:h val="7.277250270186815E-2"/>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chemeClr val="bg1">
          <a:lumMod val="85000"/>
        </a:schemeClr>
      </a:solidFill>
    </a:ln>
  </c:spPr>
  <c:externalData r:id="rId1">
    <c:autoUpdate val="0"/>
  </c:externalData>
  <c:userShapes r:id="rId2"/>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238953601874149E-2"/>
          <c:y val="4.7196058039914821E-2"/>
          <c:w val="0.85882648966399866"/>
          <c:h val="0.81227590195293387"/>
        </c:manualLayout>
      </c:layout>
      <c:lineChart>
        <c:grouping val="standard"/>
        <c:varyColors val="0"/>
        <c:ser>
          <c:idx val="0"/>
          <c:order val="0"/>
          <c:tx>
            <c:strRef>
              <c:f>List2!$B$18</c:f>
              <c:strCache>
                <c:ptCount val="1"/>
                <c:pt idx="0">
                  <c:v>celkem</c:v>
                </c:pt>
              </c:strCache>
            </c:strRef>
          </c:tx>
          <c:spPr>
            <a:ln>
              <a:solidFill>
                <a:schemeClr val="tx1">
                  <a:lumMod val="50000"/>
                  <a:lumOff val="50000"/>
                </a:schemeClr>
              </a:solidFill>
            </a:ln>
          </c:spPr>
          <c:marker>
            <c:symbol val="circle"/>
            <c:size val="5"/>
            <c:spPr>
              <a:solidFill>
                <a:schemeClr val="tx1">
                  <a:lumMod val="50000"/>
                  <a:lumOff val="50000"/>
                </a:schemeClr>
              </a:solidFill>
              <a:ln w="9525">
                <a:solidFill>
                  <a:schemeClr val="tx1">
                    <a:lumMod val="50000"/>
                    <a:lumOff val="50000"/>
                  </a:schemeClr>
                </a:solidFill>
              </a:ln>
              <a:effectLst/>
            </c:spPr>
          </c:marker>
          <c:dLbls>
            <c:numFmt formatCode="0.0\ %" sourceLinked="0"/>
            <c:spPr>
              <a:noFill/>
              <a:ln>
                <a:noFill/>
              </a:ln>
              <a:effectLst/>
            </c:spPr>
            <c:txPr>
              <a:bodyPr wrap="square" lIns="38100" tIns="19050" rIns="38100" bIns="19050" anchor="ctr">
                <a:spAutoFit/>
              </a:bodyPr>
              <a:lstStyle/>
              <a:p>
                <a:pPr>
                  <a:defRPr sz="800">
                    <a:latin typeface="Arial" panose="020B0604020202020204" pitchFamily="34" charset="0"/>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List2!$A$19:$A$29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List2!$B$19:$B$29</c:f>
              <c:numCache>
                <c:formatCode>0.0%</c:formatCode>
                <c:ptCount val="11"/>
                <c:pt idx="0">
                  <c:v>0.26927297394357769</c:v>
                </c:pt>
                <c:pt idx="1">
                  <c:v>0.27830459220739495</c:v>
                </c:pt>
                <c:pt idx="2">
                  <c:v>0.28638433840175403</c:v>
                </c:pt>
                <c:pt idx="3">
                  <c:v>0.2931198368928829</c:v>
                </c:pt>
                <c:pt idx="4">
                  <c:v>0.29979606983730073</c:v>
                </c:pt>
                <c:pt idx="5">
                  <c:v>0.30362316964380287</c:v>
                </c:pt>
                <c:pt idx="6">
                  <c:v>0.30733865515319014</c:v>
                </c:pt>
                <c:pt idx="7">
                  <c:v>0.30924113741462972</c:v>
                </c:pt>
                <c:pt idx="8">
                  <c:v>0.3084315233650593</c:v>
                </c:pt>
                <c:pt idx="9">
                  <c:v>0.30445177475017671</c:v>
                </c:pt>
                <c:pt idx="10">
                  <c:v>0.29875586549364264</c:v>
                </c:pt>
              </c:numCache>
            </c:numRef>
          </c:val>
          <c:smooth val="0"/>
          <c:extLst>
            <c:ext xmlns:c16="http://schemas.microsoft.com/office/drawing/2014/chart" uri="{C3380CC4-5D6E-409C-BE32-E72D297353CC}">
              <c16:uniqueId val="{00000000-3A46-409E-8B90-4C86ACDBDCB9}"/>
            </c:ext>
          </c:extLst>
        </c:ser>
        <c:ser>
          <c:idx val="1"/>
          <c:order val="1"/>
          <c:tx>
            <c:strRef>
              <c:f>List2!$C$18</c:f>
              <c:strCache>
                <c:ptCount val="1"/>
                <c:pt idx="0">
                  <c:v>dívky</c:v>
                </c:pt>
              </c:strCache>
            </c:strRef>
          </c:tx>
          <c:marker>
            <c:symbol val="circle"/>
            <c:size val="5"/>
            <c:spPr>
              <a:solidFill>
                <a:srgbClr val="C00000"/>
              </a:solidFill>
              <a:ln w="9525">
                <a:solidFill>
                  <a:srgbClr val="C00000"/>
                </a:solidFill>
              </a:ln>
              <a:effectLst/>
            </c:spPr>
          </c:marker>
          <c:dLbls>
            <c:numFmt formatCode="0.0\ %" sourceLinked="0"/>
            <c:spPr>
              <a:noFill/>
              <a:ln>
                <a:noFill/>
              </a:ln>
              <a:effectLst/>
            </c:spPr>
            <c:txPr>
              <a:bodyPr wrap="square" lIns="38100" tIns="19050" rIns="38100" bIns="19050" anchor="ctr">
                <a:spAutoFit/>
              </a:bodyPr>
              <a:lstStyle/>
              <a:p>
                <a:pPr>
                  <a:defRPr sz="800">
                    <a:solidFill>
                      <a:srgbClr val="C00000"/>
                    </a:solidFill>
                    <a:latin typeface="Arial" panose="020B0604020202020204" pitchFamily="34" charset="0"/>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List2!$A$19:$A$29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List2!$C$19:$C$29</c:f>
              <c:numCache>
                <c:formatCode>0.0%</c:formatCode>
                <c:ptCount val="11"/>
                <c:pt idx="0">
                  <c:v>0.31556333416868093</c:v>
                </c:pt>
                <c:pt idx="1">
                  <c:v>0.32313562351157793</c:v>
                </c:pt>
                <c:pt idx="2">
                  <c:v>0.33205180455554045</c:v>
                </c:pt>
                <c:pt idx="3">
                  <c:v>0.33848400840977172</c:v>
                </c:pt>
                <c:pt idx="4">
                  <c:v>0.346674570243035</c:v>
                </c:pt>
                <c:pt idx="5">
                  <c:v>0.35208842161502063</c:v>
                </c:pt>
                <c:pt idx="6">
                  <c:v>0.35609472404196929</c:v>
                </c:pt>
                <c:pt idx="7">
                  <c:v>0.35769629586957774</c:v>
                </c:pt>
                <c:pt idx="8">
                  <c:v>0.3562988842126335</c:v>
                </c:pt>
                <c:pt idx="9">
                  <c:v>0.35053656171625164</c:v>
                </c:pt>
                <c:pt idx="10">
                  <c:v>0.34303707493310759</c:v>
                </c:pt>
              </c:numCache>
            </c:numRef>
          </c:val>
          <c:smooth val="0"/>
          <c:extLst>
            <c:ext xmlns:c16="http://schemas.microsoft.com/office/drawing/2014/chart" uri="{C3380CC4-5D6E-409C-BE32-E72D297353CC}">
              <c16:uniqueId val="{00000001-3A46-409E-8B90-4C86ACDBDCB9}"/>
            </c:ext>
          </c:extLst>
        </c:ser>
        <c:ser>
          <c:idx val="2"/>
          <c:order val="2"/>
          <c:tx>
            <c:strRef>
              <c:f>List2!$D$18</c:f>
              <c:strCache>
                <c:ptCount val="1"/>
                <c:pt idx="0">
                  <c:v>chlapci</c:v>
                </c:pt>
              </c:strCache>
            </c:strRef>
          </c:tx>
          <c:spPr>
            <a:ln>
              <a:solidFill>
                <a:schemeClr val="accent1">
                  <a:lumMod val="50000"/>
                </a:schemeClr>
              </a:solidFill>
            </a:ln>
          </c:spPr>
          <c:marker>
            <c:symbol val="circle"/>
            <c:size val="5"/>
            <c:spPr>
              <a:solidFill>
                <a:schemeClr val="accent1">
                  <a:lumMod val="50000"/>
                </a:schemeClr>
              </a:solidFill>
              <a:ln w="9525">
                <a:solidFill>
                  <a:schemeClr val="accent1">
                    <a:lumMod val="75000"/>
                  </a:schemeClr>
                </a:solidFill>
              </a:ln>
              <a:effectLst/>
            </c:spPr>
          </c:marker>
          <c:dLbls>
            <c:numFmt formatCode="0.0\ %" sourceLinked="0"/>
            <c:spPr>
              <a:noFill/>
              <a:ln>
                <a:noFill/>
              </a:ln>
              <a:effectLst/>
            </c:spPr>
            <c:txPr>
              <a:bodyPr wrap="square" lIns="38100" tIns="19050" rIns="38100" bIns="19050" anchor="ctr">
                <a:spAutoFit/>
              </a:bodyPr>
              <a:lstStyle/>
              <a:p>
                <a:pPr>
                  <a:defRPr sz="800">
                    <a:solidFill>
                      <a:schemeClr val="accent1">
                        <a:lumMod val="50000"/>
                      </a:schemeClr>
                    </a:solidFill>
                    <a:latin typeface="Arial" panose="020B0604020202020204" pitchFamily="34" charset="0"/>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List2!$A$19:$A$29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List2!$D$19:$D$29</c:f>
              <c:numCache>
                <c:formatCode>0.0%</c:formatCode>
                <c:ptCount val="11"/>
                <c:pt idx="0">
                  <c:v>0.22415273936442648</c:v>
                </c:pt>
                <c:pt idx="1">
                  <c:v>0.23466431910121779</c:v>
                </c:pt>
                <c:pt idx="2">
                  <c:v>0.24214562076135496</c:v>
                </c:pt>
                <c:pt idx="3">
                  <c:v>0.24890049602364953</c:v>
                </c:pt>
                <c:pt idx="4">
                  <c:v>0.25407895223648674</c:v>
                </c:pt>
                <c:pt idx="5">
                  <c:v>0.25641561772536559</c:v>
                </c:pt>
                <c:pt idx="6">
                  <c:v>0.25982068409859566</c:v>
                </c:pt>
                <c:pt idx="7">
                  <c:v>0.26174319783911981</c:v>
                </c:pt>
                <c:pt idx="8">
                  <c:v>0.26150884684928821</c:v>
                </c:pt>
                <c:pt idx="9">
                  <c:v>0.25918531814352175</c:v>
                </c:pt>
                <c:pt idx="10">
                  <c:v>0.25535879881265611</c:v>
                </c:pt>
              </c:numCache>
            </c:numRef>
          </c:val>
          <c:smooth val="0"/>
          <c:extLst>
            <c:ext xmlns:c16="http://schemas.microsoft.com/office/drawing/2014/chart" uri="{C3380CC4-5D6E-409C-BE32-E72D297353CC}">
              <c16:uniqueId val="{00000002-3A46-409E-8B90-4C86ACDBDCB9}"/>
            </c:ext>
          </c:extLst>
        </c:ser>
        <c:dLbls>
          <c:showLegendKey val="0"/>
          <c:showVal val="0"/>
          <c:showCatName val="0"/>
          <c:showSerName val="0"/>
          <c:showPercent val="0"/>
          <c:showBubbleSize val="0"/>
        </c:dLbls>
        <c:marker val="1"/>
        <c:smooth val="0"/>
        <c:axId val="191515648"/>
        <c:axId val="233830592"/>
      </c:lineChart>
      <c:catAx>
        <c:axId val="19151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33830592"/>
        <c:crosses val="autoZero"/>
        <c:auto val="1"/>
        <c:lblAlgn val="ctr"/>
        <c:lblOffset val="100"/>
        <c:noMultiLvlLbl val="0"/>
      </c:catAx>
      <c:valAx>
        <c:axId val="233830592"/>
        <c:scaling>
          <c:orientation val="minMax"/>
          <c:max val="0.4"/>
          <c:min val="0.15000000000000002"/>
        </c:scaling>
        <c:delete val="0"/>
        <c:axPos val="l"/>
        <c:majorGridlines>
          <c:spPr>
            <a:ln w="9525" cap="flat" cmpd="sng" algn="ctr">
              <a:noFill/>
              <a:prstDash val="sysDot"/>
              <a:round/>
            </a:ln>
            <a:effectLst/>
          </c:spPr>
        </c:majorGridlines>
        <c:numFmt formatCode="0\ %" sourceLinked="0"/>
        <c:majorTickMark val="none"/>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91515648"/>
        <c:crosses val="autoZero"/>
        <c:crossBetween val="between"/>
        <c:majorUnit val="5.000000000000001E-2"/>
      </c:valAx>
      <c:spPr>
        <a:noFill/>
        <a:effectLst/>
      </c:spPr>
    </c:plotArea>
    <c:plotVisOnly val="1"/>
    <c:dispBlanksAs val="gap"/>
    <c:showDLblsOverMax val="0"/>
  </c:chart>
  <c:spPr>
    <a:solidFill>
      <a:schemeClr val="bg1"/>
    </a:solidFill>
    <a:ln>
      <a:solidFill>
        <a:schemeClr val="bg1">
          <a:lumMod val="85000"/>
        </a:schemeClr>
      </a:solidFill>
    </a:ln>
    <a:effectLst/>
  </c:spPr>
  <c:txPr>
    <a:bodyPr/>
    <a:lstStyle/>
    <a:p>
      <a:pPr>
        <a:defRPr/>
      </a:pPr>
      <a:endParaRPr lang="cs-CZ"/>
    </a:p>
  </c:txPr>
  <c:externalData r:id="rId1">
    <c:autoUpdate val="0"/>
  </c:externalData>
  <c:userShapes r:id="rId2"/>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3152900005146413E-2"/>
          <c:y val="2.0063094719023317E-2"/>
          <c:w val="0.88808893006021306"/>
          <c:h val="0.84025967885654029"/>
        </c:manualLayout>
      </c:layout>
      <c:barChart>
        <c:barDir val="col"/>
        <c:grouping val="percentStacked"/>
        <c:varyColors val="0"/>
        <c:ser>
          <c:idx val="0"/>
          <c:order val="0"/>
          <c:tx>
            <c:strRef>
              <c:f>List3!$F$38</c:f>
              <c:strCache>
                <c:ptCount val="1"/>
                <c:pt idx="0">
                  <c:v>pouze se závěrečnou zkouškou</c:v>
                </c:pt>
              </c:strCache>
            </c:strRef>
          </c:tx>
          <c:spPr>
            <a:solidFill>
              <a:schemeClr val="bg1">
                <a:lumMod val="85000"/>
              </a:schemeClr>
            </a:solidFill>
          </c:spPr>
          <c:invertIfNegative val="0"/>
          <c:dLbls>
            <c:numFmt formatCode="0.0\ %" sourceLinked="0"/>
            <c:spPr>
              <a:noFill/>
              <a:ln>
                <a:noFill/>
              </a:ln>
              <a:effectLst/>
            </c:spPr>
            <c:txPr>
              <a:bodyPr wrap="square" lIns="38100" tIns="19050" rIns="38100" bIns="19050" anchor="ctr">
                <a:spAutoFit/>
              </a:bodyPr>
              <a:lstStyle/>
              <a:p>
                <a:pPr>
                  <a:defRPr sz="700">
                    <a:solidFill>
                      <a:schemeClr val="bg1"/>
                    </a:solidFill>
                    <a:latin typeface="Arial" panose="020B0604020202020204" pitchFamily="34" charset="0"/>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List3!$E$39:$E$49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List3!$F$39:$F$49</c:f>
              <c:numCache>
                <c:formatCode>0.0%</c:formatCode>
                <c:ptCount val="11"/>
                <c:pt idx="0">
                  <c:v>4.096005745979809E-3</c:v>
                </c:pt>
                <c:pt idx="1">
                  <c:v>4.1741546540231206E-3</c:v>
                </c:pt>
                <c:pt idx="2">
                  <c:v>4.3784202926968399E-3</c:v>
                </c:pt>
                <c:pt idx="3">
                  <c:v>4.6838192413131228E-3</c:v>
                </c:pt>
                <c:pt idx="4">
                  <c:v>5.1532754087383259E-3</c:v>
                </c:pt>
                <c:pt idx="5">
                  <c:v>5.6584810132541208E-3</c:v>
                </c:pt>
                <c:pt idx="6">
                  <c:v>6.1964012478204654E-3</c:v>
                </c:pt>
                <c:pt idx="7">
                  <c:v>6.4707923215482372E-3</c:v>
                </c:pt>
                <c:pt idx="8">
                  <c:v>6.4151869346306843E-3</c:v>
                </c:pt>
                <c:pt idx="9">
                  <c:v>6.2831191990870994E-3</c:v>
                </c:pt>
                <c:pt idx="10">
                  <c:v>6.1915411402474804E-3</c:v>
                </c:pt>
              </c:numCache>
            </c:numRef>
          </c:val>
          <c:extLst>
            <c:ext xmlns:c16="http://schemas.microsoft.com/office/drawing/2014/chart" uri="{C3380CC4-5D6E-409C-BE32-E72D297353CC}">
              <c16:uniqueId val="{00000000-4531-442F-A03C-21EE3BFC3F90}"/>
            </c:ext>
          </c:extLst>
        </c:ser>
        <c:ser>
          <c:idx val="1"/>
          <c:order val="1"/>
          <c:tx>
            <c:strRef>
              <c:f>List3!$G$38</c:f>
              <c:strCache>
                <c:ptCount val="1"/>
                <c:pt idx="0">
                  <c:v>s výučním listem</c:v>
                </c:pt>
              </c:strCache>
            </c:strRef>
          </c:tx>
          <c:spPr>
            <a:solidFill>
              <a:srgbClr val="C64E18"/>
            </a:solidFill>
          </c:spPr>
          <c:invertIfNegative val="0"/>
          <c:dLbls>
            <c:numFmt formatCode="0.0\ %" sourceLinked="0"/>
            <c:spPr>
              <a:noFill/>
              <a:ln>
                <a:noFill/>
              </a:ln>
              <a:effectLst/>
            </c:spPr>
            <c:txPr>
              <a:bodyPr wrap="square" lIns="38100" tIns="19050" rIns="38100" bIns="19050" anchor="ctr">
                <a:spAutoFit/>
              </a:bodyPr>
              <a:lstStyle/>
              <a:p>
                <a:pPr>
                  <a:defRPr sz="800">
                    <a:latin typeface="Arial" panose="020B0604020202020204" pitchFamily="34" charset="0"/>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List3!$E$39:$E$49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List3!$G$39:$G$49</c:f>
              <c:numCache>
                <c:formatCode>0.0%</c:formatCode>
                <c:ptCount val="11"/>
                <c:pt idx="0">
                  <c:v>0.20686524879294521</c:v>
                </c:pt>
                <c:pt idx="1">
                  <c:v>0.2136105056993674</c:v>
                </c:pt>
                <c:pt idx="2">
                  <c:v>0.21722980801796823</c:v>
                </c:pt>
                <c:pt idx="3">
                  <c:v>0.2175656997488187</c:v>
                </c:pt>
                <c:pt idx="4">
                  <c:v>0.21503042563104796</c:v>
                </c:pt>
                <c:pt idx="5">
                  <c:v>0.210585407992016</c:v>
                </c:pt>
                <c:pt idx="6">
                  <c:v>0.20742524345546634</c:v>
                </c:pt>
                <c:pt idx="7">
                  <c:v>0.2057678689397216</c:v>
                </c:pt>
                <c:pt idx="8">
                  <c:v>0.20947390276473557</c:v>
                </c:pt>
                <c:pt idx="9">
                  <c:v>0.20937801739869624</c:v>
                </c:pt>
                <c:pt idx="10">
                  <c:v>0.20449340510113076</c:v>
                </c:pt>
              </c:numCache>
            </c:numRef>
          </c:val>
          <c:extLst>
            <c:ext xmlns:c16="http://schemas.microsoft.com/office/drawing/2014/chart" uri="{C3380CC4-5D6E-409C-BE32-E72D297353CC}">
              <c16:uniqueId val="{00000001-4531-442F-A03C-21EE3BFC3F90}"/>
            </c:ext>
          </c:extLst>
        </c:ser>
        <c:ser>
          <c:idx val="2"/>
          <c:order val="2"/>
          <c:tx>
            <c:strRef>
              <c:f>List3!$H$38</c:f>
              <c:strCache>
                <c:ptCount val="1"/>
                <c:pt idx="0">
                  <c:v>s maturitní zkouškou odborné</c:v>
                </c:pt>
              </c:strCache>
            </c:strRef>
          </c:tx>
          <c:spPr>
            <a:solidFill>
              <a:schemeClr val="accent1">
                <a:lumMod val="40000"/>
                <a:lumOff val="60000"/>
              </a:schemeClr>
            </a:solidFill>
          </c:spPr>
          <c:invertIfNegative val="0"/>
          <c:dLbls>
            <c:numFmt formatCode="0.0\ %" sourceLinked="0"/>
            <c:spPr>
              <a:noFill/>
              <a:ln>
                <a:noFill/>
              </a:ln>
              <a:effectLst/>
            </c:spPr>
            <c:txPr>
              <a:bodyPr wrap="square" lIns="38100" tIns="19050" rIns="38100" bIns="19050" anchor="ctr">
                <a:spAutoFit/>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List3!$E$39:$E$49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List3!$H$39:$H$49</c:f>
              <c:numCache>
                <c:formatCode>0.0%</c:formatCode>
                <c:ptCount val="11"/>
                <c:pt idx="0">
                  <c:v>0.44697937033637924</c:v>
                </c:pt>
                <c:pt idx="1">
                  <c:v>0.4398305696818296</c:v>
                </c:pt>
                <c:pt idx="2">
                  <c:v>0.43299791440132623</c:v>
                </c:pt>
                <c:pt idx="3">
                  <c:v>0.43237850769845387</c:v>
                </c:pt>
                <c:pt idx="4">
                  <c:v>0.43217039289920323</c:v>
                </c:pt>
                <c:pt idx="5">
                  <c:v>0.43546295271967217</c:v>
                </c:pt>
                <c:pt idx="6">
                  <c:v>0.43993025490172821</c:v>
                </c:pt>
                <c:pt idx="7">
                  <c:v>0.44334313972443884</c:v>
                </c:pt>
                <c:pt idx="8">
                  <c:v>0.44378040666481061</c:v>
                </c:pt>
                <c:pt idx="9">
                  <c:v>0.44861471081481891</c:v>
                </c:pt>
                <c:pt idx="10">
                  <c:v>0.45705360624218494</c:v>
                </c:pt>
              </c:numCache>
            </c:numRef>
          </c:val>
          <c:extLst>
            <c:ext xmlns:c16="http://schemas.microsoft.com/office/drawing/2014/chart" uri="{C3380CC4-5D6E-409C-BE32-E72D297353CC}">
              <c16:uniqueId val="{00000002-4531-442F-A03C-21EE3BFC3F90}"/>
            </c:ext>
          </c:extLst>
        </c:ser>
        <c:ser>
          <c:idx val="3"/>
          <c:order val="3"/>
          <c:tx>
            <c:strRef>
              <c:f>List3!$I$38</c:f>
              <c:strCache>
                <c:ptCount val="1"/>
                <c:pt idx="0">
                  <c:v>gymnázia</c:v>
                </c:pt>
              </c:strCache>
            </c:strRef>
          </c:tx>
          <c:spPr>
            <a:solidFill>
              <a:schemeClr val="accent1">
                <a:lumMod val="75000"/>
              </a:schemeClr>
            </a:solidFill>
          </c:spPr>
          <c:invertIfNegative val="0"/>
          <c:dLbls>
            <c:numFmt formatCode="0.0\ %" sourceLinked="0"/>
            <c:spPr>
              <a:noFill/>
              <a:ln>
                <a:noFill/>
              </a:ln>
              <a:effectLst/>
            </c:spPr>
            <c:txPr>
              <a:bodyPr wrap="square" lIns="38100" tIns="19050" rIns="38100" bIns="19050" anchor="ctr">
                <a:spAutoFit/>
              </a:bodyPr>
              <a:lstStyle/>
              <a:p>
                <a:pPr>
                  <a:defRPr sz="800">
                    <a:solidFill>
                      <a:schemeClr val="bg1"/>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List3!$E$39:$E$49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List3!$I$39:$I$49</c:f>
              <c:numCache>
                <c:formatCode>0.0%</c:formatCode>
                <c:ptCount val="11"/>
                <c:pt idx="0">
                  <c:v>0.26927297394357769</c:v>
                </c:pt>
                <c:pt idx="1">
                  <c:v>0.27830459220739495</c:v>
                </c:pt>
                <c:pt idx="2">
                  <c:v>0.28638433840175403</c:v>
                </c:pt>
                <c:pt idx="3">
                  <c:v>0.2931198368928829</c:v>
                </c:pt>
                <c:pt idx="4">
                  <c:v>0.29979606983730073</c:v>
                </c:pt>
                <c:pt idx="5">
                  <c:v>0.30362316964380287</c:v>
                </c:pt>
                <c:pt idx="6">
                  <c:v>0.30733865515319014</c:v>
                </c:pt>
                <c:pt idx="7">
                  <c:v>0.30924113741462972</c:v>
                </c:pt>
                <c:pt idx="8">
                  <c:v>0.3084315233650593</c:v>
                </c:pt>
                <c:pt idx="9">
                  <c:v>0.30445177475017671</c:v>
                </c:pt>
                <c:pt idx="10">
                  <c:v>0.29875586549364264</c:v>
                </c:pt>
              </c:numCache>
            </c:numRef>
          </c:val>
          <c:extLst>
            <c:ext xmlns:c16="http://schemas.microsoft.com/office/drawing/2014/chart" uri="{C3380CC4-5D6E-409C-BE32-E72D297353CC}">
              <c16:uniqueId val="{00000003-4531-442F-A03C-21EE3BFC3F90}"/>
            </c:ext>
          </c:extLst>
        </c:ser>
        <c:ser>
          <c:idx val="4"/>
          <c:order val="4"/>
          <c:tx>
            <c:strRef>
              <c:f>List3!$J$38</c:f>
              <c:strCache>
                <c:ptCount val="1"/>
                <c:pt idx="0">
                  <c:v>nástavbové studium</c:v>
                </c:pt>
              </c:strCache>
            </c:strRef>
          </c:tx>
          <c:spPr>
            <a:solidFill>
              <a:schemeClr val="accent4">
                <a:lumMod val="60000"/>
                <a:lumOff val="40000"/>
              </a:schemeClr>
            </a:solidFill>
          </c:spPr>
          <c:invertIfNegative val="0"/>
          <c:dLbls>
            <c:numFmt formatCode="0.0\ %" sourceLinked="0"/>
            <c:spPr>
              <a:noFill/>
              <a:ln>
                <a:noFill/>
              </a:ln>
              <a:effectLst/>
            </c:spPr>
            <c:txPr>
              <a:bodyPr wrap="square" lIns="38100" tIns="19050" rIns="38100" bIns="19050" anchor="ctr">
                <a:spAutoFit/>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List3!$E$39:$E$49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List3!$J$39:$J$49</c:f>
              <c:numCache>
                <c:formatCode>0.0%</c:formatCode>
                <c:ptCount val="11"/>
                <c:pt idx="0">
                  <c:v>7.2786401181118066E-2</c:v>
                </c:pt>
                <c:pt idx="1">
                  <c:v>6.4080177757384962E-2</c:v>
                </c:pt>
                <c:pt idx="2">
                  <c:v>5.9009518886254657E-2</c:v>
                </c:pt>
                <c:pt idx="3">
                  <c:v>5.2252136418531395E-2</c:v>
                </c:pt>
                <c:pt idx="4">
                  <c:v>4.7849836223709752E-2</c:v>
                </c:pt>
                <c:pt idx="5">
                  <c:v>4.4669988631254869E-2</c:v>
                </c:pt>
                <c:pt idx="6">
                  <c:v>3.9109445241794868E-2</c:v>
                </c:pt>
                <c:pt idx="7">
                  <c:v>3.5177061599661608E-2</c:v>
                </c:pt>
                <c:pt idx="8">
                  <c:v>3.1898980270763828E-2</c:v>
                </c:pt>
                <c:pt idx="9">
                  <c:v>3.1272377837221012E-2</c:v>
                </c:pt>
                <c:pt idx="10">
                  <c:v>3.3505582022794196E-2</c:v>
                </c:pt>
              </c:numCache>
            </c:numRef>
          </c:val>
          <c:extLst>
            <c:ext xmlns:c16="http://schemas.microsoft.com/office/drawing/2014/chart" uri="{C3380CC4-5D6E-409C-BE32-E72D297353CC}">
              <c16:uniqueId val="{00000004-4531-442F-A03C-21EE3BFC3F90}"/>
            </c:ext>
          </c:extLst>
        </c:ser>
        <c:dLbls>
          <c:showLegendKey val="0"/>
          <c:showVal val="0"/>
          <c:showCatName val="0"/>
          <c:showSerName val="0"/>
          <c:showPercent val="0"/>
          <c:showBubbleSize val="0"/>
        </c:dLbls>
        <c:gapWidth val="35"/>
        <c:overlap val="100"/>
        <c:axId val="192292864"/>
        <c:axId val="191712640"/>
      </c:barChart>
      <c:catAx>
        <c:axId val="192292864"/>
        <c:scaling>
          <c:orientation val="minMax"/>
        </c:scaling>
        <c:delete val="0"/>
        <c:axPos val="b"/>
        <c:numFmt formatCode="General" sourceLinked="1"/>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1712640"/>
        <c:crosses val="autoZero"/>
        <c:auto val="1"/>
        <c:lblAlgn val="ctr"/>
        <c:lblOffset val="100"/>
        <c:noMultiLvlLbl val="0"/>
      </c:catAx>
      <c:valAx>
        <c:axId val="191712640"/>
        <c:scaling>
          <c:orientation val="minMax"/>
        </c:scaling>
        <c:delete val="0"/>
        <c:axPos val="l"/>
        <c:majorGridlines>
          <c:spPr>
            <a:ln>
              <a:noFill/>
            </a:ln>
          </c:spPr>
        </c:majorGridlines>
        <c:numFmt formatCode="0\ %"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2292864"/>
        <c:crosses val="autoZero"/>
        <c:crossBetween val="between"/>
      </c:valAx>
    </c:plotArea>
    <c:legend>
      <c:legendPos val="b"/>
      <c:legendEntry>
        <c:idx val="0"/>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legendEntry>
      <c:layout>
        <c:manualLayout>
          <c:xMode val="edge"/>
          <c:yMode val="edge"/>
          <c:x val="0"/>
          <c:y val="0.88518915591577108"/>
          <c:w val="1"/>
          <c:h val="0.11481081081081081"/>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chemeClr val="bg1">
          <a:lumMod val="85000"/>
        </a:schemeClr>
      </a:solidFill>
    </a:ln>
  </c:spPr>
  <c:externalData r:id="rId2">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89609919449724"/>
          <c:y val="1.2549019607843137E-2"/>
          <c:w val="0.80479039649824335"/>
          <c:h val="0.87895467265065141"/>
        </c:manualLayout>
      </c:layout>
      <c:barChart>
        <c:barDir val="bar"/>
        <c:grouping val="percentStacked"/>
        <c:varyColors val="0"/>
        <c:ser>
          <c:idx val="0"/>
          <c:order val="0"/>
          <c:tx>
            <c:strRef>
              <c:f>List4!$B$18</c:f>
              <c:strCache>
                <c:ptCount val="1"/>
                <c:pt idx="0">
                  <c:v>pouze se závěrečnou zkouškou</c:v>
                </c:pt>
              </c:strCache>
            </c:strRef>
          </c:tx>
          <c:spPr>
            <a:solidFill>
              <a:schemeClr val="bg1">
                <a:lumMod val="85000"/>
              </a:schemeClr>
            </a:solidFill>
          </c:spPr>
          <c:invertIfNegative val="0"/>
          <c:dLbls>
            <c:dLbl>
              <c:idx val="0"/>
              <c:layout>
                <c:manualLayout>
                  <c:x val="2.0872148034787187E-2"/>
                  <c:y val="0"/>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4481-48F3-BB5D-62CEEFCD1AC1}"/>
                </c:ext>
              </c:extLst>
            </c:dLbl>
            <c:numFmt formatCode="0.0\ %" sourceLinked="0"/>
            <c:spPr>
              <a:noFill/>
              <a:ln>
                <a:noFill/>
              </a:ln>
              <a:effectLst/>
            </c:spPr>
            <c:txPr>
              <a:bodyPr wrap="square" lIns="38100" tIns="19050" rIns="38100" bIns="19050" anchor="ctr">
                <a:spAutoFit/>
              </a:bodyPr>
              <a:lstStyle/>
              <a:p>
                <a:pPr>
                  <a:defRPr sz="700">
                    <a:solidFill>
                      <a:schemeClr val="bg1"/>
                    </a:solidFill>
                    <a:latin typeface="Arial" panose="020B0604020202020204" pitchFamily="34" charset="0"/>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List4!$A$19:$A$34</c:f>
              <c:strCache>
                <c:ptCount val="16"/>
                <c:pt idx="0">
                  <c:v>Praha</c:v>
                </c:pt>
                <c:pt idx="1">
                  <c:v>Zlínský </c:v>
                </c:pt>
                <c:pt idx="2">
                  <c:v>Jihomoravský </c:v>
                </c:pt>
                <c:pt idx="3">
                  <c:v>Moravskoslezský </c:v>
                </c:pt>
                <c:pt idx="4">
                  <c:v>Plzeňský </c:v>
                </c:pt>
                <c:pt idx="5">
                  <c:v>Královéhradecký </c:v>
                </c:pt>
                <c:pt idx="6">
                  <c:v>Jihočeský </c:v>
                </c:pt>
                <c:pt idx="7">
                  <c:v>Středočeský </c:v>
                </c:pt>
                <c:pt idx="8">
                  <c:v>Pardubický </c:v>
                </c:pt>
                <c:pt idx="9">
                  <c:v>Olomoucký </c:v>
                </c:pt>
                <c:pt idx="10">
                  <c:v>Vysočina</c:v>
                </c:pt>
                <c:pt idx="11">
                  <c:v>Liberecký </c:v>
                </c:pt>
                <c:pt idx="12">
                  <c:v>Karlovarský </c:v>
                </c:pt>
                <c:pt idx="13">
                  <c:v>Ústecký </c:v>
                </c:pt>
                <c:pt idx="15">
                  <c:v>Česká republika</c:v>
                </c:pt>
              </c:strCache>
            </c:strRef>
          </c:cat>
          <c:val>
            <c:numRef>
              <c:f>List4!$B$19:$B$34</c:f>
              <c:numCache>
                <c:formatCode>0.0%</c:formatCode>
                <c:ptCount val="16"/>
                <c:pt idx="0">
                  <c:v>5.1557946648733465E-3</c:v>
                </c:pt>
                <c:pt idx="1">
                  <c:v>2.9386069414661267E-3</c:v>
                </c:pt>
                <c:pt idx="2">
                  <c:v>4.939764058526825E-3</c:v>
                </c:pt>
                <c:pt idx="3">
                  <c:v>6.1198261969360067E-3</c:v>
                </c:pt>
                <c:pt idx="4">
                  <c:v>2.9853256527771939E-3</c:v>
                </c:pt>
                <c:pt idx="5">
                  <c:v>7.1866413020503063E-3</c:v>
                </c:pt>
                <c:pt idx="6">
                  <c:v>3.2133903033299198E-3</c:v>
                </c:pt>
                <c:pt idx="7">
                  <c:v>9.97839969947408E-3</c:v>
                </c:pt>
                <c:pt idx="8">
                  <c:v>5.2706614248066701E-3</c:v>
                </c:pt>
                <c:pt idx="9">
                  <c:v>1.1407116037904501E-2</c:v>
                </c:pt>
                <c:pt idx="10">
                  <c:v>7.912601717394236E-3</c:v>
                </c:pt>
                <c:pt idx="11">
                  <c:v>3.136119655026838E-3</c:v>
                </c:pt>
                <c:pt idx="12">
                  <c:v>7.3956187979779065E-3</c:v>
                </c:pt>
                <c:pt idx="13">
                  <c:v>8.271568336792174E-3</c:v>
                </c:pt>
                <c:pt idx="15">
                  <c:v>6.1915411402474821E-3</c:v>
                </c:pt>
              </c:numCache>
            </c:numRef>
          </c:val>
          <c:extLst>
            <c:ext xmlns:c16="http://schemas.microsoft.com/office/drawing/2014/chart" uri="{C3380CC4-5D6E-409C-BE32-E72D297353CC}">
              <c16:uniqueId val="{00000000-D9BB-4477-BFE4-D5B9B0AA0999}"/>
            </c:ext>
          </c:extLst>
        </c:ser>
        <c:ser>
          <c:idx val="1"/>
          <c:order val="1"/>
          <c:tx>
            <c:strRef>
              <c:f>List4!$C$18</c:f>
              <c:strCache>
                <c:ptCount val="1"/>
                <c:pt idx="0">
                  <c:v>s výučním listem</c:v>
                </c:pt>
              </c:strCache>
            </c:strRef>
          </c:tx>
          <c:invertIfNegative val="0"/>
          <c:dLbls>
            <c:dLbl>
              <c:idx val="0"/>
              <c:layout>
                <c:manualLayout>
                  <c:x val="1.6718913270637369E-2"/>
                  <c:y val="0"/>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4481-48F3-BB5D-62CEEFCD1AC1}"/>
                </c:ext>
              </c:extLst>
            </c:dLbl>
            <c:numFmt formatCode="0.0\ %" sourceLinked="0"/>
            <c:spPr>
              <a:noFill/>
              <a:ln>
                <a:noFill/>
              </a:ln>
              <a:effectLst/>
            </c:spPr>
            <c:txPr>
              <a:bodyPr wrap="square" lIns="38100" tIns="19050" rIns="38100" bIns="19050" anchor="ctr">
                <a:spAutoFit/>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List4!$A$19:$A$34</c:f>
              <c:strCache>
                <c:ptCount val="16"/>
                <c:pt idx="0">
                  <c:v>Praha</c:v>
                </c:pt>
                <c:pt idx="1">
                  <c:v>Zlínský </c:v>
                </c:pt>
                <c:pt idx="2">
                  <c:v>Jihomoravský </c:v>
                </c:pt>
                <c:pt idx="3">
                  <c:v>Moravskoslezský </c:v>
                </c:pt>
                <c:pt idx="4">
                  <c:v>Plzeňský </c:v>
                </c:pt>
                <c:pt idx="5">
                  <c:v>Královéhradecký </c:v>
                </c:pt>
                <c:pt idx="6">
                  <c:v>Jihočeský </c:v>
                </c:pt>
                <c:pt idx="7">
                  <c:v>Středočeský </c:v>
                </c:pt>
                <c:pt idx="8">
                  <c:v>Pardubický </c:v>
                </c:pt>
                <c:pt idx="9">
                  <c:v>Olomoucký </c:v>
                </c:pt>
                <c:pt idx="10">
                  <c:v>Vysočina</c:v>
                </c:pt>
                <c:pt idx="11">
                  <c:v>Liberecký </c:v>
                </c:pt>
                <c:pt idx="12">
                  <c:v>Karlovarský </c:v>
                </c:pt>
                <c:pt idx="13">
                  <c:v>Ústecký </c:v>
                </c:pt>
                <c:pt idx="15">
                  <c:v>Česká republika</c:v>
                </c:pt>
              </c:strCache>
            </c:strRef>
          </c:cat>
          <c:val>
            <c:numRef>
              <c:f>List4!$C$19:$C$34</c:f>
              <c:numCache>
                <c:formatCode>0.0%</c:formatCode>
                <c:ptCount val="16"/>
                <c:pt idx="0">
                  <c:v>0.12603676305761041</c:v>
                </c:pt>
                <c:pt idx="1">
                  <c:v>0.18977841315225161</c:v>
                </c:pt>
                <c:pt idx="2">
                  <c:v>0.19865354954354078</c:v>
                </c:pt>
                <c:pt idx="3">
                  <c:v>0.2109300095877277</c:v>
                </c:pt>
                <c:pt idx="4">
                  <c:v>0.22053567674389268</c:v>
                </c:pt>
                <c:pt idx="5">
                  <c:v>0.21800887761572607</c:v>
                </c:pt>
                <c:pt idx="6">
                  <c:v>0.22271266640771215</c:v>
                </c:pt>
                <c:pt idx="7">
                  <c:v>0.21609691960931629</c:v>
                </c:pt>
                <c:pt idx="8">
                  <c:v>0.22275024841232124</c:v>
                </c:pt>
                <c:pt idx="9">
                  <c:v>0.21730734847130342</c:v>
                </c:pt>
                <c:pt idx="10">
                  <c:v>0.22389066223081419</c:v>
                </c:pt>
                <c:pt idx="11">
                  <c:v>0.24130028345696883</c:v>
                </c:pt>
                <c:pt idx="12">
                  <c:v>0.25266803969294138</c:v>
                </c:pt>
                <c:pt idx="13">
                  <c:v>0.26042099021642456</c:v>
                </c:pt>
                <c:pt idx="15">
                  <c:v>0.20449340510113076</c:v>
                </c:pt>
              </c:numCache>
            </c:numRef>
          </c:val>
          <c:extLst>
            <c:ext xmlns:c16="http://schemas.microsoft.com/office/drawing/2014/chart" uri="{C3380CC4-5D6E-409C-BE32-E72D297353CC}">
              <c16:uniqueId val="{00000001-D9BB-4477-BFE4-D5B9B0AA0999}"/>
            </c:ext>
          </c:extLst>
        </c:ser>
        <c:ser>
          <c:idx val="2"/>
          <c:order val="2"/>
          <c:tx>
            <c:strRef>
              <c:f>List4!$D$18</c:f>
              <c:strCache>
                <c:ptCount val="1"/>
                <c:pt idx="0">
                  <c:v>s maturitní zkouškou odborné</c:v>
                </c:pt>
              </c:strCache>
            </c:strRef>
          </c:tx>
          <c:spPr>
            <a:solidFill>
              <a:schemeClr val="accent1">
                <a:lumMod val="60000"/>
                <a:lumOff val="40000"/>
              </a:schemeClr>
            </a:solidFill>
          </c:spPr>
          <c:invertIfNegative val="0"/>
          <c:dLbls>
            <c:numFmt formatCode="0.0\ %" sourceLinked="0"/>
            <c:spPr>
              <a:noFill/>
              <a:ln>
                <a:noFill/>
              </a:ln>
              <a:effectLst/>
            </c:spPr>
            <c:txPr>
              <a:bodyPr wrap="square" lIns="38100" tIns="19050" rIns="38100" bIns="19050" anchor="ctr">
                <a:spAutoFit/>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List4!$A$19:$A$34</c:f>
              <c:strCache>
                <c:ptCount val="16"/>
                <c:pt idx="0">
                  <c:v>Praha</c:v>
                </c:pt>
                <c:pt idx="1">
                  <c:v>Zlínský </c:v>
                </c:pt>
                <c:pt idx="2">
                  <c:v>Jihomoravský </c:v>
                </c:pt>
                <c:pt idx="3">
                  <c:v>Moravskoslezský </c:v>
                </c:pt>
                <c:pt idx="4">
                  <c:v>Plzeňský </c:v>
                </c:pt>
                <c:pt idx="5">
                  <c:v>Královéhradecký </c:v>
                </c:pt>
                <c:pt idx="6">
                  <c:v>Jihočeský </c:v>
                </c:pt>
                <c:pt idx="7">
                  <c:v>Středočeský </c:v>
                </c:pt>
                <c:pt idx="8">
                  <c:v>Pardubický </c:v>
                </c:pt>
                <c:pt idx="9">
                  <c:v>Olomoucký </c:v>
                </c:pt>
                <c:pt idx="10">
                  <c:v>Vysočina</c:v>
                </c:pt>
                <c:pt idx="11">
                  <c:v>Liberecký </c:v>
                </c:pt>
                <c:pt idx="12">
                  <c:v>Karlovarský </c:v>
                </c:pt>
                <c:pt idx="13">
                  <c:v>Ústecký </c:v>
                </c:pt>
                <c:pt idx="15">
                  <c:v>Česká republika</c:v>
                </c:pt>
              </c:strCache>
            </c:strRef>
          </c:cat>
          <c:val>
            <c:numRef>
              <c:f>List4!$D$19:$D$34</c:f>
              <c:numCache>
                <c:formatCode>0.0%</c:formatCode>
                <c:ptCount val="16"/>
                <c:pt idx="0">
                  <c:v>0.46680957184487781</c:v>
                </c:pt>
                <c:pt idx="1">
                  <c:v>0.48209038201890236</c:v>
                </c:pt>
                <c:pt idx="2">
                  <c:v>0.43394889324273628</c:v>
                </c:pt>
                <c:pt idx="3">
                  <c:v>0.46506599212582361</c:v>
                </c:pt>
                <c:pt idx="4">
                  <c:v>0.46978934533069838</c:v>
                </c:pt>
                <c:pt idx="5">
                  <c:v>0.46780807440287464</c:v>
                </c:pt>
                <c:pt idx="6">
                  <c:v>0.45231116917970265</c:v>
                </c:pt>
                <c:pt idx="7">
                  <c:v>0.4273337716003005</c:v>
                </c:pt>
                <c:pt idx="8">
                  <c:v>0.48204950965567894</c:v>
                </c:pt>
                <c:pt idx="9">
                  <c:v>0.44069372429822995</c:v>
                </c:pt>
                <c:pt idx="10">
                  <c:v>0.45645821157218003</c:v>
                </c:pt>
                <c:pt idx="11">
                  <c:v>0.4809118870996924</c:v>
                </c:pt>
                <c:pt idx="12">
                  <c:v>0.42623104287586594</c:v>
                </c:pt>
                <c:pt idx="13">
                  <c:v>0.45876074710939818</c:v>
                </c:pt>
                <c:pt idx="15">
                  <c:v>0.45705360624218494</c:v>
                </c:pt>
              </c:numCache>
            </c:numRef>
          </c:val>
          <c:extLst>
            <c:ext xmlns:c16="http://schemas.microsoft.com/office/drawing/2014/chart" uri="{C3380CC4-5D6E-409C-BE32-E72D297353CC}">
              <c16:uniqueId val="{00000002-D9BB-4477-BFE4-D5B9B0AA0999}"/>
            </c:ext>
          </c:extLst>
        </c:ser>
        <c:ser>
          <c:idx val="3"/>
          <c:order val="3"/>
          <c:tx>
            <c:strRef>
              <c:f>List4!$E$18</c:f>
              <c:strCache>
                <c:ptCount val="1"/>
                <c:pt idx="0">
                  <c:v>gymnázia</c:v>
                </c:pt>
              </c:strCache>
            </c:strRef>
          </c:tx>
          <c:spPr>
            <a:solidFill>
              <a:schemeClr val="accent1">
                <a:lumMod val="75000"/>
              </a:schemeClr>
            </a:solidFill>
          </c:spPr>
          <c:invertIfNegative val="0"/>
          <c:dLbls>
            <c:numFmt formatCode="0.0\ %" sourceLinked="0"/>
            <c:spPr>
              <a:noFill/>
              <a:ln>
                <a:noFill/>
              </a:ln>
              <a:effectLst/>
            </c:spPr>
            <c:txPr>
              <a:bodyPr wrap="square" lIns="38100" tIns="19050" rIns="38100" bIns="19050" anchor="ctr">
                <a:spAutoFit/>
              </a:bodyPr>
              <a:lstStyle/>
              <a:p>
                <a:pPr>
                  <a:defRPr sz="800">
                    <a:solidFill>
                      <a:schemeClr val="bg1"/>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List4!$A$19:$A$34</c:f>
              <c:strCache>
                <c:ptCount val="16"/>
                <c:pt idx="0">
                  <c:v>Praha</c:v>
                </c:pt>
                <c:pt idx="1">
                  <c:v>Zlínský </c:v>
                </c:pt>
                <c:pt idx="2">
                  <c:v>Jihomoravský </c:v>
                </c:pt>
                <c:pt idx="3">
                  <c:v>Moravskoslezský </c:v>
                </c:pt>
                <c:pt idx="4">
                  <c:v>Plzeňský </c:v>
                </c:pt>
                <c:pt idx="5">
                  <c:v>Královéhradecký </c:v>
                </c:pt>
                <c:pt idx="6">
                  <c:v>Jihočeský </c:v>
                </c:pt>
                <c:pt idx="7">
                  <c:v>Středočeský </c:v>
                </c:pt>
                <c:pt idx="8">
                  <c:v>Pardubický </c:v>
                </c:pt>
                <c:pt idx="9">
                  <c:v>Olomoucký </c:v>
                </c:pt>
                <c:pt idx="10">
                  <c:v>Vysočina</c:v>
                </c:pt>
                <c:pt idx="11">
                  <c:v>Liberecký </c:v>
                </c:pt>
                <c:pt idx="12">
                  <c:v>Karlovarský </c:v>
                </c:pt>
                <c:pt idx="13">
                  <c:v>Ústecký </c:v>
                </c:pt>
                <c:pt idx="15">
                  <c:v>Česká republika</c:v>
                </c:pt>
              </c:strCache>
            </c:strRef>
          </c:cat>
          <c:val>
            <c:numRef>
              <c:f>List4!$E$19:$E$34</c:f>
              <c:numCache>
                <c:formatCode>0.0%</c:formatCode>
                <c:ptCount val="16"/>
                <c:pt idx="0">
                  <c:v>0.37121721587088097</c:v>
                </c:pt>
                <c:pt idx="1">
                  <c:v>0.29179572710666352</c:v>
                </c:pt>
                <c:pt idx="2">
                  <c:v>0.33350702405269084</c:v>
                </c:pt>
                <c:pt idx="3">
                  <c:v>0.28051243344689009</c:v>
                </c:pt>
                <c:pt idx="4">
                  <c:v>0.26577807677753018</c:v>
                </c:pt>
                <c:pt idx="5">
                  <c:v>0.28607059818220248</c:v>
                </c:pt>
                <c:pt idx="6">
                  <c:v>0.27815247713549207</c:v>
                </c:pt>
                <c:pt idx="7">
                  <c:v>0.30874342599549209</c:v>
                </c:pt>
                <c:pt idx="8">
                  <c:v>0.25873763338661598</c:v>
                </c:pt>
                <c:pt idx="9">
                  <c:v>0.29029143572322547</c:v>
                </c:pt>
                <c:pt idx="10">
                  <c:v>0.27766038753765232</c:v>
                </c:pt>
                <c:pt idx="11">
                  <c:v>0.24274772329775043</c:v>
                </c:pt>
                <c:pt idx="12">
                  <c:v>0.29273544280097358</c:v>
                </c:pt>
                <c:pt idx="13">
                  <c:v>0.2423658464275126</c:v>
                </c:pt>
                <c:pt idx="15">
                  <c:v>0.29875586549364264</c:v>
                </c:pt>
              </c:numCache>
            </c:numRef>
          </c:val>
          <c:extLst>
            <c:ext xmlns:c16="http://schemas.microsoft.com/office/drawing/2014/chart" uri="{C3380CC4-5D6E-409C-BE32-E72D297353CC}">
              <c16:uniqueId val="{00000003-D9BB-4477-BFE4-D5B9B0AA0999}"/>
            </c:ext>
          </c:extLst>
        </c:ser>
        <c:ser>
          <c:idx val="4"/>
          <c:order val="4"/>
          <c:tx>
            <c:strRef>
              <c:f>List4!$F$18</c:f>
              <c:strCache>
                <c:ptCount val="1"/>
                <c:pt idx="0">
                  <c:v>nástavbové studium</c:v>
                </c:pt>
              </c:strCache>
            </c:strRef>
          </c:tx>
          <c:spPr>
            <a:solidFill>
              <a:schemeClr val="accent4">
                <a:lumMod val="60000"/>
                <a:lumOff val="40000"/>
              </a:schemeClr>
            </a:solidFill>
          </c:spPr>
          <c:invertIfNegative val="0"/>
          <c:dLbls>
            <c:numFmt formatCode="0.0\ %" sourceLinked="0"/>
            <c:spPr>
              <a:noFill/>
              <a:ln>
                <a:noFill/>
              </a:ln>
              <a:effectLst/>
            </c:spPr>
            <c:txPr>
              <a:bodyPr wrap="square" lIns="38100" tIns="19050" rIns="38100" bIns="19050" anchor="ctr">
                <a:spAutoFit/>
              </a:bodyPr>
              <a:lstStyle/>
              <a:p>
                <a:pPr>
                  <a:defRPr sz="800">
                    <a:latin typeface="Arial" panose="020B0604020202020204" pitchFamily="34" charset="0"/>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List4!$A$19:$A$34</c:f>
              <c:strCache>
                <c:ptCount val="16"/>
                <c:pt idx="0">
                  <c:v>Praha</c:v>
                </c:pt>
                <c:pt idx="1">
                  <c:v>Zlínský </c:v>
                </c:pt>
                <c:pt idx="2">
                  <c:v>Jihomoravský </c:v>
                </c:pt>
                <c:pt idx="3">
                  <c:v>Moravskoslezský </c:v>
                </c:pt>
                <c:pt idx="4">
                  <c:v>Plzeňský </c:v>
                </c:pt>
                <c:pt idx="5">
                  <c:v>Královéhradecký </c:v>
                </c:pt>
                <c:pt idx="6">
                  <c:v>Jihočeský </c:v>
                </c:pt>
                <c:pt idx="7">
                  <c:v>Středočeský </c:v>
                </c:pt>
                <c:pt idx="8">
                  <c:v>Pardubický </c:v>
                </c:pt>
                <c:pt idx="9">
                  <c:v>Olomoucký </c:v>
                </c:pt>
                <c:pt idx="10">
                  <c:v>Vysočina</c:v>
                </c:pt>
                <c:pt idx="11">
                  <c:v>Liberecký </c:v>
                </c:pt>
                <c:pt idx="12">
                  <c:v>Karlovarský </c:v>
                </c:pt>
                <c:pt idx="13">
                  <c:v>Ústecký </c:v>
                </c:pt>
                <c:pt idx="15">
                  <c:v>Česká republika</c:v>
                </c:pt>
              </c:strCache>
            </c:strRef>
          </c:cat>
          <c:val>
            <c:numRef>
              <c:f>List4!$F$19:$F$34</c:f>
              <c:numCache>
                <c:formatCode>0.0%</c:formatCode>
                <c:ptCount val="16"/>
                <c:pt idx="0">
                  <c:v>3.0780654561757454E-2</c:v>
                </c:pt>
                <c:pt idx="1">
                  <c:v>3.3396870780716383E-2</c:v>
                </c:pt>
                <c:pt idx="2">
                  <c:v>2.8950769102505314E-2</c:v>
                </c:pt>
                <c:pt idx="3">
                  <c:v>3.7371738642622547E-2</c:v>
                </c:pt>
                <c:pt idx="4">
                  <c:v>4.0911575495101542E-2</c:v>
                </c:pt>
                <c:pt idx="5">
                  <c:v>2.0925808497146481E-2</c:v>
                </c:pt>
                <c:pt idx="6">
                  <c:v>4.3610296973763195E-2</c:v>
                </c:pt>
                <c:pt idx="7">
                  <c:v>3.7847483095416981E-2</c:v>
                </c:pt>
                <c:pt idx="8">
                  <c:v>3.1191947120577181E-2</c:v>
                </c:pt>
                <c:pt idx="9">
                  <c:v>4.0300375469336673E-2</c:v>
                </c:pt>
                <c:pt idx="10">
                  <c:v>3.4078136941959269E-2</c:v>
                </c:pt>
                <c:pt idx="11">
                  <c:v>3.1903986490561489E-2</c:v>
                </c:pt>
                <c:pt idx="12">
                  <c:v>2.0969855832241154E-2</c:v>
                </c:pt>
                <c:pt idx="13">
                  <c:v>3.0180847909872518E-2</c:v>
                </c:pt>
                <c:pt idx="15">
                  <c:v>3.3505582022794196E-2</c:v>
                </c:pt>
              </c:numCache>
            </c:numRef>
          </c:val>
          <c:extLst>
            <c:ext xmlns:c16="http://schemas.microsoft.com/office/drawing/2014/chart" uri="{C3380CC4-5D6E-409C-BE32-E72D297353CC}">
              <c16:uniqueId val="{00000004-D9BB-4477-BFE4-D5B9B0AA0999}"/>
            </c:ext>
          </c:extLst>
        </c:ser>
        <c:dLbls>
          <c:showLegendKey val="0"/>
          <c:showVal val="0"/>
          <c:showCatName val="0"/>
          <c:showSerName val="0"/>
          <c:showPercent val="0"/>
          <c:showBubbleSize val="0"/>
        </c:dLbls>
        <c:gapWidth val="60"/>
        <c:overlap val="100"/>
        <c:axId val="192422400"/>
        <c:axId val="191714944"/>
      </c:barChart>
      <c:catAx>
        <c:axId val="192422400"/>
        <c:scaling>
          <c:orientation val="minMax"/>
        </c:scaling>
        <c:delete val="0"/>
        <c:axPos val="l"/>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1714944"/>
        <c:crosses val="autoZero"/>
        <c:auto val="1"/>
        <c:lblAlgn val="ctr"/>
        <c:lblOffset val="100"/>
        <c:noMultiLvlLbl val="0"/>
      </c:catAx>
      <c:valAx>
        <c:axId val="191714944"/>
        <c:scaling>
          <c:orientation val="minMax"/>
        </c:scaling>
        <c:delete val="0"/>
        <c:axPos val="b"/>
        <c:majorGridlines>
          <c:spPr>
            <a:ln>
              <a:noFill/>
            </a:ln>
          </c:spPr>
        </c:majorGridlines>
        <c:numFmt formatCode="0\ %"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2422400"/>
        <c:crosses val="autoZero"/>
        <c:crossBetween val="between"/>
        <c:majorUnit val="0.1"/>
      </c:valAx>
    </c:plotArea>
    <c:legend>
      <c:legendPos val="b"/>
      <c:layout>
        <c:manualLayout>
          <c:xMode val="edge"/>
          <c:yMode val="edge"/>
          <c:x val="4.0566109791831577E-3"/>
          <c:y val="0.94170904209492901"/>
          <c:w val="0.99282469001719609"/>
          <c:h val="5.8290957905071036E-2"/>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chemeClr val="bg1">
          <a:lumMod val="85000"/>
        </a:schemeClr>
      </a:solidFill>
    </a:ln>
  </c:spPr>
  <c:externalData r:id="rId2">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322653917086662E-2"/>
          <c:y val="2.5480273463840738E-2"/>
          <c:w val="0.8704854616177673"/>
          <c:h val="0.8031400966183575"/>
        </c:manualLayout>
      </c:layout>
      <c:barChart>
        <c:barDir val="bar"/>
        <c:grouping val="stacked"/>
        <c:varyColors val="0"/>
        <c:ser>
          <c:idx val="0"/>
          <c:order val="0"/>
          <c:tx>
            <c:strRef>
              <c:f>'3.3.2'!$B$39</c:f>
              <c:strCache>
                <c:ptCount val="1"/>
                <c:pt idx="0">
                  <c:v>čtyřleté gymnázium (1.-4.ročník)</c:v>
                </c:pt>
              </c:strCache>
            </c:strRef>
          </c:tx>
          <c:spPr>
            <a:solidFill>
              <a:schemeClr val="accent1"/>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lumMod val="95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'3.3.2'!$A$40:$A$50</c:f>
              <c:strCache>
                <c:ptCount val="11"/>
                <c:pt idx="0">
                  <c:v>2021/22</c:v>
                </c:pt>
                <c:pt idx="1">
                  <c:v>2020/21</c:v>
                </c:pt>
                <c:pt idx="2">
                  <c:v>2019/20</c:v>
                </c:pt>
                <c:pt idx="3">
                  <c:v>2018/19</c:v>
                </c:pt>
                <c:pt idx="4">
                  <c:v>2017/18</c:v>
                </c:pt>
                <c:pt idx="5">
                  <c:v>2016/17</c:v>
                </c:pt>
                <c:pt idx="6">
                  <c:v>2015/16</c:v>
                </c:pt>
                <c:pt idx="7">
                  <c:v>2014/15</c:v>
                </c:pt>
                <c:pt idx="8">
                  <c:v>2013/14</c:v>
                </c:pt>
                <c:pt idx="9">
                  <c:v>2012/13</c:v>
                </c:pt>
                <c:pt idx="10">
                  <c:v>2011/12</c:v>
                </c:pt>
              </c:strCache>
            </c:strRef>
          </c:cat>
          <c:val>
            <c:numRef>
              <c:f>'3.3.2'!$B$40:$B$50</c:f>
              <c:numCache>
                <c:formatCode>0.0%</c:formatCode>
                <c:ptCount val="11"/>
                <c:pt idx="0">
                  <c:v>0.54990277261902165</c:v>
                </c:pt>
                <c:pt idx="1">
                  <c:v>0.54699407281964441</c:v>
                </c:pt>
                <c:pt idx="2">
                  <c:v>0.54696894353781478</c:v>
                </c:pt>
                <c:pt idx="3">
                  <c:v>0.54607670953487053</c:v>
                </c:pt>
                <c:pt idx="4">
                  <c:v>0.54569229194855995</c:v>
                </c:pt>
                <c:pt idx="5">
                  <c:v>0.54500747367099878</c:v>
                </c:pt>
                <c:pt idx="6">
                  <c:v>0.5406205535411025</c:v>
                </c:pt>
                <c:pt idx="7">
                  <c:v>0.53777823862850826</c:v>
                </c:pt>
                <c:pt idx="8">
                  <c:v>0.53883118365483396</c:v>
                </c:pt>
                <c:pt idx="9">
                  <c:v>0.54192192659632421</c:v>
                </c:pt>
                <c:pt idx="10">
                  <c:v>0.55016745669131262</c:v>
                </c:pt>
              </c:numCache>
            </c:numRef>
          </c:val>
          <c:extLst>
            <c:ext xmlns:c16="http://schemas.microsoft.com/office/drawing/2014/chart" uri="{C3380CC4-5D6E-409C-BE32-E72D297353CC}">
              <c16:uniqueId val="{00000000-8281-4D48-A304-C2220D99E42B}"/>
            </c:ext>
          </c:extLst>
        </c:ser>
        <c:ser>
          <c:idx val="1"/>
          <c:order val="1"/>
          <c:tx>
            <c:strRef>
              <c:f>'3.3.2'!$C$39</c:f>
              <c:strCache>
                <c:ptCount val="1"/>
                <c:pt idx="0">
                  <c:v>šestileté gymnázium (3.-6. ročník)</c:v>
                </c:pt>
              </c:strCache>
            </c:strRef>
          </c:tx>
          <c:spPr>
            <a:solidFill>
              <a:srgbClr val="F2A16A"/>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'3.3.2'!$A$40:$A$50</c:f>
              <c:strCache>
                <c:ptCount val="11"/>
                <c:pt idx="0">
                  <c:v>2021/22</c:v>
                </c:pt>
                <c:pt idx="1">
                  <c:v>2020/21</c:v>
                </c:pt>
                <c:pt idx="2">
                  <c:v>2019/20</c:v>
                </c:pt>
                <c:pt idx="3">
                  <c:v>2018/19</c:v>
                </c:pt>
                <c:pt idx="4">
                  <c:v>2017/18</c:v>
                </c:pt>
                <c:pt idx="5">
                  <c:v>2016/17</c:v>
                </c:pt>
                <c:pt idx="6">
                  <c:v>2015/16</c:v>
                </c:pt>
                <c:pt idx="7">
                  <c:v>2014/15</c:v>
                </c:pt>
                <c:pt idx="8">
                  <c:v>2013/14</c:v>
                </c:pt>
                <c:pt idx="9">
                  <c:v>2012/13</c:v>
                </c:pt>
                <c:pt idx="10">
                  <c:v>2011/12</c:v>
                </c:pt>
              </c:strCache>
            </c:strRef>
          </c:cat>
          <c:val>
            <c:numRef>
              <c:f>'3.3.2'!$C$40:$C$50</c:f>
              <c:numCache>
                <c:formatCode>0.0%</c:formatCode>
                <c:ptCount val="11"/>
                <c:pt idx="0">
                  <c:v>9.5555943979549474E-2</c:v>
                </c:pt>
                <c:pt idx="1">
                  <c:v>9.5603636525691871E-2</c:v>
                </c:pt>
                <c:pt idx="2">
                  <c:v>9.5893042809999551E-2</c:v>
                </c:pt>
                <c:pt idx="3">
                  <c:v>9.4238286782618544E-2</c:v>
                </c:pt>
                <c:pt idx="4">
                  <c:v>9.3419900621965507E-2</c:v>
                </c:pt>
                <c:pt idx="5">
                  <c:v>9.3015825926221748E-2</c:v>
                </c:pt>
                <c:pt idx="6">
                  <c:v>9.2692890255657037E-2</c:v>
                </c:pt>
                <c:pt idx="7">
                  <c:v>9.359878335407161E-2</c:v>
                </c:pt>
                <c:pt idx="8">
                  <c:v>9.3528136057527675E-2</c:v>
                </c:pt>
                <c:pt idx="9">
                  <c:v>9.2638507466005493E-2</c:v>
                </c:pt>
                <c:pt idx="10">
                  <c:v>8.9827407256813291E-2</c:v>
                </c:pt>
              </c:numCache>
            </c:numRef>
          </c:val>
          <c:extLst>
            <c:ext xmlns:c16="http://schemas.microsoft.com/office/drawing/2014/chart" uri="{C3380CC4-5D6E-409C-BE32-E72D297353CC}">
              <c16:uniqueId val="{00000001-8281-4D48-A304-C2220D99E42B}"/>
            </c:ext>
          </c:extLst>
        </c:ser>
        <c:ser>
          <c:idx val="2"/>
          <c:order val="2"/>
          <c:tx>
            <c:strRef>
              <c:f>'3.3.2'!$D$39</c:f>
              <c:strCache>
                <c:ptCount val="1"/>
                <c:pt idx="0">
                  <c:v>osmileté gymnázium (5.-8. ročník)</c:v>
                </c:pt>
              </c:strCache>
            </c:strRef>
          </c:tx>
          <c:spPr>
            <a:solidFill>
              <a:srgbClr val="FDD1AD"/>
            </a:solidFill>
            <a:ln>
              <a:noFill/>
            </a:ln>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'3.3.2'!$A$40:$A$50</c:f>
              <c:strCache>
                <c:ptCount val="11"/>
                <c:pt idx="0">
                  <c:v>2021/22</c:v>
                </c:pt>
                <c:pt idx="1">
                  <c:v>2020/21</c:v>
                </c:pt>
                <c:pt idx="2">
                  <c:v>2019/20</c:v>
                </c:pt>
                <c:pt idx="3">
                  <c:v>2018/19</c:v>
                </c:pt>
                <c:pt idx="4">
                  <c:v>2017/18</c:v>
                </c:pt>
                <c:pt idx="5">
                  <c:v>2016/17</c:v>
                </c:pt>
                <c:pt idx="6">
                  <c:v>2015/16</c:v>
                </c:pt>
                <c:pt idx="7">
                  <c:v>2014/15</c:v>
                </c:pt>
                <c:pt idx="8">
                  <c:v>2013/14</c:v>
                </c:pt>
                <c:pt idx="9">
                  <c:v>2012/13</c:v>
                </c:pt>
                <c:pt idx="10">
                  <c:v>2011/12</c:v>
                </c:pt>
              </c:strCache>
            </c:strRef>
          </c:cat>
          <c:val>
            <c:numRef>
              <c:f>'3.3.2'!$D$40:$D$50</c:f>
              <c:numCache>
                <c:formatCode>0.0%</c:formatCode>
                <c:ptCount val="11"/>
                <c:pt idx="0">
                  <c:v>0.35454128340142893</c:v>
                </c:pt>
                <c:pt idx="1">
                  <c:v>0.35740229065466378</c:v>
                </c:pt>
                <c:pt idx="2">
                  <c:v>0.35713801365218573</c:v>
                </c:pt>
                <c:pt idx="3">
                  <c:v>0.35968500368251088</c:v>
                </c:pt>
                <c:pt idx="4">
                  <c:v>0.36088780742947457</c:v>
                </c:pt>
                <c:pt idx="5">
                  <c:v>0.36197670040277952</c:v>
                </c:pt>
                <c:pt idx="6">
                  <c:v>0.36668655620324048</c:v>
                </c:pt>
                <c:pt idx="7">
                  <c:v>0.36862297801742017</c:v>
                </c:pt>
                <c:pt idx="8">
                  <c:v>0.36764068028763841</c:v>
                </c:pt>
                <c:pt idx="9">
                  <c:v>0.36543956593767024</c:v>
                </c:pt>
                <c:pt idx="10">
                  <c:v>0.36000513605187412</c:v>
                </c:pt>
              </c:numCache>
            </c:numRef>
          </c:val>
          <c:extLst>
            <c:ext xmlns:c16="http://schemas.microsoft.com/office/drawing/2014/chart" uri="{C3380CC4-5D6E-409C-BE32-E72D297353CC}">
              <c16:uniqueId val="{00000002-8281-4D48-A304-C2220D99E42B}"/>
            </c:ext>
          </c:extLst>
        </c:ser>
        <c:dLbls>
          <c:showLegendKey val="0"/>
          <c:showVal val="0"/>
          <c:showCatName val="0"/>
          <c:showSerName val="0"/>
          <c:showPercent val="0"/>
          <c:showBubbleSize val="0"/>
        </c:dLbls>
        <c:gapWidth val="67"/>
        <c:overlap val="100"/>
        <c:axId val="334930384"/>
        <c:axId val="334923728"/>
      </c:barChart>
      <c:catAx>
        <c:axId val="334930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34923728"/>
        <c:crosses val="autoZero"/>
        <c:auto val="1"/>
        <c:lblAlgn val="ctr"/>
        <c:lblOffset val="100"/>
        <c:noMultiLvlLbl val="0"/>
      </c:catAx>
      <c:valAx>
        <c:axId val="334923728"/>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334930384"/>
        <c:crosses val="autoZero"/>
        <c:crossBetween val="between"/>
      </c:valAx>
      <c:spPr>
        <a:noFill/>
        <a:ln>
          <a:noFill/>
        </a:ln>
        <a:effectLst/>
      </c:spPr>
    </c:plotArea>
    <c:legend>
      <c:legendPos val="b"/>
      <c:layout>
        <c:manualLayout>
          <c:xMode val="edge"/>
          <c:yMode val="edge"/>
          <c:x val="1.3430926767956815E-2"/>
          <c:y val="0.90449199284871995"/>
          <c:w val="0.9809796310672434"/>
          <c:h val="7.7331203164821796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4">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8899737532808398"/>
          <c:y val="4.5267489711934158E-2"/>
          <c:w val="0.57723213286863728"/>
          <c:h val="0.85634878973461648"/>
        </c:manualLayout>
      </c:layout>
      <c:barChart>
        <c:barDir val="bar"/>
        <c:grouping val="clustered"/>
        <c:varyColors val="0"/>
        <c:ser>
          <c:idx val="0"/>
          <c:order val="0"/>
          <c:tx>
            <c:strRef>
              <c:f>List45!$B$2</c:f>
              <c:strCache>
                <c:ptCount val="1"/>
                <c:pt idx="0">
                  <c:v>2021/22</c:v>
                </c:pt>
              </c:strCache>
            </c:strRef>
          </c:tx>
          <c:spPr>
            <a:solidFill>
              <a:schemeClr val="accent2">
                <a:lumMod val="75000"/>
              </a:schemeClr>
            </a:solidFill>
          </c:spPr>
          <c:invertIfNegative val="0"/>
          <c:dLbls>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List45!$A$3:$A$12</c:f>
              <c:strCache>
                <c:ptCount val="10"/>
                <c:pt idx="0">
                  <c:v>zdravotnictví</c:v>
                </c:pt>
                <c:pt idx="1">
                  <c:v>zpracování dřeva a výroba hudebních nástrojů</c:v>
                </c:pt>
                <c:pt idx="2">
                  <c:v>obchod</c:v>
                </c:pt>
                <c:pt idx="3">
                  <c:v>potravinářství a potravinářská chemie</c:v>
                </c:pt>
                <c:pt idx="4">
                  <c:v>osobní a provozní služby</c:v>
                </c:pt>
                <c:pt idx="5">
                  <c:v>stavebnictví, geodézie a kartografie</c:v>
                </c:pt>
                <c:pt idx="6">
                  <c:v>zemědělství a lesnictví</c:v>
                </c:pt>
                <c:pt idx="7">
                  <c:v>elektrotechnika, telekom. 
a výpočetní technika</c:v>
                </c:pt>
                <c:pt idx="8">
                  <c:v>gastronomie, hotelnictví a turismus</c:v>
                </c:pt>
                <c:pt idx="9">
                  <c:v>strojírenství a strojírenská výroba</c:v>
                </c:pt>
              </c:strCache>
            </c:strRef>
          </c:cat>
          <c:val>
            <c:numRef>
              <c:f>List45!$B$3:$B$12</c:f>
              <c:numCache>
                <c:formatCode>#\ ##0.0</c:formatCode>
                <c:ptCount val="10"/>
                <c:pt idx="0">
                  <c:v>1.677</c:v>
                </c:pt>
                <c:pt idx="1">
                  <c:v>5.1630000000000003</c:v>
                </c:pt>
                <c:pt idx="2">
                  <c:v>5.4420000000000002</c:v>
                </c:pt>
                <c:pt idx="3">
                  <c:v>7.3410000000000002</c:v>
                </c:pt>
                <c:pt idx="4">
                  <c:v>7.681</c:v>
                </c:pt>
                <c:pt idx="5">
                  <c:v>7.8620000000000001</c:v>
                </c:pt>
                <c:pt idx="6">
                  <c:v>9.6940000000000008</c:v>
                </c:pt>
                <c:pt idx="7">
                  <c:v>11.135</c:v>
                </c:pt>
                <c:pt idx="8">
                  <c:v>13.32</c:v>
                </c:pt>
                <c:pt idx="9">
                  <c:v>17.707999999999998</c:v>
                </c:pt>
              </c:numCache>
            </c:numRef>
          </c:val>
          <c:extLst>
            <c:ext xmlns:c16="http://schemas.microsoft.com/office/drawing/2014/chart" uri="{C3380CC4-5D6E-409C-BE32-E72D297353CC}">
              <c16:uniqueId val="{00000000-59B3-4514-A109-64AD81808F31}"/>
            </c:ext>
          </c:extLst>
        </c:ser>
        <c:ser>
          <c:idx val="1"/>
          <c:order val="1"/>
          <c:tx>
            <c:strRef>
              <c:f>List45!$C$2</c:f>
              <c:strCache>
                <c:ptCount val="1"/>
                <c:pt idx="0">
                  <c:v>2016/17</c:v>
                </c:pt>
              </c:strCache>
            </c:strRef>
          </c:tx>
          <c:spPr>
            <a:solidFill>
              <a:schemeClr val="accent2">
                <a:lumMod val="40000"/>
                <a:lumOff val="60000"/>
              </a:schemeClr>
            </a:solidFill>
          </c:spPr>
          <c:invertIfNegative val="0"/>
          <c:dLbls>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List45!$A$3:$A$12</c:f>
              <c:strCache>
                <c:ptCount val="10"/>
                <c:pt idx="0">
                  <c:v>zdravotnictví</c:v>
                </c:pt>
                <c:pt idx="1">
                  <c:v>zpracování dřeva a výroba hudebních nástrojů</c:v>
                </c:pt>
                <c:pt idx="2">
                  <c:v>obchod</c:v>
                </c:pt>
                <c:pt idx="3">
                  <c:v>potravinářství a potravinářská chemie</c:v>
                </c:pt>
                <c:pt idx="4">
                  <c:v>osobní a provozní služby</c:v>
                </c:pt>
                <c:pt idx="5">
                  <c:v>stavebnictví, geodézie a kartografie</c:v>
                </c:pt>
                <c:pt idx="6">
                  <c:v>zemědělství a lesnictví</c:v>
                </c:pt>
                <c:pt idx="7">
                  <c:v>elektrotechnika, telekom. 
a výpočetní technika</c:v>
                </c:pt>
                <c:pt idx="8">
                  <c:v>gastronomie, hotelnictví a turismus</c:v>
                </c:pt>
                <c:pt idx="9">
                  <c:v>strojírenství a strojírenská výroba</c:v>
                </c:pt>
              </c:strCache>
            </c:strRef>
          </c:cat>
          <c:val>
            <c:numRef>
              <c:f>List45!$C$3:$C$12</c:f>
              <c:numCache>
                <c:formatCode>#\ ##0.0</c:formatCode>
                <c:ptCount val="10"/>
                <c:pt idx="0">
                  <c:v>1.292</c:v>
                </c:pt>
                <c:pt idx="1">
                  <c:v>3.9950000000000001</c:v>
                </c:pt>
                <c:pt idx="2">
                  <c:v>5.0579999999999998</c:v>
                </c:pt>
                <c:pt idx="3">
                  <c:v>6.5179999999999998</c:v>
                </c:pt>
                <c:pt idx="4">
                  <c:v>6.9589999999999996</c:v>
                </c:pt>
                <c:pt idx="5">
                  <c:v>7.2110000000000003</c:v>
                </c:pt>
                <c:pt idx="6">
                  <c:v>9.4130000000000003</c:v>
                </c:pt>
                <c:pt idx="7">
                  <c:v>8.1530000000000005</c:v>
                </c:pt>
                <c:pt idx="8">
                  <c:v>16.356999999999999</c:v>
                </c:pt>
                <c:pt idx="9">
                  <c:v>20.532</c:v>
                </c:pt>
              </c:numCache>
            </c:numRef>
          </c:val>
          <c:extLst>
            <c:ext xmlns:c16="http://schemas.microsoft.com/office/drawing/2014/chart" uri="{C3380CC4-5D6E-409C-BE32-E72D297353CC}">
              <c16:uniqueId val="{00000001-59B3-4514-A109-64AD81808F31}"/>
            </c:ext>
          </c:extLst>
        </c:ser>
        <c:dLbls>
          <c:showLegendKey val="0"/>
          <c:showVal val="0"/>
          <c:showCatName val="0"/>
          <c:showSerName val="0"/>
          <c:showPercent val="0"/>
          <c:showBubbleSize val="0"/>
        </c:dLbls>
        <c:gapWidth val="65"/>
        <c:axId val="195139072"/>
        <c:axId val="193499648"/>
      </c:barChart>
      <c:catAx>
        <c:axId val="195139072"/>
        <c:scaling>
          <c:orientation val="minMax"/>
        </c:scaling>
        <c:delete val="0"/>
        <c:axPos val="l"/>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3499648"/>
        <c:crosses val="autoZero"/>
        <c:auto val="1"/>
        <c:lblAlgn val="ctr"/>
        <c:lblOffset val="100"/>
        <c:noMultiLvlLbl val="0"/>
      </c:catAx>
      <c:valAx>
        <c:axId val="193499648"/>
        <c:scaling>
          <c:orientation val="minMax"/>
        </c:scaling>
        <c:delete val="0"/>
        <c:axPos val="b"/>
        <c:majorGridlines>
          <c:spPr>
            <a:ln>
              <a:noFill/>
            </a:ln>
          </c:spPr>
        </c:majorGridlines>
        <c:numFmt formatCode="0"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5139072"/>
        <c:crosses val="autoZero"/>
        <c:crossBetween val="between"/>
      </c:valAx>
    </c:plotArea>
    <c:legend>
      <c:legendPos val="b"/>
      <c:layout>
        <c:manualLayout>
          <c:xMode val="edge"/>
          <c:yMode val="edge"/>
          <c:x val="0.80502628974656854"/>
          <c:y val="0.6521525550046986"/>
          <c:w val="0.13967419646314702"/>
          <c:h val="0.16210125908174522"/>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chemeClr val="bg1">
          <a:lumMod val="85000"/>
        </a:schemeClr>
      </a:solidFill>
    </a:ln>
  </c:spPr>
  <c:externalData r:id="rId2">
    <c:autoUpdate val="0"/>
  </c:externalData>
  <c:userShapes r:id="rId3"/>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35029046676722525"/>
          <c:y val="0"/>
          <c:w val="0.61350566680043728"/>
          <c:h val="0.93328238888171766"/>
        </c:manualLayout>
      </c:layout>
      <c:barChart>
        <c:barDir val="bar"/>
        <c:grouping val="clustered"/>
        <c:varyColors val="0"/>
        <c:ser>
          <c:idx val="0"/>
          <c:order val="0"/>
          <c:tx>
            <c:strRef>
              <c:f>List46!$B$1</c:f>
              <c:strCache>
                <c:ptCount val="1"/>
                <c:pt idx="0">
                  <c:v>2021/22</c:v>
                </c:pt>
              </c:strCache>
            </c:strRef>
          </c:tx>
          <c:spPr>
            <a:solidFill>
              <a:srgbClr val="4377B7"/>
            </a:solidFill>
          </c:spPr>
          <c:invertIfNegative val="0"/>
          <c:dLbls>
            <c:numFmt formatCode="#,##0.0"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List46!$A$2:$A$14</c:f>
              <c:strCache>
                <c:ptCount val="13"/>
                <c:pt idx="0">
                  <c:v>speciální a interdisciplinární obory</c:v>
                </c:pt>
                <c:pt idx="1">
                  <c:v>zemědělství a lesnictví</c:v>
                </c:pt>
                <c:pt idx="2">
                  <c:v>stavebnictví, geodézie a kartografie</c:v>
                </c:pt>
                <c:pt idx="3">
                  <c:v>umění a užité umění</c:v>
                </c:pt>
                <c:pt idx="4">
                  <c:v>právo, právní a veřejnosprávní činnost</c:v>
                </c:pt>
                <c:pt idx="5">
                  <c:v>gastronomie, hotelnictví a turismus</c:v>
                </c:pt>
                <c:pt idx="6">
                  <c:v>strojírenství a strojírenská výroba</c:v>
                </c:pt>
                <c:pt idx="7">
                  <c:v>pedagogika, učitelství a sociální péče</c:v>
                </c:pt>
                <c:pt idx="8">
                  <c:v>elektrotechnika, telekom. a výp. techn.</c:v>
                </c:pt>
                <c:pt idx="9">
                  <c:v>zdravotnictví</c:v>
                </c:pt>
                <c:pt idx="10">
                  <c:v>obecně odborná příprava</c:v>
                </c:pt>
                <c:pt idx="11">
                  <c:v>informatické obory</c:v>
                </c:pt>
                <c:pt idx="12">
                  <c:v>ekonomika a administrativa</c:v>
                </c:pt>
              </c:strCache>
            </c:strRef>
          </c:cat>
          <c:val>
            <c:numRef>
              <c:f>List46!$B$2:$B$14</c:f>
              <c:numCache>
                <c:formatCode>0.0</c:formatCode>
                <c:ptCount val="13"/>
                <c:pt idx="0">
                  <c:v>5.2729999999999997</c:v>
                </c:pt>
                <c:pt idx="1">
                  <c:v>6.673</c:v>
                </c:pt>
                <c:pt idx="2">
                  <c:v>9.0399999999999991</c:v>
                </c:pt>
                <c:pt idx="3">
                  <c:v>12.215999999999999</c:v>
                </c:pt>
                <c:pt idx="4">
                  <c:v>13.058</c:v>
                </c:pt>
                <c:pt idx="5">
                  <c:v>13.284000000000001</c:v>
                </c:pt>
                <c:pt idx="6">
                  <c:v>14.364000000000001</c:v>
                </c:pt>
                <c:pt idx="7">
                  <c:v>14.471</c:v>
                </c:pt>
                <c:pt idx="8">
                  <c:v>15.067</c:v>
                </c:pt>
                <c:pt idx="9">
                  <c:v>16.314</c:v>
                </c:pt>
                <c:pt idx="10">
                  <c:v>16.655000000000001</c:v>
                </c:pt>
                <c:pt idx="11">
                  <c:v>16.731000000000002</c:v>
                </c:pt>
                <c:pt idx="12">
                  <c:v>30.311</c:v>
                </c:pt>
              </c:numCache>
            </c:numRef>
          </c:val>
          <c:extLst>
            <c:ext xmlns:c16="http://schemas.microsoft.com/office/drawing/2014/chart" uri="{C3380CC4-5D6E-409C-BE32-E72D297353CC}">
              <c16:uniqueId val="{00000000-199B-4DBD-AA5D-65185BC7F055}"/>
            </c:ext>
          </c:extLst>
        </c:ser>
        <c:ser>
          <c:idx val="1"/>
          <c:order val="1"/>
          <c:tx>
            <c:strRef>
              <c:f>List46!$C$1</c:f>
              <c:strCache>
                <c:ptCount val="1"/>
                <c:pt idx="0">
                  <c:v>2016/17</c:v>
                </c:pt>
              </c:strCache>
            </c:strRef>
          </c:tx>
          <c:spPr>
            <a:solidFill>
              <a:schemeClr val="accent1">
                <a:lumMod val="40000"/>
                <a:lumOff val="60000"/>
              </a:schemeClr>
            </a:solidFill>
          </c:spPr>
          <c:invertIfNegative val="0"/>
          <c:dLbls>
            <c:numFmt formatCode="#,##0.0"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List46!$A$2:$A$14</c:f>
              <c:strCache>
                <c:ptCount val="13"/>
                <c:pt idx="0">
                  <c:v>speciální a interdisciplinární obory</c:v>
                </c:pt>
                <c:pt idx="1">
                  <c:v>zemědělství a lesnictví</c:v>
                </c:pt>
                <c:pt idx="2">
                  <c:v>stavebnictví, geodézie a kartografie</c:v>
                </c:pt>
                <c:pt idx="3">
                  <c:v>umění a užité umění</c:v>
                </c:pt>
                <c:pt idx="4">
                  <c:v>právo, právní a veřejnosprávní činnost</c:v>
                </c:pt>
                <c:pt idx="5">
                  <c:v>gastronomie, hotelnictví a turismus</c:v>
                </c:pt>
                <c:pt idx="6">
                  <c:v>strojírenství a strojírenská výroba</c:v>
                </c:pt>
                <c:pt idx="7">
                  <c:v>pedagogika, učitelství a sociální péče</c:v>
                </c:pt>
                <c:pt idx="8">
                  <c:v>elektrotechnika, telekom. a výp. techn.</c:v>
                </c:pt>
                <c:pt idx="9">
                  <c:v>zdravotnictví</c:v>
                </c:pt>
                <c:pt idx="10">
                  <c:v>obecně odborná příprava</c:v>
                </c:pt>
                <c:pt idx="11">
                  <c:v>informatické obory</c:v>
                </c:pt>
                <c:pt idx="12">
                  <c:v>ekonomika a administrativa</c:v>
                </c:pt>
              </c:strCache>
            </c:strRef>
          </c:cat>
          <c:val>
            <c:numRef>
              <c:f>List46!$C$2:$C$14</c:f>
              <c:numCache>
                <c:formatCode>0.0</c:formatCode>
                <c:ptCount val="13"/>
                <c:pt idx="0">
                  <c:v>4.149</c:v>
                </c:pt>
                <c:pt idx="1">
                  <c:v>6.3719999999999999</c:v>
                </c:pt>
                <c:pt idx="2">
                  <c:v>7.5890000000000004</c:v>
                </c:pt>
                <c:pt idx="3">
                  <c:v>10.053000000000001</c:v>
                </c:pt>
                <c:pt idx="4">
                  <c:v>11.363</c:v>
                </c:pt>
                <c:pt idx="5">
                  <c:v>14.2</c:v>
                </c:pt>
                <c:pt idx="6">
                  <c:v>16.86</c:v>
                </c:pt>
                <c:pt idx="7">
                  <c:v>13.252000000000001</c:v>
                </c:pt>
                <c:pt idx="8">
                  <c:v>12.836</c:v>
                </c:pt>
                <c:pt idx="9">
                  <c:v>11.872999999999999</c:v>
                </c:pt>
                <c:pt idx="10">
                  <c:v>14.993</c:v>
                </c:pt>
                <c:pt idx="11">
                  <c:v>13.92</c:v>
                </c:pt>
                <c:pt idx="12">
                  <c:v>27.765000000000001</c:v>
                </c:pt>
              </c:numCache>
            </c:numRef>
          </c:val>
          <c:extLst>
            <c:ext xmlns:c16="http://schemas.microsoft.com/office/drawing/2014/chart" uri="{C3380CC4-5D6E-409C-BE32-E72D297353CC}">
              <c16:uniqueId val="{00000001-199B-4DBD-AA5D-65185BC7F055}"/>
            </c:ext>
          </c:extLst>
        </c:ser>
        <c:dLbls>
          <c:showLegendKey val="0"/>
          <c:showVal val="0"/>
          <c:showCatName val="0"/>
          <c:showSerName val="0"/>
          <c:showPercent val="0"/>
          <c:showBubbleSize val="0"/>
        </c:dLbls>
        <c:gapWidth val="60"/>
        <c:axId val="194290176"/>
        <c:axId val="193497344"/>
      </c:barChart>
      <c:catAx>
        <c:axId val="194290176"/>
        <c:scaling>
          <c:orientation val="minMax"/>
        </c:scaling>
        <c:delete val="0"/>
        <c:axPos val="l"/>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3497344"/>
        <c:crosses val="autoZero"/>
        <c:auto val="1"/>
        <c:lblAlgn val="ctr"/>
        <c:lblOffset val="100"/>
        <c:noMultiLvlLbl val="0"/>
      </c:catAx>
      <c:valAx>
        <c:axId val="193497344"/>
        <c:scaling>
          <c:orientation val="minMax"/>
        </c:scaling>
        <c:delete val="0"/>
        <c:axPos val="b"/>
        <c:majorGridlines>
          <c:spPr>
            <a:ln>
              <a:noFill/>
            </a:ln>
          </c:spPr>
        </c:majorGridlines>
        <c:numFmt formatCode="0"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4290176"/>
        <c:crosses val="autoZero"/>
        <c:crossBetween val="between"/>
      </c:valAx>
    </c:plotArea>
    <c:legend>
      <c:legendPos val="b"/>
      <c:layout>
        <c:manualLayout>
          <c:xMode val="edge"/>
          <c:yMode val="edge"/>
          <c:x val="0.82668891663267363"/>
          <c:y val="0.80560776214448604"/>
          <c:w val="0.12402856236377047"/>
          <c:h val="0.10026720020653156"/>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externalData r:id="rId2">
    <c:autoUpdate val="0"/>
  </c:externalData>
  <c:userShapes r:id="rId3"/>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0615211967761983"/>
          <c:y val="4.3650793650793648E-2"/>
          <c:w val="0.53977259026367286"/>
          <c:h val="0.88919520997375323"/>
        </c:manualLayout>
      </c:layout>
      <c:barChart>
        <c:barDir val="bar"/>
        <c:grouping val="clustered"/>
        <c:varyColors val="0"/>
        <c:ser>
          <c:idx val="0"/>
          <c:order val="0"/>
          <c:tx>
            <c:strRef>
              <c:f>'3.4.3'!$B$27</c:f>
              <c:strCache>
                <c:ptCount val="1"/>
                <c:pt idx="0">
                  <c:v>2021/22</c:v>
                </c:pt>
              </c:strCache>
            </c:strRef>
          </c:tx>
          <c:spPr>
            <a:solidFill>
              <a:schemeClr val="accent1">
                <a:lumMod val="75000"/>
              </a:schemeClr>
            </a:solidFill>
          </c:spPr>
          <c:invertIfNegative val="0"/>
          <c:dLbls>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'3.4.3'!$A$28:$A$40</c:f>
              <c:strCache>
                <c:ptCount val="13"/>
                <c:pt idx="0">
                  <c:v>potravinářství a potravinářská chemie</c:v>
                </c:pt>
                <c:pt idx="1">
                  <c:v>umění a užité umění</c:v>
                </c:pt>
                <c:pt idx="2">
                  <c:v>zemědělství a lesnictví</c:v>
                </c:pt>
                <c:pt idx="3">
                  <c:v>speciální a interdisciplinární obory</c:v>
                </c:pt>
                <c:pt idx="4">
                  <c:v>pedagogika, učitelství a soc. péče</c:v>
                </c:pt>
                <c:pt idx="5">
                  <c:v>stavebnictví, geodézie a kartografie</c:v>
                </c:pt>
                <c:pt idx="6">
                  <c:v>zpracování dřeva a výroba hudebních nástrojů</c:v>
                </c:pt>
                <c:pt idx="7">
                  <c:v>osobní a provozní služby</c:v>
                </c:pt>
                <c:pt idx="8">
                  <c:v>právo, právní a veřejnosprávní činnost</c:v>
                </c:pt>
                <c:pt idx="9">
                  <c:v>gastronomie, hotelnictví a turismus</c:v>
                </c:pt>
                <c:pt idx="10">
                  <c:v>elektrotechnika, telekom. a výpočetní technika</c:v>
                </c:pt>
                <c:pt idx="11">
                  <c:v>strojírenství a strojírenská výroba</c:v>
                </c:pt>
                <c:pt idx="12">
                  <c:v>podnikání v oborech, odvětví</c:v>
                </c:pt>
              </c:strCache>
            </c:strRef>
          </c:cat>
          <c:val>
            <c:numRef>
              <c:f>'3.4.3'!$B$28:$B$40</c:f>
              <c:numCache>
                <c:formatCode>General</c:formatCode>
                <c:ptCount val="13"/>
                <c:pt idx="0">
                  <c:v>107</c:v>
                </c:pt>
                <c:pt idx="1">
                  <c:v>119</c:v>
                </c:pt>
                <c:pt idx="2">
                  <c:v>156</c:v>
                </c:pt>
                <c:pt idx="3">
                  <c:v>191</c:v>
                </c:pt>
                <c:pt idx="4">
                  <c:v>201</c:v>
                </c:pt>
                <c:pt idx="5">
                  <c:v>210</c:v>
                </c:pt>
                <c:pt idx="6">
                  <c:v>217</c:v>
                </c:pt>
                <c:pt idx="7">
                  <c:v>227</c:v>
                </c:pt>
                <c:pt idx="8">
                  <c:v>376</c:v>
                </c:pt>
                <c:pt idx="9">
                  <c:v>465</c:v>
                </c:pt>
                <c:pt idx="10">
                  <c:v>746</c:v>
                </c:pt>
                <c:pt idx="11" formatCode="#,##0">
                  <c:v>1219</c:v>
                </c:pt>
                <c:pt idx="12" formatCode="#,##0">
                  <c:v>10494</c:v>
                </c:pt>
              </c:numCache>
            </c:numRef>
          </c:val>
          <c:extLst>
            <c:ext xmlns:c16="http://schemas.microsoft.com/office/drawing/2014/chart" uri="{C3380CC4-5D6E-409C-BE32-E72D297353CC}">
              <c16:uniqueId val="{00000000-D1D9-480B-A0EF-218DAEB46621}"/>
            </c:ext>
          </c:extLst>
        </c:ser>
        <c:ser>
          <c:idx val="1"/>
          <c:order val="1"/>
          <c:tx>
            <c:strRef>
              <c:f>'3.4.3'!$C$27</c:f>
              <c:strCache>
                <c:ptCount val="1"/>
                <c:pt idx="0">
                  <c:v>2016/17</c:v>
                </c:pt>
              </c:strCache>
            </c:strRef>
          </c:tx>
          <c:spPr>
            <a:solidFill>
              <a:srgbClr val="D58987"/>
            </a:solidFill>
          </c:spPr>
          <c:invertIfNegative val="0"/>
          <c:dLbls>
            <c:spPr>
              <a:noFill/>
              <a:ln>
                <a:noFill/>
              </a:ln>
              <a:effectLst/>
            </c:spPr>
            <c:txPr>
              <a:bodyPr wrap="square" lIns="38100" tIns="19050" rIns="38100" bIns="19050" anchor="ctr">
                <a:spAutoFit/>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'3.4.3'!$A$28:$A$40</c:f>
              <c:strCache>
                <c:ptCount val="13"/>
                <c:pt idx="0">
                  <c:v>potravinářství a potravinářská chemie</c:v>
                </c:pt>
                <c:pt idx="1">
                  <c:v>umění a užité umění</c:v>
                </c:pt>
                <c:pt idx="2">
                  <c:v>zemědělství a lesnictví</c:v>
                </c:pt>
                <c:pt idx="3">
                  <c:v>speciální a interdisciplinární obory</c:v>
                </c:pt>
                <c:pt idx="4">
                  <c:v>pedagogika, učitelství a soc. péče</c:v>
                </c:pt>
                <c:pt idx="5">
                  <c:v>stavebnictví, geodézie a kartografie</c:v>
                </c:pt>
                <c:pt idx="6">
                  <c:v>zpracování dřeva a výroba hudebních nástrojů</c:v>
                </c:pt>
                <c:pt idx="7">
                  <c:v>osobní a provozní služby</c:v>
                </c:pt>
                <c:pt idx="8">
                  <c:v>právo, právní a veřejnosprávní činnost</c:v>
                </c:pt>
                <c:pt idx="9">
                  <c:v>gastronomie, hotelnictví a turismus</c:v>
                </c:pt>
                <c:pt idx="10">
                  <c:v>elektrotechnika, telekom. a výpočetní technika</c:v>
                </c:pt>
                <c:pt idx="11">
                  <c:v>strojírenství a strojírenská výroba</c:v>
                </c:pt>
                <c:pt idx="12">
                  <c:v>podnikání v oborech, odvětví</c:v>
                </c:pt>
              </c:strCache>
            </c:strRef>
          </c:cat>
          <c:val>
            <c:numRef>
              <c:f>'3.4.3'!$C$28:$C$40</c:f>
              <c:numCache>
                <c:formatCode>General</c:formatCode>
                <c:ptCount val="13"/>
                <c:pt idx="0">
                  <c:v>72</c:v>
                </c:pt>
                <c:pt idx="1">
                  <c:v>142</c:v>
                </c:pt>
                <c:pt idx="2">
                  <c:v>186</c:v>
                </c:pt>
                <c:pt idx="3">
                  <c:v>145</c:v>
                </c:pt>
                <c:pt idx="4">
                  <c:v>0</c:v>
                </c:pt>
                <c:pt idx="5">
                  <c:v>498</c:v>
                </c:pt>
                <c:pt idx="6">
                  <c:v>278</c:v>
                </c:pt>
                <c:pt idx="7">
                  <c:v>229</c:v>
                </c:pt>
                <c:pt idx="8">
                  <c:v>498</c:v>
                </c:pt>
                <c:pt idx="9">
                  <c:v>708</c:v>
                </c:pt>
                <c:pt idx="10">
                  <c:v>840</c:v>
                </c:pt>
                <c:pt idx="11" formatCode="#,##0">
                  <c:v>1650</c:v>
                </c:pt>
                <c:pt idx="12" formatCode="#,##0">
                  <c:v>13455</c:v>
                </c:pt>
              </c:numCache>
            </c:numRef>
          </c:val>
          <c:extLst>
            <c:ext xmlns:c16="http://schemas.microsoft.com/office/drawing/2014/chart" uri="{C3380CC4-5D6E-409C-BE32-E72D297353CC}">
              <c16:uniqueId val="{00000001-D1D9-480B-A0EF-218DAEB46621}"/>
            </c:ext>
          </c:extLst>
        </c:ser>
        <c:dLbls>
          <c:showLegendKey val="0"/>
          <c:showVal val="0"/>
          <c:showCatName val="0"/>
          <c:showSerName val="0"/>
          <c:showPercent val="0"/>
          <c:showBubbleSize val="0"/>
        </c:dLbls>
        <c:gapWidth val="30"/>
        <c:axId val="195141120"/>
        <c:axId val="193502528"/>
      </c:barChart>
      <c:catAx>
        <c:axId val="195141120"/>
        <c:scaling>
          <c:orientation val="minMax"/>
        </c:scaling>
        <c:delete val="0"/>
        <c:axPos val="l"/>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3502528"/>
        <c:crosses val="autoZero"/>
        <c:auto val="1"/>
        <c:lblAlgn val="ctr"/>
        <c:lblOffset val="100"/>
        <c:noMultiLvlLbl val="0"/>
      </c:catAx>
      <c:valAx>
        <c:axId val="193502528"/>
        <c:scaling>
          <c:orientation val="minMax"/>
        </c:scaling>
        <c:delete val="0"/>
        <c:axPos val="b"/>
        <c:majorGridlines>
          <c:spPr>
            <a:ln>
              <a:noFill/>
            </a:ln>
          </c:spPr>
        </c:majorGridlines>
        <c:numFmt formatCode="#,##0"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5141120"/>
        <c:crosses val="autoZero"/>
        <c:crossBetween val="between"/>
      </c:valAx>
    </c:plotArea>
    <c:legend>
      <c:legendPos val="b"/>
      <c:layout>
        <c:manualLayout>
          <c:xMode val="edge"/>
          <c:yMode val="edge"/>
          <c:x val="0.81321003098911682"/>
          <c:y val="0.75023324914574352"/>
          <c:w val="0.13648948087096591"/>
          <c:h val="0.13599143267468924"/>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chemeClr val="bg1">
          <a:lumMod val="85000"/>
        </a:schemeClr>
      </a:solidFill>
    </a:ln>
  </c:spPr>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223965059923065E-2"/>
          <c:y val="4.5105064742306571E-2"/>
          <c:w val="0.88467396436556545"/>
          <c:h val="0.77145095865949309"/>
        </c:manualLayout>
      </c:layout>
      <c:barChart>
        <c:barDir val="col"/>
        <c:grouping val="clustered"/>
        <c:varyColors val="0"/>
        <c:ser>
          <c:idx val="0"/>
          <c:order val="0"/>
          <c:tx>
            <c:strRef>
              <c:f>List48!$B$3</c:f>
              <c:strCache>
                <c:ptCount val="1"/>
                <c:pt idx="0">
                  <c:v>počet</c:v>
                </c:pt>
              </c:strCache>
            </c:strRef>
          </c:tx>
          <c:spPr>
            <a:solidFill>
              <a:schemeClr val="accent1">
                <a:lumMod val="40000"/>
                <a:lumOff val="60000"/>
              </a:schemeClr>
            </a:solidFill>
          </c:spPr>
          <c:invertIfNegative val="0"/>
          <c:dLbls>
            <c:numFmt formatCode="#,##0"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List48!$A$4:$A$14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List48!$B$4:$B$14</c:f>
              <c:numCache>
                <c:formatCode>#\ ##0_ ;\-#\ ##0\ </c:formatCode>
                <c:ptCount val="11"/>
                <c:pt idx="0">
                  <c:v>19125</c:v>
                </c:pt>
                <c:pt idx="1">
                  <c:v>19160</c:v>
                </c:pt>
                <c:pt idx="2">
                  <c:v>19876</c:v>
                </c:pt>
                <c:pt idx="3">
                  <c:v>19835</c:v>
                </c:pt>
                <c:pt idx="4">
                  <c:v>20046</c:v>
                </c:pt>
                <c:pt idx="5">
                  <c:v>20335</c:v>
                </c:pt>
                <c:pt idx="6">
                  <c:v>22316</c:v>
                </c:pt>
                <c:pt idx="7">
                  <c:v>22067</c:v>
                </c:pt>
                <c:pt idx="8">
                  <c:v>25052</c:v>
                </c:pt>
                <c:pt idx="9">
                  <c:v>25209</c:v>
                </c:pt>
                <c:pt idx="10">
                  <c:v>24271</c:v>
                </c:pt>
              </c:numCache>
            </c:numRef>
          </c:val>
          <c:extLst>
            <c:ext xmlns:c16="http://schemas.microsoft.com/office/drawing/2014/chart" uri="{C3380CC4-5D6E-409C-BE32-E72D297353CC}">
              <c16:uniqueId val="{00000000-C5C9-407A-AC9F-DAEBF34355C9}"/>
            </c:ext>
          </c:extLst>
        </c:ser>
        <c:dLbls>
          <c:showLegendKey val="0"/>
          <c:showVal val="0"/>
          <c:showCatName val="0"/>
          <c:showSerName val="0"/>
          <c:showPercent val="0"/>
          <c:showBubbleSize val="0"/>
        </c:dLbls>
        <c:gapWidth val="45"/>
        <c:axId val="194352128"/>
        <c:axId val="194022208"/>
      </c:barChart>
      <c:lineChart>
        <c:grouping val="standard"/>
        <c:varyColors val="0"/>
        <c:ser>
          <c:idx val="1"/>
          <c:order val="1"/>
          <c:tx>
            <c:strRef>
              <c:f>List48!$C$3</c:f>
              <c:strCache>
                <c:ptCount val="1"/>
                <c:pt idx="0">
                  <c:v>podíl v běžných třídách</c:v>
                </c:pt>
              </c:strCache>
            </c:strRef>
          </c:tx>
          <c:spPr>
            <a:ln>
              <a:solidFill>
                <a:srgbClr val="83C937"/>
              </a:solidFill>
            </a:ln>
          </c:spPr>
          <c:marker>
            <c:symbol val="none"/>
          </c:marker>
          <c:dLbls>
            <c:numFmt formatCode="0.0\ %" sourceLinked="0"/>
            <c:spPr>
              <a:noFill/>
              <a:ln>
                <a:noFill/>
              </a:ln>
              <a:effectLst/>
            </c:spPr>
            <c:txPr>
              <a:bodyPr wrap="square" lIns="38100" tIns="19050" rIns="38100" bIns="19050" anchor="ctr">
                <a:spAutoFit/>
              </a:bodyPr>
              <a:lstStyle/>
              <a:p>
                <a:pPr>
                  <a:defRPr sz="800" b="1" i="1">
                    <a:solidFill>
                      <a:schemeClr val="accent3">
                        <a:lumMod val="75000"/>
                      </a:schemeClr>
                    </a:solidFill>
                    <a:latin typeface="Arial" panose="020B0604020202020204" pitchFamily="34" charset="0"/>
                    <a:cs typeface="Arial" panose="020B0604020202020204" pitchFamily="34" charset="0"/>
                  </a:defRPr>
                </a:pPr>
                <a:endParaRPr lang="cs-CZ"/>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List48!$A$4:$A$14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List48!$C$4:$C$14</c:f>
              <c:numCache>
                <c:formatCode>0.0%</c:formatCode>
                <c:ptCount val="11"/>
                <c:pt idx="0">
                  <c:v>0.38143790849673204</c:v>
                </c:pt>
                <c:pt idx="1">
                  <c:v>0.40746346555323593</c:v>
                </c:pt>
                <c:pt idx="2">
                  <c:v>0.44636747836586838</c:v>
                </c:pt>
                <c:pt idx="3">
                  <c:v>0.45283589614318126</c:v>
                </c:pt>
                <c:pt idx="4">
                  <c:v>0.47415943330340216</c:v>
                </c:pt>
                <c:pt idx="5">
                  <c:v>0.51546594541431034</c:v>
                </c:pt>
                <c:pt idx="6">
                  <c:v>0.58186951066499371</c:v>
                </c:pt>
                <c:pt idx="7">
                  <c:v>0.64363076086463955</c:v>
                </c:pt>
                <c:pt idx="8">
                  <c:v>0.68082388631646173</c:v>
                </c:pt>
                <c:pt idx="9">
                  <c:v>0.68701654171129356</c:v>
                </c:pt>
                <c:pt idx="10">
                  <c:v>0.67018252235177789</c:v>
                </c:pt>
              </c:numCache>
            </c:numRef>
          </c:val>
          <c:smooth val="0"/>
          <c:extLst>
            <c:ext xmlns:c16="http://schemas.microsoft.com/office/drawing/2014/chart" uri="{C3380CC4-5D6E-409C-BE32-E72D297353CC}">
              <c16:uniqueId val="{00000001-C5C9-407A-AC9F-DAEBF34355C9}"/>
            </c:ext>
          </c:extLst>
        </c:ser>
        <c:ser>
          <c:idx val="2"/>
          <c:order val="2"/>
          <c:tx>
            <c:strRef>
              <c:f>List48!$D$3</c:f>
              <c:strCache>
                <c:ptCount val="1"/>
                <c:pt idx="0">
                  <c:v>podíl ze žáků SŠ</c:v>
                </c:pt>
              </c:strCache>
            </c:strRef>
          </c:tx>
          <c:spPr>
            <a:ln>
              <a:solidFill>
                <a:srgbClr val="FF2121"/>
              </a:solidFill>
            </a:ln>
          </c:spPr>
          <c:marker>
            <c:symbol val="none"/>
          </c:marker>
          <c:dLbls>
            <c:numFmt formatCode="0.0\ %" sourceLinked="0"/>
            <c:spPr>
              <a:noFill/>
              <a:ln>
                <a:noFill/>
              </a:ln>
              <a:effectLst/>
            </c:spPr>
            <c:txPr>
              <a:bodyPr wrap="square" lIns="38100" tIns="19050" rIns="38100" bIns="19050" anchor="ctr">
                <a:spAutoFit/>
              </a:bodyPr>
              <a:lstStyle/>
              <a:p>
                <a:pPr>
                  <a:defRPr sz="800" i="1">
                    <a:solidFill>
                      <a:srgbClr val="C00000"/>
                    </a:solidFill>
                    <a:latin typeface="Arial" panose="020B0604020202020204" pitchFamily="34" charset="0"/>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List48!$A$4:$A$14</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List48!$D$4:$D$14</c:f>
              <c:numCache>
                <c:formatCode>0.0%</c:formatCode>
                <c:ptCount val="11"/>
                <c:pt idx="0">
                  <c:v>3.8156897170902995E-2</c:v>
                </c:pt>
                <c:pt idx="1">
                  <c:v>4.0700663191390832E-2</c:v>
                </c:pt>
                <c:pt idx="2">
                  <c:v>4.4287776965721316E-2</c:v>
                </c:pt>
                <c:pt idx="3">
                  <c:v>4.5540958162473423E-2</c:v>
                </c:pt>
                <c:pt idx="4">
                  <c:v>4.6934374758549967E-2</c:v>
                </c:pt>
                <c:pt idx="5">
                  <c:v>4.7864064644144153E-2</c:v>
                </c:pt>
                <c:pt idx="6">
                  <c:v>5.2939850783446214E-2</c:v>
                </c:pt>
                <c:pt idx="7">
                  <c:v>5.2438844715242364E-2</c:v>
                </c:pt>
                <c:pt idx="8">
                  <c:v>5.9107489182187535E-2</c:v>
                </c:pt>
                <c:pt idx="9">
                  <c:v>5.8232041135950992E-2</c:v>
                </c:pt>
                <c:pt idx="10">
                  <c:v>5.4388308003961869E-2</c:v>
                </c:pt>
              </c:numCache>
            </c:numRef>
          </c:val>
          <c:smooth val="0"/>
          <c:extLst>
            <c:ext xmlns:c16="http://schemas.microsoft.com/office/drawing/2014/chart" uri="{C3380CC4-5D6E-409C-BE32-E72D297353CC}">
              <c16:uniqueId val="{00000002-C5C9-407A-AC9F-DAEBF34355C9}"/>
            </c:ext>
          </c:extLst>
        </c:ser>
        <c:dLbls>
          <c:showLegendKey val="0"/>
          <c:showVal val="0"/>
          <c:showCatName val="0"/>
          <c:showSerName val="0"/>
          <c:showPercent val="0"/>
          <c:showBubbleSize val="0"/>
        </c:dLbls>
        <c:marker val="1"/>
        <c:smooth val="0"/>
        <c:axId val="826188991"/>
        <c:axId val="826186079"/>
      </c:lineChart>
      <c:catAx>
        <c:axId val="194352128"/>
        <c:scaling>
          <c:orientation val="minMax"/>
        </c:scaling>
        <c:delete val="0"/>
        <c:axPos val="b"/>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4022208"/>
        <c:crosses val="autoZero"/>
        <c:auto val="1"/>
        <c:lblAlgn val="ctr"/>
        <c:lblOffset val="100"/>
        <c:noMultiLvlLbl val="0"/>
      </c:catAx>
      <c:valAx>
        <c:axId val="194022208"/>
        <c:scaling>
          <c:orientation val="minMax"/>
        </c:scaling>
        <c:delete val="0"/>
        <c:axPos val="l"/>
        <c:majorGridlines>
          <c:spPr>
            <a:ln>
              <a:noFill/>
            </a:ln>
          </c:spPr>
        </c:majorGridlines>
        <c:numFmt formatCode="#,##0"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194352128"/>
        <c:crosses val="autoZero"/>
        <c:crossBetween val="between"/>
      </c:valAx>
      <c:valAx>
        <c:axId val="826186079"/>
        <c:scaling>
          <c:orientation val="minMax"/>
          <c:max val="1"/>
        </c:scaling>
        <c:delete val="0"/>
        <c:axPos val="r"/>
        <c:numFmt formatCode="0\ %"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826188991"/>
        <c:crosses val="max"/>
        <c:crossBetween val="between"/>
      </c:valAx>
      <c:catAx>
        <c:axId val="826188991"/>
        <c:scaling>
          <c:orientation val="minMax"/>
        </c:scaling>
        <c:delete val="1"/>
        <c:axPos val="b"/>
        <c:numFmt formatCode="General" sourceLinked="1"/>
        <c:majorTickMark val="out"/>
        <c:minorTickMark val="none"/>
        <c:tickLblPos val="nextTo"/>
        <c:crossAx val="826186079"/>
        <c:crosses val="autoZero"/>
        <c:auto val="1"/>
        <c:lblAlgn val="ctr"/>
        <c:lblOffset val="100"/>
        <c:noMultiLvlLbl val="0"/>
      </c:catAx>
    </c:plotArea>
    <c:legend>
      <c:legendPos val="b"/>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chemeClr val="bg1">
          <a:lumMod val="85000"/>
        </a:schemeClr>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943569553805782E-2"/>
          <c:y val="4.4176706827309238E-2"/>
          <c:w val="0.93905643044619425"/>
          <c:h val="0.68072093377406317"/>
        </c:manualLayout>
      </c:layout>
      <c:barChart>
        <c:barDir val="col"/>
        <c:grouping val="clustered"/>
        <c:varyColors val="0"/>
        <c:ser>
          <c:idx val="0"/>
          <c:order val="0"/>
          <c:tx>
            <c:strRef>
              <c:f>'1.1.6'!$B$76</c:f>
              <c:strCache>
                <c:ptCount val="1"/>
                <c:pt idx="0">
                  <c:v>2018/19</c:v>
                </c:pt>
              </c:strCache>
            </c:strRef>
          </c:tx>
          <c:spPr>
            <a:solidFill>
              <a:srgbClr val="0070C0"/>
            </a:solidFill>
            <a:ln>
              <a:noFill/>
            </a:ln>
            <a:effectLst/>
          </c:spPr>
          <c:invertIfNegative val="0"/>
          <c:dLbls>
            <c:spPr>
              <a:solidFill>
                <a:schemeClr val="accent1">
                  <a:lumMod val="20000"/>
                  <a:lumOff val="80000"/>
                </a:schemeClr>
              </a:solid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inBase"/>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'1.1.6'!$A$77:$A$91</c:f>
              <c:strCache>
                <c:ptCount val="15"/>
                <c:pt idx="0">
                  <c:v>Olomoucký</c:v>
                </c:pt>
                <c:pt idx="1">
                  <c:v>Zlínský</c:v>
                </c:pt>
                <c:pt idx="2">
                  <c:v>Jihočeský</c:v>
                </c:pt>
                <c:pt idx="3">
                  <c:v>Vysočina</c:v>
                </c:pt>
                <c:pt idx="4">
                  <c:v>Královéhradecký</c:v>
                </c:pt>
                <c:pt idx="5">
                  <c:v>Pardubický</c:v>
                </c:pt>
                <c:pt idx="6">
                  <c:v>Moravskoslezský</c:v>
                </c:pt>
                <c:pt idx="7">
                  <c:v>Liberecký</c:v>
                </c:pt>
                <c:pt idx="8">
                  <c:v>ČR</c:v>
                </c:pt>
                <c:pt idx="9">
                  <c:v>Plzeňský</c:v>
                </c:pt>
                <c:pt idx="10">
                  <c:v>Středočeský</c:v>
                </c:pt>
                <c:pt idx="11">
                  <c:v>Jihomoravský</c:v>
                </c:pt>
                <c:pt idx="12">
                  <c:v>Karlovarský</c:v>
                </c:pt>
                <c:pt idx="13">
                  <c:v>Praha</c:v>
                </c:pt>
                <c:pt idx="14">
                  <c:v>Ústecký</c:v>
                </c:pt>
              </c:strCache>
            </c:strRef>
          </c:cat>
          <c:val>
            <c:numRef>
              <c:f>'1.1.6'!$B$77:$B$91</c:f>
              <c:numCache>
                <c:formatCode>0.0</c:formatCode>
                <c:ptCount val="15"/>
                <c:pt idx="0">
                  <c:v>71.344937206886783</c:v>
                </c:pt>
                <c:pt idx="1">
                  <c:v>70.657535218764409</c:v>
                </c:pt>
                <c:pt idx="2">
                  <c:v>69.9657149792166</c:v>
                </c:pt>
                <c:pt idx="3">
                  <c:v>69.5744097725226</c:v>
                </c:pt>
                <c:pt idx="4">
                  <c:v>69.320253810808836</c:v>
                </c:pt>
                <c:pt idx="5">
                  <c:v>68.659501418122105</c:v>
                </c:pt>
                <c:pt idx="6">
                  <c:v>66.992180831085463</c:v>
                </c:pt>
                <c:pt idx="7">
                  <c:v>65.036231884057969</c:v>
                </c:pt>
                <c:pt idx="8">
                  <c:v>65.468314700567987</c:v>
                </c:pt>
                <c:pt idx="9">
                  <c:v>64.716780457680031</c:v>
                </c:pt>
                <c:pt idx="10">
                  <c:v>62.940797462394372</c:v>
                </c:pt>
                <c:pt idx="11">
                  <c:v>65.558741060458075</c:v>
                </c:pt>
                <c:pt idx="12">
                  <c:v>64.510086455331418</c:v>
                </c:pt>
                <c:pt idx="13">
                  <c:v>59.814840403482108</c:v>
                </c:pt>
                <c:pt idx="14">
                  <c:v>60.332861019717086</c:v>
                </c:pt>
              </c:numCache>
            </c:numRef>
          </c:val>
          <c:extLst>
            <c:ext xmlns:c16="http://schemas.microsoft.com/office/drawing/2014/chart" uri="{C3380CC4-5D6E-409C-BE32-E72D297353CC}">
              <c16:uniqueId val="{00000000-DEF2-4A16-B39F-C3E4ABC23C8F}"/>
            </c:ext>
          </c:extLst>
        </c:ser>
        <c:ser>
          <c:idx val="1"/>
          <c:order val="1"/>
          <c:tx>
            <c:strRef>
              <c:f>'1.1.6'!$C$76</c:f>
              <c:strCache>
                <c:ptCount val="1"/>
                <c:pt idx="0">
                  <c:v>2021/22</c:v>
                </c:pt>
              </c:strCache>
            </c:strRef>
          </c:tx>
          <c:spPr>
            <a:solidFill>
              <a:srgbClr val="EABA64"/>
            </a:solidFill>
            <a:ln>
              <a:noFill/>
            </a:ln>
            <a:effectLst/>
          </c:spPr>
          <c:invertIfNegative val="0"/>
          <c:dLbls>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7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cs-CZ"/>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'1.1.6'!$A$77:$A$91</c:f>
              <c:strCache>
                <c:ptCount val="15"/>
                <c:pt idx="0">
                  <c:v>Olomoucký</c:v>
                </c:pt>
                <c:pt idx="1">
                  <c:v>Zlínský</c:v>
                </c:pt>
                <c:pt idx="2">
                  <c:v>Jihočeský</c:v>
                </c:pt>
                <c:pt idx="3">
                  <c:v>Vysočina</c:v>
                </c:pt>
                <c:pt idx="4">
                  <c:v>Královéhradecký</c:v>
                </c:pt>
                <c:pt idx="5">
                  <c:v>Pardubický</c:v>
                </c:pt>
                <c:pt idx="6">
                  <c:v>Moravskoslezský</c:v>
                </c:pt>
                <c:pt idx="7">
                  <c:v>Liberecký</c:v>
                </c:pt>
                <c:pt idx="8">
                  <c:v>ČR</c:v>
                </c:pt>
                <c:pt idx="9">
                  <c:v>Plzeňský</c:v>
                </c:pt>
                <c:pt idx="10">
                  <c:v>Středočeský</c:v>
                </c:pt>
                <c:pt idx="11">
                  <c:v>Jihomoravský</c:v>
                </c:pt>
                <c:pt idx="12">
                  <c:v>Karlovarský</c:v>
                </c:pt>
                <c:pt idx="13">
                  <c:v>Praha</c:v>
                </c:pt>
                <c:pt idx="14">
                  <c:v>Ústecký</c:v>
                </c:pt>
              </c:strCache>
            </c:strRef>
          </c:cat>
          <c:val>
            <c:numRef>
              <c:f>'1.1.6'!$C$77:$C$91</c:f>
              <c:numCache>
                <c:formatCode>0.0</c:formatCode>
                <c:ptCount val="15"/>
                <c:pt idx="0">
                  <c:v>68.997690531177824</c:v>
                </c:pt>
                <c:pt idx="1">
                  <c:v>68.016027946162538</c:v>
                </c:pt>
                <c:pt idx="2">
                  <c:v>67.659308621407746</c:v>
                </c:pt>
                <c:pt idx="3">
                  <c:v>66.912487708947893</c:v>
                </c:pt>
                <c:pt idx="4">
                  <c:v>66.666666666666657</c:v>
                </c:pt>
                <c:pt idx="5">
                  <c:v>65.784658175962534</c:v>
                </c:pt>
                <c:pt idx="6">
                  <c:v>64.823146790691396</c:v>
                </c:pt>
                <c:pt idx="7">
                  <c:v>64.805732076598289</c:v>
                </c:pt>
                <c:pt idx="8">
                  <c:v>64.104547548044181</c:v>
                </c:pt>
                <c:pt idx="9">
                  <c:v>63.429028708612591</c:v>
                </c:pt>
                <c:pt idx="10">
                  <c:v>63.021593230230522</c:v>
                </c:pt>
                <c:pt idx="11">
                  <c:v>62.835225899975846</c:v>
                </c:pt>
                <c:pt idx="12">
                  <c:v>62.120761451516962</c:v>
                </c:pt>
                <c:pt idx="13">
                  <c:v>60.898169336384441</c:v>
                </c:pt>
                <c:pt idx="14">
                  <c:v>59.254194241617618</c:v>
                </c:pt>
              </c:numCache>
            </c:numRef>
          </c:val>
          <c:extLst>
            <c:ext xmlns:c16="http://schemas.microsoft.com/office/drawing/2014/chart" uri="{C3380CC4-5D6E-409C-BE32-E72D297353CC}">
              <c16:uniqueId val="{00000001-DEF2-4A16-B39F-C3E4ABC23C8F}"/>
            </c:ext>
          </c:extLst>
        </c:ser>
        <c:dLbls>
          <c:showLegendKey val="0"/>
          <c:showVal val="0"/>
          <c:showCatName val="0"/>
          <c:showSerName val="0"/>
          <c:showPercent val="0"/>
          <c:showBubbleSize val="0"/>
        </c:dLbls>
        <c:gapWidth val="69"/>
        <c:overlap val="13"/>
        <c:axId val="1444166591"/>
        <c:axId val="1444167839"/>
      </c:barChart>
      <c:catAx>
        <c:axId val="14441665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444167839"/>
        <c:crosses val="autoZero"/>
        <c:auto val="1"/>
        <c:lblAlgn val="ctr"/>
        <c:lblOffset val="100"/>
        <c:noMultiLvlLbl val="0"/>
      </c:catAx>
      <c:valAx>
        <c:axId val="1444167839"/>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1444166591"/>
        <c:crosses val="autoZero"/>
        <c:crossBetween val="between"/>
      </c:valAx>
      <c:spPr>
        <a:noFill/>
        <a:ln>
          <a:noFill/>
        </a:ln>
        <a:effectLst/>
      </c:spPr>
    </c:plotArea>
    <c:legend>
      <c:legendPos val="b"/>
      <c:layout>
        <c:manualLayout>
          <c:xMode val="edge"/>
          <c:yMode val="edge"/>
          <c:x val="0.85210839122140991"/>
          <c:y val="1.0805549306336705E-2"/>
          <c:w val="0.13221369377352682"/>
          <c:h val="0.1331410573678290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90230249654812"/>
          <c:y val="3.1746127887860173E-2"/>
          <c:w val="0.78929664597612503"/>
          <c:h val="0.91235037927951312"/>
        </c:manualLayout>
      </c:layout>
      <c:barChart>
        <c:barDir val="bar"/>
        <c:grouping val="clustered"/>
        <c:varyColors val="0"/>
        <c:ser>
          <c:idx val="0"/>
          <c:order val="0"/>
          <c:invertIfNegative val="0"/>
          <c:dPt>
            <c:idx val="0"/>
            <c:invertIfNegative val="0"/>
            <c:bubble3D val="0"/>
            <c:spPr>
              <a:solidFill>
                <a:schemeClr val="accent4">
                  <a:lumMod val="50000"/>
                </a:schemeClr>
              </a:solidFill>
            </c:spPr>
            <c:extLst>
              <c:ext xmlns:c16="http://schemas.microsoft.com/office/drawing/2014/chart" uri="{C3380CC4-5D6E-409C-BE32-E72D297353CC}">
                <c16:uniqueId val="{00000001-FEDD-436B-AFA0-BCA0B732974A}"/>
              </c:ext>
            </c:extLst>
          </c:dPt>
          <c:dPt>
            <c:idx val="1"/>
            <c:invertIfNegative val="0"/>
            <c:bubble3D val="0"/>
            <c:spPr>
              <a:solidFill>
                <a:srgbClr val="F4E30C"/>
              </a:solidFill>
            </c:spPr>
            <c:extLst>
              <c:ext xmlns:c16="http://schemas.microsoft.com/office/drawing/2014/chart" uri="{C3380CC4-5D6E-409C-BE32-E72D297353CC}">
                <c16:uniqueId val="{00000003-FEDD-436B-AFA0-BCA0B732974A}"/>
              </c:ext>
            </c:extLst>
          </c:dPt>
          <c:dPt>
            <c:idx val="2"/>
            <c:invertIfNegative val="0"/>
            <c:bubble3D val="0"/>
            <c:spPr>
              <a:solidFill>
                <a:schemeClr val="accent6">
                  <a:lumMod val="75000"/>
                </a:schemeClr>
              </a:solidFill>
            </c:spPr>
            <c:extLst>
              <c:ext xmlns:c16="http://schemas.microsoft.com/office/drawing/2014/chart" uri="{C3380CC4-5D6E-409C-BE32-E72D297353CC}">
                <c16:uniqueId val="{00000005-FEDD-436B-AFA0-BCA0B732974A}"/>
              </c:ext>
            </c:extLst>
          </c:dPt>
          <c:dPt>
            <c:idx val="19"/>
            <c:invertIfNegative val="0"/>
            <c:bubble3D val="0"/>
            <c:spPr>
              <a:solidFill>
                <a:srgbClr val="C00000"/>
              </a:solidFill>
            </c:spPr>
            <c:extLst>
              <c:ext xmlns:c16="http://schemas.microsoft.com/office/drawing/2014/chart" uri="{C3380CC4-5D6E-409C-BE32-E72D297353CC}">
                <c16:uniqueId val="{00000007-FEDD-436B-AFA0-BCA0B732974A}"/>
              </c:ext>
            </c:extLst>
          </c:dPt>
          <c:dLbls>
            <c:numFmt formatCode="0.0\ %" sourceLinked="0"/>
            <c:spPr>
              <a:noFill/>
              <a:ln>
                <a:noFill/>
              </a:ln>
              <a:effectLst/>
            </c:spPr>
            <c:txPr>
              <a:bodyPr wrap="square" lIns="38100" tIns="19050" rIns="38100" bIns="19050" anchor="ctr">
                <a:spAutoFit/>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'3.1.16'!$A$26:$A$45</c:f>
              <c:strCache>
                <c:ptCount val="20"/>
                <c:pt idx="0">
                  <c:v>církevní</c:v>
                </c:pt>
                <c:pt idx="1">
                  <c:v>soukromý</c:v>
                </c:pt>
                <c:pt idx="2">
                  <c:v>veřejný</c:v>
                </c:pt>
                <c:pt idx="4">
                  <c:v>Moravskoslezský</c:v>
                </c:pt>
                <c:pt idx="5">
                  <c:v>Olomoucký</c:v>
                </c:pt>
                <c:pt idx="6">
                  <c:v>Vysočina</c:v>
                </c:pt>
                <c:pt idx="7">
                  <c:v>Zlínský</c:v>
                </c:pt>
                <c:pt idx="8">
                  <c:v>Pardubický</c:v>
                </c:pt>
                <c:pt idx="9">
                  <c:v>Jihočeský</c:v>
                </c:pt>
                <c:pt idx="10">
                  <c:v>Královéhradecký</c:v>
                </c:pt>
                <c:pt idx="11">
                  <c:v>Ústecký</c:v>
                </c:pt>
                <c:pt idx="12">
                  <c:v>Jihomoravský</c:v>
                </c:pt>
                <c:pt idx="13">
                  <c:v>Středočeský</c:v>
                </c:pt>
                <c:pt idx="14">
                  <c:v>Liberecký</c:v>
                </c:pt>
                <c:pt idx="15">
                  <c:v>Plzeňský</c:v>
                </c:pt>
                <c:pt idx="16">
                  <c:v>Karlovarský</c:v>
                </c:pt>
                <c:pt idx="17">
                  <c:v>Praha</c:v>
                </c:pt>
                <c:pt idx="19">
                  <c:v>ČR</c:v>
                </c:pt>
              </c:strCache>
            </c:strRef>
          </c:cat>
          <c:val>
            <c:numRef>
              <c:f>'3.1.16'!$B$26:$B$45</c:f>
              <c:numCache>
                <c:formatCode>0.0%</c:formatCode>
                <c:ptCount val="20"/>
                <c:pt idx="0">
                  <c:v>1.5076318007304055E-2</c:v>
                </c:pt>
                <c:pt idx="1">
                  <c:v>3.8204742133199493E-2</c:v>
                </c:pt>
                <c:pt idx="2">
                  <c:v>1.9955923907899895E-2</c:v>
                </c:pt>
                <c:pt idx="4">
                  <c:v>7.5273862222312886E-3</c:v>
                </c:pt>
                <c:pt idx="5">
                  <c:v>8.117289468979081E-3</c:v>
                </c:pt>
                <c:pt idx="6">
                  <c:v>9.1714247178887737E-3</c:v>
                </c:pt>
                <c:pt idx="7">
                  <c:v>1.0126280676673814E-2</c:v>
                </c:pt>
                <c:pt idx="8">
                  <c:v>1.3090249276364107E-2</c:v>
                </c:pt>
                <c:pt idx="9">
                  <c:v>1.3489176877714608E-2</c:v>
                </c:pt>
                <c:pt idx="10">
                  <c:v>1.3865990276897062E-2</c:v>
                </c:pt>
                <c:pt idx="11">
                  <c:v>1.7491847020456568E-2</c:v>
                </c:pt>
                <c:pt idx="12">
                  <c:v>1.8508483054733418E-2</c:v>
                </c:pt>
                <c:pt idx="13">
                  <c:v>1.9510706235912847E-2</c:v>
                </c:pt>
                <c:pt idx="14">
                  <c:v>2.2375007538749169E-2</c:v>
                </c:pt>
                <c:pt idx="15">
                  <c:v>3.0399865450111425E-2</c:v>
                </c:pt>
                <c:pt idx="16">
                  <c:v>3.9318479685452164E-2</c:v>
                </c:pt>
                <c:pt idx="17">
                  <c:v>5.8310916834790408E-2</c:v>
                </c:pt>
                <c:pt idx="19">
                  <c:v>2.2527529165004685E-2</c:v>
                </c:pt>
              </c:numCache>
            </c:numRef>
          </c:val>
          <c:extLst>
            <c:ext xmlns:c16="http://schemas.microsoft.com/office/drawing/2014/chart" uri="{C3380CC4-5D6E-409C-BE32-E72D297353CC}">
              <c16:uniqueId val="{00000008-FEDD-436B-AFA0-BCA0B732974A}"/>
            </c:ext>
          </c:extLst>
        </c:ser>
        <c:dLbls>
          <c:showLegendKey val="0"/>
          <c:showVal val="0"/>
          <c:showCatName val="0"/>
          <c:showSerName val="0"/>
          <c:showPercent val="0"/>
          <c:showBubbleSize val="0"/>
        </c:dLbls>
        <c:gapWidth val="55"/>
        <c:axId val="233276928"/>
        <c:axId val="309333952"/>
      </c:barChart>
      <c:catAx>
        <c:axId val="233276928"/>
        <c:scaling>
          <c:orientation val="minMax"/>
        </c:scaling>
        <c:delete val="0"/>
        <c:axPos val="l"/>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09333952"/>
        <c:crosses val="autoZero"/>
        <c:auto val="1"/>
        <c:lblAlgn val="ctr"/>
        <c:lblOffset val="100"/>
        <c:noMultiLvlLbl val="0"/>
      </c:catAx>
      <c:valAx>
        <c:axId val="309333952"/>
        <c:scaling>
          <c:orientation val="minMax"/>
          <c:max val="6.0000000000000012E-2"/>
        </c:scaling>
        <c:delete val="0"/>
        <c:axPos val="b"/>
        <c:majorGridlines>
          <c:spPr>
            <a:ln>
              <a:noFill/>
            </a:ln>
          </c:spPr>
        </c:majorGridlines>
        <c:numFmt formatCode="0\ %"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233276928"/>
        <c:crosses val="autoZero"/>
        <c:crossBetween val="between"/>
      </c:valAx>
    </c:plotArea>
    <c:plotVisOnly val="1"/>
    <c:dispBlanksAs val="gap"/>
    <c:showDLblsOverMax val="0"/>
  </c:chart>
  <c:spPr>
    <a:ln>
      <a:solidFill>
        <a:schemeClr val="bg1">
          <a:lumMod val="85000"/>
        </a:schemeClr>
      </a:solidFill>
    </a:ln>
  </c:spPr>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371549424090584"/>
          <c:y val="2.736318407960199E-2"/>
          <c:w val="0.787039413461747"/>
          <c:h val="0.82809143260077567"/>
        </c:manualLayout>
      </c:layout>
      <c:barChart>
        <c:barDir val="bar"/>
        <c:grouping val="percentStacked"/>
        <c:varyColors val="0"/>
        <c:ser>
          <c:idx val="0"/>
          <c:order val="0"/>
          <c:tx>
            <c:strRef>
              <c:f>List51!$B$3</c:f>
              <c:strCache>
                <c:ptCount val="1"/>
                <c:pt idx="0">
                  <c:v>Slovensko</c:v>
                </c:pt>
              </c:strCache>
            </c:strRef>
          </c:tx>
          <c:spPr>
            <a:solidFill>
              <a:schemeClr val="accent1">
                <a:lumMod val="20000"/>
                <a:lumOff val="80000"/>
              </a:schemeClr>
            </a:solidFill>
          </c:spPr>
          <c:invertIfNegative val="0"/>
          <c:dLbls>
            <c:numFmt formatCode="0.0\ %"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List51!$A$4:$A$19</c:f>
              <c:strCache>
                <c:ptCount val="16"/>
                <c:pt idx="0">
                  <c:v>Moravskoslezský</c:v>
                </c:pt>
                <c:pt idx="1">
                  <c:v>Olomoucký</c:v>
                </c:pt>
                <c:pt idx="2">
                  <c:v>Vysočina</c:v>
                </c:pt>
                <c:pt idx="3">
                  <c:v>Zlínský</c:v>
                </c:pt>
                <c:pt idx="4">
                  <c:v>Pardubický</c:v>
                </c:pt>
                <c:pt idx="5">
                  <c:v>Jihočeský</c:v>
                </c:pt>
                <c:pt idx="6">
                  <c:v>Královéhradecký</c:v>
                </c:pt>
                <c:pt idx="7">
                  <c:v>Ústecký</c:v>
                </c:pt>
                <c:pt idx="8">
                  <c:v>Jihomoravský</c:v>
                </c:pt>
                <c:pt idx="9">
                  <c:v>Středočeský</c:v>
                </c:pt>
                <c:pt idx="10">
                  <c:v>Liberecký</c:v>
                </c:pt>
                <c:pt idx="11">
                  <c:v>Plzeňský</c:v>
                </c:pt>
                <c:pt idx="12">
                  <c:v>Karlovarský</c:v>
                </c:pt>
                <c:pt idx="13">
                  <c:v>Praha</c:v>
                </c:pt>
                <c:pt idx="15">
                  <c:v>Česká republika</c:v>
                </c:pt>
              </c:strCache>
            </c:strRef>
          </c:cat>
          <c:val>
            <c:numRef>
              <c:f>List51!$B$4:$B$19</c:f>
              <c:numCache>
                <c:formatCode>0.0%</c:formatCode>
                <c:ptCount val="16"/>
                <c:pt idx="0">
                  <c:v>0.43631436314363142</c:v>
                </c:pt>
                <c:pt idx="1">
                  <c:v>0.34801762114537443</c:v>
                </c:pt>
                <c:pt idx="2">
                  <c:v>0.22058823529411764</c:v>
                </c:pt>
                <c:pt idx="3">
                  <c:v>0.58431372549019611</c:v>
                </c:pt>
                <c:pt idx="4">
                  <c:v>0.25082508250825081</c:v>
                </c:pt>
                <c:pt idx="5">
                  <c:v>0.20680628272251309</c:v>
                </c:pt>
                <c:pt idx="6">
                  <c:v>0.17682926829268292</c:v>
                </c:pt>
                <c:pt idx="7">
                  <c:v>0.14067796610169492</c:v>
                </c:pt>
                <c:pt idx="8">
                  <c:v>0.3141891891891892</c:v>
                </c:pt>
                <c:pt idx="9">
                  <c:v>0.23465703971119134</c:v>
                </c:pt>
                <c:pt idx="10">
                  <c:v>0.18059299191374664</c:v>
                </c:pt>
                <c:pt idx="11">
                  <c:v>0.18533886583679116</c:v>
                </c:pt>
                <c:pt idx="12">
                  <c:v>8.3333333333333329E-2</c:v>
                </c:pt>
                <c:pt idx="13">
                  <c:v>0.13527150408457472</c:v>
                </c:pt>
                <c:pt idx="15">
                  <c:v>0.19924400676414999</c:v>
                </c:pt>
              </c:numCache>
            </c:numRef>
          </c:val>
          <c:extLst>
            <c:ext xmlns:c16="http://schemas.microsoft.com/office/drawing/2014/chart" uri="{C3380CC4-5D6E-409C-BE32-E72D297353CC}">
              <c16:uniqueId val="{00000000-CDFF-4A20-9E53-E58E1F07E237}"/>
            </c:ext>
          </c:extLst>
        </c:ser>
        <c:ser>
          <c:idx val="1"/>
          <c:order val="1"/>
          <c:tx>
            <c:strRef>
              <c:f>List51!$C$3</c:f>
              <c:strCache>
                <c:ptCount val="1"/>
                <c:pt idx="0">
                  <c:v>ostatní státy EU</c:v>
                </c:pt>
              </c:strCache>
            </c:strRef>
          </c:tx>
          <c:spPr>
            <a:solidFill>
              <a:schemeClr val="accent1">
                <a:lumMod val="60000"/>
                <a:lumOff val="40000"/>
              </a:schemeClr>
            </a:solidFill>
          </c:spPr>
          <c:invertIfNegative val="0"/>
          <c:dLbls>
            <c:numFmt formatCode="0.0\ %"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List51!$A$4:$A$19</c:f>
              <c:strCache>
                <c:ptCount val="16"/>
                <c:pt idx="0">
                  <c:v>Moravskoslezský</c:v>
                </c:pt>
                <c:pt idx="1">
                  <c:v>Olomoucký</c:v>
                </c:pt>
                <c:pt idx="2">
                  <c:v>Vysočina</c:v>
                </c:pt>
                <c:pt idx="3">
                  <c:v>Zlínský</c:v>
                </c:pt>
                <c:pt idx="4">
                  <c:v>Pardubický</c:v>
                </c:pt>
                <c:pt idx="5">
                  <c:v>Jihočeský</c:v>
                </c:pt>
                <c:pt idx="6">
                  <c:v>Královéhradecký</c:v>
                </c:pt>
                <c:pt idx="7">
                  <c:v>Ústecký</c:v>
                </c:pt>
                <c:pt idx="8">
                  <c:v>Jihomoravský</c:v>
                </c:pt>
                <c:pt idx="9">
                  <c:v>Středočeský</c:v>
                </c:pt>
                <c:pt idx="10">
                  <c:v>Liberecký</c:v>
                </c:pt>
                <c:pt idx="11">
                  <c:v>Plzeňský</c:v>
                </c:pt>
                <c:pt idx="12">
                  <c:v>Karlovarský</c:v>
                </c:pt>
                <c:pt idx="13">
                  <c:v>Praha</c:v>
                </c:pt>
                <c:pt idx="15">
                  <c:v>Česká republika</c:v>
                </c:pt>
              </c:strCache>
            </c:strRef>
          </c:cat>
          <c:val>
            <c:numRef>
              <c:f>List51!$C$4:$C$19</c:f>
              <c:numCache>
                <c:formatCode>0.0%</c:formatCode>
                <c:ptCount val="16"/>
                <c:pt idx="0">
                  <c:v>0.14092140921409213</c:v>
                </c:pt>
                <c:pt idx="1">
                  <c:v>7.9295154185022032E-2</c:v>
                </c:pt>
                <c:pt idx="2">
                  <c:v>6.3725490196078427E-2</c:v>
                </c:pt>
                <c:pt idx="3">
                  <c:v>4.3137254901960784E-2</c:v>
                </c:pt>
                <c:pt idx="4">
                  <c:v>0.11881188118811881</c:v>
                </c:pt>
                <c:pt idx="5">
                  <c:v>6.8062827225130892E-2</c:v>
                </c:pt>
                <c:pt idx="6">
                  <c:v>8.2317073170731711E-2</c:v>
                </c:pt>
                <c:pt idx="7">
                  <c:v>5.4237288135593219E-2</c:v>
                </c:pt>
                <c:pt idx="8">
                  <c:v>6.3063063063063057E-2</c:v>
                </c:pt>
                <c:pt idx="9">
                  <c:v>0.11913357400722022</c:v>
                </c:pt>
                <c:pt idx="10">
                  <c:v>7.5471698113207544E-2</c:v>
                </c:pt>
                <c:pt idx="11">
                  <c:v>0.11203319502074689</c:v>
                </c:pt>
                <c:pt idx="12">
                  <c:v>6.1904761904761907E-2</c:v>
                </c:pt>
                <c:pt idx="13">
                  <c:v>8.097068716962999E-2</c:v>
                </c:pt>
                <c:pt idx="15">
                  <c:v>8.3756092708644189E-2</c:v>
                </c:pt>
              </c:numCache>
            </c:numRef>
          </c:val>
          <c:extLst>
            <c:ext xmlns:c16="http://schemas.microsoft.com/office/drawing/2014/chart" uri="{C3380CC4-5D6E-409C-BE32-E72D297353CC}">
              <c16:uniqueId val="{00000001-CDFF-4A20-9E53-E58E1F07E237}"/>
            </c:ext>
          </c:extLst>
        </c:ser>
        <c:ser>
          <c:idx val="2"/>
          <c:order val="2"/>
          <c:tx>
            <c:strRef>
              <c:f>List51!$D$3</c:f>
              <c:strCache>
                <c:ptCount val="1"/>
                <c:pt idx="0">
                  <c:v>ostatní evropské státy</c:v>
                </c:pt>
              </c:strCache>
            </c:strRef>
          </c:tx>
          <c:spPr>
            <a:solidFill>
              <a:srgbClr val="3E89CE"/>
            </a:solidFill>
          </c:spPr>
          <c:invertIfNegative val="0"/>
          <c:dLbls>
            <c:numFmt formatCode="0.0\ %" sourceLinked="0"/>
            <c:spPr>
              <a:noFill/>
              <a:ln>
                <a:noFill/>
              </a:ln>
              <a:effectLst/>
            </c:spPr>
            <c:txPr>
              <a:bodyPr/>
              <a:lstStyle/>
              <a:p>
                <a:pPr>
                  <a:defRPr sz="800">
                    <a:solidFill>
                      <a:schemeClr val="bg1"/>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List51!$A$4:$A$19</c:f>
              <c:strCache>
                <c:ptCount val="16"/>
                <c:pt idx="0">
                  <c:v>Moravskoslezský</c:v>
                </c:pt>
                <c:pt idx="1">
                  <c:v>Olomoucký</c:v>
                </c:pt>
                <c:pt idx="2">
                  <c:v>Vysočina</c:v>
                </c:pt>
                <c:pt idx="3">
                  <c:v>Zlínský</c:v>
                </c:pt>
                <c:pt idx="4">
                  <c:v>Pardubický</c:v>
                </c:pt>
                <c:pt idx="5">
                  <c:v>Jihočeský</c:v>
                </c:pt>
                <c:pt idx="6">
                  <c:v>Královéhradecký</c:v>
                </c:pt>
                <c:pt idx="7">
                  <c:v>Ústecký</c:v>
                </c:pt>
                <c:pt idx="8">
                  <c:v>Jihomoravský</c:v>
                </c:pt>
                <c:pt idx="9">
                  <c:v>Středočeský</c:v>
                </c:pt>
                <c:pt idx="10">
                  <c:v>Liberecký</c:v>
                </c:pt>
                <c:pt idx="11">
                  <c:v>Plzeňský</c:v>
                </c:pt>
                <c:pt idx="12">
                  <c:v>Karlovarský</c:v>
                </c:pt>
                <c:pt idx="13">
                  <c:v>Praha</c:v>
                </c:pt>
                <c:pt idx="15">
                  <c:v>Česká republika</c:v>
                </c:pt>
              </c:strCache>
            </c:strRef>
          </c:cat>
          <c:val>
            <c:numRef>
              <c:f>List51!$D$4:$D$19</c:f>
              <c:numCache>
                <c:formatCode>0.0%</c:formatCode>
                <c:ptCount val="16"/>
                <c:pt idx="0">
                  <c:v>0.13279132791327913</c:v>
                </c:pt>
                <c:pt idx="1">
                  <c:v>0.31277533039647576</c:v>
                </c:pt>
                <c:pt idx="2">
                  <c:v>0.40686274509803921</c:v>
                </c:pt>
                <c:pt idx="3">
                  <c:v>0.2196078431372549</c:v>
                </c:pt>
                <c:pt idx="4">
                  <c:v>0.37293729372937295</c:v>
                </c:pt>
                <c:pt idx="5">
                  <c:v>0.39790575916230364</c:v>
                </c:pt>
                <c:pt idx="6">
                  <c:v>0.50914634146341464</c:v>
                </c:pt>
                <c:pt idx="7">
                  <c:v>0.33050847457627119</c:v>
                </c:pt>
                <c:pt idx="8">
                  <c:v>0.37950450450450451</c:v>
                </c:pt>
                <c:pt idx="9">
                  <c:v>0.46209386281588449</c:v>
                </c:pt>
                <c:pt idx="10">
                  <c:v>0.43396226415094341</c:v>
                </c:pt>
                <c:pt idx="11">
                  <c:v>0.37482710926694329</c:v>
                </c:pt>
                <c:pt idx="12">
                  <c:v>0.34761904761904761</c:v>
                </c:pt>
                <c:pt idx="13">
                  <c:v>0.55550216242191253</c:v>
                </c:pt>
                <c:pt idx="15">
                  <c:v>0.44732915547597735</c:v>
                </c:pt>
              </c:numCache>
            </c:numRef>
          </c:val>
          <c:extLst>
            <c:ext xmlns:c16="http://schemas.microsoft.com/office/drawing/2014/chart" uri="{C3380CC4-5D6E-409C-BE32-E72D297353CC}">
              <c16:uniqueId val="{00000002-CDFF-4A20-9E53-E58E1F07E237}"/>
            </c:ext>
          </c:extLst>
        </c:ser>
        <c:ser>
          <c:idx val="3"/>
          <c:order val="3"/>
          <c:tx>
            <c:strRef>
              <c:f>List51!$E$3</c:f>
              <c:strCache>
                <c:ptCount val="1"/>
                <c:pt idx="0">
                  <c:v>ostatní státy světa a zatím nezjištěné občanství</c:v>
                </c:pt>
              </c:strCache>
            </c:strRef>
          </c:tx>
          <c:spPr>
            <a:solidFill>
              <a:schemeClr val="accent2">
                <a:lumMod val="40000"/>
                <a:lumOff val="60000"/>
              </a:schemeClr>
            </a:solidFill>
          </c:spPr>
          <c:invertIfNegative val="0"/>
          <c:dLbls>
            <c:numFmt formatCode="0.0\ %"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List51!$A$4:$A$19</c:f>
              <c:strCache>
                <c:ptCount val="16"/>
                <c:pt idx="0">
                  <c:v>Moravskoslezský</c:v>
                </c:pt>
                <c:pt idx="1">
                  <c:v>Olomoucký</c:v>
                </c:pt>
                <c:pt idx="2">
                  <c:v>Vysočina</c:v>
                </c:pt>
                <c:pt idx="3">
                  <c:v>Zlínský</c:v>
                </c:pt>
                <c:pt idx="4">
                  <c:v>Pardubický</c:v>
                </c:pt>
                <c:pt idx="5">
                  <c:v>Jihočeský</c:v>
                </c:pt>
                <c:pt idx="6">
                  <c:v>Královéhradecký</c:v>
                </c:pt>
                <c:pt idx="7">
                  <c:v>Ústecký</c:v>
                </c:pt>
                <c:pt idx="8">
                  <c:v>Jihomoravský</c:v>
                </c:pt>
                <c:pt idx="9">
                  <c:v>Středočeský</c:v>
                </c:pt>
                <c:pt idx="10">
                  <c:v>Liberecký</c:v>
                </c:pt>
                <c:pt idx="11">
                  <c:v>Plzeňský</c:v>
                </c:pt>
                <c:pt idx="12">
                  <c:v>Karlovarský</c:v>
                </c:pt>
                <c:pt idx="13">
                  <c:v>Praha</c:v>
                </c:pt>
                <c:pt idx="15">
                  <c:v>Česká republika</c:v>
                </c:pt>
              </c:strCache>
            </c:strRef>
          </c:cat>
          <c:val>
            <c:numRef>
              <c:f>List51!$E$4:$E$19</c:f>
              <c:numCache>
                <c:formatCode>0.0%</c:formatCode>
                <c:ptCount val="16"/>
                <c:pt idx="0">
                  <c:v>0.28997289972899731</c:v>
                </c:pt>
                <c:pt idx="1">
                  <c:v>0.25991189427312777</c:v>
                </c:pt>
                <c:pt idx="2">
                  <c:v>0.30882352941176472</c:v>
                </c:pt>
                <c:pt idx="3">
                  <c:v>0.15294117647058825</c:v>
                </c:pt>
                <c:pt idx="4">
                  <c:v>0.25742574257425743</c:v>
                </c:pt>
                <c:pt idx="5">
                  <c:v>0.32722513089005234</c:v>
                </c:pt>
                <c:pt idx="6">
                  <c:v>0.23170731707317074</c:v>
                </c:pt>
                <c:pt idx="7">
                  <c:v>0.47457627118644069</c:v>
                </c:pt>
                <c:pt idx="8">
                  <c:v>0.24324324324324326</c:v>
                </c:pt>
                <c:pt idx="9">
                  <c:v>0.18411552346570398</c:v>
                </c:pt>
                <c:pt idx="10">
                  <c:v>0.30997304582210244</c:v>
                </c:pt>
                <c:pt idx="11">
                  <c:v>0.32780082987551867</c:v>
                </c:pt>
                <c:pt idx="12">
                  <c:v>0.50714285714285712</c:v>
                </c:pt>
                <c:pt idx="13">
                  <c:v>0.22825564632388276</c:v>
                </c:pt>
                <c:pt idx="15">
                  <c:v>0.26967074505122851</c:v>
                </c:pt>
              </c:numCache>
            </c:numRef>
          </c:val>
          <c:extLst>
            <c:ext xmlns:c16="http://schemas.microsoft.com/office/drawing/2014/chart" uri="{C3380CC4-5D6E-409C-BE32-E72D297353CC}">
              <c16:uniqueId val="{00000003-CDFF-4A20-9E53-E58E1F07E237}"/>
            </c:ext>
          </c:extLst>
        </c:ser>
        <c:dLbls>
          <c:showLegendKey val="0"/>
          <c:showVal val="0"/>
          <c:showCatName val="0"/>
          <c:showSerName val="0"/>
          <c:showPercent val="0"/>
          <c:showBubbleSize val="0"/>
        </c:dLbls>
        <c:gapWidth val="24"/>
        <c:overlap val="100"/>
        <c:axId val="309417984"/>
        <c:axId val="309337408"/>
      </c:barChart>
      <c:catAx>
        <c:axId val="309417984"/>
        <c:scaling>
          <c:orientation val="minMax"/>
        </c:scaling>
        <c:delete val="0"/>
        <c:axPos val="l"/>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09337408"/>
        <c:crosses val="autoZero"/>
        <c:auto val="1"/>
        <c:lblAlgn val="ctr"/>
        <c:lblOffset val="100"/>
        <c:noMultiLvlLbl val="0"/>
      </c:catAx>
      <c:valAx>
        <c:axId val="309337408"/>
        <c:scaling>
          <c:orientation val="minMax"/>
        </c:scaling>
        <c:delete val="0"/>
        <c:axPos val="b"/>
        <c:majorGridlines>
          <c:spPr>
            <a:ln>
              <a:noFill/>
            </a:ln>
          </c:spPr>
        </c:majorGridlines>
        <c:numFmt formatCode="0\ %"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09417984"/>
        <c:crosses val="autoZero"/>
        <c:crossBetween val="between"/>
      </c:valAx>
    </c:plotArea>
    <c:legend>
      <c:legendPos val="b"/>
      <c:layout>
        <c:manualLayout>
          <c:xMode val="edge"/>
          <c:yMode val="edge"/>
          <c:x val="4.2194312487798527E-3"/>
          <c:y val="0.9149960187560825"/>
          <c:w val="0.97834580594781029"/>
          <c:h val="5.5410514004051878E-2"/>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ysClr val="window" lastClr="FFFFFF">
          <a:lumMod val="85000"/>
        </a:sysClr>
      </a:solidFill>
    </a:ln>
  </c:spPr>
  <c:externalData r:id="rId2">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32173061700621E-2"/>
          <c:y val="3.4478380048910261E-2"/>
          <c:w val="0.91818075451411951"/>
          <c:h val="0.74187070565223934"/>
        </c:manualLayout>
      </c:layout>
      <c:barChart>
        <c:barDir val="col"/>
        <c:grouping val="stacked"/>
        <c:varyColors val="0"/>
        <c:ser>
          <c:idx val="0"/>
          <c:order val="0"/>
          <c:tx>
            <c:strRef>
              <c:f>'3.1.15'!$K$28</c:f>
              <c:strCache>
                <c:ptCount val="1"/>
                <c:pt idx="0">
                  <c:v>Slovensko</c:v>
                </c:pt>
              </c:strCache>
            </c:strRef>
          </c:tx>
          <c:spPr>
            <a:solidFill>
              <a:srgbClr val="A5C9E9"/>
            </a:solidFill>
          </c:spPr>
          <c:invertIfNegative val="0"/>
          <c:dLbls>
            <c:numFmt formatCode="0.0\ %"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'3.1.15'!$J$29:$J$39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'3.1.15'!$K$29:$K$39</c:f>
              <c:numCache>
                <c:formatCode>0.0%</c:formatCode>
                <c:ptCount val="11"/>
                <c:pt idx="0">
                  <c:v>3.0525517736722397E-3</c:v>
                </c:pt>
                <c:pt idx="1">
                  <c:v>3.3435722266831509E-3</c:v>
                </c:pt>
                <c:pt idx="2">
                  <c:v>3.6809925310611596E-3</c:v>
                </c:pt>
                <c:pt idx="3">
                  <c:v>3.8825187926767109E-3</c:v>
                </c:pt>
                <c:pt idx="4">
                  <c:v>3.9849499071661198E-3</c:v>
                </c:pt>
                <c:pt idx="5">
                  <c:v>4.1779549910674141E-3</c:v>
                </c:pt>
                <c:pt idx="6">
                  <c:v>4.3839776056555212E-3</c:v>
                </c:pt>
                <c:pt idx="7">
                  <c:v>4.3368329000461016E-3</c:v>
                </c:pt>
                <c:pt idx="8">
                  <c:v>4.2610620095413811E-3</c:v>
                </c:pt>
                <c:pt idx="9">
                  <c:v>4.3358142414288555E-3</c:v>
                </c:pt>
                <c:pt idx="10">
                  <c:v>4.4884751733317799E-3</c:v>
                </c:pt>
              </c:numCache>
            </c:numRef>
          </c:val>
          <c:extLst>
            <c:ext xmlns:c16="http://schemas.microsoft.com/office/drawing/2014/chart" uri="{C3380CC4-5D6E-409C-BE32-E72D297353CC}">
              <c16:uniqueId val="{00000000-826D-4C9E-A619-D7565AC21476}"/>
            </c:ext>
          </c:extLst>
        </c:ser>
        <c:ser>
          <c:idx val="1"/>
          <c:order val="1"/>
          <c:tx>
            <c:strRef>
              <c:f>'3.1.15'!$L$28</c:f>
              <c:strCache>
                <c:ptCount val="1"/>
                <c:pt idx="0">
                  <c:v>Ukrajina</c:v>
                </c:pt>
              </c:strCache>
            </c:strRef>
          </c:tx>
          <c:spPr>
            <a:solidFill>
              <a:srgbClr val="F4E30C"/>
            </a:solidFill>
          </c:spPr>
          <c:invertIfNegative val="0"/>
          <c:dLbls>
            <c:numFmt formatCode="0.0\ %"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'3.1.15'!$J$29:$J$39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'3.1.15'!$L$29:$L$39</c:f>
              <c:numCache>
                <c:formatCode>0.0%</c:formatCode>
                <c:ptCount val="11"/>
                <c:pt idx="0">
                  <c:v>4.2675870875064845E-3</c:v>
                </c:pt>
                <c:pt idx="1">
                  <c:v>4.6117505108825415E-3</c:v>
                </c:pt>
                <c:pt idx="2">
                  <c:v>4.9042763685627194E-3</c:v>
                </c:pt>
                <c:pt idx="3">
                  <c:v>4.8812743661920087E-3</c:v>
                </c:pt>
                <c:pt idx="4">
                  <c:v>5.3874087757868633E-3</c:v>
                </c:pt>
                <c:pt idx="5">
                  <c:v>6.1104062855273289E-3</c:v>
                </c:pt>
                <c:pt idx="6">
                  <c:v>6.4265126264722973E-3</c:v>
                </c:pt>
                <c:pt idx="7">
                  <c:v>6.6418892907555357E-3</c:v>
                </c:pt>
                <c:pt idx="8">
                  <c:v>6.8634714206843184E-3</c:v>
                </c:pt>
                <c:pt idx="9">
                  <c:v>6.9183610298771559E-3</c:v>
                </c:pt>
                <c:pt idx="10">
                  <c:v>6.9736069592653514E-3</c:v>
                </c:pt>
              </c:numCache>
            </c:numRef>
          </c:val>
          <c:extLst>
            <c:ext xmlns:c16="http://schemas.microsoft.com/office/drawing/2014/chart" uri="{C3380CC4-5D6E-409C-BE32-E72D297353CC}">
              <c16:uniqueId val="{00000001-826D-4C9E-A619-D7565AC21476}"/>
            </c:ext>
          </c:extLst>
        </c:ser>
        <c:ser>
          <c:idx val="2"/>
          <c:order val="2"/>
          <c:tx>
            <c:strRef>
              <c:f>'3.1.15'!$M$28</c:f>
              <c:strCache>
                <c:ptCount val="1"/>
                <c:pt idx="0">
                  <c:v>Vietnam</c:v>
                </c:pt>
              </c:strCache>
            </c:strRef>
          </c:tx>
          <c:spPr>
            <a:solidFill>
              <a:srgbClr val="70AD47">
                <a:lumMod val="75000"/>
              </a:srgbClr>
            </a:solidFill>
          </c:spPr>
          <c:invertIfNegative val="0"/>
          <c:dLbls>
            <c:numFmt formatCode="0.0\ %" sourceLinked="0"/>
            <c:spPr>
              <a:noFill/>
              <a:ln>
                <a:noFill/>
              </a:ln>
              <a:effectLst/>
            </c:spPr>
            <c:txPr>
              <a:bodyPr/>
              <a:lstStyle/>
              <a:p>
                <a:pPr>
                  <a:defRPr sz="800">
                    <a:solidFill>
                      <a:schemeClr val="bg1"/>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'3.1.15'!$J$29:$J$39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'3.1.15'!$M$29:$M$39</c:f>
              <c:numCache>
                <c:formatCode>0.0%</c:formatCode>
                <c:ptCount val="11"/>
                <c:pt idx="0">
                  <c:v>4.676589122541E-3</c:v>
                </c:pt>
                <c:pt idx="1">
                  <c:v>4.9048972499437073E-3</c:v>
                </c:pt>
                <c:pt idx="2">
                  <c:v>4.9778070910354907E-3</c:v>
                </c:pt>
                <c:pt idx="3">
                  <c:v>4.5782037094011597E-3</c:v>
                </c:pt>
                <c:pt idx="4">
                  <c:v>4.212059273203202E-3</c:v>
                </c:pt>
                <c:pt idx="5">
                  <c:v>4.0767425602978944E-3</c:v>
                </c:pt>
                <c:pt idx="6">
                  <c:v>3.9806896224512797E-3</c:v>
                </c:pt>
                <c:pt idx="7">
                  <c:v>3.9518647193296803E-3</c:v>
                </c:pt>
                <c:pt idx="8">
                  <c:v>3.9873725338454786E-3</c:v>
                </c:pt>
                <c:pt idx="9">
                  <c:v>4.0239682517682826E-3</c:v>
                </c:pt>
                <c:pt idx="10">
                  <c:v>4.1142488358647767E-3</c:v>
                </c:pt>
              </c:numCache>
            </c:numRef>
          </c:val>
          <c:extLst>
            <c:ext xmlns:c16="http://schemas.microsoft.com/office/drawing/2014/chart" uri="{C3380CC4-5D6E-409C-BE32-E72D297353CC}">
              <c16:uniqueId val="{00000002-826D-4C9E-A619-D7565AC21476}"/>
            </c:ext>
          </c:extLst>
        </c:ser>
        <c:ser>
          <c:idx val="3"/>
          <c:order val="3"/>
          <c:tx>
            <c:strRef>
              <c:f>'3.1.15'!$N$28</c:f>
              <c:strCache>
                <c:ptCount val="1"/>
                <c:pt idx="0">
                  <c:v>Rusko</c:v>
                </c:pt>
              </c:strCache>
            </c:strRef>
          </c:tx>
          <c:spPr>
            <a:solidFill>
              <a:srgbClr val="CF8F0F"/>
            </a:solidFill>
          </c:spPr>
          <c:invertIfNegative val="0"/>
          <c:dLbls>
            <c:numFmt formatCode="0.0\ %"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'3.1.15'!$J$29:$J$39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'3.1.15'!$N$29:$N$39</c:f>
              <c:numCache>
                <c:formatCode>0.0%</c:formatCode>
                <c:ptCount val="11"/>
                <c:pt idx="0">
                  <c:v>1.7956186903954352E-3</c:v>
                </c:pt>
                <c:pt idx="1">
                  <c:v>2.1539912565798698E-3</c:v>
                </c:pt>
                <c:pt idx="2">
                  <c:v>2.3128754523253532E-3</c:v>
                </c:pt>
                <c:pt idx="3">
                  <c:v>2.3533895697774266E-3</c:v>
                </c:pt>
                <c:pt idx="4">
                  <c:v>2.378795009213148E-3</c:v>
                </c:pt>
                <c:pt idx="5">
                  <c:v>2.3984992314916593E-3</c:v>
                </c:pt>
                <c:pt idx="6">
                  <c:v>2.4173556169713073E-3</c:v>
                </c:pt>
                <c:pt idx="7">
                  <c:v>2.4452608515876371E-3</c:v>
                </c:pt>
                <c:pt idx="8">
                  <c:v>2.4985961617410425E-3</c:v>
                </c:pt>
                <c:pt idx="9">
                  <c:v>2.4554984222902895E-3</c:v>
                </c:pt>
                <c:pt idx="10">
                  <c:v>2.1691682315450002E-3</c:v>
                </c:pt>
              </c:numCache>
            </c:numRef>
          </c:val>
          <c:extLst>
            <c:ext xmlns:c16="http://schemas.microsoft.com/office/drawing/2014/chart" uri="{C3380CC4-5D6E-409C-BE32-E72D297353CC}">
              <c16:uniqueId val="{00000003-826D-4C9E-A619-D7565AC21476}"/>
            </c:ext>
          </c:extLst>
        </c:ser>
        <c:ser>
          <c:idx val="4"/>
          <c:order val="4"/>
          <c:tx>
            <c:strRef>
              <c:f>'3.1.15'!$O$28</c:f>
              <c:strCache>
                <c:ptCount val="1"/>
                <c:pt idx="0">
                  <c:v>ostatní země EU (kromě Slovenska)</c:v>
                </c:pt>
              </c:strCache>
            </c:strRef>
          </c:tx>
          <c:spPr>
            <a:solidFill>
              <a:srgbClr val="3E81EE"/>
            </a:solidFill>
          </c:spPr>
          <c:invertIfNegative val="0"/>
          <c:dLbls>
            <c:numFmt formatCode="0.0\ %" sourceLinked="0"/>
            <c:spPr>
              <a:noFill/>
              <a:ln>
                <a:noFill/>
              </a:ln>
              <a:effectLst/>
            </c:spPr>
            <c:txPr>
              <a:bodyPr/>
              <a:lstStyle/>
              <a:p>
                <a:pPr>
                  <a:defRPr sz="800">
                    <a:solidFill>
                      <a:schemeClr val="bg1"/>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'3.1.15'!$J$29:$J$39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'3.1.15'!$O$29:$O$39</c:f>
              <c:numCache>
                <c:formatCode>0.0%</c:formatCode>
                <c:ptCount val="11"/>
                <c:pt idx="0">
                  <c:v>9.4569251027492912E-4</c:v>
                </c:pt>
                <c:pt idx="1">
                  <c:v>9.9202555899684328E-4</c:v>
                </c:pt>
                <c:pt idx="2">
                  <c:v>1.247794078325817E-3</c:v>
                </c:pt>
                <c:pt idx="3">
                  <c:v>1.3133061794270127E-3</c:v>
                </c:pt>
                <c:pt idx="4">
                  <c:v>1.4399202073485098E-3</c:v>
                </c:pt>
                <c:pt idx="5">
                  <c:v>1.5205402390025633E-3</c:v>
                </c:pt>
                <c:pt idx="6">
                  <c:v>1.6487361666291055E-3</c:v>
                </c:pt>
                <c:pt idx="7">
                  <c:v>1.6919589177166159E-3</c:v>
                </c:pt>
                <c:pt idx="8">
                  <c:v>1.7459501035773102E-3</c:v>
                </c:pt>
                <c:pt idx="9">
                  <c:v>1.8248765320877974E-3</c:v>
                </c:pt>
                <c:pt idx="10">
                  <c:v>1.8868178212400001E-3</c:v>
                </c:pt>
              </c:numCache>
            </c:numRef>
          </c:val>
          <c:extLst>
            <c:ext xmlns:c16="http://schemas.microsoft.com/office/drawing/2014/chart" uri="{C3380CC4-5D6E-409C-BE32-E72D297353CC}">
              <c16:uniqueId val="{00000004-826D-4C9E-A619-D7565AC21476}"/>
            </c:ext>
          </c:extLst>
        </c:ser>
        <c:ser>
          <c:idx val="5"/>
          <c:order val="5"/>
          <c:tx>
            <c:strRef>
              <c:f>'3.1.15'!$P$28</c:f>
              <c:strCache>
                <c:ptCount val="1"/>
                <c:pt idx="0">
                  <c:v>ostatní státy světa (kromě EU, Ukrajiny, Vietnamu, Ruska)</c:v>
                </c:pt>
              </c:strCache>
            </c:strRef>
          </c:tx>
          <c:spPr>
            <a:solidFill>
              <a:sysClr val="window" lastClr="FFFFFF">
                <a:lumMod val="75000"/>
              </a:sysClr>
            </a:solidFill>
          </c:spPr>
          <c:invertIfNegative val="0"/>
          <c:dLbls>
            <c:numFmt formatCode="0.0\ %"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'3.1.15'!$J$29:$J$39</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'3.1.15'!$P$29:$P$39</c:f>
              <c:numCache>
                <c:formatCode>0.0%</c:formatCode>
                <c:ptCount val="11"/>
                <c:pt idx="0">
                  <c:v>2.922868201588125E-3</c:v>
                </c:pt>
                <c:pt idx="1">
                  <c:v>3.1630108294353316E-3</c:v>
                </c:pt>
                <c:pt idx="2">
                  <c:v>3.2576338259149005E-3</c:v>
                </c:pt>
                <c:pt idx="3">
                  <c:v>3.2809694587433587E-3</c:v>
                </c:pt>
                <c:pt idx="4">
                  <c:v>3.113973781745558E-3</c:v>
                </c:pt>
                <c:pt idx="5">
                  <c:v>3.0481418103843953E-3</c:v>
                </c:pt>
                <c:pt idx="6">
                  <c:v>2.9558636886616771E-3</c:v>
                </c:pt>
                <c:pt idx="7">
                  <c:v>3.0441002438131811E-3</c:v>
                </c:pt>
                <c:pt idx="8">
                  <c:v>3.0483345051647093E-3</c:v>
                </c:pt>
                <c:pt idx="9">
                  <c:v>2.966001857216116E-3</c:v>
                </c:pt>
                <c:pt idx="10">
                  <c:v>2.8952121437566948E-3</c:v>
                </c:pt>
              </c:numCache>
            </c:numRef>
          </c:val>
          <c:extLst>
            <c:ext xmlns:c16="http://schemas.microsoft.com/office/drawing/2014/chart" uri="{C3380CC4-5D6E-409C-BE32-E72D297353CC}">
              <c16:uniqueId val="{00000005-826D-4C9E-A619-D7565AC21476}"/>
            </c:ext>
          </c:extLst>
        </c:ser>
        <c:dLbls>
          <c:showLegendKey val="0"/>
          <c:showVal val="0"/>
          <c:showCatName val="0"/>
          <c:showSerName val="0"/>
          <c:showPercent val="0"/>
          <c:showBubbleSize val="0"/>
        </c:dLbls>
        <c:gapWidth val="40"/>
        <c:overlap val="100"/>
        <c:axId val="311028736"/>
        <c:axId val="309385984"/>
      </c:barChart>
      <c:catAx>
        <c:axId val="311028736"/>
        <c:scaling>
          <c:orientation val="minMax"/>
        </c:scaling>
        <c:delete val="0"/>
        <c:axPos val="b"/>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09385984"/>
        <c:crosses val="autoZero"/>
        <c:auto val="1"/>
        <c:lblAlgn val="ctr"/>
        <c:lblOffset val="100"/>
        <c:noMultiLvlLbl val="0"/>
      </c:catAx>
      <c:valAx>
        <c:axId val="309385984"/>
        <c:scaling>
          <c:orientation val="minMax"/>
          <c:max val="2.5000000000000005E-2"/>
        </c:scaling>
        <c:delete val="0"/>
        <c:axPos val="l"/>
        <c:majorGridlines>
          <c:spPr>
            <a:ln>
              <a:noFill/>
            </a:ln>
          </c:spPr>
        </c:majorGridlines>
        <c:numFmt formatCode="0.0\ %"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11028736"/>
        <c:crosses val="autoZero"/>
        <c:crossBetween val="between"/>
      </c:valAx>
    </c:plotArea>
    <c:legend>
      <c:legendPos val="b"/>
      <c:layout>
        <c:manualLayout>
          <c:xMode val="edge"/>
          <c:yMode val="edge"/>
          <c:x val="7.5452374008804415E-3"/>
          <c:y val="0.856510356587592"/>
          <c:w val="0.99245476259911958"/>
          <c:h val="0.12151149896071908"/>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ysClr val="window" lastClr="FFFFFF">
          <a:lumMod val="85000"/>
        </a:sysClr>
      </a:solidFill>
    </a:ln>
  </c:spPr>
  <c:externalData r:id="rId2">
    <c:autoUpdate val="0"/>
  </c:externalData>
  <c:userShapes r:id="rId3"/>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'4.1'!$B$29</c:f>
              <c:strCache>
                <c:ptCount val="1"/>
                <c:pt idx="0">
                  <c:v>počet žáků</c:v>
                </c:pt>
              </c:strCache>
            </c:strRef>
          </c:tx>
          <c:spPr>
            <a:solidFill>
              <a:schemeClr val="accent1">
                <a:lumMod val="60000"/>
                <a:lumOff val="40000"/>
              </a:schemeClr>
            </a:solidFill>
          </c:spPr>
          <c:invertIfNegative val="0"/>
          <c:dLbls>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'4.1'!$A$30:$A$40</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'4.1'!$B$30:$B$40</c:f>
              <c:numCache>
                <c:formatCode>#\ ##0_ ;\-#\ ##0\ </c:formatCode>
                <c:ptCount val="11"/>
                <c:pt idx="0">
                  <c:v>3557</c:v>
                </c:pt>
                <c:pt idx="1">
                  <c:v>3655</c:v>
                </c:pt>
                <c:pt idx="2">
                  <c:v>3690</c:v>
                </c:pt>
                <c:pt idx="3">
                  <c:v>3752</c:v>
                </c:pt>
                <c:pt idx="4">
                  <c:v>3733</c:v>
                </c:pt>
                <c:pt idx="5">
                  <c:v>3795</c:v>
                </c:pt>
                <c:pt idx="6">
                  <c:v>3781</c:v>
                </c:pt>
                <c:pt idx="7">
                  <c:v>3813</c:v>
                </c:pt>
                <c:pt idx="8">
                  <c:v>3836</c:v>
                </c:pt>
                <c:pt idx="9">
                  <c:v>3902</c:v>
                </c:pt>
                <c:pt idx="10">
                  <c:v>3880</c:v>
                </c:pt>
              </c:numCache>
            </c:numRef>
          </c:val>
          <c:extLst>
            <c:ext xmlns:c16="http://schemas.microsoft.com/office/drawing/2014/chart" uri="{C3380CC4-5D6E-409C-BE32-E72D297353CC}">
              <c16:uniqueId val="{00000000-3137-4168-B220-F15116E10031}"/>
            </c:ext>
          </c:extLst>
        </c:ser>
        <c:dLbls>
          <c:showLegendKey val="0"/>
          <c:showVal val="0"/>
          <c:showCatName val="0"/>
          <c:showSerName val="0"/>
          <c:showPercent val="0"/>
          <c:showBubbleSize val="0"/>
        </c:dLbls>
        <c:gapWidth val="95"/>
        <c:axId val="302091776"/>
        <c:axId val="355161152"/>
      </c:barChart>
      <c:lineChart>
        <c:grouping val="standard"/>
        <c:varyColors val="0"/>
        <c:ser>
          <c:idx val="1"/>
          <c:order val="1"/>
          <c:tx>
            <c:strRef>
              <c:f>'4.1'!$C$29</c:f>
              <c:strCache>
                <c:ptCount val="1"/>
                <c:pt idx="0">
                  <c:v>z toho dívky</c:v>
                </c:pt>
              </c:strCache>
            </c:strRef>
          </c:tx>
          <c:spPr>
            <a:ln w="22225"/>
          </c:spPr>
          <c:dLbls>
            <c:numFmt formatCode="0.0\ %"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'4.1'!$A$30:$A$40</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'4.1'!$C$30:$C$40</c:f>
              <c:numCache>
                <c:formatCode>0.0%</c:formatCode>
                <c:ptCount val="11"/>
                <c:pt idx="0">
                  <c:v>0.61034579701996061</c:v>
                </c:pt>
                <c:pt idx="1">
                  <c:v>0.61477428180574556</c:v>
                </c:pt>
                <c:pt idx="2">
                  <c:v>0.6192411924119241</c:v>
                </c:pt>
                <c:pt idx="3">
                  <c:v>0.61380597014925375</c:v>
                </c:pt>
                <c:pt idx="4">
                  <c:v>0.61987677471202784</c:v>
                </c:pt>
                <c:pt idx="5">
                  <c:v>0.62608695652173918</c:v>
                </c:pt>
                <c:pt idx="6">
                  <c:v>0.64268711980957416</c:v>
                </c:pt>
                <c:pt idx="7">
                  <c:v>0.64096511932861266</c:v>
                </c:pt>
                <c:pt idx="8">
                  <c:v>0.62930135557872779</c:v>
                </c:pt>
                <c:pt idx="9">
                  <c:v>0.637109174782163</c:v>
                </c:pt>
                <c:pt idx="10">
                  <c:v>0.63994845360824737</c:v>
                </c:pt>
              </c:numCache>
            </c:numRef>
          </c:val>
          <c:smooth val="0"/>
          <c:extLst>
            <c:ext xmlns:c16="http://schemas.microsoft.com/office/drawing/2014/chart" uri="{C3380CC4-5D6E-409C-BE32-E72D297353CC}">
              <c16:uniqueId val="{00000001-3137-4168-B220-F15116E10031}"/>
            </c:ext>
          </c:extLst>
        </c:ser>
        <c:dLbls>
          <c:showLegendKey val="0"/>
          <c:showVal val="0"/>
          <c:showCatName val="0"/>
          <c:showSerName val="0"/>
          <c:showPercent val="0"/>
          <c:showBubbleSize val="0"/>
        </c:dLbls>
        <c:marker val="1"/>
        <c:smooth val="0"/>
        <c:axId val="308524032"/>
        <c:axId val="355161728"/>
      </c:lineChart>
      <c:catAx>
        <c:axId val="302091776"/>
        <c:scaling>
          <c:orientation val="minMax"/>
        </c:scaling>
        <c:delete val="0"/>
        <c:axPos val="b"/>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55161152"/>
        <c:crosses val="autoZero"/>
        <c:auto val="1"/>
        <c:lblAlgn val="ctr"/>
        <c:lblOffset val="100"/>
        <c:noMultiLvlLbl val="0"/>
      </c:catAx>
      <c:valAx>
        <c:axId val="355161152"/>
        <c:scaling>
          <c:orientation val="minMax"/>
          <c:max val="7000"/>
          <c:min val="0"/>
        </c:scaling>
        <c:delete val="0"/>
        <c:axPos val="l"/>
        <c:majorGridlines>
          <c:spPr>
            <a:ln>
              <a:noFill/>
            </a:ln>
          </c:spPr>
        </c:majorGridlines>
        <c:numFmt formatCode="#\ ##0_ ;\-#\ ##0\ " sourceLinked="1"/>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02091776"/>
        <c:crosses val="autoZero"/>
        <c:crossBetween val="between"/>
      </c:valAx>
      <c:valAx>
        <c:axId val="355161728"/>
        <c:scaling>
          <c:orientation val="minMax"/>
          <c:min val="0"/>
        </c:scaling>
        <c:delete val="0"/>
        <c:axPos val="r"/>
        <c:numFmt formatCode="0\ %"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08524032"/>
        <c:crosses val="max"/>
        <c:crossBetween val="between"/>
      </c:valAx>
      <c:catAx>
        <c:axId val="308524032"/>
        <c:scaling>
          <c:orientation val="minMax"/>
        </c:scaling>
        <c:delete val="1"/>
        <c:axPos val="b"/>
        <c:numFmt formatCode="General" sourceLinked="1"/>
        <c:majorTickMark val="out"/>
        <c:minorTickMark val="none"/>
        <c:tickLblPos val="nextTo"/>
        <c:crossAx val="355161728"/>
        <c:crosses val="autoZero"/>
        <c:auto val="1"/>
        <c:lblAlgn val="ctr"/>
        <c:lblOffset val="100"/>
        <c:noMultiLvlLbl val="0"/>
      </c:catAx>
    </c:plotArea>
    <c:legend>
      <c:legendPos val="b"/>
      <c:layout>
        <c:manualLayout>
          <c:xMode val="edge"/>
          <c:yMode val="edge"/>
          <c:x val="7.3527237666720244E-2"/>
          <c:y val="0.90846495984409137"/>
          <c:w val="0.87754834217151445"/>
          <c:h val="9.1535040155908659E-2"/>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chemeClr val="bg1">
          <a:lumMod val="85000"/>
        </a:schemeClr>
      </a:solidFill>
    </a:ln>
  </c:spPr>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0855410772768445E-2"/>
          <c:y val="3.9351851851851853E-2"/>
          <c:w val="0.46253687315634218"/>
          <c:h val="0.90740740740740744"/>
        </c:manualLayout>
      </c:layout>
      <c:pieChart>
        <c:varyColors val="1"/>
        <c:ser>
          <c:idx val="0"/>
          <c:order val="0"/>
          <c:dPt>
            <c:idx val="0"/>
            <c:bubble3D val="0"/>
            <c:spPr>
              <a:solidFill>
                <a:srgbClr val="FCD904"/>
              </a:solidFill>
            </c:spPr>
            <c:extLst>
              <c:ext xmlns:c16="http://schemas.microsoft.com/office/drawing/2014/chart" uri="{C3380CC4-5D6E-409C-BE32-E72D297353CC}">
                <c16:uniqueId val="{00000001-6DDD-442F-9B68-4F865CC73ACC}"/>
              </c:ext>
            </c:extLst>
          </c:dPt>
          <c:dPt>
            <c:idx val="1"/>
            <c:bubble3D val="0"/>
            <c:spPr>
              <a:solidFill>
                <a:srgbClr val="4578B5"/>
              </a:solidFill>
            </c:spPr>
            <c:extLst>
              <c:ext xmlns:c16="http://schemas.microsoft.com/office/drawing/2014/chart" uri="{C3380CC4-5D6E-409C-BE32-E72D297353CC}">
                <c16:uniqueId val="{00000003-6DDD-442F-9B68-4F865CC73ACC}"/>
              </c:ext>
            </c:extLst>
          </c:dPt>
          <c:dPt>
            <c:idx val="2"/>
            <c:bubble3D val="0"/>
            <c:spPr>
              <a:solidFill>
                <a:srgbClr val="AEC5E0"/>
              </a:solidFill>
            </c:spPr>
            <c:extLst>
              <c:ext xmlns:c16="http://schemas.microsoft.com/office/drawing/2014/chart" uri="{C3380CC4-5D6E-409C-BE32-E72D297353CC}">
                <c16:uniqueId val="{00000005-6DDD-442F-9B68-4F865CC73ACC}"/>
              </c:ext>
            </c:extLst>
          </c:dPt>
          <c:dPt>
            <c:idx val="3"/>
            <c:bubble3D val="0"/>
            <c:spPr>
              <a:solidFill>
                <a:schemeClr val="accent2">
                  <a:lumMod val="50000"/>
                </a:schemeClr>
              </a:solidFill>
            </c:spPr>
            <c:extLst>
              <c:ext xmlns:c16="http://schemas.microsoft.com/office/drawing/2014/chart" uri="{C3380CC4-5D6E-409C-BE32-E72D297353CC}">
                <c16:uniqueId val="{00000007-6DDD-442F-9B68-4F865CC73ACC}"/>
              </c:ext>
            </c:extLst>
          </c:dPt>
          <c:dPt>
            <c:idx val="4"/>
            <c:bubble3D val="0"/>
            <c:spPr>
              <a:solidFill>
                <a:srgbClr val="B0413E"/>
              </a:solidFill>
            </c:spPr>
            <c:extLst>
              <c:ext xmlns:c16="http://schemas.microsoft.com/office/drawing/2014/chart" uri="{C3380CC4-5D6E-409C-BE32-E72D297353CC}">
                <c16:uniqueId val="{00000009-6DDD-442F-9B68-4F865CC73ACC}"/>
              </c:ext>
            </c:extLst>
          </c:dPt>
          <c:dPt>
            <c:idx val="5"/>
            <c:bubble3D val="0"/>
            <c:spPr>
              <a:solidFill>
                <a:srgbClr val="CB6D6B"/>
              </a:solidFill>
            </c:spPr>
            <c:extLst>
              <c:ext xmlns:c16="http://schemas.microsoft.com/office/drawing/2014/chart" uri="{C3380CC4-5D6E-409C-BE32-E72D297353CC}">
                <c16:uniqueId val="{0000000B-6DDD-442F-9B68-4F865CC73ACC}"/>
              </c:ext>
            </c:extLst>
          </c:dPt>
          <c:dPt>
            <c:idx val="6"/>
            <c:bubble3D val="0"/>
            <c:spPr>
              <a:solidFill>
                <a:schemeClr val="accent1">
                  <a:lumMod val="50000"/>
                </a:schemeClr>
              </a:solidFill>
            </c:spPr>
            <c:extLst>
              <c:ext xmlns:c16="http://schemas.microsoft.com/office/drawing/2014/chart" uri="{C3380CC4-5D6E-409C-BE32-E72D297353CC}">
                <c16:uniqueId val="{0000000D-6DDD-442F-9B68-4F865CC73ACC}"/>
              </c:ext>
            </c:extLst>
          </c:dPt>
          <c:dPt>
            <c:idx val="7"/>
            <c:bubble3D val="0"/>
            <c:spPr>
              <a:solidFill>
                <a:srgbClr val="EFCDCD"/>
              </a:solidFill>
            </c:spPr>
            <c:extLst>
              <c:ext xmlns:c16="http://schemas.microsoft.com/office/drawing/2014/chart" uri="{C3380CC4-5D6E-409C-BE32-E72D297353CC}">
                <c16:uniqueId val="{0000000F-6DDD-442F-9B68-4F865CC73ACC}"/>
              </c:ext>
            </c:extLst>
          </c:dPt>
          <c:dPt>
            <c:idx val="8"/>
            <c:bubble3D val="0"/>
            <c:spPr>
              <a:solidFill>
                <a:schemeClr val="bg1">
                  <a:lumMod val="75000"/>
                </a:schemeClr>
              </a:solidFill>
            </c:spPr>
            <c:extLst>
              <c:ext xmlns:c16="http://schemas.microsoft.com/office/drawing/2014/chart" uri="{C3380CC4-5D6E-409C-BE32-E72D297353CC}">
                <c16:uniqueId val="{00000011-6DDD-442F-9B68-4F865CC73ACC}"/>
              </c:ext>
            </c:extLst>
          </c:dPt>
          <c:dLbls>
            <c:dLbl>
              <c:idx val="0"/>
              <c:numFmt formatCode="0.0\ %" sourceLinked="0"/>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extLst>
                <c:ext xmlns:c16="http://schemas.microsoft.com/office/drawing/2014/chart" uri="{C3380CC4-5D6E-409C-BE32-E72D297353CC}">
                  <c16:uniqueId val="{00000001-6DDD-442F-9B68-4F865CC73ACC}"/>
                </c:ext>
              </c:extLst>
            </c:dLbl>
            <c:dLbl>
              <c:idx val="1"/>
              <c:numFmt formatCode="0.0\ %" sourceLinked="0"/>
              <c:spPr/>
              <c:txPr>
                <a:bodyPr/>
                <a:lstStyle/>
                <a:p>
                  <a:pPr>
                    <a:defRPr sz="800">
                      <a:solidFill>
                        <a:schemeClr val="bg1"/>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extLst>
                <c:ext xmlns:c16="http://schemas.microsoft.com/office/drawing/2014/chart" uri="{C3380CC4-5D6E-409C-BE32-E72D297353CC}">
                  <c16:uniqueId val="{00000003-6DDD-442F-9B68-4F865CC73ACC}"/>
                </c:ext>
              </c:extLst>
            </c:dLbl>
            <c:dLbl>
              <c:idx val="3"/>
              <c:numFmt formatCode="0.0\ %" sourceLinked="0"/>
              <c:spPr/>
              <c:txPr>
                <a:bodyPr/>
                <a:lstStyle/>
                <a:p>
                  <a:pPr>
                    <a:defRPr sz="800">
                      <a:solidFill>
                        <a:schemeClr val="bg1"/>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extLst>
                <c:ext xmlns:c16="http://schemas.microsoft.com/office/drawing/2014/chart" uri="{C3380CC4-5D6E-409C-BE32-E72D297353CC}">
                  <c16:uniqueId val="{00000007-6DDD-442F-9B68-4F865CC73ACC}"/>
                </c:ext>
              </c:extLst>
            </c:dLbl>
            <c:dLbl>
              <c:idx val="6"/>
              <c:layout>
                <c:manualLayout>
                  <c:x val="6.2745098039215685E-2"/>
                  <c:y val="0.1171875"/>
                </c:manualLayout>
              </c:layout>
              <c:numFmt formatCode="0.0\ %" sourceLinked="0"/>
              <c:spPr>
                <a:noFill/>
                <a:ln>
                  <a:noFill/>
                </a:ln>
                <a:effectLst/>
              </c:spPr>
              <c:txPr>
                <a:bodyPr/>
                <a:lstStyle/>
                <a:p>
                  <a:pPr>
                    <a:defRPr sz="800">
                      <a:solidFill>
                        <a:schemeClr val="bg1"/>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extLst>
                <c:ext xmlns:c15="http://schemas.microsoft.com/office/drawing/2012/chart" uri="{CE6537A1-D6FC-4f65-9D91-7224C49458BB}">
                  <c15:layout>
                    <c:manualLayout>
                      <c:w val="8.1232492997198882E-2"/>
                      <c:h val="9.7656250000000014E-2"/>
                    </c:manualLayout>
                  </c15:layout>
                </c:ext>
                <c:ext xmlns:c16="http://schemas.microsoft.com/office/drawing/2014/chart" uri="{C3380CC4-5D6E-409C-BE32-E72D297353CC}">
                  <c16:uniqueId val="{0000000D-6DDD-442F-9B68-4F865CC73ACC}"/>
                </c:ext>
              </c:extLst>
            </c:dLbl>
            <c:dLbl>
              <c:idx val="7"/>
              <c:layout>
                <c:manualLayout>
                  <c:x val="4.2035510267098924E-2"/>
                  <c:y val="8.0545229244114003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6DDD-442F-9B68-4F865CC73ACC}"/>
                </c:ext>
              </c:extLst>
            </c:dLbl>
            <c:dLbl>
              <c:idx val="8"/>
              <c:layout>
                <c:manualLayout>
                  <c:x val="1.2524846158936015E-2"/>
                  <c:y val="4.584882280049566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1-6DDD-442F-9B68-4F865CC73ACC}"/>
                </c:ext>
              </c:extLst>
            </c:dLbl>
            <c:numFmt formatCode="0.0\ %"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1"/>
            <c:extLst>
              <c:ext xmlns:c15="http://schemas.microsoft.com/office/drawing/2012/chart" uri="{CE6537A1-D6FC-4f65-9D91-7224C49458BB}">
                <c15:layout/>
              </c:ext>
            </c:extLst>
          </c:dLbls>
          <c:cat>
            <c:strRef>
              <c:f>'4.2'!$A$26:$A$34</c:f>
              <c:strCache>
                <c:ptCount val="9"/>
                <c:pt idx="0">
                  <c:v>Hlavní město Praha</c:v>
                </c:pt>
                <c:pt idx="1">
                  <c:v>Jihomoravský kraj</c:v>
                </c:pt>
                <c:pt idx="2">
                  <c:v>Moravskoslezský kraj</c:v>
                </c:pt>
                <c:pt idx="3">
                  <c:v>Pardubický kraj</c:v>
                </c:pt>
                <c:pt idx="4">
                  <c:v>Ústecký kraj</c:v>
                </c:pt>
                <c:pt idx="5">
                  <c:v>Plzeňský kraj</c:v>
                </c:pt>
                <c:pt idx="6">
                  <c:v>Zlínský kraj</c:v>
                </c:pt>
                <c:pt idx="7">
                  <c:v>Jihočeský kraj</c:v>
                </c:pt>
                <c:pt idx="8">
                  <c:v>Olomoucký kraj</c:v>
                </c:pt>
              </c:strCache>
            </c:strRef>
          </c:cat>
          <c:val>
            <c:numRef>
              <c:f>'4.2'!$B$26:$B$34</c:f>
              <c:numCache>
                <c:formatCode>0.0%</c:formatCode>
                <c:ptCount val="9"/>
                <c:pt idx="0">
                  <c:v>0.44922680412371135</c:v>
                </c:pt>
                <c:pt idx="1">
                  <c:v>0.13350515463917526</c:v>
                </c:pt>
                <c:pt idx="2">
                  <c:v>0.12164948453608247</c:v>
                </c:pt>
                <c:pt idx="3">
                  <c:v>6.15979381443299E-2</c:v>
                </c:pt>
                <c:pt idx="4">
                  <c:v>5.515463917525773E-2</c:v>
                </c:pt>
                <c:pt idx="5">
                  <c:v>5.4896907216494845E-2</c:v>
                </c:pt>
                <c:pt idx="6">
                  <c:v>4.8453608247422682E-2</c:v>
                </c:pt>
                <c:pt idx="7">
                  <c:v>4.2268041237113405E-2</c:v>
                </c:pt>
                <c:pt idx="8">
                  <c:v>3.3247422680412371E-2</c:v>
                </c:pt>
              </c:numCache>
            </c:numRef>
          </c:val>
          <c:extLst>
            <c:ext xmlns:c16="http://schemas.microsoft.com/office/drawing/2014/chart" uri="{C3380CC4-5D6E-409C-BE32-E72D297353CC}">
              <c16:uniqueId val="{00000012-6DDD-442F-9B68-4F865CC73ACC}"/>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839054189022832"/>
          <c:y val="6.909521726450861E-2"/>
          <c:w val="0.38541611502102058"/>
          <c:h val="0.86180897842315163"/>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chemeClr val="bg1">
          <a:lumMod val="85000"/>
        </a:schemeClr>
      </a:solidFill>
    </a:ln>
  </c:spPr>
  <c:externalData r:id="rId1">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761045142669068E-2"/>
          <c:y val="2.6953124072160665E-2"/>
          <c:w val="0.89650015613000145"/>
          <c:h val="0.66252445717012642"/>
        </c:manualLayout>
      </c:layout>
      <c:barChart>
        <c:barDir val="col"/>
        <c:grouping val="clustered"/>
        <c:varyColors val="0"/>
        <c:ser>
          <c:idx val="0"/>
          <c:order val="0"/>
          <c:spPr>
            <a:solidFill>
              <a:schemeClr val="accent1">
                <a:lumMod val="60000"/>
                <a:lumOff val="40000"/>
              </a:schemeClr>
            </a:solidFill>
            <a:ln>
              <a:noFill/>
            </a:ln>
            <a:effectLst>
              <a:innerShdw blurRad="114300">
                <a:schemeClr val="accent1"/>
              </a:innerShdw>
            </a:effectLst>
          </c:spPr>
          <c:invertIfNegative val="0"/>
          <c:dLbls>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'4.4'!$A$30:$A$39</c:f>
              <c:strCache>
                <c:ptCount val="10"/>
                <c:pt idx="0">
                  <c:v>Hlavní město Praha</c:v>
                </c:pt>
                <c:pt idx="1">
                  <c:v>Plzeňský kraj</c:v>
                </c:pt>
                <c:pt idx="2">
                  <c:v>Česká republika</c:v>
                </c:pt>
                <c:pt idx="3">
                  <c:v>Jihomoravský kraj</c:v>
                </c:pt>
                <c:pt idx="4">
                  <c:v>Jihočeský kraj</c:v>
                </c:pt>
                <c:pt idx="5">
                  <c:v>Olomoucký kraj</c:v>
                </c:pt>
                <c:pt idx="6">
                  <c:v>Zlínský kraj</c:v>
                </c:pt>
                <c:pt idx="7">
                  <c:v>Ústecký kraj</c:v>
                </c:pt>
                <c:pt idx="8">
                  <c:v>Moravskoslezský kraj</c:v>
                </c:pt>
                <c:pt idx="9">
                  <c:v>Pardubický kraj</c:v>
                </c:pt>
              </c:strCache>
            </c:strRef>
          </c:cat>
          <c:val>
            <c:numRef>
              <c:f>'4.4'!$B$30:$B$39</c:f>
              <c:numCache>
                <c:formatCode>0.0%</c:formatCode>
                <c:ptCount val="10"/>
                <c:pt idx="0">
                  <c:v>8.3763625932300634E-2</c:v>
                </c:pt>
                <c:pt idx="1">
                  <c:v>5.6338028169014086E-2</c:v>
                </c:pt>
                <c:pt idx="2">
                  <c:v>5.4123711340206188E-2</c:v>
                </c:pt>
                <c:pt idx="3">
                  <c:v>5.4054054054054057E-2</c:v>
                </c:pt>
                <c:pt idx="4">
                  <c:v>3.6585365853658534E-2</c:v>
                </c:pt>
                <c:pt idx="5">
                  <c:v>2.3255813953488372E-2</c:v>
                </c:pt>
                <c:pt idx="6">
                  <c:v>2.1276595744680851E-2</c:v>
                </c:pt>
                <c:pt idx="7">
                  <c:v>1.4018691588785047E-2</c:v>
                </c:pt>
                <c:pt idx="8">
                  <c:v>1.2711864406779662E-2</c:v>
                </c:pt>
                <c:pt idx="9">
                  <c:v>8.368200836820083E-3</c:v>
                </c:pt>
              </c:numCache>
            </c:numRef>
          </c:val>
          <c:extLst>
            <c:ext xmlns:c16="http://schemas.microsoft.com/office/drawing/2014/chart" uri="{C3380CC4-5D6E-409C-BE32-E72D297353CC}">
              <c16:uniqueId val="{00000000-158E-400D-9700-D24E3BAB4CB3}"/>
            </c:ext>
          </c:extLst>
        </c:ser>
        <c:dLbls>
          <c:dLblPos val="inEnd"/>
          <c:showLegendKey val="0"/>
          <c:showVal val="1"/>
          <c:showCatName val="0"/>
          <c:showSerName val="0"/>
          <c:showPercent val="0"/>
          <c:showBubbleSize val="0"/>
        </c:dLbls>
        <c:gapWidth val="72"/>
        <c:overlap val="-22"/>
        <c:axId val="606931599"/>
        <c:axId val="606932847"/>
      </c:barChart>
      <c:catAx>
        <c:axId val="606931599"/>
        <c:scaling>
          <c:orientation val="minMax"/>
        </c:scaling>
        <c:delete val="0"/>
        <c:axPos val="b"/>
        <c:numFmt formatCode="General" sourceLinked="1"/>
        <c:majorTickMark val="none"/>
        <c:minorTickMark val="none"/>
        <c:tickLblPos val="nextTo"/>
        <c:spPr>
          <a:noFill/>
          <a:ln w="6350" cap="flat" cmpd="sng" algn="ctr">
            <a:solidFill>
              <a:schemeClr val="tx1">
                <a:lumMod val="65000"/>
                <a:lumOff val="3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606932847"/>
        <c:crosses val="autoZero"/>
        <c:auto val="1"/>
        <c:lblAlgn val="ctr"/>
        <c:lblOffset val="100"/>
        <c:noMultiLvlLbl val="0"/>
      </c:catAx>
      <c:valAx>
        <c:axId val="606932847"/>
        <c:scaling>
          <c:orientation val="minMax"/>
        </c:scaling>
        <c:delete val="0"/>
        <c:axPos val="l"/>
        <c:numFmt formatCode="0\ %" sourceLinked="0"/>
        <c:majorTickMark val="none"/>
        <c:minorTickMark val="none"/>
        <c:tickLblPos val="nextTo"/>
        <c:spPr>
          <a:noFill/>
          <a:ln w="2540">
            <a:solidFill>
              <a:schemeClr val="tx1">
                <a:lumMod val="65000"/>
                <a:lumOff val="35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606931599"/>
        <c:crosses val="autoZero"/>
        <c:crossBetween val="between"/>
        <c:majorUnit val="2.0000000000000004E-2"/>
      </c:valAx>
      <c:spPr>
        <a:noFill/>
        <a:ln>
          <a:noFill/>
        </a:ln>
        <a:effectLst/>
      </c:spPr>
    </c:plotArea>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a:pPr>
      <a:endParaRPr lang="cs-CZ"/>
    </a:p>
  </c:txPr>
  <c:externalData r:id="rId3">
    <c:autoUpdate val="0"/>
  </c:externalData>
  <c:userShapes r:id="rId4"/>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6023298013674222E-2"/>
          <c:y val="5.1643192488262914E-2"/>
          <c:w val="0.94972619163345318"/>
          <c:h val="0.72183519139315511"/>
        </c:manualLayout>
      </c:layout>
      <c:barChart>
        <c:barDir val="col"/>
        <c:grouping val="stacked"/>
        <c:varyColors val="0"/>
        <c:ser>
          <c:idx val="0"/>
          <c:order val="0"/>
          <c:tx>
            <c:strRef>
              <c:f>List56!$C$25</c:f>
              <c:strCache>
                <c:ptCount val="1"/>
                <c:pt idx="0">
                  <c:v>do 14 let</c:v>
                </c:pt>
              </c:strCache>
            </c:strRef>
          </c:tx>
          <c:spPr>
            <a:solidFill>
              <a:srgbClr val="FCD904"/>
            </a:solidFill>
            <a:ln>
              <a:noFill/>
            </a:ln>
            <a:effectLst/>
          </c:spPr>
          <c:invertIfNegative val="0"/>
          <c:dLbls>
            <c:dLbl>
              <c:idx val="2"/>
              <c:delete val="1"/>
              <c:extLst>
                <c:ext xmlns:c15="http://schemas.microsoft.com/office/drawing/2012/chart" uri="{CE6537A1-D6FC-4f65-9D91-7224C49458BB}"/>
                <c:ext xmlns:c16="http://schemas.microsoft.com/office/drawing/2014/chart" uri="{C3380CC4-5D6E-409C-BE32-E72D297353CC}">
                  <c16:uniqueId val="{00000000-4EAD-4488-BA0C-40AAD4E3A7F5}"/>
                </c:ext>
              </c:extLst>
            </c:dLbl>
            <c:dLbl>
              <c:idx val="4"/>
              <c:delete val="1"/>
              <c:extLst>
                <c:ext xmlns:c15="http://schemas.microsoft.com/office/drawing/2012/chart" uri="{CE6537A1-D6FC-4f65-9D91-7224C49458BB}"/>
                <c:ext xmlns:c16="http://schemas.microsoft.com/office/drawing/2014/chart" uri="{C3380CC4-5D6E-409C-BE32-E72D297353CC}">
                  <c16:uniqueId val="{0000000A-4EAD-4488-BA0C-40AAD4E3A7F5}"/>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List56!$B$26:$B$30</c:f>
              <c:strCache>
                <c:ptCount val="5"/>
                <c:pt idx="0">
                  <c:v>celkem</c:v>
                </c:pt>
                <c:pt idx="1">
                  <c:v>denní</c:v>
                </c:pt>
                <c:pt idx="2">
                  <c:v>ostatní</c:v>
                </c:pt>
                <c:pt idx="3">
                  <c:v>nižší ročníky 8letých</c:v>
                </c:pt>
                <c:pt idx="4">
                  <c:v>vyšší ročníky 8letých a 6leté</c:v>
                </c:pt>
              </c:strCache>
            </c:strRef>
          </c:cat>
          <c:val>
            <c:numRef>
              <c:f>List56!$C$26:$C$30</c:f>
              <c:numCache>
                <c:formatCode>0.0%</c:formatCode>
                <c:ptCount val="5"/>
                <c:pt idx="0">
                  <c:v>6.9394096323148621E-2</c:v>
                </c:pt>
                <c:pt idx="1">
                  <c:v>7.3264078731547291E-2</c:v>
                </c:pt>
                <c:pt idx="2">
                  <c:v>0</c:v>
                </c:pt>
                <c:pt idx="3">
                  <c:v>0.84276729559748431</c:v>
                </c:pt>
                <c:pt idx="4">
                  <c:v>0</c:v>
                </c:pt>
              </c:numCache>
            </c:numRef>
          </c:val>
          <c:extLst>
            <c:ext xmlns:c16="http://schemas.microsoft.com/office/drawing/2014/chart" uri="{C3380CC4-5D6E-409C-BE32-E72D297353CC}">
              <c16:uniqueId val="{00000001-4EAD-4488-BA0C-40AAD4E3A7F5}"/>
            </c:ext>
          </c:extLst>
        </c:ser>
        <c:ser>
          <c:idx val="1"/>
          <c:order val="1"/>
          <c:tx>
            <c:strRef>
              <c:f>List56!$D$25</c:f>
              <c:strCache>
                <c:ptCount val="1"/>
                <c:pt idx="0">
                  <c:v>15-19 let</c:v>
                </c:pt>
              </c:strCache>
            </c:strRef>
          </c:tx>
          <c:spPr>
            <a:solidFill>
              <a:srgbClr val="C45B58"/>
            </a:solidFill>
            <a:ln>
              <a:noFill/>
            </a:ln>
            <a:effectLst/>
          </c:spPr>
          <c:invertIfNegative val="0"/>
          <c:dLbls>
            <c:dLbl>
              <c:idx val="0"/>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extLst>
                <c:ext xmlns:c16="http://schemas.microsoft.com/office/drawing/2014/chart" uri="{C3380CC4-5D6E-409C-BE32-E72D297353CC}">
                  <c16:uniqueId val="{00000002-4EAD-4488-BA0C-40AAD4E3A7F5}"/>
                </c:ext>
              </c:extLst>
            </c:dLbl>
            <c:dLbl>
              <c:idx val="1"/>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extLst>
                <c:ext xmlns:c16="http://schemas.microsoft.com/office/drawing/2014/chart" uri="{C3380CC4-5D6E-409C-BE32-E72D297353CC}">
                  <c16:uniqueId val="{00000003-4EAD-4488-BA0C-40AAD4E3A7F5}"/>
                </c:ext>
              </c:extLst>
            </c:dLbl>
            <c:dLbl>
              <c:idx val="2"/>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extLst>
                <c:ext xmlns:c16="http://schemas.microsoft.com/office/drawing/2014/chart" uri="{C3380CC4-5D6E-409C-BE32-E72D297353CC}">
                  <c16:uniqueId val="{00000004-4EAD-4488-BA0C-40AAD4E3A7F5}"/>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List56!$B$26:$B$30</c:f>
              <c:strCache>
                <c:ptCount val="5"/>
                <c:pt idx="0">
                  <c:v>celkem</c:v>
                </c:pt>
                <c:pt idx="1">
                  <c:v>denní</c:v>
                </c:pt>
                <c:pt idx="2">
                  <c:v>ostatní</c:v>
                </c:pt>
                <c:pt idx="3">
                  <c:v>nižší ročníky 8letých</c:v>
                </c:pt>
                <c:pt idx="4">
                  <c:v>vyšší ročníky 8letých a 6leté</c:v>
                </c:pt>
              </c:strCache>
            </c:strRef>
          </c:cat>
          <c:val>
            <c:numRef>
              <c:f>List56!$D$26:$D$30</c:f>
              <c:numCache>
                <c:formatCode>0.0%</c:formatCode>
                <c:ptCount val="5"/>
                <c:pt idx="0">
                  <c:v>0.518125323666494</c:v>
                </c:pt>
                <c:pt idx="1">
                  <c:v>0.54346637506834339</c:v>
                </c:pt>
                <c:pt idx="2">
                  <c:v>6.3725490196078427E-2</c:v>
                </c:pt>
                <c:pt idx="3">
                  <c:v>0.15723270440251572</c:v>
                </c:pt>
                <c:pt idx="4">
                  <c:v>0.5505079006772009</c:v>
                </c:pt>
              </c:numCache>
            </c:numRef>
          </c:val>
          <c:extLst>
            <c:ext xmlns:c16="http://schemas.microsoft.com/office/drawing/2014/chart" uri="{C3380CC4-5D6E-409C-BE32-E72D297353CC}">
              <c16:uniqueId val="{00000005-4EAD-4488-BA0C-40AAD4E3A7F5}"/>
            </c:ext>
          </c:extLst>
        </c:ser>
        <c:ser>
          <c:idx val="2"/>
          <c:order val="2"/>
          <c:tx>
            <c:strRef>
              <c:f>List56!$E$25</c:f>
              <c:strCache>
                <c:ptCount val="1"/>
                <c:pt idx="0">
                  <c:v>20-24 let</c:v>
                </c:pt>
              </c:strCache>
            </c:strRef>
          </c:tx>
          <c:spPr>
            <a:solidFill>
              <a:srgbClr val="A1BBDB"/>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6-4EAD-4488-BA0C-40AAD4E3A7F5}"/>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List56!$B$26:$B$30</c:f>
              <c:strCache>
                <c:ptCount val="5"/>
                <c:pt idx="0">
                  <c:v>celkem</c:v>
                </c:pt>
                <c:pt idx="1">
                  <c:v>denní</c:v>
                </c:pt>
                <c:pt idx="2">
                  <c:v>ostatní</c:v>
                </c:pt>
                <c:pt idx="3">
                  <c:v>nižší ročníky 8letých</c:v>
                </c:pt>
                <c:pt idx="4">
                  <c:v>vyšší ročníky 8letých a 6leté</c:v>
                </c:pt>
              </c:strCache>
            </c:strRef>
          </c:cat>
          <c:val>
            <c:numRef>
              <c:f>List56!$E$26:$E$30</c:f>
              <c:numCache>
                <c:formatCode>0.0%</c:formatCode>
                <c:ptCount val="5"/>
                <c:pt idx="0">
                  <c:v>0.30735370274469187</c:v>
                </c:pt>
                <c:pt idx="1">
                  <c:v>0.30317113176599236</c:v>
                </c:pt>
                <c:pt idx="2">
                  <c:v>0.38235294117647056</c:v>
                </c:pt>
                <c:pt idx="3">
                  <c:v>0</c:v>
                </c:pt>
                <c:pt idx="4">
                  <c:v>0.33493227990970653</c:v>
                </c:pt>
              </c:numCache>
            </c:numRef>
          </c:val>
          <c:extLst>
            <c:ext xmlns:c16="http://schemas.microsoft.com/office/drawing/2014/chart" uri="{C3380CC4-5D6E-409C-BE32-E72D297353CC}">
              <c16:uniqueId val="{00000007-4EAD-4488-BA0C-40AAD4E3A7F5}"/>
            </c:ext>
          </c:extLst>
        </c:ser>
        <c:ser>
          <c:idx val="3"/>
          <c:order val="3"/>
          <c:tx>
            <c:strRef>
              <c:f>List56!$F$25</c:f>
              <c:strCache>
                <c:ptCount val="1"/>
                <c:pt idx="0">
                  <c:v>25 let a více</c:v>
                </c:pt>
              </c:strCache>
            </c:strRef>
          </c:tx>
          <c:spPr>
            <a:solidFill>
              <a:schemeClr val="accent1">
                <a:lumMod val="75000"/>
              </a:schemeClr>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8-4EAD-4488-BA0C-40AAD4E3A7F5}"/>
                </c:ext>
              </c:extLst>
            </c:dLbl>
            <c:numFmt formatCode="0.0\ %"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List56!$B$26:$B$30</c:f>
              <c:strCache>
                <c:ptCount val="5"/>
                <c:pt idx="0">
                  <c:v>celkem</c:v>
                </c:pt>
                <c:pt idx="1">
                  <c:v>denní</c:v>
                </c:pt>
                <c:pt idx="2">
                  <c:v>ostatní</c:v>
                </c:pt>
                <c:pt idx="3">
                  <c:v>nižší ročníky 8letých</c:v>
                </c:pt>
                <c:pt idx="4">
                  <c:v>vyšší ročníky 8letých a 6leté</c:v>
                </c:pt>
              </c:strCache>
            </c:strRef>
          </c:cat>
          <c:val>
            <c:numRef>
              <c:f>List56!$F$26:$F$30</c:f>
              <c:numCache>
                <c:formatCode>0.0%</c:formatCode>
                <c:ptCount val="5"/>
                <c:pt idx="0">
                  <c:v>0.10512687726566546</c:v>
                </c:pt>
                <c:pt idx="1">
                  <c:v>8.0098414434116999E-2</c:v>
                </c:pt>
                <c:pt idx="2">
                  <c:v>0.55392156862745101</c:v>
                </c:pt>
                <c:pt idx="3">
                  <c:v>0</c:v>
                </c:pt>
                <c:pt idx="4">
                  <c:v>0.11455981941309255</c:v>
                </c:pt>
              </c:numCache>
            </c:numRef>
          </c:val>
          <c:extLst>
            <c:ext xmlns:c16="http://schemas.microsoft.com/office/drawing/2014/chart" uri="{C3380CC4-5D6E-409C-BE32-E72D297353CC}">
              <c16:uniqueId val="{00000009-4EAD-4488-BA0C-40AAD4E3A7F5}"/>
            </c:ext>
          </c:extLst>
        </c:ser>
        <c:dLbls>
          <c:showLegendKey val="0"/>
          <c:showVal val="0"/>
          <c:showCatName val="0"/>
          <c:showSerName val="0"/>
          <c:showPercent val="0"/>
          <c:showBubbleSize val="0"/>
        </c:dLbls>
        <c:gapWidth val="34"/>
        <c:overlap val="100"/>
        <c:axId val="201491536"/>
        <c:axId val="201489872"/>
      </c:barChart>
      <c:catAx>
        <c:axId val="201491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01489872"/>
        <c:crosses val="autoZero"/>
        <c:auto val="1"/>
        <c:lblAlgn val="ctr"/>
        <c:lblOffset val="100"/>
        <c:noMultiLvlLbl val="0"/>
      </c:catAx>
      <c:valAx>
        <c:axId val="201489872"/>
        <c:scaling>
          <c:orientation val="minMax"/>
          <c:max val="1"/>
        </c:scaling>
        <c:delete val="0"/>
        <c:axPos val="l"/>
        <c:numFmt formatCode="0\ %" sourceLinked="0"/>
        <c:majorTickMark val="none"/>
        <c:minorTickMark val="none"/>
        <c:tickLblPos val="none"/>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crossAx val="201491536"/>
        <c:crosses val="autoZero"/>
        <c:crossBetween val="between"/>
      </c:valAx>
      <c:spPr>
        <a:noFill/>
        <a:ln>
          <a:solidFill>
            <a:schemeClr val="bg1">
              <a:lumMod val="75000"/>
            </a:schemeClr>
          </a:solidFill>
        </a:ln>
        <a:effectLst/>
      </c:spPr>
    </c:plotArea>
    <c:legend>
      <c:legendPos val="b"/>
      <c:layout>
        <c:manualLayout>
          <c:xMode val="edge"/>
          <c:yMode val="edge"/>
          <c:x val="0.10982329492663334"/>
          <c:y val="0.87968184827960338"/>
          <c:w val="0.75031209190205217"/>
          <c:h val="8.7896795919378004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cs-C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1.7203271078718465E-2"/>
          <c:y val="5.2009456264775412E-2"/>
          <c:w val="0.95855430467885727"/>
          <c:h val="0.72601708927353248"/>
        </c:manualLayout>
      </c:layout>
      <c:barChart>
        <c:barDir val="col"/>
        <c:grouping val="percentStacked"/>
        <c:varyColors val="0"/>
        <c:ser>
          <c:idx val="0"/>
          <c:order val="0"/>
          <c:tx>
            <c:strRef>
              <c:f>List57!$C$15</c:f>
              <c:strCache>
                <c:ptCount val="1"/>
                <c:pt idx="0">
                  <c:v>hudba</c:v>
                </c:pt>
              </c:strCache>
            </c:strRef>
          </c:tx>
          <c:spPr>
            <a:solidFill>
              <a:srgbClr val="4578B5"/>
            </a:solidFill>
          </c:spPr>
          <c:invertIfNegative val="0"/>
          <c:dLbls>
            <c:numFmt formatCode="0.0\ %" sourceLinked="0"/>
            <c:spPr>
              <a:noFill/>
              <a:ln>
                <a:noFill/>
              </a:ln>
              <a:effectLst/>
            </c:spPr>
            <c:txPr>
              <a:bodyPr/>
              <a:lstStyle/>
              <a:p>
                <a:pPr>
                  <a:defRPr sz="800">
                    <a:solidFill>
                      <a:schemeClr val="bg1"/>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List57!$B$16:$B$26</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List57!$C$16:$C$26</c:f>
              <c:numCache>
                <c:formatCode>0.0%</c:formatCode>
                <c:ptCount val="11"/>
                <c:pt idx="0">
                  <c:v>0.62271577171773962</c:v>
                </c:pt>
                <c:pt idx="1">
                  <c:v>0.61231190150478798</c:v>
                </c:pt>
                <c:pt idx="2">
                  <c:v>0.60406504065040656</c:v>
                </c:pt>
                <c:pt idx="3">
                  <c:v>0.59754797441364604</c:v>
                </c:pt>
                <c:pt idx="4">
                  <c:v>0.57621216180016077</c:v>
                </c:pt>
                <c:pt idx="5">
                  <c:v>0.55942028985507242</c:v>
                </c:pt>
                <c:pt idx="6">
                  <c:v>0.5519703782068236</c:v>
                </c:pt>
                <c:pt idx="7">
                  <c:v>0.55337004982953053</c:v>
                </c:pt>
                <c:pt idx="8">
                  <c:v>0.55735140771637126</c:v>
                </c:pt>
                <c:pt idx="9">
                  <c:v>0.55381855458739104</c:v>
                </c:pt>
                <c:pt idx="10">
                  <c:v>0.5561855670103093</c:v>
                </c:pt>
              </c:numCache>
            </c:numRef>
          </c:val>
          <c:extLst>
            <c:ext xmlns:c16="http://schemas.microsoft.com/office/drawing/2014/chart" uri="{C3380CC4-5D6E-409C-BE32-E72D297353CC}">
              <c16:uniqueId val="{00000000-A445-415F-BCC5-B24FCDEAD123}"/>
            </c:ext>
          </c:extLst>
        </c:ser>
        <c:ser>
          <c:idx val="1"/>
          <c:order val="1"/>
          <c:tx>
            <c:strRef>
              <c:f>List57!$D$15</c:f>
              <c:strCache>
                <c:ptCount val="1"/>
                <c:pt idx="0">
                  <c:v>zpěv</c:v>
                </c:pt>
              </c:strCache>
            </c:strRef>
          </c:tx>
          <c:spPr>
            <a:solidFill>
              <a:schemeClr val="accent1">
                <a:lumMod val="60000"/>
                <a:lumOff val="40000"/>
              </a:schemeClr>
            </a:solidFill>
          </c:spPr>
          <c:invertIfNegative val="0"/>
          <c:dLbls>
            <c:numFmt formatCode="0.0\ %"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List57!$B$16:$B$26</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List57!$D$16:$D$26</c:f>
              <c:numCache>
                <c:formatCode>0.0%</c:formatCode>
                <c:ptCount val="11"/>
                <c:pt idx="0">
                  <c:v>0.13916221535001405</c:v>
                </c:pt>
                <c:pt idx="1">
                  <c:v>0.1493844049247606</c:v>
                </c:pt>
                <c:pt idx="2">
                  <c:v>0.15392953929539296</c:v>
                </c:pt>
                <c:pt idx="3">
                  <c:v>0.15218550106609807</c:v>
                </c:pt>
                <c:pt idx="4">
                  <c:v>0.16072863648540048</c:v>
                </c:pt>
                <c:pt idx="5">
                  <c:v>0.17444005270092228</c:v>
                </c:pt>
                <c:pt idx="6">
                  <c:v>0.17825971965088602</c:v>
                </c:pt>
                <c:pt idx="7">
                  <c:v>0.18069761342774718</c:v>
                </c:pt>
                <c:pt idx="8">
                  <c:v>0.18196037539103233</c:v>
                </c:pt>
                <c:pt idx="9">
                  <c:v>0.17580727831881088</c:v>
                </c:pt>
                <c:pt idx="10">
                  <c:v>0.17809278350515464</c:v>
                </c:pt>
              </c:numCache>
            </c:numRef>
          </c:val>
          <c:extLst>
            <c:ext xmlns:c16="http://schemas.microsoft.com/office/drawing/2014/chart" uri="{C3380CC4-5D6E-409C-BE32-E72D297353CC}">
              <c16:uniqueId val="{00000001-A445-415F-BCC5-B24FCDEAD123}"/>
            </c:ext>
          </c:extLst>
        </c:ser>
        <c:ser>
          <c:idx val="2"/>
          <c:order val="2"/>
          <c:tx>
            <c:strRef>
              <c:f>List57!$E$15</c:f>
              <c:strCache>
                <c:ptCount val="1"/>
                <c:pt idx="0">
                  <c:v>tanec</c:v>
                </c:pt>
              </c:strCache>
            </c:strRef>
          </c:tx>
          <c:spPr>
            <a:solidFill>
              <a:schemeClr val="accent2">
                <a:lumMod val="40000"/>
                <a:lumOff val="60000"/>
              </a:schemeClr>
            </a:solidFill>
          </c:spPr>
          <c:invertIfNegative val="0"/>
          <c:dLbls>
            <c:numFmt formatCode="0.0\ %"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List57!$B$16:$B$26</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List57!$E$16:$E$26</c:f>
              <c:numCache>
                <c:formatCode>0.0%</c:formatCode>
                <c:ptCount val="11"/>
                <c:pt idx="0">
                  <c:v>0.14843969637334833</c:v>
                </c:pt>
                <c:pt idx="1">
                  <c:v>0.1409028727770178</c:v>
                </c:pt>
                <c:pt idx="2">
                  <c:v>0.14850948509485096</c:v>
                </c:pt>
                <c:pt idx="3">
                  <c:v>0.15831556503198294</c:v>
                </c:pt>
                <c:pt idx="4">
                  <c:v>0.18135547816769354</c:v>
                </c:pt>
                <c:pt idx="5">
                  <c:v>0.18418972332015809</c:v>
                </c:pt>
                <c:pt idx="6">
                  <c:v>0.1864586088336419</c:v>
                </c:pt>
                <c:pt idx="7">
                  <c:v>0.18358248098610019</c:v>
                </c:pt>
                <c:pt idx="8">
                  <c:v>0.17805005213764338</c:v>
                </c:pt>
                <c:pt idx="9">
                  <c:v>0.18375192209123525</c:v>
                </c:pt>
                <c:pt idx="10">
                  <c:v>0.1847938144329897</c:v>
                </c:pt>
              </c:numCache>
            </c:numRef>
          </c:val>
          <c:extLst>
            <c:ext xmlns:c16="http://schemas.microsoft.com/office/drawing/2014/chart" uri="{C3380CC4-5D6E-409C-BE32-E72D297353CC}">
              <c16:uniqueId val="{00000002-A445-415F-BCC5-B24FCDEAD123}"/>
            </c:ext>
          </c:extLst>
        </c:ser>
        <c:ser>
          <c:idx val="3"/>
          <c:order val="3"/>
          <c:tx>
            <c:strRef>
              <c:f>List57!$F$15</c:f>
              <c:strCache>
                <c:ptCount val="1"/>
                <c:pt idx="0">
                  <c:v>dramatické umění</c:v>
                </c:pt>
              </c:strCache>
            </c:strRef>
          </c:tx>
          <c:spPr>
            <a:solidFill>
              <a:srgbClr val="BE4D4A"/>
            </a:solidFill>
          </c:spPr>
          <c:invertIfNegative val="0"/>
          <c:dLbls>
            <c:numFmt formatCode="0.0\ %" sourceLinked="0"/>
            <c:spPr>
              <a:noFill/>
              <a:ln>
                <a:noFill/>
              </a:ln>
              <a:effectLst/>
            </c:spPr>
            <c:txPr>
              <a:bodyPr/>
              <a:lstStyle/>
              <a:p>
                <a:pPr>
                  <a:defRPr sz="800">
                    <a:solidFill>
                      <a:schemeClr val="bg1"/>
                    </a:solidFill>
                    <a:latin typeface="Arial" panose="020B0604020202020204" pitchFamily="34" charset="0"/>
                    <a:cs typeface="Arial" panose="020B0604020202020204" pitchFamily="34" charset="0"/>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List57!$B$16:$B$26</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List57!$F$16:$F$26</c:f>
              <c:numCache>
                <c:formatCode>0.0%</c:formatCode>
                <c:ptCount val="11"/>
                <c:pt idx="0">
                  <c:v>8.9682316558897954E-2</c:v>
                </c:pt>
                <c:pt idx="1">
                  <c:v>9.7400820793433651E-2</c:v>
                </c:pt>
                <c:pt idx="2">
                  <c:v>9.3495934959349589E-2</c:v>
                </c:pt>
                <c:pt idx="3">
                  <c:v>9.1950959488272921E-2</c:v>
                </c:pt>
                <c:pt idx="4">
                  <c:v>8.1703723546745238E-2</c:v>
                </c:pt>
                <c:pt idx="5">
                  <c:v>8.1949934123847171E-2</c:v>
                </c:pt>
                <c:pt idx="6">
                  <c:v>8.3311293308648504E-2</c:v>
                </c:pt>
                <c:pt idx="7">
                  <c:v>8.2349855756622084E-2</c:v>
                </c:pt>
                <c:pt idx="8">
                  <c:v>8.2638164754953072E-2</c:v>
                </c:pt>
                <c:pt idx="9">
                  <c:v>8.6622245002562784E-2</c:v>
                </c:pt>
                <c:pt idx="10">
                  <c:v>8.0927835051546396E-2</c:v>
                </c:pt>
              </c:numCache>
            </c:numRef>
          </c:val>
          <c:extLst>
            <c:ext xmlns:c16="http://schemas.microsoft.com/office/drawing/2014/chart" uri="{C3380CC4-5D6E-409C-BE32-E72D297353CC}">
              <c16:uniqueId val="{00000003-A445-415F-BCC5-B24FCDEAD123}"/>
            </c:ext>
          </c:extLst>
        </c:ser>
        <c:dLbls>
          <c:showLegendKey val="0"/>
          <c:showVal val="0"/>
          <c:showCatName val="0"/>
          <c:showSerName val="0"/>
          <c:showPercent val="0"/>
          <c:showBubbleSize val="0"/>
        </c:dLbls>
        <c:gapWidth val="47"/>
        <c:overlap val="100"/>
        <c:axId val="285023744"/>
        <c:axId val="355180544"/>
      </c:barChart>
      <c:catAx>
        <c:axId val="285023744"/>
        <c:scaling>
          <c:orientation val="minMax"/>
        </c:scaling>
        <c:delete val="0"/>
        <c:axPos val="b"/>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55180544"/>
        <c:crosses val="autoZero"/>
        <c:auto val="1"/>
        <c:lblAlgn val="ctr"/>
        <c:lblOffset val="100"/>
        <c:noMultiLvlLbl val="0"/>
      </c:catAx>
      <c:valAx>
        <c:axId val="355180544"/>
        <c:scaling>
          <c:orientation val="minMax"/>
        </c:scaling>
        <c:delete val="0"/>
        <c:axPos val="l"/>
        <c:majorGridlines>
          <c:spPr>
            <a:ln>
              <a:noFill/>
            </a:ln>
          </c:spPr>
        </c:majorGridlines>
        <c:numFmt formatCode="0\ %" sourceLinked="0"/>
        <c:majorTickMark val="out"/>
        <c:minorTickMark val="none"/>
        <c:tickLblPos val="none"/>
        <c:txPr>
          <a:bodyPr/>
          <a:lstStyle/>
          <a:p>
            <a:pPr>
              <a:defRPr sz="800">
                <a:latin typeface="Arial" panose="020B0604020202020204" pitchFamily="34" charset="0"/>
                <a:cs typeface="Arial" panose="020B0604020202020204" pitchFamily="34" charset="0"/>
              </a:defRPr>
            </a:pPr>
            <a:endParaRPr lang="cs-CZ"/>
          </a:p>
        </c:txPr>
        <c:crossAx val="285023744"/>
        <c:crosses val="autoZero"/>
        <c:crossBetween val="between"/>
      </c:valAx>
    </c:plotArea>
    <c:legend>
      <c:legendPos val="b"/>
      <c:layout>
        <c:manualLayout>
          <c:xMode val="edge"/>
          <c:yMode val="edge"/>
          <c:x val="1.5002017309819739E-2"/>
          <c:y val="0.90103917861331162"/>
          <c:w val="0.97735428157283777"/>
          <c:h val="7.3803540514882443E-2"/>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chemeClr val="bg1">
          <a:lumMod val="85000"/>
        </a:schemeClr>
      </a:solidFill>
    </a:ln>
  </c:spPr>
  <c:externalData r:id="rId1">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'5.1'!$B$29</c:f>
              <c:strCache>
                <c:ptCount val="1"/>
                <c:pt idx="0">
                  <c:v>počet studentů</c:v>
                </c:pt>
              </c:strCache>
            </c:strRef>
          </c:tx>
          <c:spPr>
            <a:solidFill>
              <a:srgbClr val="4F81BD">
                <a:lumMod val="40000"/>
                <a:lumOff val="60000"/>
              </a:srgbClr>
            </a:solidFill>
          </c:spPr>
          <c:invertIfNegative val="0"/>
          <c:dLbls>
            <c:spPr>
              <a:noFill/>
              <a:ln>
                <a:noFill/>
              </a:ln>
              <a:effectLst/>
            </c:spPr>
            <c:txPr>
              <a:bodyPr/>
              <a:lstStyle/>
              <a:p>
                <a:pPr>
                  <a:defRPr sz="800">
                    <a:latin typeface="Arial" panose="020B0604020202020204" pitchFamily="34" charset="0"/>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'5.1'!$A$30:$A$40</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'5.1'!$B$30:$B$40</c:f>
              <c:numCache>
                <c:formatCode>#,##0</c:formatCode>
                <c:ptCount val="11"/>
                <c:pt idx="0">
                  <c:v>29335</c:v>
                </c:pt>
                <c:pt idx="1">
                  <c:v>28980</c:v>
                </c:pt>
                <c:pt idx="2">
                  <c:v>28332</c:v>
                </c:pt>
                <c:pt idx="3">
                  <c:v>26964</c:v>
                </c:pt>
                <c:pt idx="4">
                  <c:v>24786</c:v>
                </c:pt>
                <c:pt idx="5">
                  <c:v>22002</c:v>
                </c:pt>
                <c:pt idx="6">
                  <c:v>19883</c:v>
                </c:pt>
                <c:pt idx="7">
                  <c:v>18416</c:v>
                </c:pt>
                <c:pt idx="8">
                  <c:v>17954</c:v>
                </c:pt>
                <c:pt idx="9">
                  <c:v>18458</c:v>
                </c:pt>
                <c:pt idx="10">
                  <c:v>20096</c:v>
                </c:pt>
              </c:numCache>
            </c:numRef>
          </c:val>
          <c:extLst>
            <c:ext xmlns:c16="http://schemas.microsoft.com/office/drawing/2014/chart" uri="{C3380CC4-5D6E-409C-BE32-E72D297353CC}">
              <c16:uniqueId val="{00000000-8EDD-425B-8A6F-76B6258D32A9}"/>
            </c:ext>
          </c:extLst>
        </c:ser>
        <c:dLbls>
          <c:dLblPos val="inEnd"/>
          <c:showLegendKey val="0"/>
          <c:showVal val="1"/>
          <c:showCatName val="0"/>
          <c:showSerName val="0"/>
          <c:showPercent val="0"/>
          <c:showBubbleSize val="0"/>
        </c:dLbls>
        <c:gapWidth val="40"/>
        <c:axId val="308526592"/>
        <c:axId val="355184000"/>
      </c:barChart>
      <c:lineChart>
        <c:grouping val="standard"/>
        <c:varyColors val="0"/>
        <c:ser>
          <c:idx val="1"/>
          <c:order val="1"/>
          <c:tx>
            <c:strRef>
              <c:f>'5.1'!$C$29</c:f>
              <c:strCache>
                <c:ptCount val="1"/>
                <c:pt idx="0">
                  <c:v>z toho ženy</c:v>
                </c:pt>
              </c:strCache>
            </c:strRef>
          </c:tx>
          <c:spPr>
            <a:ln w="22225"/>
          </c:spPr>
          <c:dLbls>
            <c:numFmt formatCode="0.0\ %" sourceLinked="0"/>
            <c:spPr>
              <a:noFill/>
              <a:ln>
                <a:noFill/>
              </a:ln>
              <a:effectLst/>
            </c:spPr>
            <c:txPr>
              <a:bodyPr/>
              <a:lstStyle/>
              <a:p>
                <a:pPr>
                  <a:defRPr sz="800"/>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'5.1'!$A$30:$A$40</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'5.1'!$C$30:$C$40</c:f>
              <c:numCache>
                <c:formatCode>0.0%</c:formatCode>
                <c:ptCount val="11"/>
                <c:pt idx="0">
                  <c:v>0.71416396795636616</c:v>
                </c:pt>
                <c:pt idx="1">
                  <c:v>0.71228433402346447</c:v>
                </c:pt>
                <c:pt idx="2">
                  <c:v>0.7166807849781166</c:v>
                </c:pt>
                <c:pt idx="3">
                  <c:v>0.72133214656579148</c:v>
                </c:pt>
                <c:pt idx="4">
                  <c:v>0.72694262890341321</c:v>
                </c:pt>
                <c:pt idx="5">
                  <c:v>0.72420689028270158</c:v>
                </c:pt>
                <c:pt idx="6">
                  <c:v>0.7274556153497963</c:v>
                </c:pt>
                <c:pt idx="7">
                  <c:v>0.72996307558644657</c:v>
                </c:pt>
                <c:pt idx="8">
                  <c:v>0.74562771527236271</c:v>
                </c:pt>
                <c:pt idx="9">
                  <c:v>0.7527359410553689</c:v>
                </c:pt>
                <c:pt idx="10">
                  <c:v>0.76736664012738853</c:v>
                </c:pt>
              </c:numCache>
            </c:numRef>
          </c:val>
          <c:smooth val="0"/>
          <c:extLst>
            <c:ext xmlns:c16="http://schemas.microsoft.com/office/drawing/2014/chart" uri="{C3380CC4-5D6E-409C-BE32-E72D297353CC}">
              <c16:uniqueId val="{00000001-8EDD-425B-8A6F-76B6258D32A9}"/>
            </c:ext>
          </c:extLst>
        </c:ser>
        <c:ser>
          <c:idx val="2"/>
          <c:order val="2"/>
          <c:tx>
            <c:strRef>
              <c:f>'5.1'!$D$29</c:f>
              <c:strCache>
                <c:ptCount val="1"/>
                <c:pt idx="0">
                  <c:v>z toho cizinci</c:v>
                </c:pt>
              </c:strCache>
            </c:strRef>
          </c:tx>
          <c:spPr>
            <a:ln w="19050">
              <a:solidFill>
                <a:srgbClr val="4F81BD">
                  <a:lumMod val="75000"/>
                </a:srgbClr>
              </a:solidFill>
            </a:ln>
          </c:spPr>
          <c:marker>
            <c:spPr>
              <a:ln w="6350">
                <a:solidFill>
                  <a:srgbClr val="4F81BD">
                    <a:lumMod val="75000"/>
                  </a:srgbClr>
                </a:solidFill>
              </a:ln>
            </c:spPr>
          </c:marker>
          <c:dLbls>
            <c:numFmt formatCode="0.0\ %" sourceLinked="0"/>
            <c:spPr>
              <a:noFill/>
              <a:ln>
                <a:noFill/>
              </a:ln>
              <a:effectLst/>
            </c:spPr>
            <c:txPr>
              <a:bodyPr/>
              <a:lstStyle/>
              <a:p>
                <a:pPr>
                  <a:defRPr sz="800">
                    <a:latin typeface="Arial" panose="020B0604020202020204" pitchFamily="34" charset="0"/>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'5.1'!$A$30:$A$40</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'5.1'!$D$30:$D$40</c:f>
              <c:numCache>
                <c:formatCode>0.0%</c:formatCode>
                <c:ptCount val="11"/>
                <c:pt idx="0">
                  <c:v>1.5817283108914268E-2</c:v>
                </c:pt>
                <c:pt idx="1">
                  <c:v>1.7598343685300208E-2</c:v>
                </c:pt>
                <c:pt idx="2">
                  <c:v>1.9306790907807427E-2</c:v>
                </c:pt>
                <c:pt idx="3">
                  <c:v>2.0471740097908322E-2</c:v>
                </c:pt>
                <c:pt idx="4">
                  <c:v>2.3682724118453968E-2</c:v>
                </c:pt>
                <c:pt idx="5">
                  <c:v>2.7815653122443416E-2</c:v>
                </c:pt>
                <c:pt idx="6">
                  <c:v>3.2540361112508173E-2</c:v>
                </c:pt>
                <c:pt idx="7">
                  <c:v>3.8281928757602085E-2</c:v>
                </c:pt>
                <c:pt idx="8">
                  <c:v>4.0770858861535031E-2</c:v>
                </c:pt>
                <c:pt idx="9">
                  <c:v>3.9928486293206195E-2</c:v>
                </c:pt>
                <c:pt idx="10">
                  <c:v>3.5927547770700639E-2</c:v>
                </c:pt>
              </c:numCache>
            </c:numRef>
          </c:val>
          <c:smooth val="0"/>
          <c:extLst>
            <c:ext xmlns:c16="http://schemas.microsoft.com/office/drawing/2014/chart" uri="{C3380CC4-5D6E-409C-BE32-E72D297353CC}">
              <c16:uniqueId val="{00000002-8EDD-425B-8A6F-76B6258D32A9}"/>
            </c:ext>
          </c:extLst>
        </c:ser>
        <c:dLbls>
          <c:showLegendKey val="0"/>
          <c:showVal val="1"/>
          <c:showCatName val="0"/>
          <c:showSerName val="0"/>
          <c:showPercent val="0"/>
          <c:showBubbleSize val="0"/>
        </c:dLbls>
        <c:marker val="1"/>
        <c:smooth val="0"/>
        <c:axId val="351707136"/>
        <c:axId val="355184576"/>
      </c:lineChart>
      <c:catAx>
        <c:axId val="308526592"/>
        <c:scaling>
          <c:orientation val="minMax"/>
        </c:scaling>
        <c:delete val="0"/>
        <c:axPos val="b"/>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55184000"/>
        <c:crosses val="autoZero"/>
        <c:auto val="1"/>
        <c:lblAlgn val="ctr"/>
        <c:lblOffset val="100"/>
        <c:noMultiLvlLbl val="0"/>
      </c:catAx>
      <c:valAx>
        <c:axId val="355184000"/>
        <c:scaling>
          <c:orientation val="minMax"/>
          <c:max val="40000"/>
          <c:min val="0"/>
        </c:scaling>
        <c:delete val="0"/>
        <c:axPos val="l"/>
        <c:majorGridlines>
          <c:spPr>
            <a:ln>
              <a:noFill/>
            </a:ln>
          </c:spPr>
        </c:majorGridlines>
        <c:numFmt formatCode="#,##0" sourceLinked="1"/>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08526592"/>
        <c:crosses val="autoZero"/>
        <c:crossBetween val="between"/>
      </c:valAx>
      <c:valAx>
        <c:axId val="355184576"/>
        <c:scaling>
          <c:orientation val="minMax"/>
          <c:max val="0.8"/>
          <c:min val="0"/>
        </c:scaling>
        <c:delete val="0"/>
        <c:axPos val="r"/>
        <c:numFmt formatCode="0\ %"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51707136"/>
        <c:crosses val="max"/>
        <c:crossBetween val="between"/>
      </c:valAx>
      <c:catAx>
        <c:axId val="351707136"/>
        <c:scaling>
          <c:orientation val="minMax"/>
        </c:scaling>
        <c:delete val="1"/>
        <c:axPos val="b"/>
        <c:numFmt formatCode="General" sourceLinked="1"/>
        <c:majorTickMark val="out"/>
        <c:minorTickMark val="none"/>
        <c:tickLblPos val="nextTo"/>
        <c:crossAx val="355184576"/>
        <c:crosses val="autoZero"/>
        <c:auto val="1"/>
        <c:lblAlgn val="ctr"/>
        <c:lblOffset val="100"/>
        <c:noMultiLvlLbl val="0"/>
      </c:catAx>
    </c:plotArea>
    <c:legend>
      <c:legendPos val="b"/>
      <c:layout>
        <c:manualLayout>
          <c:xMode val="edge"/>
          <c:yMode val="edge"/>
          <c:x val="7.7676004785116144E-3"/>
          <c:y val="0.89616797900262468"/>
          <c:w val="0.99223239952148834"/>
          <c:h val="8.0037409116963831E-2"/>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ysClr val="window" lastClr="FFFFFF">
          <a:lumMod val="85000"/>
        </a:sysClr>
      </a:solidFill>
    </a:ln>
  </c:spPr>
  <c:externalData r:id="rId2">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8858476023830355E-2"/>
          <c:y val="5.2380952380952382E-2"/>
          <c:w val="0.84124102542737711"/>
          <c:h val="0.75073213601108857"/>
        </c:manualLayout>
      </c:layout>
      <c:barChart>
        <c:barDir val="col"/>
        <c:grouping val="clustered"/>
        <c:varyColors val="0"/>
        <c:ser>
          <c:idx val="0"/>
          <c:order val="0"/>
          <c:tx>
            <c:strRef>
              <c:f>'5.2'!$B$25</c:f>
              <c:strCache>
                <c:ptCount val="1"/>
                <c:pt idx="0">
                  <c:v>počet studentů</c:v>
                </c:pt>
              </c:strCache>
            </c:strRef>
          </c:tx>
          <c:spPr>
            <a:solidFill>
              <a:schemeClr val="accent1">
                <a:lumMod val="75000"/>
              </a:schemeClr>
            </a:solidFill>
          </c:spPr>
          <c:invertIfNegative val="0"/>
          <c:dLbls>
            <c:dLbl>
              <c:idx val="0"/>
              <c:layout/>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18A-48A0-BF4F-032CAF9EC511}"/>
                </c:ext>
              </c:extLst>
            </c:dLbl>
            <c:dLbl>
              <c:idx val="1"/>
              <c:layout/>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D286-4570-AA75-9D884B907DF8}"/>
                </c:ext>
              </c:extLst>
            </c:dLbl>
            <c:dLbl>
              <c:idx val="2"/>
              <c:layout/>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286-4570-AA75-9D884B907DF8}"/>
                </c:ext>
              </c:extLst>
            </c:dLbl>
            <c:dLbl>
              <c:idx val="3"/>
              <c:layout/>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AACB-420C-B2F7-33E97CF37749}"/>
                </c:ext>
              </c:extLst>
            </c:dLbl>
            <c:dLbl>
              <c:idx val="4"/>
              <c:layout/>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D286-4570-AA75-9D884B907DF8}"/>
                </c:ext>
              </c:extLst>
            </c:dLbl>
            <c:dLbl>
              <c:idx val="5"/>
              <c:layout/>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D286-4570-AA75-9D884B907DF8}"/>
                </c:ext>
              </c:extLst>
            </c:dLbl>
            <c:dLbl>
              <c:idx val="6"/>
              <c:layout/>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D286-4570-AA75-9D884B907DF8}"/>
                </c:ext>
              </c:extLst>
            </c:dLbl>
            <c:dLbl>
              <c:idx val="7"/>
              <c:layout/>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D286-4570-AA75-9D884B907DF8}"/>
                </c:ext>
              </c:extLst>
            </c:dLbl>
            <c:dLbl>
              <c:idx val="8"/>
              <c:layout/>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D286-4570-AA75-9D884B907DF8}"/>
                </c:ext>
              </c:extLst>
            </c:dLbl>
            <c:dLbl>
              <c:idx val="9"/>
              <c:layout/>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D286-4570-AA75-9D884B907DF8}"/>
                </c:ext>
              </c:extLst>
            </c:dLbl>
            <c:dLbl>
              <c:idx val="10"/>
              <c:layout/>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D286-4570-AA75-9D884B907DF8}"/>
                </c:ext>
              </c:extLst>
            </c:dLbl>
            <c:dLbl>
              <c:idx val="11"/>
              <c:layout/>
              <c:dLblPos val="inBase"/>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D286-4570-AA75-9D884B907DF8}"/>
                </c:ext>
              </c:extLst>
            </c:dLbl>
            <c:dLbl>
              <c:idx val="12"/>
              <c:layout>
                <c:manualLayout>
                  <c:x val="-1.537368683232603E-16"/>
                  <c:y val="1.4748973685981638E-2"/>
                </c:manualLayout>
              </c:layout>
              <c:spPr>
                <a:noFill/>
                <a:ln>
                  <a:noFill/>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AACB-420C-B2F7-33E97CF37749}"/>
                </c:ext>
              </c:extLst>
            </c:dLbl>
            <c:dLbl>
              <c:idx val="13"/>
              <c:layout>
                <c:manualLayout>
                  <c:x val="-1.537368683232603E-16"/>
                  <c:y val="1.3684635574399433E-2"/>
                </c:manualLayout>
              </c:layout>
              <c:spPr>
                <a:noFill/>
                <a:ln>
                  <a:noFill/>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cs-CZ"/>
                </a:p>
              </c:txPr>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AACB-420C-B2F7-33E97CF37749}"/>
                </c:ext>
              </c:extLst>
            </c:dLbl>
            <c:spPr>
              <a:noFill/>
              <a:ln>
                <a:noFill/>
              </a:ln>
              <a:effectLst/>
            </c:spPr>
            <c:txPr>
              <a:bodyPr/>
              <a:lstStyle/>
              <a:p>
                <a:pPr>
                  <a:defRPr sz="800">
                    <a:solidFill>
                      <a:schemeClr val="bg1"/>
                    </a:solidFill>
                    <a:latin typeface="Arial" panose="020B0604020202020204" pitchFamily="34" charset="0"/>
                    <a:cs typeface="Arial" panose="020B0604020202020204" pitchFamily="34" charset="0"/>
                  </a:defRPr>
                </a:pPr>
                <a:endParaRPr lang="cs-C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'5.2'!$A$26:$A$39</c:f>
              <c:strCache>
                <c:ptCount val="14"/>
                <c:pt idx="0">
                  <c:v>Praha</c:v>
                </c:pt>
                <c:pt idx="1">
                  <c:v>Moravskoslezský</c:v>
                </c:pt>
                <c:pt idx="2">
                  <c:v>Jihomoravský</c:v>
                </c:pt>
                <c:pt idx="3">
                  <c:v>Ústecký</c:v>
                </c:pt>
                <c:pt idx="4">
                  <c:v>Plzeňský</c:v>
                </c:pt>
                <c:pt idx="5">
                  <c:v>Olomoucký</c:v>
                </c:pt>
                <c:pt idx="6">
                  <c:v>Středočeský</c:v>
                </c:pt>
                <c:pt idx="7">
                  <c:v>Pardubický</c:v>
                </c:pt>
                <c:pt idx="8">
                  <c:v>Jihočeský</c:v>
                </c:pt>
                <c:pt idx="9">
                  <c:v>Vysočina</c:v>
                </c:pt>
                <c:pt idx="10">
                  <c:v>Zlínský</c:v>
                </c:pt>
                <c:pt idx="11">
                  <c:v>Královéhradecký</c:v>
                </c:pt>
                <c:pt idx="12">
                  <c:v>Liberecký</c:v>
                </c:pt>
                <c:pt idx="13">
                  <c:v>Karlovarský</c:v>
                </c:pt>
              </c:strCache>
            </c:strRef>
          </c:cat>
          <c:val>
            <c:numRef>
              <c:f>'5.2'!$B$26:$B$39</c:f>
              <c:numCache>
                <c:formatCode>#\ ##0_ ;\-#\ ##0\ </c:formatCode>
                <c:ptCount val="14"/>
                <c:pt idx="0">
                  <c:v>4796</c:v>
                </c:pt>
                <c:pt idx="1">
                  <c:v>3169</c:v>
                </c:pt>
                <c:pt idx="2">
                  <c:v>1817</c:v>
                </c:pt>
                <c:pt idx="3">
                  <c:v>1564</c:v>
                </c:pt>
                <c:pt idx="4">
                  <c:v>1442</c:v>
                </c:pt>
                <c:pt idx="5">
                  <c:v>1352</c:v>
                </c:pt>
                <c:pt idx="6">
                  <c:v>1317</c:v>
                </c:pt>
                <c:pt idx="7">
                  <c:v>946</c:v>
                </c:pt>
                <c:pt idx="8">
                  <c:v>887</c:v>
                </c:pt>
                <c:pt idx="9">
                  <c:v>862</c:v>
                </c:pt>
                <c:pt idx="10">
                  <c:v>825</c:v>
                </c:pt>
                <c:pt idx="11">
                  <c:v>611</c:v>
                </c:pt>
                <c:pt idx="12">
                  <c:v>259</c:v>
                </c:pt>
                <c:pt idx="13">
                  <c:v>249</c:v>
                </c:pt>
              </c:numCache>
            </c:numRef>
          </c:val>
          <c:extLst>
            <c:ext xmlns:c16="http://schemas.microsoft.com/office/drawing/2014/chart" uri="{C3380CC4-5D6E-409C-BE32-E72D297353CC}">
              <c16:uniqueId val="{00000002-018A-48A0-BF4F-032CAF9EC511}"/>
            </c:ext>
          </c:extLst>
        </c:ser>
        <c:dLbls>
          <c:showLegendKey val="0"/>
          <c:showVal val="0"/>
          <c:showCatName val="0"/>
          <c:showSerName val="0"/>
          <c:showPercent val="0"/>
          <c:showBubbleSize val="0"/>
        </c:dLbls>
        <c:gapWidth val="35"/>
        <c:axId val="308523008"/>
        <c:axId val="355185152"/>
      </c:barChart>
      <c:lineChart>
        <c:grouping val="standard"/>
        <c:varyColors val="0"/>
        <c:ser>
          <c:idx val="1"/>
          <c:order val="1"/>
          <c:tx>
            <c:strRef>
              <c:f>'5.2'!$C$25</c:f>
              <c:strCache>
                <c:ptCount val="1"/>
                <c:pt idx="0">
                  <c:v>z toho cizinců</c:v>
                </c:pt>
              </c:strCache>
            </c:strRef>
          </c:tx>
          <c:spPr>
            <a:ln>
              <a:noFill/>
            </a:ln>
          </c:spPr>
          <c:marker>
            <c:symbol val="square"/>
            <c:size val="5"/>
            <c:spPr>
              <a:solidFill>
                <a:srgbClr val="FFC000"/>
              </a:solidFill>
              <a:ln w="3175">
                <a:solidFill>
                  <a:schemeClr val="accent1">
                    <a:lumMod val="75000"/>
                  </a:schemeClr>
                </a:solidFill>
              </a:ln>
            </c:spPr>
          </c:marker>
          <c:dLbls>
            <c:numFmt formatCode="0.0\ %" sourceLinked="0"/>
            <c:spPr>
              <a:solidFill>
                <a:schemeClr val="bg1">
                  <a:lumMod val="50000"/>
                </a:schemeClr>
              </a:solidFill>
              <a:ln>
                <a:noFill/>
              </a:ln>
              <a:effectLst/>
            </c:spPr>
            <c:txPr>
              <a:bodyPr/>
              <a:lstStyle/>
              <a:p>
                <a:pPr>
                  <a:defRPr sz="800" b="1">
                    <a:solidFill>
                      <a:srgbClr val="FFFF00"/>
                    </a:solidFill>
                    <a:latin typeface="Arial" panose="020B0604020202020204" pitchFamily="34" charset="0"/>
                    <a:cs typeface="Arial" panose="020B0604020202020204" pitchFamily="34" charset="0"/>
                  </a:defRPr>
                </a:pPr>
                <a:endParaRPr lang="cs-CZ"/>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'5.2'!$A$26:$A$39</c:f>
              <c:strCache>
                <c:ptCount val="14"/>
                <c:pt idx="0">
                  <c:v>Praha</c:v>
                </c:pt>
                <c:pt idx="1">
                  <c:v>Moravskoslezský</c:v>
                </c:pt>
                <c:pt idx="2">
                  <c:v>Jihomoravský</c:v>
                </c:pt>
                <c:pt idx="3">
                  <c:v>Ústecký</c:v>
                </c:pt>
                <c:pt idx="4">
                  <c:v>Plzeňský</c:v>
                </c:pt>
                <c:pt idx="5">
                  <c:v>Olomoucký</c:v>
                </c:pt>
                <c:pt idx="6">
                  <c:v>Středočeský</c:v>
                </c:pt>
                <c:pt idx="7">
                  <c:v>Pardubický</c:v>
                </c:pt>
                <c:pt idx="8">
                  <c:v>Jihočeský</c:v>
                </c:pt>
                <c:pt idx="9">
                  <c:v>Vysočina</c:v>
                </c:pt>
                <c:pt idx="10">
                  <c:v>Zlínský</c:v>
                </c:pt>
                <c:pt idx="11">
                  <c:v>Královéhradecký</c:v>
                </c:pt>
                <c:pt idx="12">
                  <c:v>Liberecký</c:v>
                </c:pt>
                <c:pt idx="13">
                  <c:v>Karlovarský</c:v>
                </c:pt>
              </c:strCache>
            </c:strRef>
          </c:cat>
          <c:val>
            <c:numRef>
              <c:f>'5.2'!$C$26:$C$39</c:f>
              <c:numCache>
                <c:formatCode>0.0%</c:formatCode>
                <c:ptCount val="14"/>
                <c:pt idx="0">
                  <c:v>7.5688073394495417E-2</c:v>
                </c:pt>
                <c:pt idx="1">
                  <c:v>1.167560744714421E-2</c:v>
                </c:pt>
                <c:pt idx="2">
                  <c:v>3.5773252614199232E-2</c:v>
                </c:pt>
                <c:pt idx="3">
                  <c:v>1.6624040920716114E-2</c:v>
                </c:pt>
                <c:pt idx="4">
                  <c:v>4.5769764216366159E-2</c:v>
                </c:pt>
                <c:pt idx="5">
                  <c:v>1.9230769230769232E-2</c:v>
                </c:pt>
                <c:pt idx="6">
                  <c:v>2.9612756264236904E-2</c:v>
                </c:pt>
                <c:pt idx="7">
                  <c:v>2.1141649048625793E-2</c:v>
                </c:pt>
                <c:pt idx="8">
                  <c:v>2.0293122886133032E-2</c:v>
                </c:pt>
                <c:pt idx="9">
                  <c:v>2.3201856148491878E-2</c:v>
                </c:pt>
                <c:pt idx="10">
                  <c:v>2.9090909090909091E-2</c:v>
                </c:pt>
                <c:pt idx="11">
                  <c:v>9.8199672667757774E-3</c:v>
                </c:pt>
                <c:pt idx="12">
                  <c:v>1.5444015444015444E-2</c:v>
                </c:pt>
                <c:pt idx="13">
                  <c:v>2.8112449799196786E-2</c:v>
                </c:pt>
              </c:numCache>
            </c:numRef>
          </c:val>
          <c:smooth val="0"/>
          <c:extLst>
            <c:ext xmlns:c16="http://schemas.microsoft.com/office/drawing/2014/chart" uri="{C3380CC4-5D6E-409C-BE32-E72D297353CC}">
              <c16:uniqueId val="{00000006-018A-48A0-BF4F-032CAF9EC511}"/>
            </c:ext>
          </c:extLst>
        </c:ser>
        <c:dLbls>
          <c:showLegendKey val="0"/>
          <c:showVal val="0"/>
          <c:showCatName val="0"/>
          <c:showSerName val="0"/>
          <c:showPercent val="0"/>
          <c:showBubbleSize val="0"/>
        </c:dLbls>
        <c:marker val="1"/>
        <c:smooth val="0"/>
        <c:axId val="351708672"/>
        <c:axId val="355185728"/>
      </c:lineChart>
      <c:catAx>
        <c:axId val="308523008"/>
        <c:scaling>
          <c:orientation val="minMax"/>
        </c:scaling>
        <c:delete val="0"/>
        <c:axPos val="b"/>
        <c:numFmt formatCode="General"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55185152"/>
        <c:crosses val="autoZero"/>
        <c:auto val="1"/>
        <c:lblAlgn val="ctr"/>
        <c:lblOffset val="100"/>
        <c:noMultiLvlLbl val="0"/>
      </c:catAx>
      <c:valAx>
        <c:axId val="355185152"/>
        <c:scaling>
          <c:orientation val="minMax"/>
          <c:max val="8000"/>
        </c:scaling>
        <c:delete val="0"/>
        <c:axPos val="l"/>
        <c:majorGridlines>
          <c:spPr>
            <a:ln>
              <a:noFill/>
            </a:ln>
          </c:spPr>
        </c:majorGridlines>
        <c:numFmt formatCode="#\ ##0_ ;\-#\ ##0\ " sourceLinked="1"/>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08523008"/>
        <c:crosses val="autoZero"/>
        <c:crossBetween val="between"/>
      </c:valAx>
      <c:valAx>
        <c:axId val="355185728"/>
        <c:scaling>
          <c:orientation val="minMax"/>
          <c:max val="8.0000000000000016E-2"/>
        </c:scaling>
        <c:delete val="0"/>
        <c:axPos val="r"/>
        <c:numFmt formatCode="0\ %" sourceLinked="0"/>
        <c:majorTickMark val="out"/>
        <c:minorTickMark val="none"/>
        <c:tickLblPos val="nextTo"/>
        <c:txPr>
          <a:bodyPr/>
          <a:lstStyle/>
          <a:p>
            <a:pPr>
              <a:defRPr sz="800">
                <a:latin typeface="Arial" panose="020B0604020202020204" pitchFamily="34" charset="0"/>
                <a:cs typeface="Arial" panose="020B0604020202020204" pitchFamily="34" charset="0"/>
              </a:defRPr>
            </a:pPr>
            <a:endParaRPr lang="cs-CZ"/>
          </a:p>
        </c:txPr>
        <c:crossAx val="351708672"/>
        <c:crosses val="max"/>
        <c:crossBetween val="between"/>
      </c:valAx>
      <c:catAx>
        <c:axId val="351708672"/>
        <c:scaling>
          <c:orientation val="minMax"/>
        </c:scaling>
        <c:delete val="1"/>
        <c:axPos val="b"/>
        <c:numFmt formatCode="General" sourceLinked="1"/>
        <c:majorTickMark val="out"/>
        <c:minorTickMark val="none"/>
        <c:tickLblPos val="nextTo"/>
        <c:crossAx val="355185728"/>
        <c:crosses val="autoZero"/>
        <c:auto val="1"/>
        <c:lblAlgn val="ctr"/>
        <c:lblOffset val="100"/>
        <c:noMultiLvlLbl val="0"/>
      </c:catAx>
    </c:plotArea>
    <c:legend>
      <c:legendPos val="b"/>
      <c:layout>
        <c:manualLayout>
          <c:xMode val="edge"/>
          <c:yMode val="edge"/>
          <c:x val="0.68539642450354088"/>
          <c:y val="4.6533014833819927E-2"/>
          <c:w val="0.20416761584047274"/>
          <c:h val="0.14467545489398095"/>
        </c:manualLayout>
      </c:layout>
      <c:overlay val="0"/>
      <c:txPr>
        <a:bodyPr/>
        <a:lstStyle/>
        <a:p>
          <a:pPr>
            <a:defRPr sz="800">
              <a:latin typeface="Arial" panose="020B0604020202020204" pitchFamily="34" charset="0"/>
              <a:cs typeface="Arial" panose="020B0604020202020204" pitchFamily="34" charset="0"/>
            </a:defRPr>
          </a:pPr>
          <a:endParaRPr lang="cs-CZ"/>
        </a:p>
      </c:txPr>
    </c:legend>
    <c:plotVisOnly val="1"/>
    <c:dispBlanksAs val="gap"/>
    <c:showDLblsOverMax val="0"/>
  </c:chart>
  <c:spPr>
    <a:ln>
      <a:solidFill>
        <a:schemeClr val="bg1">
          <a:lumMod val="85000"/>
        </a:schemeClr>
      </a:solidFill>
    </a:ln>
  </c:sp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0.94255</cdr:x>
      <cdr:y>0.81333</cdr:y>
    </cdr:from>
    <cdr:to>
      <cdr:x>1</cdr:x>
      <cdr:y>0.91569</cdr:y>
    </cdr:to>
    <cdr:sp macro="" textlink="">
      <cdr:nvSpPr>
        <cdr:cNvPr id="3" name="Obdélník 2"/>
        <cdr:cNvSpPr/>
      </cdr:nvSpPr>
      <cdr:spPr>
        <a:xfrm xmlns:a="http://schemas.openxmlformats.org/drawingml/2006/main">
          <a:off x="5781675" y="2517775"/>
          <a:ext cx="352425" cy="31686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cs-CZ" sz="900" i="1">
              <a:solidFill>
                <a:schemeClr val="tx1">
                  <a:lumMod val="65000"/>
                  <a:lumOff val="35000"/>
                </a:schemeClr>
              </a:solidFill>
              <a:latin typeface="Arial" panose="020B0604020202020204" pitchFamily="34" charset="0"/>
              <a:cs typeface="Arial" panose="020B0604020202020204" pitchFamily="34" charset="0"/>
            </a:rPr>
            <a:t>tis.</a:t>
          </a:r>
        </a:p>
      </cdr:txBody>
    </cdr:sp>
  </cdr:relSizeAnchor>
</c:userShapes>
</file>

<file path=word/drawings/drawing10.xml><?xml version="1.0" encoding="utf-8"?>
<c:userShapes xmlns:c="http://schemas.openxmlformats.org/drawingml/2006/chart">
  <cdr:relSizeAnchor xmlns:cdr="http://schemas.openxmlformats.org/drawingml/2006/chartDrawing">
    <cdr:from>
      <cdr:x>0.00153</cdr:x>
      <cdr:y>0.6104</cdr:y>
    </cdr:from>
    <cdr:to>
      <cdr:x>0.99542</cdr:x>
      <cdr:y>0.6613</cdr:y>
    </cdr:to>
    <cdr:sp macro="" textlink="">
      <cdr:nvSpPr>
        <cdr:cNvPr id="2" name="Obdélník 1"/>
        <cdr:cNvSpPr/>
      </cdr:nvSpPr>
      <cdr:spPr>
        <a:xfrm xmlns:a="http://schemas.openxmlformats.org/drawingml/2006/main">
          <a:off x="9525" y="2523307"/>
          <a:ext cx="6200775" cy="210406"/>
        </a:xfrm>
        <a:prstGeom xmlns:a="http://schemas.openxmlformats.org/drawingml/2006/main" prst="rect">
          <a:avLst/>
        </a:prstGeom>
        <a:noFill xmlns:a="http://schemas.openxmlformats.org/drawingml/2006/main"/>
        <a:ln xmlns:a="http://schemas.openxmlformats.org/drawingml/2006/main" w="19050">
          <a:solidFill>
            <a:srgbClr val="FF0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cs-CZ"/>
        </a:p>
      </cdr:txBody>
    </cdr:sp>
  </cdr:relSizeAnchor>
</c:userShapes>
</file>

<file path=word/drawings/drawing11.xml><?xml version="1.0" encoding="utf-8"?>
<c:userShapes xmlns:c="http://schemas.openxmlformats.org/drawingml/2006/chart">
  <cdr:relSizeAnchor xmlns:cdr="http://schemas.openxmlformats.org/drawingml/2006/chartDrawing">
    <cdr:from>
      <cdr:x>0.0063</cdr:x>
      <cdr:y>0.74694</cdr:y>
    </cdr:from>
    <cdr:to>
      <cdr:x>0.06151</cdr:x>
      <cdr:y>0.83634</cdr:y>
    </cdr:to>
    <cdr:sp macro="" textlink="">
      <cdr:nvSpPr>
        <cdr:cNvPr id="2" name="Obdélník 1"/>
        <cdr:cNvSpPr/>
      </cdr:nvSpPr>
      <cdr:spPr>
        <a:xfrm xmlns:a="http://schemas.openxmlformats.org/drawingml/2006/main">
          <a:off x="38066" y="1864024"/>
          <a:ext cx="333405" cy="22310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cs-CZ" sz="800">
              <a:solidFill>
                <a:sysClr val="windowText" lastClr="000000"/>
              </a:solidFill>
              <a:latin typeface="Arial" pitchFamily="34" charset="0"/>
              <a:cs typeface="Arial" pitchFamily="34" charset="0"/>
            </a:rPr>
            <a:t>tis</a:t>
          </a:r>
          <a:r>
            <a:rPr lang="cs-CZ" sz="800">
              <a:solidFill>
                <a:sysClr val="windowText" lastClr="000000"/>
              </a:solidFill>
            </a:rPr>
            <a:t>.</a:t>
          </a:r>
          <a:r>
            <a:rPr lang="cs-CZ"/>
            <a:t>.</a:t>
          </a:r>
        </a:p>
      </cdr:txBody>
    </cdr:sp>
  </cdr:relSizeAnchor>
  <cdr:relSizeAnchor xmlns:cdr="http://schemas.openxmlformats.org/drawingml/2006/chartDrawing">
    <cdr:from>
      <cdr:x>0.95899</cdr:x>
      <cdr:y>0.77304</cdr:y>
    </cdr:from>
    <cdr:to>
      <cdr:x>1</cdr:x>
      <cdr:y>0.86083</cdr:y>
    </cdr:to>
    <cdr:sp macro="" textlink="">
      <cdr:nvSpPr>
        <cdr:cNvPr id="3" name="Obdélník 2"/>
        <cdr:cNvSpPr/>
      </cdr:nvSpPr>
      <cdr:spPr>
        <a:xfrm xmlns:a="http://schemas.openxmlformats.org/drawingml/2006/main">
          <a:off x="5791197" y="2282586"/>
          <a:ext cx="247653" cy="25922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cs-CZ" sz="800">
              <a:solidFill>
                <a:sysClr val="windowText" lastClr="000000"/>
              </a:solidFill>
              <a:latin typeface="Arial" pitchFamily="34" charset="0"/>
              <a:cs typeface="Arial" pitchFamily="34" charset="0"/>
            </a:rPr>
            <a:t>%</a:t>
          </a:r>
          <a:r>
            <a:rPr lang="cs-CZ"/>
            <a:t>.</a:t>
          </a:r>
        </a:p>
      </cdr:txBody>
    </cdr:sp>
  </cdr:relSizeAnchor>
</c:userShapes>
</file>

<file path=word/drawings/drawing12.xml><?xml version="1.0" encoding="utf-8"?>
<c:userShapes xmlns:c="http://schemas.openxmlformats.org/drawingml/2006/chart">
  <cdr:relSizeAnchor xmlns:cdr="http://schemas.openxmlformats.org/drawingml/2006/chartDrawing">
    <cdr:from>
      <cdr:x>0.00276</cdr:x>
      <cdr:y>0</cdr:y>
    </cdr:from>
    <cdr:to>
      <cdr:x>0.09254</cdr:x>
      <cdr:y>0.06985</cdr:y>
    </cdr:to>
    <cdr:sp macro="" textlink="">
      <cdr:nvSpPr>
        <cdr:cNvPr id="2" name="Obdélník 1"/>
        <cdr:cNvSpPr/>
      </cdr:nvSpPr>
      <cdr:spPr>
        <a:xfrm xmlns:a="http://schemas.openxmlformats.org/drawingml/2006/main">
          <a:off x="15900" y="0"/>
          <a:ext cx="517197" cy="18097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cs-CZ" sz="800">
              <a:solidFill>
                <a:sysClr val="windowText" lastClr="000000"/>
              </a:solidFill>
              <a:latin typeface="Arial" panose="020B0604020202020204" pitchFamily="34" charset="0"/>
              <a:cs typeface="Arial" panose="020B0604020202020204" pitchFamily="34" charset="0"/>
            </a:rPr>
            <a:t>tis.</a:t>
          </a:r>
        </a:p>
      </cdr:txBody>
    </cdr:sp>
  </cdr:relSizeAnchor>
</c:userShapes>
</file>

<file path=word/drawings/drawing13.xml><?xml version="1.0" encoding="utf-8"?>
<c:userShapes xmlns:c="http://schemas.openxmlformats.org/drawingml/2006/chart">
  <cdr:relSizeAnchor xmlns:cdr="http://schemas.openxmlformats.org/drawingml/2006/chartDrawing">
    <cdr:from>
      <cdr:x>0</cdr:x>
      <cdr:y>0.75275</cdr:y>
    </cdr:from>
    <cdr:to>
      <cdr:x>0.09027</cdr:x>
      <cdr:y>0.91209</cdr:y>
    </cdr:to>
    <cdr:sp macro="" textlink="">
      <cdr:nvSpPr>
        <cdr:cNvPr id="2" name="Obdélník 1"/>
        <cdr:cNvSpPr/>
      </cdr:nvSpPr>
      <cdr:spPr>
        <a:xfrm xmlns:a="http://schemas.openxmlformats.org/drawingml/2006/main">
          <a:off x="0" y="1304924"/>
          <a:ext cx="552450" cy="27622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cs-CZ" sz="800">
              <a:solidFill>
                <a:sysClr val="windowText" lastClr="000000"/>
              </a:solidFill>
              <a:latin typeface="Arial" panose="020B0604020202020204" pitchFamily="34" charset="0"/>
              <a:cs typeface="Arial" panose="020B0604020202020204" pitchFamily="34" charset="0"/>
            </a:rPr>
            <a:t>tis.</a:t>
          </a:r>
        </a:p>
      </cdr:txBody>
    </cdr:sp>
  </cdr:relSizeAnchor>
</c:userShapes>
</file>

<file path=word/drawings/drawing14.xml><?xml version="1.0" encoding="utf-8"?>
<c:userShapes xmlns:c="http://schemas.openxmlformats.org/drawingml/2006/chart">
  <cdr:relSizeAnchor xmlns:cdr="http://schemas.openxmlformats.org/drawingml/2006/chartDrawing">
    <cdr:from>
      <cdr:x>0.92642</cdr:x>
      <cdr:y>0.30349</cdr:y>
    </cdr:from>
    <cdr:to>
      <cdr:x>1</cdr:x>
      <cdr:y>0.37849</cdr:y>
    </cdr:to>
    <cdr:sp macro="" textlink="">
      <cdr:nvSpPr>
        <cdr:cNvPr id="2" name="TextovéPole 12"/>
        <cdr:cNvSpPr txBox="1"/>
      </cdr:nvSpPr>
      <cdr:spPr>
        <a:xfrm xmlns:a="http://schemas.openxmlformats.org/drawingml/2006/main">
          <a:off x="5338611" y="682213"/>
          <a:ext cx="424014" cy="168592"/>
        </a:xfrm>
        <a:prstGeom xmlns:a="http://schemas.openxmlformats.org/drawingml/2006/main" prst="rect">
          <a:avLst/>
        </a:prstGeom>
        <a:noFill xmlns:a="http://schemas.openxmlformats.org/drawingml/2006/main"/>
      </cdr:spPr>
      <cdr:txBody>
        <a:bodyPr xmlns:a="http://schemas.openxmlformats.org/drawingml/2006/main" wrap="square" lIns="0" tIns="0" rIns="0" bIns="0" rtlCol="0">
          <a:noAutofit/>
        </a:bodyPr>
        <a:lstStyle xmlns:a="http://schemas.openxmlformats.org/drawingml/2006/main">
          <a:defPPr>
            <a:defRPr lang="en-US"/>
          </a:defPPr>
          <a:lvl1pPr algn="l" defTabSz="1042988" rtl="0" fontAlgn="base">
            <a:spcBef>
              <a:spcPct val="0"/>
            </a:spcBef>
            <a:spcAft>
              <a:spcPct val="0"/>
            </a:spcAft>
            <a:defRPr sz="2100" kern="1200">
              <a:solidFill>
                <a:schemeClr val="tx1"/>
              </a:solidFill>
              <a:latin typeface="Calibri" pitchFamily="34" charset="0"/>
              <a:ea typeface="+mn-ea"/>
              <a:cs typeface="Arial" charset="0"/>
            </a:defRPr>
          </a:lvl1pPr>
          <a:lvl2pPr marL="520700" indent="-63500" algn="l" defTabSz="1042988" rtl="0" fontAlgn="base">
            <a:spcBef>
              <a:spcPct val="0"/>
            </a:spcBef>
            <a:spcAft>
              <a:spcPct val="0"/>
            </a:spcAft>
            <a:defRPr sz="2100" kern="1200">
              <a:solidFill>
                <a:schemeClr val="tx1"/>
              </a:solidFill>
              <a:latin typeface="Calibri" pitchFamily="34" charset="0"/>
              <a:ea typeface="+mn-ea"/>
              <a:cs typeface="Arial" charset="0"/>
            </a:defRPr>
          </a:lvl2pPr>
          <a:lvl3pPr marL="1042988" indent="-128588" algn="l" defTabSz="1042988" rtl="0" fontAlgn="base">
            <a:spcBef>
              <a:spcPct val="0"/>
            </a:spcBef>
            <a:spcAft>
              <a:spcPct val="0"/>
            </a:spcAft>
            <a:defRPr sz="2100" kern="1200">
              <a:solidFill>
                <a:schemeClr val="tx1"/>
              </a:solidFill>
              <a:latin typeface="Calibri" pitchFamily="34" charset="0"/>
              <a:ea typeface="+mn-ea"/>
              <a:cs typeface="Arial" charset="0"/>
            </a:defRPr>
          </a:lvl3pPr>
          <a:lvl4pPr marL="1563688" indent="-192088" algn="l" defTabSz="1042988" rtl="0" fontAlgn="base">
            <a:spcBef>
              <a:spcPct val="0"/>
            </a:spcBef>
            <a:spcAft>
              <a:spcPct val="0"/>
            </a:spcAft>
            <a:defRPr sz="2100" kern="1200">
              <a:solidFill>
                <a:schemeClr val="tx1"/>
              </a:solidFill>
              <a:latin typeface="Calibri" pitchFamily="34" charset="0"/>
              <a:ea typeface="+mn-ea"/>
              <a:cs typeface="Arial" charset="0"/>
            </a:defRPr>
          </a:lvl4pPr>
          <a:lvl5pPr marL="2085975" indent="-257175" algn="l" defTabSz="1042988" rtl="0" fontAlgn="base">
            <a:spcBef>
              <a:spcPct val="0"/>
            </a:spcBef>
            <a:spcAft>
              <a:spcPct val="0"/>
            </a:spcAft>
            <a:defRPr sz="2100" kern="1200">
              <a:solidFill>
                <a:schemeClr val="tx1"/>
              </a:solidFill>
              <a:latin typeface="Calibri" pitchFamily="34" charset="0"/>
              <a:ea typeface="+mn-ea"/>
              <a:cs typeface="Arial" charset="0"/>
            </a:defRPr>
          </a:lvl5pPr>
          <a:lvl6pPr marL="2286000" algn="l" defTabSz="914400" rtl="0" eaLnBrk="1" latinLnBrk="0" hangingPunct="1">
            <a:defRPr sz="2100" kern="1200">
              <a:solidFill>
                <a:schemeClr val="tx1"/>
              </a:solidFill>
              <a:latin typeface="Calibri" pitchFamily="34" charset="0"/>
              <a:ea typeface="+mn-ea"/>
              <a:cs typeface="Arial" charset="0"/>
            </a:defRPr>
          </a:lvl6pPr>
          <a:lvl7pPr marL="2743200" algn="l" defTabSz="914400" rtl="0" eaLnBrk="1" latinLnBrk="0" hangingPunct="1">
            <a:defRPr sz="2100" kern="1200">
              <a:solidFill>
                <a:schemeClr val="tx1"/>
              </a:solidFill>
              <a:latin typeface="Calibri" pitchFamily="34" charset="0"/>
              <a:ea typeface="+mn-ea"/>
              <a:cs typeface="Arial" charset="0"/>
            </a:defRPr>
          </a:lvl7pPr>
          <a:lvl8pPr marL="3200400" algn="l" defTabSz="914400" rtl="0" eaLnBrk="1" latinLnBrk="0" hangingPunct="1">
            <a:defRPr sz="2100" kern="1200">
              <a:solidFill>
                <a:schemeClr val="tx1"/>
              </a:solidFill>
              <a:latin typeface="Calibri" pitchFamily="34" charset="0"/>
              <a:ea typeface="+mn-ea"/>
              <a:cs typeface="Arial" charset="0"/>
            </a:defRPr>
          </a:lvl8pPr>
          <a:lvl9pPr marL="3657600" algn="l" defTabSz="914400" rtl="0" eaLnBrk="1" latinLnBrk="0" hangingPunct="1">
            <a:defRPr sz="2100" kern="1200">
              <a:solidFill>
                <a:schemeClr val="tx1"/>
              </a:solidFill>
              <a:latin typeface="Calibri" pitchFamily="34" charset="0"/>
              <a:ea typeface="+mn-ea"/>
              <a:cs typeface="Arial" charset="0"/>
            </a:defRPr>
          </a:lvl9pPr>
        </a:lstStyle>
        <a:p xmlns:a="http://schemas.openxmlformats.org/drawingml/2006/main">
          <a:r>
            <a:rPr lang="cs-CZ" sz="800" dirty="0" smtClean="0">
              <a:solidFill>
                <a:schemeClr val="tx1">
                  <a:lumMod val="50000"/>
                  <a:lumOff val="50000"/>
                </a:schemeClr>
              </a:solidFill>
              <a:latin typeface="Arial" pitchFamily="34" charset="0"/>
              <a:cs typeface="Arial" pitchFamily="34" charset="0"/>
            </a:rPr>
            <a:t>celkem</a:t>
          </a:r>
          <a:endParaRPr lang="cs-CZ" sz="800" dirty="0">
            <a:solidFill>
              <a:schemeClr val="tx1">
                <a:lumMod val="50000"/>
                <a:lumOff val="50000"/>
              </a:schemeClr>
            </a:solidFill>
            <a:latin typeface="Arial" pitchFamily="34" charset="0"/>
            <a:cs typeface="Arial" pitchFamily="34" charset="0"/>
          </a:endParaRPr>
        </a:p>
      </cdr:txBody>
    </cdr:sp>
  </cdr:relSizeAnchor>
  <cdr:relSizeAnchor xmlns:cdr="http://schemas.openxmlformats.org/drawingml/2006/chartDrawing">
    <cdr:from>
      <cdr:x>0.92562</cdr:x>
      <cdr:y>0.15221</cdr:y>
    </cdr:from>
    <cdr:to>
      <cdr:x>0.99174</cdr:x>
      <cdr:y>0.2161</cdr:y>
    </cdr:to>
    <cdr:sp macro="" textlink="">
      <cdr:nvSpPr>
        <cdr:cNvPr id="3" name="TextovéPole 2"/>
        <cdr:cNvSpPr txBox="1"/>
      </cdr:nvSpPr>
      <cdr:spPr>
        <a:xfrm xmlns:a="http://schemas.openxmlformats.org/drawingml/2006/main">
          <a:off x="5334000" y="342148"/>
          <a:ext cx="381000" cy="143627"/>
        </a:xfrm>
        <a:prstGeom xmlns:a="http://schemas.openxmlformats.org/drawingml/2006/main" prst="rect">
          <a:avLst/>
        </a:prstGeom>
        <a:noFill xmlns:a="http://schemas.openxmlformats.org/drawingml/2006/main"/>
      </cdr:spPr>
      <cdr:txBody>
        <a:bodyPr xmlns:a="http://schemas.openxmlformats.org/drawingml/2006/main" wrap="square" lIns="0" tIns="0" rIns="0" bIns="0" rtlCol="0">
          <a:noAutofit/>
        </a:bodyPr>
        <a:lstStyle xmlns:a="http://schemas.openxmlformats.org/drawingml/2006/main"/>
        <a:p xmlns:a="http://schemas.openxmlformats.org/drawingml/2006/main">
          <a:r>
            <a:rPr lang="cs-CZ" sz="800">
              <a:solidFill>
                <a:srgbClr val="FF0000"/>
              </a:solidFill>
              <a:latin typeface="Arial" pitchFamily="34" charset="0"/>
              <a:cs typeface="Arial" pitchFamily="34" charset="0"/>
            </a:rPr>
            <a:t>dívky</a:t>
          </a:r>
        </a:p>
      </cdr:txBody>
    </cdr:sp>
  </cdr:relSizeAnchor>
  <cdr:relSizeAnchor xmlns:cdr="http://schemas.openxmlformats.org/drawingml/2006/chartDrawing">
    <cdr:from>
      <cdr:x>0.92231</cdr:x>
      <cdr:y>0.46294</cdr:y>
    </cdr:from>
    <cdr:to>
      <cdr:x>0.98843</cdr:x>
      <cdr:y>0.52684</cdr:y>
    </cdr:to>
    <cdr:sp macro="" textlink="">
      <cdr:nvSpPr>
        <cdr:cNvPr id="4" name="TextovéPole 2"/>
        <cdr:cNvSpPr txBox="1"/>
      </cdr:nvSpPr>
      <cdr:spPr>
        <a:xfrm xmlns:a="http://schemas.openxmlformats.org/drawingml/2006/main">
          <a:off x="5314950" y="1040648"/>
          <a:ext cx="381000" cy="143627"/>
        </a:xfrm>
        <a:prstGeom xmlns:a="http://schemas.openxmlformats.org/drawingml/2006/main" prst="rect">
          <a:avLst/>
        </a:prstGeom>
        <a:noFill xmlns:a="http://schemas.openxmlformats.org/drawingml/2006/main"/>
      </cdr:spPr>
      <cdr:txBody>
        <a:bodyPr xmlns:a="http://schemas.openxmlformats.org/drawingml/2006/main" wrap="square" lIns="0" tIns="0" rIns="0" bIns="0" rtlCol="0">
          <a:noAutofit/>
        </a:bodyPr>
        <a:lstStyle xmlns:a="http://schemas.openxmlformats.org/drawingml/2006/main"/>
        <a:p xmlns:a="http://schemas.openxmlformats.org/drawingml/2006/main">
          <a:r>
            <a:rPr lang="cs-CZ" sz="800">
              <a:solidFill>
                <a:schemeClr val="tx2">
                  <a:lumMod val="75000"/>
                </a:schemeClr>
              </a:solidFill>
              <a:latin typeface="Arial" pitchFamily="34" charset="0"/>
              <a:cs typeface="Arial" pitchFamily="34" charset="0"/>
            </a:rPr>
            <a:t>chlapci</a:t>
          </a:r>
        </a:p>
      </cdr:txBody>
    </cdr:sp>
  </cdr:relSizeAnchor>
</c:userShapes>
</file>

<file path=word/drawings/drawing15.xml><?xml version="1.0" encoding="utf-8"?>
<c:userShapes xmlns:c="http://schemas.openxmlformats.org/drawingml/2006/chart">
  <cdr:relSizeAnchor xmlns:cdr="http://schemas.openxmlformats.org/drawingml/2006/chartDrawing">
    <cdr:from>
      <cdr:x>0.94426</cdr:x>
      <cdr:y>0.9295</cdr:y>
    </cdr:from>
    <cdr:to>
      <cdr:x>1</cdr:x>
      <cdr:y>0.98797</cdr:y>
    </cdr:to>
    <cdr:sp macro="" textlink="">
      <cdr:nvSpPr>
        <cdr:cNvPr id="2" name="Obdélník 1"/>
        <cdr:cNvSpPr/>
      </cdr:nvSpPr>
      <cdr:spPr>
        <a:xfrm xmlns:a="http://schemas.openxmlformats.org/drawingml/2006/main">
          <a:off x="5486387" y="2868543"/>
          <a:ext cx="323863" cy="18044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cs-CZ" sz="800">
              <a:solidFill>
                <a:sysClr val="windowText" lastClr="000000"/>
              </a:solidFill>
              <a:latin typeface="Arial" panose="020B0604020202020204" pitchFamily="34" charset="0"/>
              <a:cs typeface="Arial" panose="020B0604020202020204" pitchFamily="34" charset="0"/>
            </a:rPr>
            <a:t>tis.</a:t>
          </a:r>
        </a:p>
      </cdr:txBody>
    </cdr:sp>
  </cdr:relSizeAnchor>
</c:userShapes>
</file>

<file path=word/drawings/drawing16.xml><?xml version="1.0" encoding="utf-8"?>
<c:userShapes xmlns:c="http://schemas.openxmlformats.org/drawingml/2006/chart">
  <cdr:relSizeAnchor xmlns:cdr="http://schemas.openxmlformats.org/drawingml/2006/chartDrawing">
    <cdr:from>
      <cdr:x>0.25484</cdr:x>
      <cdr:y>0.93017</cdr:y>
    </cdr:from>
    <cdr:to>
      <cdr:x>0.31459</cdr:x>
      <cdr:y>1</cdr:y>
    </cdr:to>
    <cdr:sp macro="" textlink="">
      <cdr:nvSpPr>
        <cdr:cNvPr id="2" name="Obdélník 1"/>
        <cdr:cNvSpPr/>
      </cdr:nvSpPr>
      <cdr:spPr>
        <a:xfrm xmlns:a="http://schemas.openxmlformats.org/drawingml/2006/main">
          <a:off x="1381163" y="3171824"/>
          <a:ext cx="323828" cy="23812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cs-CZ" sz="800">
              <a:solidFill>
                <a:sysClr val="windowText" lastClr="000000"/>
              </a:solidFill>
              <a:latin typeface="Arial" panose="020B0604020202020204" pitchFamily="34" charset="0"/>
              <a:cs typeface="Arial" panose="020B0604020202020204" pitchFamily="34" charset="0"/>
            </a:rPr>
            <a:t>tis.</a:t>
          </a:r>
        </a:p>
      </cdr:txBody>
    </cdr:sp>
  </cdr:relSizeAnchor>
</c:userShapes>
</file>

<file path=word/drawings/drawing17.xml><?xml version="1.0" encoding="utf-8"?>
<c:userShapes xmlns:c="http://schemas.openxmlformats.org/drawingml/2006/chart">
  <cdr:relSizeAnchor xmlns:cdr="http://schemas.openxmlformats.org/drawingml/2006/chartDrawing">
    <cdr:from>
      <cdr:x>0.48874</cdr:x>
      <cdr:y>0.07376</cdr:y>
    </cdr:from>
    <cdr:to>
      <cdr:x>0.56878</cdr:x>
      <cdr:y>0.13585</cdr:y>
    </cdr:to>
    <cdr:sp macro="" textlink="">
      <cdr:nvSpPr>
        <cdr:cNvPr id="2" name="Obdélník 1"/>
        <cdr:cNvSpPr/>
      </cdr:nvSpPr>
      <cdr:spPr>
        <a:xfrm xmlns:a="http://schemas.openxmlformats.org/drawingml/2006/main">
          <a:off x="2815514" y="189684"/>
          <a:ext cx="461088" cy="15968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cs-CZ" sz="800">
              <a:solidFill>
                <a:sysClr val="windowText" lastClr="000000"/>
              </a:solidFill>
              <a:latin typeface="Arial" panose="020B0604020202020204" pitchFamily="34" charset="0"/>
              <a:cs typeface="Arial" panose="020B0604020202020204" pitchFamily="34" charset="0"/>
            </a:rPr>
            <a:t>2,1 %</a:t>
          </a:r>
        </a:p>
      </cdr:txBody>
    </cdr:sp>
  </cdr:relSizeAnchor>
  <cdr:relSizeAnchor xmlns:cdr="http://schemas.openxmlformats.org/drawingml/2006/chartDrawing">
    <cdr:from>
      <cdr:x>0.90217</cdr:x>
      <cdr:y>0.02576</cdr:y>
    </cdr:from>
    <cdr:to>
      <cdr:x>0.98545</cdr:x>
      <cdr:y>0.08016</cdr:y>
    </cdr:to>
    <cdr:sp macro="" textlink="">
      <cdr:nvSpPr>
        <cdr:cNvPr id="3" name="Obdélník 2"/>
        <cdr:cNvSpPr/>
      </cdr:nvSpPr>
      <cdr:spPr>
        <a:xfrm xmlns:a="http://schemas.openxmlformats.org/drawingml/2006/main">
          <a:off x="5197147" y="76200"/>
          <a:ext cx="479753" cy="16090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cs-CZ" sz="800">
              <a:solidFill>
                <a:sysClr val="windowText" lastClr="000000"/>
              </a:solidFill>
              <a:latin typeface="Arial" panose="020B0604020202020204" pitchFamily="34" charset="0"/>
              <a:cs typeface="Arial" panose="020B0604020202020204" pitchFamily="34" charset="0"/>
            </a:rPr>
            <a:t>2,3 %</a:t>
          </a:r>
        </a:p>
      </cdr:txBody>
    </cdr:sp>
  </cdr:relSizeAnchor>
  <cdr:relSizeAnchor xmlns:cdr="http://schemas.openxmlformats.org/drawingml/2006/chartDrawing">
    <cdr:from>
      <cdr:x>0.06662</cdr:x>
      <cdr:y>0.18117</cdr:y>
    </cdr:from>
    <cdr:to>
      <cdr:x>0.15708</cdr:x>
      <cdr:y>0.23986</cdr:y>
    </cdr:to>
    <cdr:sp macro="" textlink="">
      <cdr:nvSpPr>
        <cdr:cNvPr id="4" name="Obdélník 3"/>
        <cdr:cNvSpPr/>
      </cdr:nvSpPr>
      <cdr:spPr>
        <a:xfrm xmlns:a="http://schemas.openxmlformats.org/drawingml/2006/main">
          <a:off x="383761" y="465923"/>
          <a:ext cx="521115" cy="15093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cs-CZ" sz="800">
              <a:solidFill>
                <a:sysClr val="windowText" lastClr="000000"/>
              </a:solidFill>
              <a:latin typeface="Arial" panose="020B0604020202020204" pitchFamily="34" charset="0"/>
              <a:cs typeface="Arial" panose="020B0604020202020204" pitchFamily="34" charset="0"/>
            </a:rPr>
            <a:t>1,8 %</a:t>
          </a:r>
        </a:p>
      </cdr:txBody>
    </cdr:sp>
  </cdr:relSizeAnchor>
  <cdr:relSizeAnchor xmlns:cdr="http://schemas.openxmlformats.org/drawingml/2006/chartDrawing">
    <cdr:from>
      <cdr:x>0.31568</cdr:x>
      <cdr:y>0.10345</cdr:y>
    </cdr:from>
    <cdr:to>
      <cdr:x>0.39572</cdr:x>
      <cdr:y>0.16554</cdr:y>
    </cdr:to>
    <cdr:sp macro="" textlink="">
      <cdr:nvSpPr>
        <cdr:cNvPr id="5" name="Obdélník 4"/>
        <cdr:cNvSpPr/>
      </cdr:nvSpPr>
      <cdr:spPr>
        <a:xfrm xmlns:a="http://schemas.openxmlformats.org/drawingml/2006/main">
          <a:off x="1818560" y="266045"/>
          <a:ext cx="461088" cy="15968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cs-CZ" sz="800">
              <a:solidFill>
                <a:sysClr val="windowText" lastClr="000000"/>
              </a:solidFill>
              <a:latin typeface="Arial" panose="020B0604020202020204" pitchFamily="34" charset="0"/>
              <a:cs typeface="Arial" panose="020B0604020202020204" pitchFamily="34" charset="0"/>
            </a:rPr>
            <a:t>2,0 %</a:t>
          </a:r>
        </a:p>
      </cdr:txBody>
    </cdr:sp>
  </cdr:relSizeAnchor>
  <cdr:relSizeAnchor xmlns:cdr="http://schemas.openxmlformats.org/drawingml/2006/chartDrawing">
    <cdr:from>
      <cdr:x>0.14819</cdr:x>
      <cdr:y>0.14215</cdr:y>
    </cdr:from>
    <cdr:to>
      <cdr:x>0.23865</cdr:x>
      <cdr:y>0.20084</cdr:y>
    </cdr:to>
    <cdr:sp macro="" textlink="">
      <cdr:nvSpPr>
        <cdr:cNvPr id="6" name="Obdélník 5"/>
        <cdr:cNvSpPr/>
      </cdr:nvSpPr>
      <cdr:spPr>
        <a:xfrm xmlns:a="http://schemas.openxmlformats.org/drawingml/2006/main">
          <a:off x="853679" y="365576"/>
          <a:ext cx="521115" cy="15093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cs-CZ" sz="800">
              <a:solidFill>
                <a:sysClr val="windowText" lastClr="000000"/>
              </a:solidFill>
              <a:latin typeface="Arial" panose="020B0604020202020204" pitchFamily="34" charset="0"/>
              <a:cs typeface="Arial" panose="020B0604020202020204" pitchFamily="34" charset="0"/>
            </a:rPr>
            <a:t>1,9 %</a:t>
          </a:r>
        </a:p>
      </cdr:txBody>
    </cdr:sp>
  </cdr:relSizeAnchor>
  <cdr:relSizeAnchor xmlns:cdr="http://schemas.openxmlformats.org/drawingml/2006/chartDrawing">
    <cdr:from>
      <cdr:x>0.23086</cdr:x>
      <cdr:y>0.11369</cdr:y>
    </cdr:from>
    <cdr:to>
      <cdr:x>0.32132</cdr:x>
      <cdr:y>0.17238</cdr:y>
    </cdr:to>
    <cdr:sp macro="" textlink="">
      <cdr:nvSpPr>
        <cdr:cNvPr id="7" name="Obdélník 6"/>
        <cdr:cNvSpPr/>
      </cdr:nvSpPr>
      <cdr:spPr>
        <a:xfrm xmlns:a="http://schemas.openxmlformats.org/drawingml/2006/main">
          <a:off x="1329938" y="292374"/>
          <a:ext cx="521115" cy="15093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cs-CZ" sz="800">
              <a:solidFill>
                <a:sysClr val="windowText" lastClr="000000"/>
              </a:solidFill>
              <a:latin typeface="Arial" panose="020B0604020202020204" pitchFamily="34" charset="0"/>
              <a:cs typeface="Arial" panose="020B0604020202020204" pitchFamily="34" charset="0"/>
            </a:rPr>
            <a:t>2,0 %</a:t>
          </a:r>
        </a:p>
      </cdr:txBody>
    </cdr:sp>
  </cdr:relSizeAnchor>
  <cdr:relSizeAnchor xmlns:cdr="http://schemas.openxmlformats.org/drawingml/2006/chartDrawing">
    <cdr:from>
      <cdr:x>0.40117</cdr:x>
      <cdr:y>0.09751</cdr:y>
    </cdr:from>
    <cdr:to>
      <cdr:x>0.49163</cdr:x>
      <cdr:y>0.1562</cdr:y>
    </cdr:to>
    <cdr:sp macro="" textlink="">
      <cdr:nvSpPr>
        <cdr:cNvPr id="8" name="Obdélník 7"/>
        <cdr:cNvSpPr/>
      </cdr:nvSpPr>
      <cdr:spPr>
        <a:xfrm xmlns:a="http://schemas.openxmlformats.org/drawingml/2006/main">
          <a:off x="2311008" y="250768"/>
          <a:ext cx="521115" cy="15093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cs-CZ" sz="800">
              <a:solidFill>
                <a:sysClr val="windowText" lastClr="000000"/>
              </a:solidFill>
              <a:latin typeface="Arial" panose="020B0604020202020204" pitchFamily="34" charset="0"/>
              <a:cs typeface="Arial" panose="020B0604020202020204" pitchFamily="34" charset="0"/>
            </a:rPr>
            <a:t>2,1 %</a:t>
          </a:r>
        </a:p>
      </cdr:txBody>
    </cdr:sp>
  </cdr:relSizeAnchor>
  <cdr:relSizeAnchor xmlns:cdr="http://schemas.openxmlformats.org/drawingml/2006/chartDrawing">
    <cdr:from>
      <cdr:x>0.56651</cdr:x>
      <cdr:y>0.06349</cdr:y>
    </cdr:from>
    <cdr:to>
      <cdr:x>0.65697</cdr:x>
      <cdr:y>0.12218</cdr:y>
    </cdr:to>
    <cdr:sp macro="" textlink="">
      <cdr:nvSpPr>
        <cdr:cNvPr id="9" name="Obdélník 8"/>
        <cdr:cNvSpPr/>
      </cdr:nvSpPr>
      <cdr:spPr>
        <a:xfrm xmlns:a="http://schemas.openxmlformats.org/drawingml/2006/main">
          <a:off x="3263484" y="163291"/>
          <a:ext cx="521115" cy="15093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cs-CZ" sz="800">
              <a:solidFill>
                <a:sysClr val="windowText" lastClr="000000"/>
              </a:solidFill>
              <a:latin typeface="Arial" panose="020B0604020202020204" pitchFamily="34" charset="0"/>
              <a:cs typeface="Arial" panose="020B0604020202020204" pitchFamily="34" charset="0"/>
            </a:rPr>
            <a:t>2,2 %</a:t>
          </a:r>
        </a:p>
      </cdr:txBody>
    </cdr:sp>
  </cdr:relSizeAnchor>
  <cdr:relSizeAnchor xmlns:cdr="http://schemas.openxmlformats.org/drawingml/2006/chartDrawing">
    <cdr:from>
      <cdr:x>0.65414</cdr:x>
      <cdr:y>0.05542</cdr:y>
    </cdr:from>
    <cdr:to>
      <cdr:x>0.7446</cdr:x>
      <cdr:y>0.11411</cdr:y>
    </cdr:to>
    <cdr:sp macro="" textlink="">
      <cdr:nvSpPr>
        <cdr:cNvPr id="10" name="Obdélník 9"/>
        <cdr:cNvSpPr/>
      </cdr:nvSpPr>
      <cdr:spPr>
        <a:xfrm xmlns:a="http://schemas.openxmlformats.org/drawingml/2006/main">
          <a:off x="3768298" y="142514"/>
          <a:ext cx="521114" cy="15093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cs-CZ" sz="800">
              <a:solidFill>
                <a:sysClr val="windowText" lastClr="000000"/>
              </a:solidFill>
              <a:latin typeface="Arial" panose="020B0604020202020204" pitchFamily="34" charset="0"/>
              <a:cs typeface="Arial" panose="020B0604020202020204" pitchFamily="34" charset="0"/>
            </a:rPr>
            <a:t>2,2 %</a:t>
          </a:r>
        </a:p>
      </cdr:txBody>
    </cdr:sp>
  </cdr:relSizeAnchor>
  <cdr:relSizeAnchor xmlns:cdr="http://schemas.openxmlformats.org/drawingml/2006/chartDrawing">
    <cdr:from>
      <cdr:x>0.74233</cdr:x>
      <cdr:y>0.04048</cdr:y>
    </cdr:from>
    <cdr:to>
      <cdr:x>0.83279</cdr:x>
      <cdr:y>0.09917</cdr:y>
    </cdr:to>
    <cdr:sp macro="" textlink="">
      <cdr:nvSpPr>
        <cdr:cNvPr id="11" name="Obdélník 10"/>
        <cdr:cNvSpPr/>
      </cdr:nvSpPr>
      <cdr:spPr>
        <a:xfrm xmlns:a="http://schemas.openxmlformats.org/drawingml/2006/main">
          <a:off x="4276335" y="104092"/>
          <a:ext cx="521115" cy="15093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cs-CZ" sz="800">
              <a:solidFill>
                <a:sysClr val="windowText" lastClr="000000"/>
              </a:solidFill>
              <a:latin typeface="Arial" panose="020B0604020202020204" pitchFamily="34" charset="0"/>
              <a:cs typeface="Arial" panose="020B0604020202020204" pitchFamily="34" charset="0"/>
            </a:rPr>
            <a:t>2,2 %</a:t>
          </a:r>
        </a:p>
      </cdr:txBody>
    </cdr:sp>
  </cdr:relSizeAnchor>
  <cdr:relSizeAnchor xmlns:cdr="http://schemas.openxmlformats.org/drawingml/2006/chartDrawing">
    <cdr:from>
      <cdr:x>0.82499</cdr:x>
      <cdr:y>0.03459</cdr:y>
    </cdr:from>
    <cdr:to>
      <cdr:x>0.91545</cdr:x>
      <cdr:y>0.09328</cdr:y>
    </cdr:to>
    <cdr:sp macro="" textlink="">
      <cdr:nvSpPr>
        <cdr:cNvPr id="12" name="Obdélník 11"/>
        <cdr:cNvSpPr/>
      </cdr:nvSpPr>
      <cdr:spPr>
        <a:xfrm xmlns:a="http://schemas.openxmlformats.org/drawingml/2006/main">
          <a:off x="4752554" y="88954"/>
          <a:ext cx="521115" cy="150936"/>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cs-CZ" sz="800">
              <a:solidFill>
                <a:sysClr val="windowText" lastClr="000000"/>
              </a:solidFill>
              <a:latin typeface="Arial" panose="020B0604020202020204" pitchFamily="34" charset="0"/>
              <a:cs typeface="Arial" panose="020B0604020202020204" pitchFamily="34" charset="0"/>
            </a:rPr>
            <a:t>2,3 %</a:t>
          </a:r>
        </a:p>
      </cdr:txBody>
    </cdr:sp>
  </cdr:relSizeAnchor>
</c:userShapes>
</file>

<file path=word/drawings/drawing18.xml><?xml version="1.0" encoding="utf-8"?>
<c:userShapes xmlns:c="http://schemas.openxmlformats.org/drawingml/2006/chart">
  <cdr:relSizeAnchor xmlns:cdr="http://schemas.openxmlformats.org/drawingml/2006/chartDrawing">
    <cdr:from>
      <cdr:x>0.25937</cdr:x>
      <cdr:y>0.24675</cdr:y>
    </cdr:from>
    <cdr:to>
      <cdr:x>0.33179</cdr:x>
      <cdr:y>0.70779</cdr:y>
    </cdr:to>
    <cdr:sp macro="" textlink="">
      <cdr:nvSpPr>
        <cdr:cNvPr id="2" name="Obdélník 1"/>
        <cdr:cNvSpPr/>
      </cdr:nvSpPr>
      <cdr:spPr>
        <a:xfrm xmlns:a="http://schemas.openxmlformats.org/drawingml/2006/main">
          <a:off x="1587378" y="723900"/>
          <a:ext cx="443220" cy="1352549"/>
        </a:xfrm>
        <a:prstGeom xmlns:a="http://schemas.openxmlformats.org/drawingml/2006/main" prst="rect">
          <a:avLst/>
        </a:prstGeom>
        <a:noFill xmlns:a="http://schemas.openxmlformats.org/drawingml/2006/main"/>
        <a:ln xmlns:a="http://schemas.openxmlformats.org/drawingml/2006/main" w="15875">
          <a:solidFill>
            <a:srgbClr val="FFC000"/>
          </a:solid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cs-CZ"/>
        </a:p>
      </cdr:txBody>
    </cdr:sp>
  </cdr:relSizeAnchor>
</c:userShapes>
</file>

<file path=word/drawings/drawing2.xml><?xml version="1.0" encoding="utf-8"?>
<c:userShapes xmlns:c="http://schemas.openxmlformats.org/drawingml/2006/chart">
  <cdr:relSizeAnchor xmlns:cdr="http://schemas.openxmlformats.org/drawingml/2006/chartDrawing">
    <cdr:from>
      <cdr:x>0.00777</cdr:x>
      <cdr:y>0.38606</cdr:y>
    </cdr:from>
    <cdr:to>
      <cdr:x>0.99055</cdr:x>
      <cdr:y>0.42663</cdr:y>
    </cdr:to>
    <cdr:sp macro="" textlink="">
      <cdr:nvSpPr>
        <cdr:cNvPr id="2" name="Obdélník 1"/>
        <cdr:cNvSpPr/>
      </cdr:nvSpPr>
      <cdr:spPr>
        <a:xfrm xmlns:a="http://schemas.openxmlformats.org/drawingml/2006/main">
          <a:off x="46992" y="1812893"/>
          <a:ext cx="5943598" cy="190509"/>
        </a:xfrm>
        <a:prstGeom xmlns:a="http://schemas.openxmlformats.org/drawingml/2006/main" prst="rect">
          <a:avLst/>
        </a:prstGeom>
        <a:noFill xmlns:a="http://schemas.openxmlformats.org/drawingml/2006/main"/>
        <a:ln xmlns:a="http://schemas.openxmlformats.org/drawingml/2006/main">
          <a:solidFill>
            <a:srgbClr val="FFC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cs-CZ" sz="1100"/>
        </a:p>
      </cdr:txBody>
    </cdr:sp>
  </cdr:relSizeAnchor>
</c:userShapes>
</file>

<file path=word/drawings/drawing3.xml><?xml version="1.0" encoding="utf-8"?>
<c:userShapes xmlns:c="http://schemas.openxmlformats.org/drawingml/2006/chart">
  <cdr:relSizeAnchor xmlns:cdr="http://schemas.openxmlformats.org/drawingml/2006/chartDrawing">
    <cdr:from>
      <cdr:x>0.07672</cdr:x>
      <cdr:y>0.26069</cdr:y>
    </cdr:from>
    <cdr:to>
      <cdr:x>0.98911</cdr:x>
      <cdr:y>0.31908</cdr:y>
    </cdr:to>
    <cdr:sp macro="" textlink="">
      <cdr:nvSpPr>
        <cdr:cNvPr id="2" name="Obdélník 1"/>
        <cdr:cNvSpPr/>
      </cdr:nvSpPr>
      <cdr:spPr>
        <a:xfrm xmlns:a="http://schemas.openxmlformats.org/drawingml/2006/main">
          <a:off x="469510" y="1214222"/>
          <a:ext cx="5583945" cy="271964"/>
        </a:xfrm>
        <a:prstGeom xmlns:a="http://schemas.openxmlformats.org/drawingml/2006/main" prst="rect">
          <a:avLst/>
        </a:prstGeom>
        <a:noFill xmlns:a="http://schemas.openxmlformats.org/drawingml/2006/main"/>
        <a:ln xmlns:a="http://schemas.openxmlformats.org/drawingml/2006/main">
          <a:solidFill>
            <a:srgbClr val="FFC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defPPr>
            <a:defRPr lang="en-US"/>
          </a:defPPr>
          <a:lvl1pPr algn="l" defTabSz="1042988" rtl="0" fontAlgn="base">
            <a:spcBef>
              <a:spcPct val="0"/>
            </a:spcBef>
            <a:spcAft>
              <a:spcPct val="0"/>
            </a:spcAft>
            <a:defRPr sz="2100" kern="1200">
              <a:solidFill>
                <a:schemeClr val="lt1"/>
              </a:solidFill>
              <a:latin typeface="+mn-lt"/>
              <a:ea typeface="+mn-ea"/>
              <a:cs typeface="+mn-cs"/>
            </a:defRPr>
          </a:lvl1pPr>
          <a:lvl2pPr marL="520700" indent="-63500" algn="l" defTabSz="1042988" rtl="0" fontAlgn="base">
            <a:spcBef>
              <a:spcPct val="0"/>
            </a:spcBef>
            <a:spcAft>
              <a:spcPct val="0"/>
            </a:spcAft>
            <a:defRPr sz="2100" kern="1200">
              <a:solidFill>
                <a:schemeClr val="lt1"/>
              </a:solidFill>
              <a:latin typeface="+mn-lt"/>
              <a:ea typeface="+mn-ea"/>
              <a:cs typeface="+mn-cs"/>
            </a:defRPr>
          </a:lvl2pPr>
          <a:lvl3pPr marL="1042988" indent="-128588" algn="l" defTabSz="1042988" rtl="0" fontAlgn="base">
            <a:spcBef>
              <a:spcPct val="0"/>
            </a:spcBef>
            <a:spcAft>
              <a:spcPct val="0"/>
            </a:spcAft>
            <a:defRPr sz="2100" kern="1200">
              <a:solidFill>
                <a:schemeClr val="lt1"/>
              </a:solidFill>
              <a:latin typeface="+mn-lt"/>
              <a:ea typeface="+mn-ea"/>
              <a:cs typeface="+mn-cs"/>
            </a:defRPr>
          </a:lvl3pPr>
          <a:lvl4pPr marL="1563688" indent="-192088" algn="l" defTabSz="1042988" rtl="0" fontAlgn="base">
            <a:spcBef>
              <a:spcPct val="0"/>
            </a:spcBef>
            <a:spcAft>
              <a:spcPct val="0"/>
            </a:spcAft>
            <a:defRPr sz="2100" kern="1200">
              <a:solidFill>
                <a:schemeClr val="lt1"/>
              </a:solidFill>
              <a:latin typeface="+mn-lt"/>
              <a:ea typeface="+mn-ea"/>
              <a:cs typeface="+mn-cs"/>
            </a:defRPr>
          </a:lvl4pPr>
          <a:lvl5pPr marL="2085975" indent="-257175" algn="l" defTabSz="1042988" rtl="0" fontAlgn="base">
            <a:spcBef>
              <a:spcPct val="0"/>
            </a:spcBef>
            <a:spcAft>
              <a:spcPct val="0"/>
            </a:spcAft>
            <a:defRPr sz="2100" kern="1200">
              <a:solidFill>
                <a:schemeClr val="lt1"/>
              </a:solidFill>
              <a:latin typeface="+mn-lt"/>
              <a:ea typeface="+mn-ea"/>
              <a:cs typeface="+mn-cs"/>
            </a:defRPr>
          </a:lvl5pPr>
          <a:lvl6pPr marL="2286000" algn="l" defTabSz="914400" rtl="0" eaLnBrk="1" latinLnBrk="0" hangingPunct="1">
            <a:defRPr sz="2100" kern="1200">
              <a:solidFill>
                <a:schemeClr val="lt1"/>
              </a:solidFill>
              <a:latin typeface="+mn-lt"/>
              <a:ea typeface="+mn-ea"/>
              <a:cs typeface="+mn-cs"/>
            </a:defRPr>
          </a:lvl6pPr>
          <a:lvl7pPr marL="2743200" algn="l" defTabSz="914400" rtl="0" eaLnBrk="1" latinLnBrk="0" hangingPunct="1">
            <a:defRPr sz="2100" kern="1200">
              <a:solidFill>
                <a:schemeClr val="lt1"/>
              </a:solidFill>
              <a:latin typeface="+mn-lt"/>
              <a:ea typeface="+mn-ea"/>
              <a:cs typeface="+mn-cs"/>
            </a:defRPr>
          </a:lvl7pPr>
          <a:lvl8pPr marL="3200400" algn="l" defTabSz="914400" rtl="0" eaLnBrk="1" latinLnBrk="0" hangingPunct="1">
            <a:defRPr sz="2100" kern="1200">
              <a:solidFill>
                <a:schemeClr val="lt1"/>
              </a:solidFill>
              <a:latin typeface="+mn-lt"/>
              <a:ea typeface="+mn-ea"/>
              <a:cs typeface="+mn-cs"/>
            </a:defRPr>
          </a:lvl8pPr>
          <a:lvl9pPr marL="3657600" algn="l" defTabSz="914400" rtl="0" eaLnBrk="1" latinLnBrk="0" hangingPunct="1">
            <a:defRPr sz="2100" kern="1200">
              <a:solidFill>
                <a:schemeClr val="lt1"/>
              </a:solidFill>
              <a:latin typeface="+mn-lt"/>
              <a:ea typeface="+mn-ea"/>
              <a:cs typeface="+mn-cs"/>
            </a:defRPr>
          </a:lvl9pPr>
        </a:lstStyle>
        <a:p xmlns:a="http://schemas.openxmlformats.org/drawingml/2006/main">
          <a:pPr algn="ctr"/>
          <a:endParaRPr lang="cs-CZ"/>
        </a:p>
      </cdr:txBody>
    </cdr:sp>
  </cdr:relSizeAnchor>
</c:userShapes>
</file>

<file path=word/drawings/drawing4.xml><?xml version="1.0" encoding="utf-8"?>
<c:userShapes xmlns:c="http://schemas.openxmlformats.org/drawingml/2006/chart">
  <cdr:relSizeAnchor xmlns:cdr="http://schemas.openxmlformats.org/drawingml/2006/chartDrawing">
    <cdr:from>
      <cdr:x>0.21789</cdr:x>
      <cdr:y>0.19319</cdr:y>
    </cdr:from>
    <cdr:to>
      <cdr:x>0.27631</cdr:x>
      <cdr:y>0.65324</cdr:y>
    </cdr:to>
    <cdr:sp macro="" textlink="">
      <cdr:nvSpPr>
        <cdr:cNvPr id="2" name="Obdélník 1"/>
        <cdr:cNvSpPr/>
      </cdr:nvSpPr>
      <cdr:spPr>
        <a:xfrm xmlns:a="http://schemas.openxmlformats.org/drawingml/2006/main">
          <a:off x="1333515" y="323858"/>
          <a:ext cx="357538" cy="771227"/>
        </a:xfrm>
        <a:prstGeom xmlns:a="http://schemas.openxmlformats.org/drawingml/2006/main" prst="rect">
          <a:avLst/>
        </a:prstGeom>
        <a:noFill xmlns:a="http://schemas.openxmlformats.org/drawingml/2006/main"/>
        <a:ln xmlns:a="http://schemas.openxmlformats.org/drawingml/2006/main">
          <a:solidFill>
            <a:srgbClr val="FFC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cs-CZ"/>
        </a:p>
      </cdr:txBody>
    </cdr:sp>
  </cdr:relSizeAnchor>
</c:userShapes>
</file>

<file path=word/drawings/drawing5.xml><?xml version="1.0" encoding="utf-8"?>
<c:userShapes xmlns:c="http://schemas.openxmlformats.org/drawingml/2006/chart">
  <cdr:relSizeAnchor xmlns:cdr="http://schemas.openxmlformats.org/drawingml/2006/chartDrawing">
    <cdr:from>
      <cdr:x>0.28567</cdr:x>
      <cdr:y>0.17857</cdr:y>
    </cdr:from>
    <cdr:to>
      <cdr:x>0.34239</cdr:x>
      <cdr:y>0.70995</cdr:y>
    </cdr:to>
    <cdr:sp macro="" textlink="">
      <cdr:nvSpPr>
        <cdr:cNvPr id="2" name="Obdélník 1"/>
        <cdr:cNvSpPr/>
      </cdr:nvSpPr>
      <cdr:spPr>
        <a:xfrm xmlns:a="http://schemas.openxmlformats.org/drawingml/2006/main">
          <a:off x="1748315" y="280305"/>
          <a:ext cx="347185" cy="834120"/>
        </a:xfrm>
        <a:prstGeom xmlns:a="http://schemas.openxmlformats.org/drawingml/2006/main" prst="rect">
          <a:avLst/>
        </a:prstGeom>
        <a:noFill xmlns:a="http://schemas.openxmlformats.org/drawingml/2006/main"/>
        <a:ln xmlns:a="http://schemas.openxmlformats.org/drawingml/2006/main">
          <a:solidFill>
            <a:srgbClr val="FFC000"/>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endParaRPr lang="cs-CZ"/>
        </a:p>
      </cdr:txBody>
    </cdr:sp>
  </cdr:relSizeAnchor>
</c:userShapes>
</file>

<file path=word/drawings/drawing6.xml><?xml version="1.0" encoding="utf-8"?>
<c:userShapes xmlns:c="http://schemas.openxmlformats.org/drawingml/2006/chart">
  <cdr:relSizeAnchor xmlns:cdr="http://schemas.openxmlformats.org/drawingml/2006/chartDrawing">
    <cdr:from>
      <cdr:x>0.08885</cdr:x>
      <cdr:y>0.10989</cdr:y>
    </cdr:from>
    <cdr:to>
      <cdr:x>0.17017</cdr:x>
      <cdr:y>0.17308</cdr:y>
    </cdr:to>
    <cdr:sp macro="" textlink="">
      <cdr:nvSpPr>
        <cdr:cNvPr id="2" name="Obdélník 1"/>
        <cdr:cNvSpPr/>
      </cdr:nvSpPr>
      <cdr:spPr>
        <a:xfrm xmlns:a="http://schemas.openxmlformats.org/drawingml/2006/main">
          <a:off x="547576" y="380983"/>
          <a:ext cx="501148" cy="219086"/>
        </a:xfrm>
        <a:prstGeom xmlns:a="http://schemas.openxmlformats.org/drawingml/2006/main" prst="rect">
          <a:avLst/>
        </a:prstGeom>
        <a:solidFill xmlns:a="http://schemas.openxmlformats.org/drawingml/2006/main">
          <a:schemeClr val="bg2">
            <a:lumMod val="9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cs-CZ" sz="800" b="1">
              <a:solidFill>
                <a:sysClr val="windowText" lastClr="000000"/>
              </a:solidFill>
              <a:latin typeface="Arial" panose="020B0604020202020204" pitchFamily="34" charset="0"/>
              <a:cs typeface="Arial" panose="020B0604020202020204" pitchFamily="34" charset="0"/>
            </a:rPr>
            <a:t>835,8</a:t>
          </a:r>
        </a:p>
      </cdr:txBody>
    </cdr:sp>
  </cdr:relSizeAnchor>
  <cdr:relSizeAnchor xmlns:cdr="http://schemas.openxmlformats.org/drawingml/2006/chartDrawing">
    <cdr:from>
      <cdr:x>0.48946</cdr:x>
      <cdr:y>0.04762</cdr:y>
    </cdr:from>
    <cdr:to>
      <cdr:x>0.57077</cdr:x>
      <cdr:y>0.1108</cdr:y>
    </cdr:to>
    <cdr:sp macro="" textlink="">
      <cdr:nvSpPr>
        <cdr:cNvPr id="3" name="Obdélník 2"/>
        <cdr:cNvSpPr/>
      </cdr:nvSpPr>
      <cdr:spPr>
        <a:xfrm xmlns:a="http://schemas.openxmlformats.org/drawingml/2006/main">
          <a:off x="3016398" y="165109"/>
          <a:ext cx="501087" cy="219052"/>
        </a:xfrm>
        <a:prstGeom xmlns:a="http://schemas.openxmlformats.org/drawingml/2006/main" prst="rect">
          <a:avLst/>
        </a:prstGeom>
        <a:solidFill xmlns:a="http://schemas.openxmlformats.org/drawingml/2006/main">
          <a:schemeClr val="bg2">
            <a:lumMod val="9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cs-CZ" sz="800" b="1">
              <a:solidFill>
                <a:sysClr val="windowText" lastClr="000000"/>
              </a:solidFill>
              <a:latin typeface="Arial" panose="020B0604020202020204" pitchFamily="34" charset="0"/>
              <a:cs typeface="Arial" panose="020B0604020202020204" pitchFamily="34" charset="0"/>
            </a:rPr>
            <a:t>947,5</a:t>
          </a:r>
        </a:p>
      </cdr:txBody>
    </cdr:sp>
  </cdr:relSizeAnchor>
  <cdr:relSizeAnchor xmlns:cdr="http://schemas.openxmlformats.org/drawingml/2006/chartDrawing">
    <cdr:from>
      <cdr:x>0.88397</cdr:x>
      <cdr:y>0.02014</cdr:y>
    </cdr:from>
    <cdr:to>
      <cdr:x>0.99009</cdr:x>
      <cdr:y>0.07692</cdr:y>
    </cdr:to>
    <cdr:sp macro="" textlink="">
      <cdr:nvSpPr>
        <cdr:cNvPr id="4" name="Obdélník 3"/>
        <cdr:cNvSpPr/>
      </cdr:nvSpPr>
      <cdr:spPr>
        <a:xfrm xmlns:a="http://schemas.openxmlformats.org/drawingml/2006/main">
          <a:off x="5447595" y="69833"/>
          <a:ext cx="653983" cy="196867"/>
        </a:xfrm>
        <a:prstGeom xmlns:a="http://schemas.openxmlformats.org/drawingml/2006/main" prst="rect">
          <a:avLst/>
        </a:prstGeom>
        <a:solidFill xmlns:a="http://schemas.openxmlformats.org/drawingml/2006/main">
          <a:schemeClr val="bg2">
            <a:lumMod val="9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r>
            <a:rPr lang="cs-CZ" sz="800" b="1">
              <a:solidFill>
                <a:sysClr val="windowText" lastClr="000000"/>
              </a:solidFill>
              <a:latin typeface="Arial" panose="020B0604020202020204" pitchFamily="34" charset="0"/>
              <a:cs typeface="Arial" panose="020B0604020202020204" pitchFamily="34" charset="0"/>
            </a:rPr>
            <a:t>1 006</a:t>
          </a:r>
          <a:r>
            <a:rPr lang="cs-CZ" sz="800" b="1" baseline="0">
              <a:solidFill>
                <a:sysClr val="windowText" lastClr="000000"/>
              </a:solidFill>
              <a:latin typeface="Arial" panose="020B0604020202020204" pitchFamily="34" charset="0"/>
              <a:cs typeface="Arial" panose="020B0604020202020204" pitchFamily="34" charset="0"/>
            </a:rPr>
            <a:t> </a:t>
          </a:r>
          <a:r>
            <a:rPr lang="cs-CZ" sz="800" b="1">
              <a:solidFill>
                <a:sysClr val="windowText" lastClr="000000"/>
              </a:solidFill>
              <a:latin typeface="Arial" panose="020B0604020202020204" pitchFamily="34" charset="0"/>
              <a:cs typeface="Arial" panose="020B0604020202020204" pitchFamily="34" charset="0"/>
            </a:rPr>
            <a:t>,5</a:t>
          </a:r>
        </a:p>
      </cdr:txBody>
    </cdr:sp>
  </cdr:relSizeAnchor>
</c:userShapes>
</file>

<file path=word/drawings/drawing7.xml><?xml version="1.0" encoding="utf-8"?>
<c:userShapes xmlns:c="http://schemas.openxmlformats.org/drawingml/2006/chart">
  <cdr:relSizeAnchor xmlns:cdr="http://schemas.openxmlformats.org/drawingml/2006/chartDrawing">
    <cdr:from>
      <cdr:x>0.47779</cdr:x>
      <cdr:y>0.02632</cdr:y>
    </cdr:from>
    <cdr:to>
      <cdr:x>0.54212</cdr:x>
      <cdr:y>0.74671</cdr:y>
    </cdr:to>
    <cdr:sp macro="" textlink="">
      <cdr:nvSpPr>
        <cdr:cNvPr id="2" name="Obdélník 1"/>
        <cdr:cNvSpPr/>
      </cdr:nvSpPr>
      <cdr:spPr>
        <a:xfrm xmlns:a="http://schemas.openxmlformats.org/drawingml/2006/main">
          <a:off x="2924137" y="76212"/>
          <a:ext cx="393708" cy="2085963"/>
        </a:xfrm>
        <a:prstGeom xmlns:a="http://schemas.openxmlformats.org/drawingml/2006/main" prst="rect">
          <a:avLst/>
        </a:prstGeom>
        <a:noFill xmlns:a="http://schemas.openxmlformats.org/drawingml/2006/main"/>
        <a:ln xmlns:a="http://schemas.openxmlformats.org/drawingml/2006/main" w="19050">
          <a:solidFill>
            <a:srgbClr val="FFC000"/>
          </a:solid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cs-CZ"/>
        </a:p>
      </cdr:txBody>
    </cdr:sp>
  </cdr:relSizeAnchor>
</c:userShapes>
</file>

<file path=word/drawings/drawing8.xml><?xml version="1.0" encoding="utf-8"?>
<c:userShapes xmlns:c="http://schemas.openxmlformats.org/drawingml/2006/chart">
  <cdr:relSizeAnchor xmlns:cdr="http://schemas.openxmlformats.org/drawingml/2006/chartDrawing">
    <cdr:from>
      <cdr:x>0.43053</cdr:x>
      <cdr:y>0.00834</cdr:y>
    </cdr:from>
    <cdr:to>
      <cdr:x>0.49315</cdr:x>
      <cdr:y>0.7705</cdr:y>
    </cdr:to>
    <cdr:sp macro="" textlink="">
      <cdr:nvSpPr>
        <cdr:cNvPr id="2" name="Obdélník 1"/>
        <cdr:cNvSpPr/>
      </cdr:nvSpPr>
      <cdr:spPr>
        <a:xfrm xmlns:a="http://schemas.openxmlformats.org/drawingml/2006/main">
          <a:off x="2634877" y="25495"/>
          <a:ext cx="383243" cy="2330323"/>
        </a:xfrm>
        <a:prstGeom xmlns:a="http://schemas.openxmlformats.org/drawingml/2006/main" prst="rect">
          <a:avLst/>
        </a:prstGeom>
        <a:noFill xmlns:a="http://schemas.openxmlformats.org/drawingml/2006/main"/>
        <a:ln xmlns:a="http://schemas.openxmlformats.org/drawingml/2006/main" w="15875">
          <a:solidFill>
            <a:srgbClr val="FFC000"/>
          </a:solid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cs-CZ"/>
        </a:p>
      </cdr:txBody>
    </cdr:sp>
  </cdr:relSizeAnchor>
</c:userShapes>
</file>

<file path=word/drawings/drawing9.xml><?xml version="1.0" encoding="utf-8"?>
<c:userShapes xmlns:c="http://schemas.openxmlformats.org/drawingml/2006/chart">
  <cdr:relSizeAnchor xmlns:cdr="http://schemas.openxmlformats.org/drawingml/2006/chartDrawing">
    <cdr:from>
      <cdr:x>0.0577</cdr:x>
      <cdr:y>0.09823</cdr:y>
    </cdr:from>
    <cdr:to>
      <cdr:x>0.07212</cdr:x>
      <cdr:y>0.12292</cdr:y>
    </cdr:to>
    <cdr:sp macro="" textlink="">
      <cdr:nvSpPr>
        <cdr:cNvPr id="2" name="Ovál 1"/>
        <cdr:cNvSpPr/>
      </cdr:nvSpPr>
      <cdr:spPr>
        <a:xfrm xmlns:a="http://schemas.openxmlformats.org/drawingml/2006/main">
          <a:off x="576064" y="572955"/>
          <a:ext cx="144016" cy="144016"/>
        </a:xfrm>
        <a:prstGeom xmlns:a="http://schemas.openxmlformats.org/drawingml/2006/main" prst="ellipse">
          <a:avLst/>
        </a:prstGeom>
        <a:solidFill xmlns:a="http://schemas.openxmlformats.org/drawingml/2006/main">
          <a:schemeClr val="tx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cs-CZ"/>
        </a:p>
      </cdr:txBody>
    </cdr:sp>
  </cdr:relSizeAnchor>
  <cdr:relSizeAnchor xmlns:cdr="http://schemas.openxmlformats.org/drawingml/2006/chartDrawing">
    <cdr:from>
      <cdr:x>0.08722</cdr:x>
      <cdr:y>0.04057</cdr:y>
    </cdr:from>
    <cdr:to>
      <cdr:x>0.2889</cdr:x>
      <cdr:y>0.16894</cdr:y>
    </cdr:to>
    <cdr:sp macro="" textlink="">
      <cdr:nvSpPr>
        <cdr:cNvPr id="3" name="Obdélník 2"/>
        <cdr:cNvSpPr/>
      </cdr:nvSpPr>
      <cdr:spPr>
        <a:xfrm xmlns:a="http://schemas.openxmlformats.org/drawingml/2006/main">
          <a:off x="502469" y="136525"/>
          <a:ext cx="1161803" cy="43204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defPPr>
            <a:defRPr lang="en-US"/>
          </a:defPPr>
          <a:lvl1pPr algn="l" defTabSz="1042988" rtl="0" fontAlgn="base">
            <a:spcBef>
              <a:spcPct val="0"/>
            </a:spcBef>
            <a:spcAft>
              <a:spcPct val="0"/>
            </a:spcAft>
            <a:defRPr sz="2100" kern="1200">
              <a:solidFill>
                <a:schemeClr val="lt1"/>
              </a:solidFill>
              <a:latin typeface="+mn-lt"/>
              <a:ea typeface="+mn-ea"/>
              <a:cs typeface="+mn-cs"/>
            </a:defRPr>
          </a:lvl1pPr>
          <a:lvl2pPr marL="520700" indent="-63500" algn="l" defTabSz="1042988" rtl="0" fontAlgn="base">
            <a:spcBef>
              <a:spcPct val="0"/>
            </a:spcBef>
            <a:spcAft>
              <a:spcPct val="0"/>
            </a:spcAft>
            <a:defRPr sz="2100" kern="1200">
              <a:solidFill>
                <a:schemeClr val="lt1"/>
              </a:solidFill>
              <a:latin typeface="+mn-lt"/>
              <a:ea typeface="+mn-ea"/>
              <a:cs typeface="+mn-cs"/>
            </a:defRPr>
          </a:lvl2pPr>
          <a:lvl3pPr marL="1042988" indent="-128588" algn="l" defTabSz="1042988" rtl="0" fontAlgn="base">
            <a:spcBef>
              <a:spcPct val="0"/>
            </a:spcBef>
            <a:spcAft>
              <a:spcPct val="0"/>
            </a:spcAft>
            <a:defRPr sz="2100" kern="1200">
              <a:solidFill>
                <a:schemeClr val="lt1"/>
              </a:solidFill>
              <a:latin typeface="+mn-lt"/>
              <a:ea typeface="+mn-ea"/>
              <a:cs typeface="+mn-cs"/>
            </a:defRPr>
          </a:lvl3pPr>
          <a:lvl4pPr marL="1563688" indent="-192088" algn="l" defTabSz="1042988" rtl="0" fontAlgn="base">
            <a:spcBef>
              <a:spcPct val="0"/>
            </a:spcBef>
            <a:spcAft>
              <a:spcPct val="0"/>
            </a:spcAft>
            <a:defRPr sz="2100" kern="1200">
              <a:solidFill>
                <a:schemeClr val="lt1"/>
              </a:solidFill>
              <a:latin typeface="+mn-lt"/>
              <a:ea typeface="+mn-ea"/>
              <a:cs typeface="+mn-cs"/>
            </a:defRPr>
          </a:lvl4pPr>
          <a:lvl5pPr marL="2085975" indent="-257175" algn="l" defTabSz="1042988" rtl="0" fontAlgn="base">
            <a:spcBef>
              <a:spcPct val="0"/>
            </a:spcBef>
            <a:spcAft>
              <a:spcPct val="0"/>
            </a:spcAft>
            <a:defRPr sz="2100" kern="1200">
              <a:solidFill>
                <a:schemeClr val="lt1"/>
              </a:solidFill>
              <a:latin typeface="+mn-lt"/>
              <a:ea typeface="+mn-ea"/>
              <a:cs typeface="+mn-cs"/>
            </a:defRPr>
          </a:lvl5pPr>
          <a:lvl6pPr marL="2286000" algn="l" defTabSz="914400" rtl="0" eaLnBrk="1" latinLnBrk="0" hangingPunct="1">
            <a:defRPr sz="2100" kern="1200">
              <a:solidFill>
                <a:schemeClr val="lt1"/>
              </a:solidFill>
              <a:latin typeface="+mn-lt"/>
              <a:ea typeface="+mn-ea"/>
              <a:cs typeface="+mn-cs"/>
            </a:defRPr>
          </a:lvl6pPr>
          <a:lvl7pPr marL="2743200" algn="l" defTabSz="914400" rtl="0" eaLnBrk="1" latinLnBrk="0" hangingPunct="1">
            <a:defRPr sz="2100" kern="1200">
              <a:solidFill>
                <a:schemeClr val="lt1"/>
              </a:solidFill>
              <a:latin typeface="+mn-lt"/>
              <a:ea typeface="+mn-ea"/>
              <a:cs typeface="+mn-cs"/>
            </a:defRPr>
          </a:lvl7pPr>
          <a:lvl8pPr marL="3200400" algn="l" defTabSz="914400" rtl="0" eaLnBrk="1" latinLnBrk="0" hangingPunct="1">
            <a:defRPr sz="2100" kern="1200">
              <a:solidFill>
                <a:schemeClr val="lt1"/>
              </a:solidFill>
              <a:latin typeface="+mn-lt"/>
              <a:ea typeface="+mn-ea"/>
              <a:cs typeface="+mn-cs"/>
            </a:defRPr>
          </a:lvl8pPr>
          <a:lvl9pPr marL="3657600" algn="l" defTabSz="914400" rtl="0" eaLnBrk="1" latinLnBrk="0" hangingPunct="1">
            <a:defRPr sz="2100" kern="1200">
              <a:solidFill>
                <a:schemeClr val="lt1"/>
              </a:solidFill>
              <a:latin typeface="+mn-lt"/>
              <a:ea typeface="+mn-ea"/>
              <a:cs typeface="+mn-cs"/>
            </a:defRPr>
          </a:lvl9pPr>
        </a:lstStyle>
        <a:p xmlns:a="http://schemas.openxmlformats.org/drawingml/2006/main">
          <a:r>
            <a:rPr lang="cs-CZ" sz="800" b="1" dirty="0" smtClean="0">
              <a:solidFill>
                <a:schemeClr val="tx1"/>
              </a:solidFill>
              <a:latin typeface="Arial" panose="020B0604020202020204" pitchFamily="34" charset="0"/>
              <a:cs typeface="Arial" panose="020B0604020202020204" pitchFamily="34" charset="0"/>
            </a:rPr>
            <a:t>celkem</a:t>
          </a:r>
          <a:endParaRPr lang="cs-CZ" sz="800" b="1" dirty="0">
            <a:solidFill>
              <a:schemeClr val="tx1"/>
            </a:solidFill>
            <a:latin typeface="Arial" panose="020B0604020202020204" pitchFamily="34" charset="0"/>
            <a:cs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EA5338-1D8F-491E-B41B-265115053E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Publikace bar CZ_lide a spolecnost_2017-08-14.dotx</Template>
  <TotalTime>1170</TotalTime>
  <Pages>86</Pages>
  <Words>26190</Words>
  <Characters>154521</Characters>
  <Application>Microsoft Office Word</Application>
  <DocSecurity>0</DocSecurity>
  <Lines>1287</Lines>
  <Paragraphs>360</Paragraphs>
  <ScaleCrop>false</ScaleCrop>
  <HeadingPairs>
    <vt:vector size="6" baseType="variant">
      <vt:variant>
        <vt:lpstr>Název</vt:lpstr>
      </vt:variant>
      <vt:variant>
        <vt:i4>1</vt:i4>
      </vt:variant>
      <vt:variant>
        <vt:lpstr>Title</vt:lpstr>
      </vt:variant>
      <vt:variant>
        <vt:i4>1</vt:i4>
      </vt:variant>
      <vt:variant>
        <vt:lpstr>Headings</vt:lpstr>
      </vt:variant>
      <vt:variant>
        <vt:i4>8</vt:i4>
      </vt:variant>
    </vt:vector>
  </HeadingPairs>
  <TitlesOfParts>
    <vt:vector size="10" baseType="lpstr">
      <vt:lpstr>Analýza - celá</vt:lpstr>
      <vt:lpstr/>
      <vt:lpstr>Styl: Nadpis 1</vt:lpstr>
      <vt:lpstr>    Styl: Nadpis 2</vt:lpstr>
      <vt:lpstr>        Styl: Nadpis 3</vt:lpstr>
      <vt:lpstr>        Styl: Nadpis 3</vt:lpstr>
      <vt:lpstr>    Styl: Nadpis 2</vt:lpstr>
      <vt:lpstr>        Styl: Nadpis 3</vt:lpstr>
      <vt:lpstr>    Styl: Nadpis 2</vt:lpstr>
      <vt:lpstr>        Styl: Nadpis 3</vt:lpstr>
    </vt:vector>
  </TitlesOfParts>
  <Company>CSU</Company>
  <LinksUpToDate>false</LinksUpToDate>
  <CharactersWithSpaces>180351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Analýza - celá</dc:title>
  <dc:subject/>
  <dc:creator>hykysova23070</dc:creator>
  <cp:keywords/>
  <dc:description/>
  <cp:lastModifiedBy>Kašparová Vendula</cp:lastModifiedBy>
  <cp:revision>130</cp:revision>
  <cp:lastPrinted>2022-08-30T10:14:00Z</cp:lastPrinted>
  <dcterms:created xsi:type="dcterms:W3CDTF">2022-07-12T12:30:00Z</dcterms:created>
  <dcterms:modified xsi:type="dcterms:W3CDTF">2022-08-30T10:16:00Z</dcterms:modified>
</cp:coreProperties>
</file>