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E39" w14:textId="77777777" w:rsidR="00A315D0" w:rsidRDefault="00A315D0" w:rsidP="00A315D0">
      <w:pPr>
        <w:pStyle w:val="Nadpis11"/>
      </w:pPr>
      <w:bookmarkStart w:id="0" w:name="_Toc106176409"/>
      <w:r w:rsidRPr="00787441">
        <w:rPr>
          <w:szCs w:val="32"/>
        </w:rPr>
        <w:t>8</w:t>
      </w:r>
      <w:r>
        <w:t>. </w:t>
      </w:r>
      <w:r w:rsidRPr="009110F7">
        <w:t>Státní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A315D0" w:rsidRPr="003C07E6" w14:paraId="09F4FF8C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B0F002A" w14:textId="77777777" w:rsidR="00A315D0" w:rsidRDefault="00A315D0" w:rsidP="00550540">
            <w:pPr>
              <w:pStyle w:val="Marginlie"/>
            </w:pPr>
            <w:r>
              <w:t>Deficit státního rozpočtu se meziročně citelně snížil, přesto zůstal hluboký.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98634D6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CA5A698" w14:textId="77777777" w:rsidR="00A315D0" w:rsidRDefault="00A315D0" w:rsidP="00550540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Za 1. čtvrtletí 2022 vykázal státní rozpočet </w:t>
            </w:r>
            <w:r w:rsidRPr="00347DD9">
              <w:rPr>
                <w:spacing w:val="-4"/>
              </w:rPr>
              <w:t>(SR)</w:t>
            </w:r>
            <w:r w:rsidRPr="00347DD9"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deficit ve výši 59,1 mld. korun. Stát v tomto období roku hospodařil se schodkem počtvrté v řadě, oproti rekordnímu loňskému výsledku šlo ale o deficit nižší o více než polovinu. Za tímto zlepšením stojí především uvolnění tlaků na mimořádné výdaje, k němuž došlo v důsledku letošního zásadního zlepšení epidemické situace doprovázeného takřka plným odbouráním restriktivních opatření. Na příjmové straně rozpočtu se tak mohlo projevit pokračující zotavování ekonomiky, spojené ovšem s nebývalou cenovou akcelerací. Za mimořádný, avšak dočasný faktor lze považovat také rozpočtové provizorium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>, jež na počátku roku ovlivnilo zejména čerpání investic i možnosti předfinancování některých běžných transferů a rovněž omezilo i další zdroje financování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.</w:t>
            </w:r>
          </w:p>
        </w:tc>
      </w:tr>
      <w:tr w:rsidR="00A315D0" w:rsidRPr="003C07E6" w14:paraId="5113981F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6FC47AC" w14:textId="77777777" w:rsidR="00A315D0" w:rsidRDefault="00A315D0" w:rsidP="00550540">
            <w:pPr>
              <w:pStyle w:val="Marginlie"/>
            </w:pPr>
            <w:r>
              <w:t xml:space="preserve">Celostátní daňové inkaso (bez pojistného) zatím úroveň z počátku roku 2020 nepřekonalo. 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7565298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5AB8B80" w14:textId="24418636" w:rsidR="00A315D0" w:rsidRDefault="00A315D0" w:rsidP="00550540">
            <w:pPr>
              <w:spacing w:after="200"/>
              <w:rPr>
                <w:spacing w:val="-4"/>
              </w:rPr>
            </w:pPr>
            <w:r w:rsidRPr="00B25FF5">
              <w:rPr>
                <w:spacing w:val="-5"/>
              </w:rPr>
              <w:t>Celkové příjmy SR se v 1. čtvrtletí</w:t>
            </w:r>
            <w:r>
              <w:rPr>
                <w:spacing w:val="-5"/>
              </w:rPr>
              <w:t xml:space="preserve"> meziročně zvýšily o 16,5 mld. korun, resp. o 4,9 % (po propadu o 10 % na počátku roku 2021). Růst příjmů byl tažen zejména vyšším výběrem DPH (+13,5 mld. korun), pojistného za sociální zabezpečení (+5,4</w:t>
            </w:r>
            <w:r w:rsidR="007D2783">
              <w:rPr>
                <w:spacing w:val="-5"/>
              </w:rPr>
              <w:t xml:space="preserve"> mld.) a spotřebních daní (+4,3 </w:t>
            </w:r>
            <w:r w:rsidR="007D2783">
              <w:rPr>
                <w:spacing w:val="-2"/>
                <w:lang w:eastAsia="en-US"/>
              </w:rPr>
              <w:t> </w:t>
            </w:r>
            <w:r>
              <w:rPr>
                <w:spacing w:val="-5"/>
              </w:rPr>
              <w:t xml:space="preserve">mld.). Opačně působily především nedaňové a kapitálové příjmy, </w:t>
            </w:r>
            <w:r w:rsidR="000F378E">
              <w:rPr>
                <w:spacing w:val="-5"/>
              </w:rPr>
              <w:t xml:space="preserve">a to hlavně vinou </w:t>
            </w:r>
            <w:r>
              <w:rPr>
                <w:spacing w:val="-5"/>
              </w:rPr>
              <w:t>nižšího přílivu prostředků z rozpočtu EU (-8,1 mld. korun)</w:t>
            </w:r>
            <w:r>
              <w:rPr>
                <w:rStyle w:val="Znakapoznpodarou"/>
                <w:spacing w:val="-5"/>
              </w:rPr>
              <w:footnoteReference w:id="4"/>
            </w:r>
            <w:r>
              <w:rPr>
                <w:spacing w:val="-5"/>
              </w:rPr>
              <w:t xml:space="preserve"> a také loňského mimořádného výnosu z aukce rádiových kmitočtů (5,6 mld.). Celostátní daňové inkaso (bez pojistného) na úrovni všech veřejných rozpočtů bylo sice letos meziročně v</w:t>
            </w:r>
            <w:r w:rsidR="007D2783">
              <w:rPr>
                <w:spacing w:val="-5"/>
              </w:rPr>
              <w:t>yšší o 13,9 %, ve srovnání s</w:t>
            </w:r>
            <w:r w:rsidR="007D2783">
              <w:rPr>
                <w:spacing w:val="-2"/>
                <w:lang w:eastAsia="en-US"/>
              </w:rPr>
              <w:t> </w:t>
            </w:r>
            <w:r w:rsidR="007D2783">
              <w:rPr>
                <w:spacing w:val="-5"/>
              </w:rPr>
              <w:t>1.</w:t>
            </w:r>
            <w:r w:rsidR="007D2783">
              <w:rPr>
                <w:spacing w:val="-2"/>
                <w:lang w:eastAsia="en-US"/>
              </w:rPr>
              <w:t> </w:t>
            </w:r>
            <w:r>
              <w:rPr>
                <w:spacing w:val="-5"/>
              </w:rPr>
              <w:t>čtvrtletím 2020 ale o 2,9 % zaostávalo</w:t>
            </w:r>
            <w:r>
              <w:rPr>
                <w:rStyle w:val="Znakapoznpodarou"/>
                <w:spacing w:val="-5"/>
              </w:rPr>
              <w:footnoteReference w:id="5"/>
            </w:r>
            <w:r>
              <w:rPr>
                <w:spacing w:val="-5"/>
              </w:rPr>
              <w:t xml:space="preserve">. Přestože ekonomické oživení i růst cen se již letos promítly do vyššího výběru nepřímých daní, návratu celkového daňového inkasa na úroveň období těsně před propuknutím pandemie v ČR bránily především dopady legislativních změn, jež vedly k podstatnému snížení daňového zatížení práce i majetku. </w:t>
            </w:r>
          </w:p>
        </w:tc>
      </w:tr>
      <w:tr w:rsidR="00A315D0" w:rsidRPr="003C07E6" w14:paraId="7CD962C0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7BFC961" w14:textId="77777777" w:rsidR="00A315D0" w:rsidRDefault="00A315D0" w:rsidP="00550540">
            <w:pPr>
              <w:pStyle w:val="Marginlie"/>
            </w:pPr>
            <w:r>
              <w:t>Pod svižný růst inkasa DPH se podepsalo oživení spotřeby domácností spolu se silným růstem cen.</w:t>
            </w:r>
          </w:p>
          <w:p w14:paraId="139D9291" w14:textId="77777777" w:rsidR="00A315D0" w:rsidRDefault="00A315D0" w:rsidP="00550540">
            <w:pPr>
              <w:pStyle w:val="Marginlie"/>
            </w:pPr>
          </w:p>
          <w:p w14:paraId="1F0C6FC3" w14:textId="77777777" w:rsidR="00A315D0" w:rsidRDefault="00A315D0" w:rsidP="00550540">
            <w:pPr>
              <w:pStyle w:val="Marginlie"/>
            </w:pPr>
          </w:p>
          <w:p w14:paraId="3B285053" w14:textId="77777777" w:rsidR="00A315D0" w:rsidRDefault="00A315D0" w:rsidP="00550540">
            <w:pPr>
              <w:pStyle w:val="Marginlie"/>
            </w:pPr>
          </w:p>
          <w:p w14:paraId="149E5ABE" w14:textId="77777777" w:rsidR="00A315D0" w:rsidRDefault="00A315D0" w:rsidP="00550540">
            <w:pPr>
              <w:pStyle w:val="Marginlie"/>
            </w:pPr>
          </w:p>
          <w:p w14:paraId="1A0BF5A8" w14:textId="77777777" w:rsidR="00A315D0" w:rsidRDefault="00A315D0" w:rsidP="00550540">
            <w:pPr>
              <w:pStyle w:val="Marginlie"/>
            </w:pPr>
            <w:r>
              <w:t>Výběr spotřebních daní na rozdíl od DPH úrovně z počátku roku 2020 zatím nedosáhl.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7DBDE36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8E88F97" w14:textId="21A47BFD" w:rsidR="00A315D0" w:rsidRDefault="00A315D0" w:rsidP="00550540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Z váhově nejvýznamnější daně – DPH – získal SR v 1. čtvrtletí meziročně o 23 % více. Projevily se zde jak cenový růst v ekonomice, tak i meziroční posílení spotřeby domácností, k nimž došlo ve 4. čtvrtletí 2021 i na počátku roku 2022 vlivem nižšího dopadu, resp. úplným uvolněním restrikcí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 xml:space="preserve">. Řádově menší, avšak negativní vliv mělo naopak prominutí DPH na vybrané komodity (energie, vakcíny, testy a respirátory). Efekt nastartování hospodářského růstu podpořený i postupně se zotavujícím cestovním ruchem se výrazně projevil ve výběru spotřebních daní, jenž byl meziročně vyšší o 14,5 %. Více než z poloviny byl tažen vyšším inkasem z tabákových výrobků (+25 %), k němuž přispělo i </w:t>
            </w:r>
            <w:r w:rsidR="007D2783">
              <w:rPr>
                <w:spacing w:val="-4"/>
              </w:rPr>
              <w:t>navýšení daňové sazby. O</w:t>
            </w:r>
            <w:r w:rsidR="007D2783">
              <w:rPr>
                <w:spacing w:val="-2"/>
                <w:lang w:eastAsia="en-US"/>
              </w:rPr>
              <w:t> </w:t>
            </w:r>
            <w:r>
              <w:rPr>
                <w:spacing w:val="-4"/>
              </w:rPr>
              <w:t>desetinu vzrostl výběr tradičně váhově nejvýznamnější spotřební daně – z minerálních olejů, a to především vlivem nízké srovnávací základny (během 1. čtvrtletí 2021 totiž vrcholila protipandemická opatření a citelné omezení mobility mezi okresy se tehdy promítlo do nejnižšího inkasa této daně za posledních osm let). Z ostatních méně významných kategorií daně došlo k významnému oživení výběru u piva (+15 %), zčásti také u daně z lihu (+3 %). Téměř u všech kategorií ale letošní inkaso spotřební daně za úrovní z počátku roku 2020 stále zaostávalo (výjimku představovala daň z vína a meziproduktů).</w:t>
            </w:r>
          </w:p>
        </w:tc>
      </w:tr>
      <w:tr w:rsidR="00A315D0" w:rsidRPr="003C07E6" w14:paraId="007EA726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3AAE6A38" w14:textId="03BBBAAE" w:rsidR="00A315D0" w:rsidRDefault="00A315D0" w:rsidP="00550540">
            <w:pPr>
              <w:pStyle w:val="Marginlie"/>
            </w:pPr>
            <w:r>
              <w:t>Inkaso korporátní daně meziročně mírně vzrostlo. Výběr daně z příjmů fyzickýc</w:t>
            </w:r>
            <w:r w:rsidR="007D2783">
              <w:t>h osob ze závislé činnosti se i </w:t>
            </w:r>
            <w:r>
              <w:t>vlivem legislativních úprav nacházel pouze na úrovni let 2013 až 2015.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02DB398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44FB27A" w14:textId="77777777" w:rsidR="00A315D0" w:rsidRDefault="00A315D0" w:rsidP="00550540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Na dani z příjmů od právnických osob získal v 1. čtvrtletí SR meziročně o 6 % více. Loňské inkaso bylo ovšem tlumeno faktickým posunem lhůty splatnosti daně (na základě individuálních žádostí firem </w:t>
            </w:r>
            <w:r w:rsidRPr="003A4725">
              <w:rPr>
                <w:spacing w:val="-4"/>
              </w:rPr>
              <w:t>o úpravu záloh na daň</w:t>
            </w:r>
            <w:r>
              <w:rPr>
                <w:spacing w:val="-4"/>
              </w:rPr>
              <w:t>).</w:t>
            </w:r>
            <w:r w:rsidRPr="003A4725">
              <w:rPr>
                <w:spacing w:val="-4"/>
              </w:rPr>
              <w:t xml:space="preserve"> </w:t>
            </w:r>
            <w:r>
              <w:rPr>
                <w:spacing w:val="-4"/>
              </w:rPr>
              <w:t>Letošní inkaso ale odráželo i vliv poklesu míry ziskovosti firem v letech 2020 i 2021. Výběr daně z příjmů fyzických osob meziročně fakticky stagnoval (+0,5 %). Pozitivně se v něm projevil pokračující růst inkasa u</w:t>
            </w:r>
            <w:r>
              <w:rPr>
                <w:spacing w:val="-5"/>
              </w:rPr>
              <w:t> </w:t>
            </w:r>
            <w:r>
              <w:rPr>
                <w:spacing w:val="-4"/>
              </w:rPr>
              <w:t xml:space="preserve">daně z kapitálových výnosů. Naopak celostátní výběr klíčové daně ze závislé činnosti (placené plátci) se po loňském, více než třetinovém propadu, způsobeném primárně zrušením tzv. superhrubé mzdy, v 1. čtvrtletí 2022 opět snížil (-9,5 %) a svou výší (31,3 mld. korun) se </w:t>
            </w:r>
            <w:r>
              <w:rPr>
                <w:spacing w:val="-4"/>
              </w:rPr>
              <w:lastRenderedPageBreak/>
              <w:t xml:space="preserve">pohyboval na úrovni let 2013 až 2015. Stály za tím i další legislativní úpravy (pokračující zvyšování daňové slevy na poplatníka či vyšší daňové zvýhodnění na děti). </w:t>
            </w:r>
          </w:p>
        </w:tc>
      </w:tr>
      <w:tr w:rsidR="00A315D0" w:rsidRPr="00F704D2" w14:paraId="34F71F09" w14:textId="77777777" w:rsidTr="00550540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15DF1275" w14:textId="77777777" w:rsidR="00A315D0" w:rsidRDefault="00A315D0" w:rsidP="00550540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29D3C815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CAF87BD" w14:textId="2778102F" w:rsidR="00A315D0" w:rsidRPr="00B80CE9" w:rsidRDefault="002759C7" w:rsidP="00550540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/>
                <w:spacing w:val="-4"/>
                <w:szCs w:val="20"/>
              </w:rPr>
              <w:t>Graf č. </w:t>
            </w:r>
            <w:proofErr w:type="gramStart"/>
            <w:r>
              <w:rPr>
                <w:rFonts w:cs="Arial"/>
                <w:b/>
                <w:bCs/>
                <w:color w:val="000000"/>
                <w:spacing w:val="-4"/>
                <w:szCs w:val="20"/>
              </w:rPr>
              <w:t>17</w:t>
            </w:r>
            <w:r w:rsidR="00A315D0"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  Příspěvek</w:t>
            </w:r>
            <w:proofErr w:type="gramEnd"/>
            <w:r w:rsidR="00A315D0"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 dílčích příjmů k</w:t>
            </w:r>
            <w:r w:rsidR="00A315D0">
              <w:rPr>
                <w:rFonts w:cs="Arial"/>
                <w:b/>
                <w:bCs/>
                <w:color w:val="000000"/>
                <w:spacing w:val="-4"/>
                <w:szCs w:val="20"/>
              </w:rPr>
              <w:t> </w:t>
            </w:r>
            <w:r w:rsidR="00A315D0"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růstu </w:t>
            </w:r>
            <w:r w:rsidR="00A315D0" w:rsidRPr="00A66749">
              <w:rPr>
                <w:rFonts w:cs="Arial"/>
                <w:b/>
                <w:bCs/>
                <w:spacing w:val="-4"/>
                <w:szCs w:val="20"/>
              </w:rPr>
              <w:t>celostátního</w:t>
            </w:r>
            <w:r w:rsidR="00A315D0" w:rsidRPr="00A66749">
              <w:rPr>
                <w:rFonts w:cs="Arial"/>
                <w:b/>
                <w:bCs/>
                <w:spacing w:val="-4"/>
              </w:rPr>
              <w:t xml:space="preserve"> daňového inkasa* </w:t>
            </w:r>
            <w:r w:rsidR="00A315D0" w:rsidRPr="00A66749">
              <w:rPr>
                <w:rFonts w:cs="Arial"/>
                <w:bCs/>
                <w:spacing w:val="-4"/>
              </w:rPr>
              <w:t>(</w:t>
            </w:r>
            <w:r w:rsidR="00A315D0" w:rsidRPr="00A66749">
              <w:rPr>
                <w:spacing w:val="-4"/>
              </w:rPr>
              <w:t>meziročně</w:t>
            </w:r>
            <w:r w:rsidR="00A315D0" w:rsidRPr="00A66749">
              <w:rPr>
                <w:bCs/>
                <w:spacing w:val="-4"/>
              </w:rPr>
              <w:t xml:space="preserve"> v p.</w:t>
            </w:r>
            <w:r w:rsidR="00A315D0">
              <w:rPr>
                <w:bCs/>
                <w:spacing w:val="-4"/>
              </w:rPr>
              <w:t> </w:t>
            </w:r>
            <w:r w:rsidR="00A315D0" w:rsidRPr="00A66749">
              <w:rPr>
                <w:bCs/>
                <w:spacing w:val="-4"/>
              </w:rPr>
              <w:t xml:space="preserve">b.) </w:t>
            </w:r>
            <w:r w:rsidR="00A315D0" w:rsidRPr="00A66749">
              <w:rPr>
                <w:rFonts w:cs="Arial"/>
                <w:b/>
                <w:bCs/>
                <w:spacing w:val="-4"/>
              </w:rPr>
              <w:t>a saldo státn</w:t>
            </w:r>
            <w:r w:rsidR="00A315D0">
              <w:rPr>
                <w:rFonts w:cs="Arial"/>
                <w:b/>
                <w:bCs/>
                <w:spacing w:val="-4"/>
              </w:rPr>
              <w:t>ího rozpočtu v rámci 1.</w:t>
            </w:r>
            <w:r w:rsidR="00A315D0">
              <w:rPr>
                <w:rFonts w:cs="Arial"/>
                <w:b/>
                <w:bCs/>
                <w:spacing w:val="-2"/>
              </w:rPr>
              <w:t xml:space="preserve"> čtvrtlet</w:t>
            </w:r>
            <w:r w:rsidR="00A315D0" w:rsidRPr="009E555E">
              <w:rPr>
                <w:rFonts w:cs="Arial"/>
                <w:b/>
                <w:bCs/>
                <w:spacing w:val="-2"/>
              </w:rPr>
              <w:t>í</w:t>
            </w:r>
            <w:r w:rsidR="00A315D0" w:rsidRPr="00A66749">
              <w:rPr>
                <w:spacing w:val="-4"/>
              </w:rPr>
              <w:t xml:space="preserve"> </w:t>
            </w:r>
            <w:r w:rsidR="00A315D0" w:rsidRPr="00A66749">
              <w:rPr>
                <w:rFonts w:cs="Arial"/>
                <w:bCs/>
                <w:spacing w:val="-4"/>
              </w:rPr>
              <w:t>(v mld. korun, pravá osa)</w:t>
            </w:r>
          </w:p>
        </w:tc>
      </w:tr>
      <w:tr w:rsidR="00A315D0" w14:paraId="53009852" w14:textId="77777777" w:rsidTr="0055054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076E7570" w14:textId="77777777" w:rsidR="00A315D0" w:rsidRDefault="00A315D0" w:rsidP="00550540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339C0302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032C3BD9" w14:textId="77777777" w:rsidR="00A315D0" w:rsidRPr="0067514E" w:rsidRDefault="00A315D0" w:rsidP="00550540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49D62476" wp14:editId="3741AA7E">
                  <wp:extent cx="4735690" cy="3472602"/>
                  <wp:effectExtent l="0" t="0" r="8255" b="0"/>
                  <wp:docPr id="45" name="Graf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315D0" w:rsidRPr="007B3A78" w14:paraId="315669D4" w14:textId="77777777" w:rsidTr="00550540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58E06D3D" w14:textId="77777777" w:rsidR="00A315D0" w:rsidRDefault="00A315D0" w:rsidP="00550540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34CB99C6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1D707E4" w14:textId="77777777" w:rsidR="00A315D0" w:rsidRPr="00E52D45" w:rsidRDefault="00A315D0" w:rsidP="00550540">
            <w:pPr>
              <w:tabs>
                <w:tab w:val="right" w:pos="7683"/>
              </w:tabs>
              <w:spacing w:after="0" w:line="240" w:lineRule="auto"/>
              <w:jc w:val="lef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* Zahrnuje d</w:t>
            </w:r>
            <w:r w:rsidRPr="00A66749">
              <w:rPr>
                <w:spacing w:val="-2"/>
                <w:sz w:val="14"/>
                <w:szCs w:val="14"/>
              </w:rPr>
              <w:t>aňové příjmy bez pojistného na sociální zabezpečení.</w:t>
            </w:r>
            <w:r>
              <w:rPr>
                <w:spacing w:val="-2"/>
                <w:sz w:val="14"/>
                <w:szCs w:val="14"/>
              </w:rPr>
              <w:tab/>
            </w:r>
            <w:r w:rsidRPr="00A66749">
              <w:rPr>
                <w:spacing w:val="-2"/>
                <w:sz w:val="14"/>
                <w:szCs w:val="14"/>
              </w:rPr>
              <w:t>Zdroj: MF ČR</w:t>
            </w:r>
          </w:p>
        </w:tc>
      </w:tr>
      <w:tr w:rsidR="00A315D0" w:rsidRPr="007B3A78" w14:paraId="39D5898B" w14:textId="77777777" w:rsidTr="00550540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B26C61A" w14:textId="77777777" w:rsidR="00A315D0" w:rsidRDefault="00A315D0" w:rsidP="00550540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98ACD5A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CF4E3D7" w14:textId="77777777" w:rsidR="00A315D0" w:rsidRDefault="00A315D0" w:rsidP="00550540">
            <w:pPr>
              <w:tabs>
                <w:tab w:val="right" w:pos="7683"/>
              </w:tabs>
              <w:spacing w:after="0" w:line="240" w:lineRule="auto"/>
              <w:jc w:val="left"/>
              <w:rPr>
                <w:spacing w:val="-2"/>
                <w:sz w:val="14"/>
                <w:szCs w:val="14"/>
              </w:rPr>
            </w:pPr>
          </w:p>
        </w:tc>
      </w:tr>
      <w:tr w:rsidR="00A315D0" w:rsidRPr="008266F0" w14:paraId="3E093538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00A7C8D" w14:textId="77777777" w:rsidR="00A315D0" w:rsidRDefault="00A315D0" w:rsidP="00550540">
            <w:pPr>
              <w:pStyle w:val="Marginlie"/>
            </w:pPr>
            <w:r>
              <w:t>Rekordní pokles výdajů SR souvisel s ústupem pandemie i zavedením režimu rozpočtového provizoria.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D590C02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C2E79F4" w14:textId="77777777" w:rsidR="00A315D0" w:rsidRPr="004725AE" w:rsidRDefault="00A315D0" w:rsidP="00550540">
            <w:pPr>
              <w:spacing w:after="21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Strmý meziroční růst celkových výdajů SR, jenž se v rámci 1. čtvrtletí let 2019 až 2021 pohyboval mezi 10 až 13 %, se na počátku letošního roku zastavil. Za rekordním poklesem výdajů (o 10,7 %) stálo ukončení či výrazné utlumení většiny podpůrných programů i opatření v souvislosti s ústupem pandemie COVID-19. Významnou roli hrálo i to, že prakticky po celé 1. letošní čtvrtletí stát hospodařil v režimu rozpočtového provizoria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7"/>
            </w:r>
            <w:r>
              <w:rPr>
                <w:color w:val="0D0D0D" w:themeColor="text1" w:themeTint="F2"/>
                <w:spacing w:val="-5"/>
              </w:rPr>
              <w:t xml:space="preserve">, což vedlo mj. k odkladu zbytných provozních výdajů i investic. </w:t>
            </w:r>
          </w:p>
        </w:tc>
      </w:tr>
      <w:tr w:rsidR="00A315D0" w:rsidRPr="008266F0" w14:paraId="754FBBE1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24B8C4D" w14:textId="77777777" w:rsidR="00A315D0" w:rsidRDefault="00A315D0" w:rsidP="00550540">
            <w:pPr>
              <w:pStyle w:val="Marginlie"/>
            </w:pPr>
            <w:r>
              <w:t>Běžné transfery podnikatelským subjektům se vrátily na úroveň z počátku roku 2019.</w:t>
            </w:r>
          </w:p>
          <w:p w14:paraId="2752091E" w14:textId="77777777" w:rsidR="00A315D0" w:rsidRDefault="00A315D0" w:rsidP="00550540">
            <w:pPr>
              <w:pStyle w:val="Marginlie"/>
            </w:pPr>
          </w:p>
          <w:p w14:paraId="11347EA6" w14:textId="77777777" w:rsidR="00A315D0" w:rsidRDefault="00A315D0" w:rsidP="00550540">
            <w:pPr>
              <w:pStyle w:val="Marginlie"/>
            </w:pPr>
          </w:p>
          <w:p w14:paraId="25EB5A02" w14:textId="77777777" w:rsidR="00A315D0" w:rsidRDefault="00A315D0" w:rsidP="00550540">
            <w:pPr>
              <w:pStyle w:val="Marginlie"/>
            </w:pPr>
          </w:p>
          <w:p w14:paraId="50E8BEF0" w14:textId="77777777" w:rsidR="00A315D0" w:rsidRDefault="00A315D0" w:rsidP="00550540">
            <w:pPr>
              <w:pStyle w:val="Marginlie"/>
            </w:pPr>
          </w:p>
          <w:p w14:paraId="0BF1F095" w14:textId="77777777" w:rsidR="00A315D0" w:rsidRDefault="00A315D0" w:rsidP="00550540">
            <w:pPr>
              <w:pStyle w:val="Marginlie"/>
            </w:pPr>
            <w:r>
              <w:t>Nižší transfery krajům, obcím, příspěvkovým organizacím či odvody do rozpočtu EU byly zatím letos ovlivněny odlišným režimem předfinancování.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BA72D1D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77A9916" w14:textId="77777777" w:rsidR="00A315D0" w:rsidRDefault="00A315D0" w:rsidP="00550540">
            <w:pPr>
              <w:spacing w:after="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Na celkovém meziročním poklesu výdajů SR (o 49,5 mld. korun) se v 1. čtvrtletí z poloviny podílely neinvestiční transfery podnikatelským subjektům, jež propadly o více než dvě třetiny a svým objemem se vrátily na úroveň běžnou před propuknutím pandemie. To bylo logickým vyústěním utlumení drtivé většiny podpůrných programů (Antivirus, COVID-Gastro, Nepokryté náklady apod.)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8"/>
            </w:r>
            <w:r>
              <w:rPr>
                <w:color w:val="0D0D0D" w:themeColor="text1" w:themeTint="F2"/>
                <w:spacing w:val="-5"/>
              </w:rPr>
              <w:t>, na meziročním poklesu se v menší míře podílely nižší dotace na obnovitelné zdroje energie. Z pohledu celkových výdajů SR sehrálo důležitou roli i snížení objemu běžných transferů směrem ke krajům a obcím (-18,3 mld. korun, resp. -24,5 %) způsobené odlišným režimem předfinancování oblasti školství a sociálních služeb na počátku letošního a loňského roku. Citelnému poklesu těchto transferů nezabránil ani růst platových tarifů pedagogů o 2 %. Řádově menší roli měly i dočasně nižší transfery příspěvkovým organizacím (především vysokým školám na podporu výzkumu), státním fondům (zejména na dopravní infrastrukturu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9"/>
            </w:r>
            <w:r>
              <w:rPr>
                <w:color w:val="0D0D0D" w:themeColor="text1" w:themeTint="F2"/>
                <w:spacing w:val="-5"/>
              </w:rPr>
              <w:t xml:space="preserve">) či neziskovým organizacím (v oblasti podpory sportu, především reprezentací). Skoro o čtvrtinu méně vydal zatím SR i na odvodech do </w:t>
            </w:r>
            <w:r w:rsidRPr="00370434">
              <w:rPr>
                <w:color w:val="0D0D0D" w:themeColor="text1" w:themeTint="F2"/>
                <w:spacing w:val="-5"/>
              </w:rPr>
              <w:t>rozpočtu EU</w:t>
            </w:r>
            <w:r>
              <w:rPr>
                <w:color w:val="0D0D0D" w:themeColor="text1" w:themeTint="F2"/>
                <w:spacing w:val="-5"/>
              </w:rPr>
              <w:t>, což souviselo s vyšší loňskou základnou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10"/>
            </w:r>
            <w:r>
              <w:rPr>
                <w:color w:val="0D0D0D" w:themeColor="text1" w:themeTint="F2"/>
                <w:spacing w:val="-5"/>
              </w:rPr>
              <w:t>.</w:t>
            </w:r>
          </w:p>
        </w:tc>
      </w:tr>
      <w:tr w:rsidR="00A315D0" w:rsidRPr="008266F0" w14:paraId="148350C3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EE78D3E" w14:textId="77777777" w:rsidR="00A315D0" w:rsidRDefault="00A315D0" w:rsidP="00550540">
            <w:pPr>
              <w:pStyle w:val="Marginlie"/>
            </w:pPr>
            <w:r>
              <w:lastRenderedPageBreak/>
              <w:t xml:space="preserve">Dávky státní sociální podpory a podpory v nezaměstnanosti meziročně klesly. Růst výdajů na dávky nemocenského pojištění se výrazně ztlumil. 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4224994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26DAC9A" w14:textId="7719949F" w:rsidR="00A315D0" w:rsidRDefault="00A315D0" w:rsidP="00550540">
            <w:pPr>
              <w:spacing w:after="210"/>
              <w:rPr>
                <w:spacing w:val="-5"/>
              </w:rPr>
            </w:pPr>
            <w:r>
              <w:rPr>
                <w:spacing w:val="-5"/>
              </w:rPr>
              <w:t>Ve směru růstu běžných výdajů SR působily nejvíce sociál</w:t>
            </w:r>
            <w:r w:rsidR="007D2783">
              <w:rPr>
                <w:spacing w:val="-5"/>
              </w:rPr>
              <w:t>ní dávky, meziročně vyšší o</w:t>
            </w:r>
            <w:r w:rsidR="007D2783">
              <w:rPr>
                <w:spacing w:val="-2"/>
                <w:lang w:eastAsia="en-US"/>
              </w:rPr>
              <w:t> </w:t>
            </w:r>
            <w:r w:rsidR="007D2783">
              <w:rPr>
                <w:spacing w:val="-5"/>
              </w:rPr>
              <w:t>8,3</w:t>
            </w:r>
            <w:r w:rsidR="007D2783">
              <w:rPr>
                <w:spacing w:val="-2"/>
                <w:lang w:eastAsia="en-US"/>
              </w:rPr>
              <w:t> </w:t>
            </w:r>
            <w:r>
              <w:rPr>
                <w:spacing w:val="-5"/>
              </w:rPr>
              <w:t>mld. korun, resp. 4,7 %). Jejich podíl na celkových výdajích SR se v rámci 1. čtvrtletí poprvé za posledních pět let zvýšil a dosáhl rekordních 44,3 %. Letošní růst objemu sociálních dávek byl z 90% tažen vyššími výdaji na důchody – ty meziročně posílily o 5,6 %. Naopak „nedůchodové“ sociální dávky, významně navýšené za pandemie, vzrostly o necelá 2 %. Za zmírněním tempa jejich růstu stály dávky nemocenského pojištění, které byly meziročně vyšší jen o 0,5 % (na počátku roku 2021 o 21 %)</w:t>
            </w:r>
            <w:r>
              <w:rPr>
                <w:rStyle w:val="Znakapoznpodarou"/>
                <w:spacing w:val="-5"/>
              </w:rPr>
              <w:footnoteReference w:id="11"/>
            </w:r>
            <w:r>
              <w:rPr>
                <w:spacing w:val="-5"/>
              </w:rPr>
              <w:t>. Samotné nemocenské dávky i ošetřovné se ale oproti loňsku díky rychlému poklesu počtu závažných průběhů onemocnění COVID-19 snížily. Pokračoval naopak dlouhodobý mírný růst peněžité pomoci v mateřství. Dávky státní sociální podpory se meziročně snížily (o 2,3 %), poprvé od roku 2017. Projevilo se nižší čerpání rodičovského příspěvku (-8 %), které kompenzovalo vyšší příspěvky na bydlení (+10  %) i přídavky na děti (+60 %, navýšené zejména vlivem změn legislativy</w:t>
            </w:r>
            <w:r>
              <w:rPr>
                <w:rStyle w:val="Znakapoznpodarou"/>
                <w:spacing w:val="-5"/>
              </w:rPr>
              <w:footnoteReference w:id="12"/>
            </w:r>
            <w:r>
              <w:rPr>
                <w:spacing w:val="-5"/>
              </w:rPr>
              <w:t xml:space="preserve">). Dobrá </w:t>
            </w:r>
            <w:r w:rsidRPr="00175E74">
              <w:rPr>
                <w:spacing w:val="-6"/>
              </w:rPr>
              <w:t>kondice trhu práce v ČR se promítla do nižších vyplacených podpor v nezaměstnanosti (-9 %),</w:t>
            </w:r>
            <w:r>
              <w:rPr>
                <w:spacing w:val="-5"/>
              </w:rPr>
              <w:t xml:space="preserve"> k významnému poklesu výdajů došlo i v oblasti aktivní politiky zaměstnanosti. Stát vydal naopak více na dávky sociální péče (+14 %), zejména vlivem růstu dávek na dlouhodobou péči (zčásti vlivem změn legislativy) a mimořádné okamžité</w:t>
            </w:r>
            <w:r w:rsidRPr="00F64B0D">
              <w:rPr>
                <w:spacing w:val="-5"/>
              </w:rPr>
              <w:t xml:space="preserve"> pomoc</w:t>
            </w:r>
            <w:r>
              <w:rPr>
                <w:spacing w:val="-5"/>
              </w:rPr>
              <w:t>i (zahrnující i humanitární pomoc uprchlíkům z Ukrajiny). Naopak čerpání příspěv</w:t>
            </w:r>
            <w:r w:rsidRPr="00F64B0D">
              <w:rPr>
                <w:spacing w:val="-5"/>
              </w:rPr>
              <w:t>k</w:t>
            </w:r>
            <w:r>
              <w:rPr>
                <w:spacing w:val="-5"/>
              </w:rPr>
              <w:t>u</w:t>
            </w:r>
            <w:r w:rsidRPr="00F64B0D">
              <w:rPr>
                <w:spacing w:val="-5"/>
              </w:rPr>
              <w:t xml:space="preserve"> na živobytí</w:t>
            </w:r>
            <w:r>
              <w:rPr>
                <w:spacing w:val="-5"/>
              </w:rPr>
              <w:t>, představující základní dávku hmotné nouze, po svižném růstu v loňském roce letos pokleslo.</w:t>
            </w:r>
          </w:p>
        </w:tc>
      </w:tr>
      <w:tr w:rsidR="00A315D0" w:rsidRPr="008266F0" w14:paraId="0EF48DB4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CBE00E4" w14:textId="77777777" w:rsidR="00A315D0" w:rsidRDefault="00A315D0" w:rsidP="00550540">
            <w:pPr>
              <w:pStyle w:val="Marginlie"/>
            </w:pPr>
            <w:r>
              <w:t>Deficit důchodového účtu se prohloubil a dosáhl nejhoršího výsledku za posledních deset let.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034D935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67DB0CE" w14:textId="77777777" w:rsidR="00A315D0" w:rsidRDefault="00A315D0" w:rsidP="00550540">
            <w:pPr>
              <w:spacing w:after="210"/>
              <w:rPr>
                <w:spacing w:val="-5"/>
              </w:rPr>
            </w:pPr>
            <w:r w:rsidRPr="00D863C6">
              <w:rPr>
                <w:spacing w:val="-5"/>
              </w:rPr>
              <w:t xml:space="preserve">Počet příjemců </w:t>
            </w:r>
            <w:r>
              <w:rPr>
                <w:spacing w:val="-5"/>
              </w:rPr>
              <w:t xml:space="preserve">starobních </w:t>
            </w:r>
            <w:r w:rsidRPr="00D863C6">
              <w:rPr>
                <w:spacing w:val="-5"/>
              </w:rPr>
              <w:t xml:space="preserve">důchodů se </w:t>
            </w:r>
            <w:r>
              <w:rPr>
                <w:spacing w:val="-5"/>
              </w:rPr>
              <w:t xml:space="preserve">letos </w:t>
            </w:r>
            <w:r w:rsidRPr="00D863C6">
              <w:rPr>
                <w:spacing w:val="-5"/>
              </w:rPr>
              <w:t>oprot</w:t>
            </w:r>
            <w:r>
              <w:rPr>
                <w:spacing w:val="-5"/>
              </w:rPr>
              <w:t xml:space="preserve">i březnu 2021 meziročně snížil </w:t>
            </w:r>
            <w:r w:rsidRPr="00D863C6">
              <w:rPr>
                <w:spacing w:val="-5"/>
              </w:rPr>
              <w:t>o</w:t>
            </w:r>
            <w:r>
              <w:rPr>
                <w:spacing w:val="-5"/>
              </w:rPr>
              <w:t xml:space="preserve"> 0,8 %. Významně tak poklesl druhým rokem v řadě, </w:t>
            </w:r>
            <w:r w:rsidRPr="00D863C6">
              <w:rPr>
                <w:spacing w:val="-5"/>
              </w:rPr>
              <w:t>patrně vinou zvýšené úmrtnosti</w:t>
            </w:r>
            <w:r>
              <w:rPr>
                <w:spacing w:val="-5"/>
              </w:rPr>
              <w:t xml:space="preserve"> během pandemie</w:t>
            </w:r>
            <w:r w:rsidRPr="00D863C6">
              <w:rPr>
                <w:spacing w:val="-5"/>
              </w:rPr>
              <w:t>.</w:t>
            </w:r>
            <w:r>
              <w:rPr>
                <w:spacing w:val="-5"/>
              </w:rPr>
              <w:t xml:space="preserve"> Díky růstu ekonomické aktivity i pokračujícímu posilování průměrných mezd v soukromé sféře vzrostly příjmy </w:t>
            </w:r>
            <w:r>
              <w:rPr>
                <w:rFonts w:cs="Arial"/>
                <w:color w:val="0D0D0D" w:themeColor="text1" w:themeTint="F2"/>
                <w:spacing w:val="-5"/>
              </w:rPr>
              <w:t>důchodového pojištění. Oproti 1. čtvrtletí 2021 byly sice vyšší</w:t>
            </w:r>
            <w:r w:rsidRPr="00D863C6">
              <w:rPr>
                <w:rFonts w:cs="Arial"/>
                <w:color w:val="0D0D0D" w:themeColor="text1" w:themeTint="F2"/>
                <w:spacing w:val="-5"/>
              </w:rPr>
              <w:t xml:space="preserve"> o</w:t>
            </w:r>
            <w:r>
              <w:rPr>
                <w:rFonts w:cs="Arial"/>
                <w:color w:val="0D0D0D" w:themeColor="text1" w:themeTint="F2"/>
                <w:spacing w:val="-5"/>
              </w:rPr>
              <w:t> 4,3 %,</w:t>
            </w:r>
            <w:r w:rsidRPr="00D863C6">
              <w:rPr>
                <w:rFonts w:cs="Arial"/>
                <w:color w:val="0D0D0D" w:themeColor="text1" w:themeTint="F2"/>
                <w:spacing w:val="-5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za tempem růstu výdajů na důchody ale zaostaly. Deficit </w:t>
            </w:r>
            <w:r w:rsidRPr="00D863C6">
              <w:rPr>
                <w:rFonts w:cs="Arial"/>
                <w:color w:val="0D0D0D" w:themeColor="text1" w:themeTint="F2"/>
                <w:spacing w:val="-5"/>
              </w:rPr>
              <w:t>důchodového účtu</w:t>
            </w:r>
            <w:r w:rsidRPr="00D863C6">
              <w:rPr>
                <w:rStyle w:val="Znakapoznpodarou"/>
                <w:color w:val="0D0D0D" w:themeColor="text1" w:themeTint="F2"/>
                <w:spacing w:val="-5"/>
              </w:rPr>
              <w:footnoteReference w:id="13"/>
            </w:r>
            <w:r w:rsidRPr="00D863C6">
              <w:rPr>
                <w:rFonts w:cs="Arial"/>
                <w:color w:val="0D0D0D" w:themeColor="text1" w:themeTint="F2"/>
                <w:spacing w:val="-5"/>
              </w:rPr>
              <w:t xml:space="preserve"> se </w:t>
            </w:r>
            <w:r>
              <w:rPr>
                <w:rFonts w:cs="Arial"/>
                <w:color w:val="0D0D0D" w:themeColor="text1" w:themeTint="F2"/>
                <w:spacing w:val="-5"/>
              </w:rPr>
              <w:t>tak meziročně prohloubil na 10 mld. korun, což představovalo nejhorší výsledek za posledních deset</w:t>
            </w:r>
            <w:r w:rsidRPr="00D863C6">
              <w:rPr>
                <w:rFonts w:cs="Arial"/>
                <w:color w:val="0D0D0D" w:themeColor="text1" w:themeTint="F2"/>
                <w:spacing w:val="-5"/>
              </w:rPr>
              <w:t xml:space="preserve"> let.</w:t>
            </w:r>
          </w:p>
        </w:tc>
      </w:tr>
      <w:tr w:rsidR="00A315D0" w:rsidRPr="008266F0" w14:paraId="17E0C21A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6ECF513" w14:textId="77777777" w:rsidR="00A315D0" w:rsidRDefault="00A315D0" w:rsidP="00550540">
            <w:pPr>
              <w:pStyle w:val="Marginlie"/>
            </w:pPr>
            <w:r>
              <w:t>Navyšování plateb za státní pojištěnce pokračovalo, růst výdajů na obsluhu státního dluhu zrychlil.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B82CD11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401E5FC" w14:textId="5A86A6C2" w:rsidR="00A315D0" w:rsidRPr="00D863C6" w:rsidRDefault="00A315D0" w:rsidP="00550540">
            <w:pPr>
              <w:spacing w:after="210"/>
              <w:rPr>
                <w:spacing w:val="-5"/>
              </w:rPr>
            </w:pPr>
            <w:r>
              <w:rPr>
                <w:spacing w:val="-5"/>
              </w:rPr>
              <w:t>K růstu souhrnných výdajů SR přispěly v 1. čtvrtletí kromě některých výše uvedených sociálních dávek zejména dočasně zvýšené platby za tzv. státní pojištěnce (+10 %)</w:t>
            </w:r>
            <w:r>
              <w:rPr>
                <w:rStyle w:val="Znakapoznpodarou"/>
                <w:spacing w:val="-5"/>
              </w:rPr>
              <w:footnoteReference w:id="14"/>
            </w:r>
            <w:r>
              <w:rPr>
                <w:spacing w:val="-5"/>
              </w:rPr>
              <w:t>. Podobným tempem posílily i výdaje na neinvestiční nákupy, u nichž se projevila vyšší potřeba nákupu léků a zdravotnického materiálu, v menší míře i výdaje za služby či nákup vody, paliv a energie. SR více zatížily také výdaje na obsluhu státní dluh</w:t>
            </w:r>
            <w:r w:rsidR="007D2783">
              <w:rPr>
                <w:spacing w:val="-5"/>
              </w:rPr>
              <w:t>u. Ty rostly třetí rok v řadě a</w:t>
            </w:r>
            <w:r w:rsidR="007D2783">
              <w:rPr>
                <w:spacing w:val="-2"/>
                <w:lang w:eastAsia="en-US"/>
              </w:rPr>
              <w:t> </w:t>
            </w:r>
            <w:r>
              <w:rPr>
                <w:spacing w:val="-5"/>
              </w:rPr>
              <w:t>v 1. čtvrtletí činily 7,9 mld. korun</w:t>
            </w:r>
            <w:r>
              <w:rPr>
                <w:rStyle w:val="Znakapoznpodarou"/>
                <w:spacing w:val="-5"/>
              </w:rPr>
              <w:footnoteReference w:id="15"/>
            </w:r>
            <w:r>
              <w:rPr>
                <w:spacing w:val="-5"/>
              </w:rPr>
              <w:t xml:space="preserve"> – nejvíce v tomto období roku za posledních patnáct let. </w:t>
            </w:r>
          </w:p>
        </w:tc>
      </w:tr>
      <w:tr w:rsidR="00A315D0" w:rsidRPr="008266F0" w14:paraId="0A48B8A2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48312D9" w14:textId="77777777" w:rsidR="00A315D0" w:rsidRDefault="00A315D0" w:rsidP="00550540">
            <w:pPr>
              <w:pStyle w:val="Marginlie"/>
            </w:pPr>
            <w:r>
              <w:t>Růst hodnoty státního dluhu po loňské akceleraci na počátku letošního roku zvolnil.</w:t>
            </w:r>
          </w:p>
          <w:p w14:paraId="5376D989" w14:textId="77777777" w:rsidR="00A315D0" w:rsidRDefault="00A315D0" w:rsidP="00550540">
            <w:pPr>
              <w:pStyle w:val="Marginlie"/>
            </w:pPr>
          </w:p>
          <w:p w14:paraId="11843A48" w14:textId="77777777" w:rsidR="00A315D0" w:rsidRDefault="00A315D0" w:rsidP="00550540">
            <w:pPr>
              <w:pStyle w:val="Marginlie"/>
            </w:pPr>
          </w:p>
          <w:p w14:paraId="18BCAA02" w14:textId="77777777" w:rsidR="00A315D0" w:rsidRDefault="00A315D0" w:rsidP="00550540">
            <w:pPr>
              <w:pStyle w:val="Marginlie"/>
            </w:pPr>
          </w:p>
          <w:p w14:paraId="18D2DE01" w14:textId="77777777" w:rsidR="00A315D0" w:rsidRDefault="00A315D0" w:rsidP="00550540">
            <w:pPr>
              <w:pStyle w:val="Marginlie"/>
            </w:pPr>
          </w:p>
          <w:p w14:paraId="6C9B8695" w14:textId="77777777" w:rsidR="00A315D0" w:rsidRDefault="00A315D0" w:rsidP="00550540">
            <w:pPr>
              <w:pStyle w:val="Marginlie"/>
            </w:pPr>
          </w:p>
          <w:p w14:paraId="2586E124" w14:textId="77777777" w:rsidR="00A315D0" w:rsidRDefault="00A315D0" w:rsidP="00550540">
            <w:pPr>
              <w:pStyle w:val="Marginlie"/>
            </w:pPr>
          </w:p>
          <w:p w14:paraId="4277E1D8" w14:textId="77777777" w:rsidR="00A315D0" w:rsidRDefault="00A315D0" w:rsidP="00550540">
            <w:pPr>
              <w:pStyle w:val="Marginlie"/>
            </w:pPr>
            <w:r>
              <w:t>Výše vnějšího dluhu poklesla.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C1FE50D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EA2E56F" w14:textId="39828FD1" w:rsidR="00A315D0" w:rsidRPr="0009441E" w:rsidRDefault="00A315D0" w:rsidP="00A133F9">
            <w:pPr>
              <w:spacing w:after="200"/>
              <w:rPr>
                <w:spacing w:val="-4"/>
              </w:rPr>
            </w:pPr>
            <w:r w:rsidRPr="0009441E">
              <w:rPr>
                <w:spacing w:val="-4"/>
              </w:rPr>
              <w:t>Výše státního dluhu čítala letos na konci března 2 594 mld. korun, meziročně o 7,2 % více. To oproti mimořádnému loňskému roku znamenalo citelné zpomalení tempa zadlužování. Od počátku letošního roku dluh vystoupal o 128 mld. Stála za tím takřka výhradně emise státních dluhopisů (SD) se splatností nad jeden rok (ve výši 134 mld. korun</w:t>
            </w:r>
            <w:r w:rsidRPr="0009441E">
              <w:rPr>
                <w:rStyle w:val="Znakapoznpodarou"/>
                <w:spacing w:val="-4"/>
              </w:rPr>
              <w:footnoteReference w:id="16"/>
            </w:r>
            <w:r w:rsidRPr="0009441E">
              <w:rPr>
                <w:spacing w:val="-4"/>
              </w:rPr>
              <w:t>), což umožnilo pokrytí více jak 92 % veškerých splátek korunových střednědobých i dlouhodobých státních dluhopisů v celém letošním roce (v 1. čtvrtletí 2021 byly vyd</w:t>
            </w:r>
            <w:r w:rsidR="007D2783">
              <w:rPr>
                <w:spacing w:val="-4"/>
              </w:rPr>
              <w:t>ány dluhopisy za rekordních 232</w:t>
            </w:r>
            <w:r w:rsidR="007D2783">
              <w:rPr>
                <w:spacing w:val="-2"/>
                <w:lang w:eastAsia="en-US"/>
              </w:rPr>
              <w:t> </w:t>
            </w:r>
            <w:r w:rsidRPr="0009441E">
              <w:rPr>
                <w:spacing w:val="-4"/>
              </w:rPr>
              <w:t>mld. korun). Mezi d</w:t>
            </w:r>
            <w:r>
              <w:rPr>
                <w:spacing w:val="-4"/>
              </w:rPr>
              <w:t>ržiteli veškerých</w:t>
            </w:r>
            <w:r w:rsidRPr="0009441E">
              <w:rPr>
                <w:spacing w:val="-4"/>
              </w:rPr>
              <w:t xml:space="preserve"> SD převažovaly letos v březnu domácí</w:t>
            </w:r>
            <w:r w:rsidR="007D2783">
              <w:rPr>
                <w:spacing w:val="-4"/>
              </w:rPr>
              <w:t xml:space="preserve"> banky (39</w:t>
            </w:r>
            <w:r w:rsidR="007D2783">
              <w:rPr>
                <w:spacing w:val="-2"/>
                <w:lang w:eastAsia="en-US"/>
              </w:rPr>
              <w:t> </w:t>
            </w:r>
            <w:r w:rsidRPr="0009441E">
              <w:rPr>
                <w:spacing w:val="-4"/>
              </w:rPr>
              <w:t>%), následované ostatními finančními institucemi (28 %) a také nerezident</w:t>
            </w:r>
            <w:r>
              <w:rPr>
                <w:spacing w:val="-4"/>
              </w:rPr>
              <w:t>y</w:t>
            </w:r>
            <w:r w:rsidRPr="0009441E">
              <w:rPr>
                <w:spacing w:val="-4"/>
              </w:rPr>
              <w:t xml:space="preserve"> (27 %), jejichž podíl se za poslední rok snížil o 6 p. b. Vzrostla naopak váha tuzemských domácností (na 3,5 %, nejvíce za posledních šest let).</w:t>
            </w:r>
            <w:r>
              <w:rPr>
                <w:spacing w:val="-4"/>
              </w:rPr>
              <w:t xml:space="preserve"> Drtivá většina státního dluhu souvisela </w:t>
            </w:r>
            <w:r>
              <w:rPr>
                <w:spacing w:val="-4"/>
              </w:rPr>
              <w:lastRenderedPageBreak/>
              <w:t>v posledních letech s vnitřní zadlužeností. Korunová hodnota vnějšího dluhu</w:t>
            </w:r>
            <w:r w:rsidR="000F378E">
              <w:rPr>
                <w:rStyle w:val="Znakapoznpodarou"/>
                <w:spacing w:val="-4"/>
              </w:rPr>
              <w:footnoteReference w:id="17"/>
            </w:r>
            <w:r w:rsidR="007D2783">
              <w:rPr>
                <w:spacing w:val="-4"/>
              </w:rPr>
              <w:t xml:space="preserve"> byla letos v</w:t>
            </w:r>
            <w:r w:rsidR="007D2783">
              <w:rPr>
                <w:spacing w:val="-2"/>
                <w:lang w:eastAsia="en-US"/>
              </w:rPr>
              <w:t> </w:t>
            </w:r>
            <w:r>
              <w:rPr>
                <w:spacing w:val="-4"/>
              </w:rPr>
              <w:t>březnu meziročně o</w:t>
            </w:r>
            <w:r>
              <w:rPr>
                <w:spacing w:val="-5"/>
              </w:rPr>
              <w:t> </w:t>
            </w:r>
            <w:r>
              <w:rPr>
                <w:spacing w:val="-4"/>
              </w:rPr>
              <w:t>více než pětinu nižší a na celkovém dluhu se podílela jen 6,5 %, nejméně od roku 2004.</w:t>
            </w:r>
          </w:p>
        </w:tc>
      </w:tr>
      <w:tr w:rsidR="00A315D0" w:rsidRPr="008266F0" w14:paraId="63B64B84" w14:textId="77777777" w:rsidTr="00550540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2DFC225" w14:textId="77777777" w:rsidR="00A315D0" w:rsidRDefault="00A315D0" w:rsidP="00550540">
            <w:pPr>
              <w:pStyle w:val="Marginlie"/>
            </w:pPr>
            <w:r>
              <w:lastRenderedPageBreak/>
              <w:t>Velmi pomalý náběh investiční aktivity byl ovlivněn i specifikem režimu rozpočtového provizoria.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D27CE1E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B1B5C71" w14:textId="77777777" w:rsidR="00A315D0" w:rsidRPr="00F20FE6" w:rsidRDefault="00A315D0" w:rsidP="00550540">
            <w:pPr>
              <w:rPr>
                <w:color w:val="0D0D0D" w:themeColor="text1" w:themeTint="F2"/>
                <w:spacing w:val="-5"/>
              </w:rPr>
            </w:pPr>
            <w:r w:rsidRPr="00B93556">
              <w:rPr>
                <w:color w:val="0D0D0D" w:themeColor="text1" w:themeTint="F2"/>
                <w:spacing w:val="-5"/>
              </w:rPr>
              <w:t>Kapitálové výdaje SR</w:t>
            </w:r>
            <w:r>
              <w:rPr>
                <w:color w:val="0D0D0D" w:themeColor="text1" w:themeTint="F2"/>
                <w:spacing w:val="-5"/>
              </w:rPr>
              <w:t xml:space="preserve"> dosáhly v 1. čtvrtletí 15,9 mld. korun, meziročně se propadly o</w:t>
            </w:r>
            <w:r>
              <w:rPr>
                <w:spacing w:val="-5"/>
              </w:rPr>
              <w:t> </w:t>
            </w:r>
            <w:r>
              <w:rPr>
                <w:color w:val="0D0D0D" w:themeColor="text1" w:themeTint="F2"/>
                <w:spacing w:val="-5"/>
              </w:rPr>
              <w:t>třetinu. Podobně k tomu přispěly nižší výdaje financované výhradně z národních zdrojů, i ty, u nichž se předkládá pozdější krytí z rozpočtu EU. Tradičně pomalejší čerpání investic na počátku roku bylo letos umocněno režimem rozpočtového provizoria. Od ledna do března tak bylo čerpáno jen necelých 8 % z objemu plánovaného v rozpočtu za celý rok. Na všech výdajích SR se tak letos investice podílely jen 3,8 %, podobná situace nastala v dlouhodobějším pohledu jen na počátku let 2017 i 2018 (při náběhu nového programového období EU).</w:t>
            </w:r>
          </w:p>
        </w:tc>
      </w:tr>
      <w:tr w:rsidR="00A315D0" w:rsidRPr="00F704D2" w14:paraId="1AE79A7B" w14:textId="77777777" w:rsidTr="00550540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637BF984" w14:textId="77777777" w:rsidR="00A315D0" w:rsidRDefault="00A315D0" w:rsidP="00550540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262032BE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C476B2E" w14:textId="1690EA58" w:rsidR="00A315D0" w:rsidRPr="00D232BB" w:rsidRDefault="002759C7" w:rsidP="00550540">
            <w:pPr>
              <w:spacing w:after="20" w:line="240" w:lineRule="auto"/>
              <w:jc w:val="left"/>
              <w:rPr>
                <w:rFonts w:cs="Arial"/>
                <w:bCs/>
              </w:rPr>
            </w:pPr>
            <w:r>
              <w:rPr>
                <w:b/>
              </w:rPr>
              <w:t>Graf č. </w:t>
            </w:r>
            <w:proofErr w:type="gramStart"/>
            <w:r>
              <w:rPr>
                <w:b/>
              </w:rPr>
              <w:t>18</w:t>
            </w:r>
            <w:r w:rsidR="00A315D0" w:rsidRPr="00D232BB">
              <w:rPr>
                <w:b/>
              </w:rPr>
              <w:t xml:space="preserve">  </w:t>
            </w:r>
            <w:r w:rsidR="00A315D0">
              <w:rPr>
                <w:rFonts w:cs="Arial"/>
                <w:b/>
                <w:bCs/>
              </w:rPr>
              <w:t>Vybrané</w:t>
            </w:r>
            <w:proofErr w:type="gramEnd"/>
            <w:r w:rsidR="00A315D0">
              <w:rPr>
                <w:rFonts w:cs="Arial"/>
                <w:b/>
                <w:bCs/>
              </w:rPr>
              <w:t xml:space="preserve"> výdaje státního rozpočtu v rámci 1. čtvrtletí</w:t>
            </w:r>
          </w:p>
        </w:tc>
      </w:tr>
      <w:tr w:rsidR="00A315D0" w14:paraId="682D2BAE" w14:textId="77777777" w:rsidTr="0055054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421E2132" w14:textId="77777777" w:rsidR="00A315D0" w:rsidRDefault="00A315D0" w:rsidP="00550540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18EC6411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3FC79F0A" w14:textId="77777777" w:rsidR="00A315D0" w:rsidRPr="0067514E" w:rsidRDefault="00A315D0" w:rsidP="00550540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6D3685A1" wp14:editId="5FB153DE">
                  <wp:extent cx="4752230" cy="3533034"/>
                  <wp:effectExtent l="0" t="0" r="0" b="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315D0" w:rsidRPr="00343AC1" w14:paraId="67CEB4B8" w14:textId="77777777" w:rsidTr="00CA79E2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27F1A561" w14:textId="77777777" w:rsidR="00A315D0" w:rsidRDefault="00A315D0" w:rsidP="00550540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7C6234AE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E8BEB20" w14:textId="77777777" w:rsidR="00A315D0" w:rsidRPr="008F2BE2" w:rsidRDefault="00A315D0" w:rsidP="00550540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*Pokrývají výdaje na platy v organizačních složkách státu. Nezahrnují například mzdové výdaje na regionální školství.</w:t>
            </w:r>
          </w:p>
          <w:p w14:paraId="38C80477" w14:textId="77777777" w:rsidR="00A315D0" w:rsidRPr="008F2BE2" w:rsidRDefault="00A315D0" w:rsidP="00550540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**Zahrnuje i dávky pěstounské péče.</w:t>
            </w:r>
          </w:p>
          <w:p w14:paraId="6C601AE6" w14:textId="77777777" w:rsidR="00A315D0" w:rsidRPr="008F2BE2" w:rsidRDefault="00A315D0" w:rsidP="00550540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***Zahrnují dávky pomoci v hmotné nouzi, dávky osobám se zdravotním postižením, příspěvek na péči dle zákona o soc. službách.</w:t>
            </w:r>
            <w:r>
              <w:rPr>
                <w:spacing w:val="-4"/>
                <w:sz w:val="14"/>
                <w:szCs w:val="14"/>
              </w:rPr>
              <w:t xml:space="preserve"> Jsou zde obsaženy i dávky </w:t>
            </w:r>
            <w:r w:rsidRPr="00FB6649">
              <w:rPr>
                <w:spacing w:val="-4"/>
                <w:sz w:val="14"/>
                <w:szCs w:val="14"/>
              </w:rPr>
              <w:t>humanitární pomoc</w:t>
            </w:r>
            <w:r>
              <w:rPr>
                <w:spacing w:val="-4"/>
                <w:sz w:val="14"/>
                <w:szCs w:val="14"/>
              </w:rPr>
              <w:t>i poskytnuté občanům Ukrajiny.</w:t>
            </w:r>
          </w:p>
          <w:p w14:paraId="3DF4E94F" w14:textId="77777777" w:rsidR="00A315D0" w:rsidRPr="008F2BE2" w:rsidRDefault="00A315D0" w:rsidP="00550540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****Obsahují zejména výdaje na nákup služeb, materiálu, energií či ostatních služeb (například výdaje na opravy a udržování).</w:t>
            </w:r>
          </w:p>
          <w:p w14:paraId="77A749FF" w14:textId="77777777" w:rsidR="00A315D0" w:rsidRPr="008F2BE2" w:rsidRDefault="00A315D0" w:rsidP="00550540">
            <w:pPr>
              <w:pStyle w:val="Textpoznpodarou"/>
              <w:spacing w:after="200"/>
              <w:rPr>
                <w:spacing w:val="-4"/>
                <w:sz w:val="14"/>
                <w:szCs w:val="14"/>
              </w:rPr>
            </w:pPr>
            <w:r w:rsidRPr="000F45E7">
              <w:rPr>
                <w:spacing w:val="-4"/>
                <w:sz w:val="14"/>
                <w:szCs w:val="14"/>
              </w:rPr>
              <w:t>Zdroj: MF ČR, MPSV</w:t>
            </w:r>
          </w:p>
        </w:tc>
      </w:tr>
      <w:tr w:rsidR="00A315D0" w:rsidRPr="00343AC1" w14:paraId="2664FDEA" w14:textId="77777777" w:rsidTr="00CA79E2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FF7E50F" w14:textId="77777777" w:rsidR="00A315D0" w:rsidRDefault="00A315D0" w:rsidP="00550540">
            <w:pPr>
              <w:pStyle w:val="Marginlie"/>
            </w:pPr>
            <w:r>
              <w:t>Schodek hospodaření vládních institucí v ČR se loni mírně prohloubil a dosáhl nejhoršího výsledku od roku 2003.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41B7811" w14:textId="77777777" w:rsidR="00A315D0" w:rsidRDefault="00A315D0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CDA1BB1" w14:textId="77777777" w:rsidR="00A315D0" w:rsidRPr="000D151F" w:rsidRDefault="00A315D0" w:rsidP="00550540">
            <w:pPr>
              <w:rPr>
                <w:spacing w:val="-4"/>
              </w:rPr>
            </w:pPr>
            <w:r w:rsidRPr="000F45E7">
              <w:rPr>
                <w:rFonts w:cs="Arial"/>
                <w:color w:val="0D0D0D" w:themeColor="text1" w:themeTint="F2"/>
                <w:spacing w:val="-6"/>
              </w:rPr>
              <w:t>Sektor vládních institucí (VI) v ČR hospodařil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v roce 2021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18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se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schodkem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359 mld. korun, jenž se meziročně prohloubil o 30 mld. Tento deficit dosahoval 5,9 % HDP, šlo tedy o nejhorší výsledek po roce 2003. Podle sezónně očištěného salda hospodaření lze soudit, že míra deficitu se v průběhu loňského roku zlepšovala jen velmi pozvolna. </w:t>
            </w:r>
            <w:r>
              <w:t>Konsolidovaný hrubý dluh sektoru VI vystoupal na konci loňského roku na 2 567 mld. korun a meziročně vzrostl o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t>417 mld. – tedy jen mírně více než během prvního pandemického roku (409 mld.).</w:t>
            </w:r>
          </w:p>
        </w:tc>
      </w:tr>
      <w:tr w:rsidR="007D2783" w:rsidRPr="00343AC1" w14:paraId="05247806" w14:textId="77777777" w:rsidTr="00CA79E2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2A1CDE5" w14:textId="77D78142" w:rsidR="007D2783" w:rsidRDefault="007D2783" w:rsidP="007D2783">
            <w:pPr>
              <w:pStyle w:val="Marginlie"/>
            </w:pPr>
            <w:r>
              <w:t xml:space="preserve">Česko patřilo společně se Slovenskem k jediným státům v EU, v nichž se za loňský rok jak schodek, tak i míra </w:t>
            </w:r>
            <w:r>
              <w:lastRenderedPageBreak/>
              <w:t>zadlužení vládních institucí zhoršily.</w:t>
            </w:r>
          </w:p>
          <w:p w14:paraId="2186CBD2" w14:textId="08E40A96" w:rsidR="007D2783" w:rsidRDefault="007D2783" w:rsidP="007D2783">
            <w:pPr>
              <w:pStyle w:val="Marginlie"/>
            </w:pPr>
          </w:p>
          <w:p w14:paraId="2F76C4A8" w14:textId="270FE0ED" w:rsidR="007D2783" w:rsidRDefault="007D2783" w:rsidP="007D2783">
            <w:pPr>
              <w:pStyle w:val="Marginlie"/>
            </w:pPr>
          </w:p>
          <w:p w14:paraId="2734ABF5" w14:textId="59163E43" w:rsidR="00CA79E2" w:rsidRDefault="00CA79E2" w:rsidP="007D2783">
            <w:pPr>
              <w:pStyle w:val="Marginlie"/>
            </w:pPr>
          </w:p>
          <w:p w14:paraId="455F7FAF" w14:textId="77777777" w:rsidR="00CA79E2" w:rsidRDefault="00CA79E2" w:rsidP="007D2783">
            <w:pPr>
              <w:pStyle w:val="Marginlie"/>
            </w:pPr>
          </w:p>
          <w:p w14:paraId="0EE399B4" w14:textId="108C0843" w:rsidR="007D2783" w:rsidRDefault="007D2783" w:rsidP="007D2783">
            <w:pPr>
              <w:pStyle w:val="Marginlie"/>
            </w:pPr>
            <w:r>
              <w:t>Kumulovaný nárůst zadlužení za oba pandemické roky odpovídal v Česku zhruba průměru zemí EU.</w:t>
            </w:r>
          </w:p>
          <w:p w14:paraId="075ACD09" w14:textId="77777777" w:rsidR="007D2783" w:rsidRDefault="007D2783" w:rsidP="00550540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17896C1" w14:textId="77777777" w:rsidR="007D2783" w:rsidRDefault="007D2783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A3C44B4" w14:textId="6AF74C96" w:rsidR="007D2783" w:rsidRPr="000F45E7" w:rsidRDefault="007D2783" w:rsidP="00550540">
            <w:pPr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 xml:space="preserve">Sektor VI v zemích EU vykázal za celý loňský rok deficit 4,7 % HDP, v eurozóně pak 5,1 % HDP. V prvním pandemickém roce byly ovšem tyto ekonomiky zasaženy silněji než Česko (mj. i vlivem vyššího podílu služeb) a schodky VI v nich dosahovaly kolem 7 % HDP. Vloni dokázal hospodařit s přebytkem jen sektor VI v Dánsku a Lucembursku, ve Švédsku dosáhl zhruba vyrovnaného salda. Naopak nejhlubší deficit (přesahující 7 % HDP) si připsaly např. Itálie, </w:t>
            </w:r>
            <w:r>
              <w:rPr>
                <w:rFonts w:cs="Arial"/>
                <w:color w:val="0D0D0D" w:themeColor="text1" w:themeTint="F2"/>
                <w:spacing w:val="-6"/>
              </w:rPr>
              <w:lastRenderedPageBreak/>
              <w:t>Řecko či Rumunsko. Pouze v Česku, Slovensku, Bulharsku a Litvě se schodek proti roku 2020 prohloubil, výrazně se naproti tomu zlepšil např. v Polsku (z 6,9 % na 1,9 % HDP). Míra zadlužení sektoru VI v EU se po rekordním propadu v roce 2020 za loňský rok mírně snížila (o</w:t>
            </w:r>
            <w:r>
              <w:rPr>
                <w:spacing w:val="-2"/>
                <w:lang w:eastAsia="en-US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1,9 p. b., na 88,1 % HDP). Přestože Česko bylo (společně s např. se Slovenskem či Německem) jedním ze sedmi států Unie, v nichž za loňský rok zadlužení narostlo (z 37,7 % na 41,9 % HDP), patřilo i na konci roku 2021 do šestice unijních členů s nejnižší úrovní dluhu. V úhrnu za oba pandemické roky narostla míra zadlužení sektoru VI v Česku o 11,8 p. b., tedy shodně jako v eurozóně a o něco více než v celé Unii (10,6 p. b.). Největší zhoršení postihly zejména „středomořské“ ekonomiky s významnou rolí cestovního ruchu (např. Španělsko – o</w:t>
            </w:r>
            <w:r>
              <w:rPr>
                <w:spacing w:val="-2"/>
                <w:lang w:eastAsia="en-US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20 p. b.). Jen velmi mírný nárůst zadlužení zaznamenaly naproti tomu některé vesměs menší ekonomiky v severní a severozápadní Evropě (např. Švédsko +1,8 p. b., Dánsko +3,1 p. b.).</w:t>
            </w:r>
          </w:p>
        </w:tc>
      </w:tr>
    </w:tbl>
    <w:p w14:paraId="6DCF6EAF" w14:textId="77777777" w:rsidR="00A315D0" w:rsidRPr="000F45E7" w:rsidRDefault="00A315D0" w:rsidP="00A315D0">
      <w:pPr>
        <w:pStyle w:val="Nadpis11"/>
        <w:spacing w:after="0"/>
        <w:rPr>
          <w:b w:val="0"/>
          <w:sz w:val="2"/>
          <w:szCs w:val="2"/>
        </w:rPr>
      </w:pPr>
    </w:p>
    <w:p w14:paraId="5BAB8EA3" w14:textId="6E38B73A" w:rsidR="000663F0" w:rsidRPr="00E42054" w:rsidRDefault="000663F0" w:rsidP="00A315D0">
      <w:pPr>
        <w:pStyle w:val="Nadpis11"/>
        <w:rPr>
          <w:b w:val="0"/>
          <w:sz w:val="2"/>
          <w:szCs w:val="2"/>
        </w:rPr>
      </w:pPr>
    </w:p>
    <w:sectPr w:rsidR="000663F0" w:rsidRPr="00E42054" w:rsidSect="00D6455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8E2B" w14:textId="77777777" w:rsidR="003541BB" w:rsidRDefault="003541BB" w:rsidP="00E71A58">
      <w:r>
        <w:separator/>
      </w:r>
    </w:p>
  </w:endnote>
  <w:endnote w:type="continuationSeparator" w:id="0">
    <w:p w14:paraId="5A48E032" w14:textId="77777777" w:rsidR="003541BB" w:rsidRDefault="003541B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258B9B72" w:rsidR="00825120" w:rsidRPr="00932443" w:rsidRDefault="0082512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B1CDC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12A52D07" w:rsidR="00825120" w:rsidRPr="00932443" w:rsidRDefault="00825120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B1CDC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2A5" w14:textId="77777777" w:rsidR="003541BB" w:rsidRDefault="003541BB" w:rsidP="00A21B4D">
      <w:pPr>
        <w:spacing w:after="0"/>
      </w:pPr>
      <w:r>
        <w:separator/>
      </w:r>
    </w:p>
  </w:footnote>
  <w:footnote w:type="continuationSeparator" w:id="0">
    <w:p w14:paraId="2D99C1CC" w14:textId="77777777" w:rsidR="003541BB" w:rsidRDefault="003541BB" w:rsidP="00E71A58">
      <w:r>
        <w:continuationSeparator/>
      </w:r>
    </w:p>
  </w:footnote>
  <w:footnote w:id="1">
    <w:p w14:paraId="30EB5885" w14:textId="77777777" w:rsidR="00825120" w:rsidRPr="004A27B5" w:rsidRDefault="00825120" w:rsidP="00A315D0">
      <w:pPr>
        <w:pStyle w:val="Textpoznpodarou"/>
        <w:jc w:val="both"/>
        <w:rPr>
          <w:spacing w:val="-3"/>
          <w:sz w:val="16"/>
          <w:szCs w:val="16"/>
        </w:rPr>
      </w:pPr>
      <w:r w:rsidRPr="004A27B5">
        <w:rPr>
          <w:rStyle w:val="Znakapoznpodarou"/>
          <w:spacing w:val="-3"/>
          <w:sz w:val="16"/>
          <w:szCs w:val="16"/>
        </w:rPr>
        <w:footnoteRef/>
      </w:r>
      <w:r w:rsidRPr="004A27B5">
        <w:rPr>
          <w:spacing w:val="-3"/>
          <w:sz w:val="16"/>
          <w:szCs w:val="16"/>
        </w:rPr>
        <w:t xml:space="preserve"> </w:t>
      </w:r>
      <w:r w:rsidRPr="004A27B5">
        <w:rPr>
          <w:color w:val="0D0D0D" w:themeColor="text1" w:themeTint="F2"/>
          <w:spacing w:val="-3"/>
          <w:sz w:val="16"/>
          <w:szCs w:val="16"/>
        </w:rPr>
        <w:t xml:space="preserve">Pokud není uvedeno jinak, vycházejí všechny údaje týkající se státního rozpočtu </w:t>
      </w:r>
      <w:r w:rsidRPr="004A27B5">
        <w:rPr>
          <w:rFonts w:cs="Arial"/>
          <w:color w:val="0D0D0D" w:themeColor="text1" w:themeTint="F2"/>
          <w:spacing w:val="-3"/>
          <w:sz w:val="16"/>
          <w:szCs w:val="16"/>
        </w:rPr>
        <w:t>z dat Ministerstva financí o pokladním plnění.</w:t>
      </w:r>
    </w:p>
  </w:footnote>
  <w:footnote w:id="2">
    <w:p w14:paraId="4FAFBD3C" w14:textId="77777777" w:rsidR="00825120" w:rsidRPr="00824A5B" w:rsidRDefault="00825120" w:rsidP="00A315D0">
      <w:pPr>
        <w:pStyle w:val="Textpoznpodarou"/>
        <w:rPr>
          <w:sz w:val="16"/>
          <w:szCs w:val="16"/>
        </w:rPr>
      </w:pPr>
      <w:r w:rsidRPr="00824A5B">
        <w:rPr>
          <w:rStyle w:val="Znakapoznpodarou"/>
          <w:sz w:val="16"/>
          <w:szCs w:val="16"/>
        </w:rPr>
        <w:footnoteRef/>
      </w:r>
      <w:r w:rsidRPr="00824A5B">
        <w:rPr>
          <w:sz w:val="16"/>
          <w:szCs w:val="16"/>
        </w:rPr>
        <w:t xml:space="preserve"> Rozpočtové provizorium bylo </w:t>
      </w:r>
      <w:r>
        <w:rPr>
          <w:sz w:val="16"/>
          <w:szCs w:val="16"/>
        </w:rPr>
        <w:t>letos ukončeno 18. března, a to naby</w:t>
      </w:r>
      <w:r w:rsidRPr="00824A5B">
        <w:rPr>
          <w:sz w:val="16"/>
          <w:szCs w:val="16"/>
        </w:rPr>
        <w:t>tím účinnosti zákona o státním rozpočtu ČR na rok 2022.</w:t>
      </w:r>
      <w:r>
        <w:rPr>
          <w:sz w:val="16"/>
          <w:szCs w:val="16"/>
        </w:rPr>
        <w:t xml:space="preserve"> V režimu rozpočtového provizoria hospodařil v minulosti SR v Česku naposledy na počátku let 1999 a 2000.</w:t>
      </w:r>
    </w:p>
  </w:footnote>
  <w:footnote w:id="3">
    <w:p w14:paraId="23FB7540" w14:textId="77777777" w:rsidR="00825120" w:rsidRPr="00824A5B" w:rsidRDefault="00825120" w:rsidP="00A315D0">
      <w:pPr>
        <w:pStyle w:val="Textpoznpodarou"/>
        <w:rPr>
          <w:sz w:val="16"/>
          <w:szCs w:val="16"/>
        </w:rPr>
      </w:pPr>
      <w:r w:rsidRPr="00824A5B">
        <w:rPr>
          <w:rStyle w:val="Znakapoznpodarou"/>
          <w:sz w:val="16"/>
          <w:szCs w:val="16"/>
        </w:rPr>
        <w:footnoteRef/>
      </w:r>
      <w:r w:rsidRPr="00824A5B">
        <w:rPr>
          <w:sz w:val="16"/>
          <w:szCs w:val="16"/>
        </w:rPr>
        <w:t xml:space="preserve"> Toto provizorium znemožnilo využívat mimorozpočtové zdroje – především nároky z nespotřebovaných výdajů z minulých let.</w:t>
      </w:r>
    </w:p>
  </w:footnote>
  <w:footnote w:id="4">
    <w:p w14:paraId="00CDD28C" w14:textId="77777777" w:rsidR="00825120" w:rsidRPr="002438F2" w:rsidRDefault="00825120" w:rsidP="00A315D0">
      <w:pPr>
        <w:pStyle w:val="Textpoznpodarou"/>
        <w:rPr>
          <w:sz w:val="16"/>
          <w:szCs w:val="16"/>
        </w:rPr>
      </w:pPr>
      <w:r w:rsidRPr="002438F2">
        <w:rPr>
          <w:rStyle w:val="Znakapoznpodarou"/>
          <w:sz w:val="16"/>
          <w:szCs w:val="16"/>
        </w:rPr>
        <w:footnoteRef/>
      </w:r>
      <w:r w:rsidRPr="002438F2">
        <w:rPr>
          <w:sz w:val="16"/>
          <w:szCs w:val="16"/>
        </w:rPr>
        <w:t xml:space="preserve"> Schválený SR počítá letos ve srovnání s dosaženým výsledkem za celý loňský rok s růstem těchto příjmů o 40 % (na 193 mld. korun).</w:t>
      </w:r>
    </w:p>
  </w:footnote>
  <w:footnote w:id="5">
    <w:p w14:paraId="73130479" w14:textId="77777777" w:rsidR="00825120" w:rsidRPr="00D64982" w:rsidRDefault="00825120" w:rsidP="00A315D0">
      <w:pPr>
        <w:pStyle w:val="Textpoznpodarou"/>
        <w:rPr>
          <w:sz w:val="16"/>
          <w:szCs w:val="16"/>
        </w:rPr>
      </w:pPr>
      <w:r w:rsidRPr="00D64982">
        <w:rPr>
          <w:rStyle w:val="Znakapoznpodarou"/>
          <w:sz w:val="16"/>
          <w:szCs w:val="16"/>
        </w:rPr>
        <w:footnoteRef/>
      </w:r>
      <w:r w:rsidRPr="00D64982">
        <w:rPr>
          <w:sz w:val="16"/>
          <w:szCs w:val="16"/>
        </w:rPr>
        <w:t xml:space="preserve"> Při zahrnutí výběru pojistného na sociální zabezpečení celostátní daňové inkaso v 1. čtvrtletí 2022 již ale předpandemickou úroveň mírně překonalo (o 1,4 %).</w:t>
      </w:r>
    </w:p>
  </w:footnote>
  <w:footnote w:id="6">
    <w:p w14:paraId="3B9F77F7" w14:textId="77777777" w:rsidR="00825120" w:rsidRPr="00FB339C" w:rsidRDefault="00825120" w:rsidP="00A315D0">
      <w:pPr>
        <w:pStyle w:val="Textpoznpodarou"/>
        <w:rPr>
          <w:sz w:val="16"/>
          <w:szCs w:val="16"/>
        </w:rPr>
      </w:pPr>
      <w:r w:rsidRPr="00FB339C">
        <w:rPr>
          <w:rStyle w:val="Znakapoznpodarou"/>
          <w:sz w:val="16"/>
          <w:szCs w:val="16"/>
        </w:rPr>
        <w:footnoteRef/>
      </w:r>
      <w:r w:rsidRPr="00FB339C">
        <w:rPr>
          <w:sz w:val="16"/>
          <w:szCs w:val="16"/>
        </w:rPr>
        <w:t xml:space="preserve"> Ve 4. čtvrtletí 2021 vzrostly celkové výdaje na konečnou spotřebu meziročně nominálně o 10,4 %, z toho u domácností o 14,7 %. </w:t>
      </w:r>
    </w:p>
  </w:footnote>
  <w:footnote w:id="7">
    <w:p w14:paraId="6FCA1439" w14:textId="77777777" w:rsidR="00825120" w:rsidRPr="00271248" w:rsidRDefault="00825120" w:rsidP="00A315D0">
      <w:pPr>
        <w:pStyle w:val="Textpoznpodarou"/>
        <w:rPr>
          <w:sz w:val="16"/>
          <w:szCs w:val="16"/>
        </w:rPr>
      </w:pPr>
      <w:r w:rsidRPr="00271248">
        <w:rPr>
          <w:rStyle w:val="Znakapoznpodarou"/>
          <w:sz w:val="16"/>
          <w:szCs w:val="16"/>
        </w:rPr>
        <w:footnoteRef/>
      </w:r>
      <w:r w:rsidRPr="00271248">
        <w:rPr>
          <w:sz w:val="16"/>
          <w:szCs w:val="16"/>
        </w:rPr>
        <w:t xml:space="preserve"> Úhrn měsíčních výdajů ve všech organi</w:t>
      </w:r>
      <w:r>
        <w:rPr>
          <w:sz w:val="16"/>
          <w:szCs w:val="16"/>
        </w:rPr>
        <w:t>začních složkách státu tak mohl</w:t>
      </w:r>
      <w:r w:rsidRPr="00271248">
        <w:rPr>
          <w:sz w:val="16"/>
          <w:szCs w:val="16"/>
        </w:rPr>
        <w:t xml:space="preserve"> dosáhnout maximálně jedné dvanáctiny celkových výdajů SR stanovených </w:t>
      </w:r>
      <w:r>
        <w:rPr>
          <w:sz w:val="16"/>
          <w:szCs w:val="16"/>
        </w:rPr>
        <w:t xml:space="preserve">podle schváleného </w:t>
      </w:r>
      <w:r w:rsidRPr="00271248">
        <w:rPr>
          <w:sz w:val="16"/>
          <w:szCs w:val="16"/>
        </w:rPr>
        <w:t>zákona o SR z roku 2021.</w:t>
      </w:r>
    </w:p>
  </w:footnote>
  <w:footnote w:id="8">
    <w:p w14:paraId="3676B236" w14:textId="77777777" w:rsidR="00825120" w:rsidRPr="00FB281B" w:rsidRDefault="00825120" w:rsidP="00A315D0">
      <w:pPr>
        <w:pStyle w:val="Textpoznpodarou"/>
        <w:rPr>
          <w:sz w:val="16"/>
          <w:szCs w:val="16"/>
        </w:rPr>
      </w:pPr>
      <w:r w:rsidRPr="00FB281B">
        <w:rPr>
          <w:rStyle w:val="Znakapoznpodarou"/>
          <w:sz w:val="16"/>
          <w:szCs w:val="16"/>
        </w:rPr>
        <w:footnoteRef/>
      </w:r>
      <w:r w:rsidRPr="00FB281B">
        <w:rPr>
          <w:sz w:val="16"/>
          <w:szCs w:val="16"/>
        </w:rPr>
        <w:t xml:space="preserve"> Výdaje na tyto programy byly ve srovnání s 1. čtvrtletí</w:t>
      </w:r>
      <w:r>
        <w:rPr>
          <w:sz w:val="16"/>
          <w:szCs w:val="16"/>
        </w:rPr>
        <w:t>m</w:t>
      </w:r>
      <w:r w:rsidRPr="00FB281B">
        <w:rPr>
          <w:sz w:val="16"/>
          <w:szCs w:val="16"/>
        </w:rPr>
        <w:t xml:space="preserve"> 2021 nižší o více než 80 %, což představovalo úsporu ve výši 19 mld. korun.</w:t>
      </w:r>
    </w:p>
  </w:footnote>
  <w:footnote w:id="9">
    <w:p w14:paraId="029FA3DA" w14:textId="77777777" w:rsidR="00825120" w:rsidRPr="00B05336" w:rsidRDefault="00825120" w:rsidP="00A315D0">
      <w:pPr>
        <w:pStyle w:val="Textpoznpodarou"/>
        <w:rPr>
          <w:sz w:val="16"/>
          <w:szCs w:val="16"/>
        </w:rPr>
      </w:pPr>
      <w:r w:rsidRPr="00B05336">
        <w:rPr>
          <w:rStyle w:val="Znakapoznpodarou"/>
          <w:sz w:val="16"/>
          <w:szCs w:val="16"/>
        </w:rPr>
        <w:footnoteRef/>
      </w:r>
      <w:r w:rsidRPr="00B05336">
        <w:rPr>
          <w:sz w:val="16"/>
          <w:szCs w:val="16"/>
        </w:rPr>
        <w:t xml:space="preserve"> Státnímu fondu dopravní infrastruktury nebyly v 1. čtvrtletí 2022 převedeny žádné prostředky (o rok dříve šlo o 4,5 mld. korun), neboť své letošní výdaje </w:t>
      </w:r>
      <w:r>
        <w:rPr>
          <w:sz w:val="16"/>
          <w:szCs w:val="16"/>
        </w:rPr>
        <w:t>dokázal zatím pokrýt</w:t>
      </w:r>
      <w:r w:rsidRPr="00B05336">
        <w:rPr>
          <w:sz w:val="16"/>
          <w:szCs w:val="16"/>
        </w:rPr>
        <w:t xml:space="preserve"> z jiných zdrojů (např. vyšším výběrem mýtného).</w:t>
      </w:r>
    </w:p>
  </w:footnote>
  <w:footnote w:id="10">
    <w:p w14:paraId="415D9AB1" w14:textId="77777777" w:rsidR="00825120" w:rsidRPr="00370434" w:rsidRDefault="00825120" w:rsidP="00A315D0">
      <w:pPr>
        <w:pStyle w:val="Textpoznpodarou"/>
        <w:rPr>
          <w:sz w:val="16"/>
          <w:szCs w:val="16"/>
        </w:rPr>
      </w:pPr>
      <w:r w:rsidRPr="00370434">
        <w:rPr>
          <w:rStyle w:val="Znakapoznpodarou"/>
          <w:sz w:val="16"/>
          <w:szCs w:val="16"/>
        </w:rPr>
        <w:footnoteRef/>
      </w:r>
      <w:r w:rsidRPr="00370434">
        <w:rPr>
          <w:sz w:val="16"/>
          <w:szCs w:val="16"/>
        </w:rPr>
        <w:t xml:space="preserve"> Platby v 1. čtvrtletí 2022 dosáhly 13,9 mld. korun a odpovídaly stavu z počátku roku 2019. Naopak v loňském </w:t>
      </w:r>
      <w:r>
        <w:rPr>
          <w:sz w:val="16"/>
          <w:szCs w:val="16"/>
        </w:rPr>
        <w:t xml:space="preserve">prvním </w:t>
      </w:r>
      <w:r w:rsidRPr="00370434">
        <w:rPr>
          <w:sz w:val="16"/>
          <w:szCs w:val="16"/>
        </w:rPr>
        <w:t>čtvrtletí byly dočasně zvýšeny v souladu s požadavkem Evropské komise na jejic</w:t>
      </w:r>
      <w:r>
        <w:rPr>
          <w:sz w:val="16"/>
          <w:szCs w:val="16"/>
        </w:rPr>
        <w:t>h zaplacení v </w:t>
      </w:r>
      <w:proofErr w:type="spellStart"/>
      <w:r>
        <w:rPr>
          <w:sz w:val="16"/>
          <w:szCs w:val="16"/>
        </w:rPr>
        <w:t>nadalikvotní</w:t>
      </w:r>
      <w:proofErr w:type="spellEnd"/>
      <w:r>
        <w:rPr>
          <w:sz w:val="16"/>
          <w:szCs w:val="16"/>
        </w:rPr>
        <w:t xml:space="preserve"> výši</w:t>
      </w:r>
      <w:r w:rsidRPr="00370434">
        <w:rPr>
          <w:sz w:val="16"/>
          <w:szCs w:val="16"/>
        </w:rPr>
        <w:t>.</w:t>
      </w:r>
    </w:p>
  </w:footnote>
  <w:footnote w:id="11">
    <w:p w14:paraId="3F04507E" w14:textId="77777777" w:rsidR="00825120" w:rsidRPr="00A06BC9" w:rsidRDefault="00825120" w:rsidP="00A315D0">
      <w:pPr>
        <w:pStyle w:val="Textpoznpodarou"/>
        <w:rPr>
          <w:sz w:val="16"/>
          <w:szCs w:val="16"/>
        </w:rPr>
      </w:pPr>
      <w:r w:rsidRPr="00A06BC9">
        <w:rPr>
          <w:rStyle w:val="Znakapoznpodarou"/>
          <w:sz w:val="16"/>
          <w:szCs w:val="16"/>
        </w:rPr>
        <w:footnoteRef/>
      </w:r>
      <w:r w:rsidRPr="00A06BC9">
        <w:rPr>
          <w:sz w:val="16"/>
          <w:szCs w:val="16"/>
        </w:rPr>
        <w:t xml:space="preserve"> </w:t>
      </w:r>
      <w:r w:rsidRPr="00A06BC9">
        <w:rPr>
          <w:spacing w:val="-5"/>
          <w:sz w:val="16"/>
          <w:szCs w:val="16"/>
        </w:rPr>
        <w:t>Saldo nemocenského pojištění, vyjadřující rozdíl mezi příjmy a výdaji v této oblasti, se dle ú</w:t>
      </w:r>
      <w:r>
        <w:rPr>
          <w:spacing w:val="-5"/>
          <w:sz w:val="16"/>
          <w:szCs w:val="16"/>
        </w:rPr>
        <w:t>dajů MPSV v 1. čtvrtletí 2022</w:t>
      </w:r>
      <w:r w:rsidRPr="00A06BC9">
        <w:rPr>
          <w:spacing w:val="-5"/>
          <w:sz w:val="16"/>
          <w:szCs w:val="16"/>
        </w:rPr>
        <w:t xml:space="preserve"> mezir</w:t>
      </w:r>
      <w:r>
        <w:rPr>
          <w:spacing w:val="-5"/>
          <w:sz w:val="16"/>
          <w:szCs w:val="16"/>
        </w:rPr>
        <w:t>očně zlepšilo jen mírně (na -4,1</w:t>
      </w:r>
      <w:r w:rsidRPr="00A06BC9">
        <w:rPr>
          <w:spacing w:val="-5"/>
          <w:sz w:val="16"/>
          <w:szCs w:val="16"/>
        </w:rPr>
        <w:t xml:space="preserve"> mld. korun) a nevrátilo se tak dosud na úroveň před pandemií (až do roku 2018 bylo vyrovnané či vykazovalo mírně přebytky).</w:t>
      </w:r>
    </w:p>
  </w:footnote>
  <w:footnote w:id="12">
    <w:p w14:paraId="2390DA9A" w14:textId="77777777" w:rsidR="00825120" w:rsidRPr="004437AE" w:rsidRDefault="00825120" w:rsidP="00A315D0">
      <w:pPr>
        <w:pStyle w:val="Textpoznpodarou"/>
        <w:rPr>
          <w:sz w:val="16"/>
          <w:szCs w:val="16"/>
        </w:rPr>
      </w:pPr>
      <w:r w:rsidRPr="004437AE">
        <w:rPr>
          <w:rStyle w:val="Znakapoznpodarou"/>
          <w:sz w:val="16"/>
          <w:szCs w:val="16"/>
        </w:rPr>
        <w:footnoteRef/>
      </w:r>
      <w:r w:rsidRPr="004437AE">
        <w:rPr>
          <w:sz w:val="16"/>
          <w:szCs w:val="16"/>
        </w:rPr>
        <w:t xml:space="preserve"> Od dubna 2021 se zvýšila hranice rozhodného příjmu pro nárok na tuto dávku (z 2,7 na 3,4násob</w:t>
      </w:r>
      <w:r>
        <w:rPr>
          <w:sz w:val="16"/>
          <w:szCs w:val="16"/>
        </w:rPr>
        <w:t>e</w:t>
      </w:r>
      <w:r w:rsidRPr="004437AE">
        <w:rPr>
          <w:sz w:val="16"/>
          <w:szCs w:val="16"/>
        </w:rPr>
        <w:t>k životního minima), plošně vzrostly i částky přídavku (+26 %) a více bylo vyplaceno např. i rodinám aktivně zapojeným na pracovním trhu.</w:t>
      </w:r>
    </w:p>
  </w:footnote>
  <w:footnote w:id="13">
    <w:p w14:paraId="071EFDD8" w14:textId="77777777" w:rsidR="00825120" w:rsidRPr="00EC2E06" w:rsidRDefault="00825120" w:rsidP="00A315D0">
      <w:pPr>
        <w:pStyle w:val="Textpoznpodarou"/>
        <w:jc w:val="both"/>
        <w:rPr>
          <w:spacing w:val="-4"/>
        </w:rPr>
      </w:pPr>
      <w:r w:rsidRPr="00EC2E06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Je vyjádřen</w:t>
      </w:r>
      <w:r w:rsidRPr="00EC2E06">
        <w:rPr>
          <w:spacing w:val="-4"/>
          <w:sz w:val="16"/>
          <w:szCs w:val="16"/>
        </w:rPr>
        <w:t xml:space="preserve"> </w:t>
      </w:r>
      <w:r w:rsidRPr="00EC2E06">
        <w:rPr>
          <w:rFonts w:cs="Arial"/>
          <w:color w:val="000000" w:themeColor="text1"/>
          <w:spacing w:val="-4"/>
          <w:sz w:val="16"/>
          <w:szCs w:val="16"/>
        </w:rPr>
        <w:t xml:space="preserve">rozdílem mezi příjmy a výdaji na důchody ze SR. Ve výdajích nejsou zahrnuty náklady na správu systému důchodového </w:t>
      </w:r>
      <w:r w:rsidRPr="00EC2E06">
        <w:rPr>
          <w:rFonts w:cs="Arial"/>
          <w:color w:val="0D0D0D" w:themeColor="text1" w:themeTint="F2"/>
          <w:spacing w:val="-4"/>
          <w:sz w:val="16"/>
          <w:szCs w:val="16"/>
        </w:rPr>
        <w:t>pojištění.</w:t>
      </w:r>
    </w:p>
  </w:footnote>
  <w:footnote w:id="14">
    <w:p w14:paraId="4AFD0E47" w14:textId="77777777" w:rsidR="00825120" w:rsidRPr="003C31FB" w:rsidRDefault="00825120" w:rsidP="00A315D0">
      <w:pPr>
        <w:pStyle w:val="Textpoznpodarou"/>
        <w:rPr>
          <w:sz w:val="16"/>
          <w:szCs w:val="16"/>
        </w:rPr>
      </w:pPr>
      <w:r w:rsidRPr="003C31FB">
        <w:rPr>
          <w:rStyle w:val="Znakapoznpodarou"/>
          <w:sz w:val="16"/>
          <w:szCs w:val="16"/>
        </w:rPr>
        <w:footnoteRef/>
      </w:r>
      <w:r w:rsidRPr="003C31FB">
        <w:rPr>
          <w:sz w:val="16"/>
          <w:szCs w:val="16"/>
        </w:rPr>
        <w:t xml:space="preserve"> Měsíční platby státu se od 1. ledna 2022 zvýšily z 1767 korun na 1967 korun na osobu. Podle později schválené novely zákony o veřejném zdravotním pojištění však doj</w:t>
      </w:r>
      <w:r>
        <w:rPr>
          <w:sz w:val="16"/>
          <w:szCs w:val="16"/>
        </w:rPr>
        <w:t>d</w:t>
      </w:r>
      <w:r w:rsidRPr="003C31FB">
        <w:rPr>
          <w:sz w:val="16"/>
          <w:szCs w:val="16"/>
        </w:rPr>
        <w:t>e o</w:t>
      </w:r>
      <w:r>
        <w:rPr>
          <w:sz w:val="16"/>
          <w:szCs w:val="16"/>
        </w:rPr>
        <w:t>d</w:t>
      </w:r>
      <w:r w:rsidRPr="003C31FB">
        <w:rPr>
          <w:sz w:val="16"/>
          <w:szCs w:val="16"/>
        </w:rPr>
        <w:t xml:space="preserve"> 1. července 2022 k poklesu platby na </w:t>
      </w:r>
      <w:r>
        <w:rPr>
          <w:sz w:val="16"/>
          <w:szCs w:val="16"/>
        </w:rPr>
        <w:t>1 567 korun</w:t>
      </w:r>
      <w:r w:rsidRPr="003C31FB">
        <w:rPr>
          <w:sz w:val="16"/>
          <w:szCs w:val="16"/>
        </w:rPr>
        <w:t>. Průměrná měsíční platba za celý rok 2022</w:t>
      </w:r>
      <w:r>
        <w:rPr>
          <w:sz w:val="16"/>
          <w:szCs w:val="16"/>
        </w:rPr>
        <w:t xml:space="preserve"> dosáhne </w:t>
      </w:r>
      <w:r w:rsidRPr="003C31FB">
        <w:rPr>
          <w:sz w:val="16"/>
          <w:szCs w:val="16"/>
        </w:rPr>
        <w:t>1 767 korun a zůstane tak zachována na úrovni roku 2021.</w:t>
      </w:r>
    </w:p>
  </w:footnote>
  <w:footnote w:id="15">
    <w:p w14:paraId="69198638" w14:textId="77777777" w:rsidR="00825120" w:rsidRPr="00B97ABC" w:rsidRDefault="00825120" w:rsidP="00A315D0">
      <w:pPr>
        <w:pStyle w:val="Textpoznpodarou"/>
        <w:rPr>
          <w:sz w:val="16"/>
          <w:szCs w:val="16"/>
        </w:rPr>
      </w:pPr>
      <w:r w:rsidRPr="00B97ABC">
        <w:rPr>
          <w:rStyle w:val="Znakapoznpodarou"/>
          <w:sz w:val="16"/>
          <w:szCs w:val="16"/>
        </w:rPr>
        <w:footnoteRef/>
      </w:r>
      <w:r w:rsidRPr="00B97ABC">
        <w:rPr>
          <w:sz w:val="16"/>
          <w:szCs w:val="16"/>
        </w:rPr>
        <w:t xml:space="preserve"> To o</w:t>
      </w:r>
      <w:r w:rsidRPr="00B97ABC">
        <w:rPr>
          <w:spacing w:val="-6"/>
          <w:sz w:val="16"/>
          <w:szCs w:val="16"/>
        </w:rPr>
        <w:t>dpovídá saldu rozpočtové kapitoly Státní dluh.</w:t>
      </w:r>
    </w:p>
  </w:footnote>
  <w:footnote w:id="16">
    <w:p w14:paraId="133EF6AD" w14:textId="77777777" w:rsidR="00825120" w:rsidRPr="00B97ABC" w:rsidRDefault="00825120" w:rsidP="00A315D0">
      <w:pPr>
        <w:pStyle w:val="Textpoznpodarou"/>
        <w:rPr>
          <w:sz w:val="16"/>
          <w:szCs w:val="16"/>
        </w:rPr>
      </w:pPr>
      <w:r w:rsidRPr="00B97ABC">
        <w:rPr>
          <w:rStyle w:val="Znakapoznpodarou"/>
          <w:sz w:val="16"/>
          <w:szCs w:val="16"/>
        </w:rPr>
        <w:footnoteRef/>
      </w:r>
      <w:r w:rsidRPr="00B97ABC">
        <w:rPr>
          <w:sz w:val="16"/>
          <w:szCs w:val="16"/>
        </w:rPr>
        <w:t xml:space="preserve"> Zahrnuje jak střednědobé a dlouhodobé státní dluhopisy umístěné na domácím trhu (ve výši 93,0 m</w:t>
      </w:r>
      <w:r>
        <w:rPr>
          <w:sz w:val="16"/>
          <w:szCs w:val="16"/>
        </w:rPr>
        <w:t>ld. Kč s průměrným výnosem 3,42</w:t>
      </w:r>
      <w:r w:rsidRPr="00A06BC9">
        <w:rPr>
          <w:spacing w:val="-5"/>
          <w:sz w:val="16"/>
          <w:szCs w:val="16"/>
        </w:rPr>
        <w:t> </w:t>
      </w:r>
      <w:r w:rsidRPr="00B97ABC">
        <w:rPr>
          <w:sz w:val="16"/>
          <w:szCs w:val="16"/>
        </w:rPr>
        <w:t>% p. a. a s průměrnou dobou do splatnosti 11,2 roku), tak statní dluhopisy pro občany ČR, které byly na počátku ledna prodány za</w:t>
      </w:r>
      <w:r>
        <w:rPr>
          <w:sz w:val="16"/>
          <w:szCs w:val="16"/>
        </w:rPr>
        <w:t xml:space="preserve"> 41,1 mld. korun (rekordní hodnota</w:t>
      </w:r>
      <w:r w:rsidRPr="00B97ABC">
        <w:rPr>
          <w:sz w:val="16"/>
          <w:szCs w:val="16"/>
        </w:rPr>
        <w:t xml:space="preserve"> v historii všech vydaných úpisů počínaje rokem 2011).</w:t>
      </w:r>
    </w:p>
  </w:footnote>
  <w:footnote w:id="17">
    <w:p w14:paraId="3E765540" w14:textId="4D5DF18A" w:rsidR="00825120" w:rsidRPr="000F378E" w:rsidRDefault="00825120">
      <w:pPr>
        <w:pStyle w:val="Textpoznpodarou"/>
        <w:rPr>
          <w:sz w:val="16"/>
          <w:szCs w:val="16"/>
        </w:rPr>
      </w:pPr>
      <w:r w:rsidRPr="000F378E">
        <w:rPr>
          <w:rStyle w:val="Znakapoznpodarou"/>
          <w:sz w:val="16"/>
          <w:szCs w:val="16"/>
        </w:rPr>
        <w:footnoteRef/>
      </w:r>
      <w:r w:rsidRPr="000F378E">
        <w:rPr>
          <w:sz w:val="16"/>
          <w:szCs w:val="16"/>
        </w:rPr>
        <w:t xml:space="preserve"> Jde o dluh denominovaný v zahraniční měně.</w:t>
      </w:r>
    </w:p>
  </w:footnote>
  <w:footnote w:id="18">
    <w:p w14:paraId="718A06A3" w14:textId="77777777" w:rsidR="00825120" w:rsidRPr="008C2F4A" w:rsidRDefault="00825120" w:rsidP="00A315D0">
      <w:pPr>
        <w:pStyle w:val="Textpoznpodarou"/>
        <w:rPr>
          <w:spacing w:val="-4"/>
          <w:sz w:val="16"/>
          <w:szCs w:val="16"/>
        </w:rPr>
      </w:pPr>
      <w:r w:rsidRPr="008C2F4A">
        <w:rPr>
          <w:rStyle w:val="Znakapoznpodarou"/>
          <w:sz w:val="16"/>
          <w:szCs w:val="16"/>
        </w:rPr>
        <w:footnoteRef/>
      </w:r>
      <w:r w:rsidRPr="008C2F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Údaje o hospodaření vládních institucí za 1. čtvrtletí 2022 zveřejní ČSÚ 1. července 2022, </w:t>
      </w:r>
      <w:proofErr w:type="spellStart"/>
      <w:r>
        <w:rPr>
          <w:sz w:val="16"/>
          <w:szCs w:val="16"/>
        </w:rPr>
        <w:t>Eurostat</w:t>
      </w:r>
      <w:proofErr w:type="spellEnd"/>
      <w:r>
        <w:rPr>
          <w:sz w:val="16"/>
          <w:szCs w:val="16"/>
        </w:rPr>
        <w:t xml:space="preserve"> pak 21. července 2022. Detailnější zhodnocení vývoje za rok 2021 a zejména jeho posledního čtvrtletí je obsaženo v publikaci Analýza sektorových účtů: </w:t>
      </w:r>
      <w:hyperlink r:id="rId1" w:history="1">
        <w:r w:rsidRPr="00237713">
          <w:rPr>
            <w:rStyle w:val="Hypertextovodkaz"/>
            <w:sz w:val="16"/>
            <w:szCs w:val="16"/>
          </w:rPr>
          <w:t>https://www.czso.cz/csu/czso/cri/analyza-ctvrtletnich-sektorovych-uctu-4-ctvrtleti-2021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825120" w:rsidRDefault="00825120" w:rsidP="00937AE2">
    <w:pPr>
      <w:pStyle w:val="Zhlav"/>
    </w:pPr>
    <w:r>
      <w:t>Vývoj ekonomiky České republiky</w:t>
    </w:r>
  </w:p>
  <w:p w14:paraId="3E881AB3" w14:textId="77777777" w:rsidR="00825120" w:rsidRPr="006F5416" w:rsidRDefault="00825120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825120" w:rsidRDefault="00825120" w:rsidP="00937AE2">
    <w:pPr>
      <w:pStyle w:val="Zhlav"/>
    </w:pPr>
    <w:r>
      <w:t>Vývoj ekonomiky České republiky</w:t>
    </w:r>
  </w:p>
  <w:p w14:paraId="57266714" w14:textId="77777777" w:rsidR="00825120" w:rsidRPr="006F5416" w:rsidRDefault="00825120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756821">
    <w:abstractNumId w:val="24"/>
  </w:num>
  <w:num w:numId="2" w16cid:durableId="2128891545">
    <w:abstractNumId w:val="8"/>
  </w:num>
  <w:num w:numId="3" w16cid:durableId="1689477642">
    <w:abstractNumId w:val="3"/>
  </w:num>
  <w:num w:numId="4" w16cid:durableId="1804039572">
    <w:abstractNumId w:val="2"/>
  </w:num>
  <w:num w:numId="5" w16cid:durableId="1613583959">
    <w:abstractNumId w:val="1"/>
  </w:num>
  <w:num w:numId="6" w16cid:durableId="16590817">
    <w:abstractNumId w:val="0"/>
  </w:num>
  <w:num w:numId="7" w16cid:durableId="289477326">
    <w:abstractNumId w:val="9"/>
  </w:num>
  <w:num w:numId="8" w16cid:durableId="202140121">
    <w:abstractNumId w:val="7"/>
  </w:num>
  <w:num w:numId="9" w16cid:durableId="810100706">
    <w:abstractNumId w:val="6"/>
  </w:num>
  <w:num w:numId="10" w16cid:durableId="1002195951">
    <w:abstractNumId w:val="5"/>
  </w:num>
  <w:num w:numId="11" w16cid:durableId="270630198">
    <w:abstractNumId w:val="4"/>
  </w:num>
  <w:num w:numId="12" w16cid:durableId="559706410">
    <w:abstractNumId w:val="14"/>
  </w:num>
  <w:num w:numId="13" w16cid:durableId="500782980">
    <w:abstractNumId w:val="26"/>
  </w:num>
  <w:num w:numId="14" w16cid:durableId="1388721509">
    <w:abstractNumId w:val="13"/>
  </w:num>
  <w:num w:numId="15" w16cid:durableId="583422021">
    <w:abstractNumId w:val="19"/>
  </w:num>
  <w:num w:numId="16" w16cid:durableId="1698894308">
    <w:abstractNumId w:val="15"/>
  </w:num>
  <w:num w:numId="17" w16cid:durableId="764305198">
    <w:abstractNumId w:val="27"/>
  </w:num>
  <w:num w:numId="18" w16cid:durableId="998967631">
    <w:abstractNumId w:val="20"/>
  </w:num>
  <w:num w:numId="19" w16cid:durableId="937182363">
    <w:abstractNumId w:val="28"/>
  </w:num>
  <w:num w:numId="20" w16cid:durableId="1289119499">
    <w:abstractNumId w:val="29"/>
  </w:num>
  <w:num w:numId="21" w16cid:durableId="1520119771">
    <w:abstractNumId w:val="25"/>
  </w:num>
  <w:num w:numId="22" w16cid:durableId="1785418426">
    <w:abstractNumId w:val="18"/>
  </w:num>
  <w:num w:numId="23" w16cid:durableId="1335763447">
    <w:abstractNumId w:val="16"/>
  </w:num>
  <w:num w:numId="24" w16cid:durableId="926689859">
    <w:abstractNumId w:val="17"/>
  </w:num>
  <w:num w:numId="25" w16cid:durableId="878979949">
    <w:abstractNumId w:val="12"/>
  </w:num>
  <w:num w:numId="26" w16cid:durableId="1960405582">
    <w:abstractNumId w:val="22"/>
  </w:num>
  <w:num w:numId="27" w16cid:durableId="877012024">
    <w:abstractNumId w:val="21"/>
  </w:num>
  <w:num w:numId="28" w16cid:durableId="1361276676">
    <w:abstractNumId w:val="10"/>
  </w:num>
  <w:num w:numId="29" w16cid:durableId="890993651">
    <w:abstractNumId w:val="29"/>
  </w:num>
  <w:num w:numId="30" w16cid:durableId="1708287588">
    <w:abstractNumId w:val="23"/>
  </w:num>
  <w:num w:numId="31" w16cid:durableId="910695841">
    <w:abstractNumId w:val="11"/>
  </w:num>
  <w:num w:numId="32" w16cid:durableId="479735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5CEB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5C36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55A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cri/analyza-ctvrtletnich-sektorovych-uctu-4-ctvrtleti-20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2\Q-Makro\Rozpo&#269;et\Grafy-st&#225;tn&#237;%20rozpo&#269;et-1q-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2\Q-Makro\Rozpo&#269;et\Grafy-st&#225;tn&#237;%20rozpo&#269;et-1q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41807701508628E-2"/>
          <c:y val="1.7107238390107405E-2"/>
          <c:w val="0.85027250516820141"/>
          <c:h val="0.81082663967425594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'G1-Státní rozpočet-příjmy-2020'!$A$31</c:f>
              <c:strCache>
                <c:ptCount val="1"/>
                <c:pt idx="0">
                  <c:v>Ostatní daně a poplatky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numRef>
              <c:f>'G1-Státní rozpočet-příjmy-2020'!$D$29:$S$29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rozpočet-příjmy-2020'!$D$31:$S$31</c:f>
              <c:numCache>
                <c:formatCode>0.0</c:formatCode>
                <c:ptCount val="16"/>
                <c:pt idx="0">
                  <c:v>0.27215189873418966</c:v>
                </c:pt>
                <c:pt idx="1">
                  <c:v>0.93122337188070226</c:v>
                </c:pt>
                <c:pt idx="2">
                  <c:v>-0.86039886039885138</c:v>
                </c:pt>
                <c:pt idx="3">
                  <c:v>-0.21800461656836209</c:v>
                </c:pt>
                <c:pt idx="4">
                  <c:v>4.7025628967778073E-2</c:v>
                </c:pt>
                <c:pt idx="5">
                  <c:v>0.15463598688688132</c:v>
                </c:pt>
                <c:pt idx="6">
                  <c:v>0.75112372841257025</c:v>
                </c:pt>
                <c:pt idx="7">
                  <c:v>-5.7922173661211315E-2</c:v>
                </c:pt>
                <c:pt idx="8">
                  <c:v>0.17244682889444096</c:v>
                </c:pt>
                <c:pt idx="9">
                  <c:v>0.1722838376224716</c:v>
                </c:pt>
                <c:pt idx="10">
                  <c:v>0.23509403761505579</c:v>
                </c:pt>
                <c:pt idx="11">
                  <c:v>0.62235845989504279</c:v>
                </c:pt>
                <c:pt idx="12">
                  <c:v>0.80854504446996855</c:v>
                </c:pt>
                <c:pt idx="13">
                  <c:v>0.66381882645426282</c:v>
                </c:pt>
                <c:pt idx="14">
                  <c:v>-1.591733624600024</c:v>
                </c:pt>
                <c:pt idx="15">
                  <c:v>1.115426840348104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67-452B-8954-D3F7D48913DA}"/>
            </c:ext>
          </c:extLst>
        </c:ser>
        <c:ser>
          <c:idx val="3"/>
          <c:order val="2"/>
          <c:tx>
            <c:strRef>
              <c:f>'G1-Státní rozpočet-příjmy-2020'!$A$32</c:f>
              <c:strCache>
                <c:ptCount val="1"/>
                <c:pt idx="0">
                  <c:v>Daně z příjmů fyzických osob</c:v>
                </c:pt>
              </c:strCache>
            </c:strRef>
          </c:tx>
          <c:spPr>
            <a:solidFill>
              <a:srgbClr val="EA6C75"/>
            </a:solidFill>
            <a:ln w="19050">
              <a:noFill/>
              <a:prstDash val="sysDot"/>
            </a:ln>
          </c:spPr>
          <c:invertIfNegative val="0"/>
          <c:cat>
            <c:numRef>
              <c:f>'G1-Státní rozpočet-příjmy-2020'!$D$29:$S$29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rozpočet-příjmy-2020'!$D$32:$S$32</c:f>
              <c:numCache>
                <c:formatCode>0.0</c:formatCode>
                <c:ptCount val="16"/>
                <c:pt idx="0">
                  <c:v>1.0759493670886013</c:v>
                </c:pt>
                <c:pt idx="1">
                  <c:v>1.1503347534996959</c:v>
                </c:pt>
                <c:pt idx="2">
                  <c:v>-2.8490028490028498</c:v>
                </c:pt>
                <c:pt idx="3">
                  <c:v>0.28212362144139824</c:v>
                </c:pt>
                <c:pt idx="4">
                  <c:v>-0.32917940277451335</c:v>
                </c:pt>
                <c:pt idx="5">
                  <c:v>1.4350219583101362</c:v>
                </c:pt>
                <c:pt idx="6">
                  <c:v>0.68015140761769444</c:v>
                </c:pt>
                <c:pt idx="7">
                  <c:v>0.80037912695487412</c:v>
                </c:pt>
                <c:pt idx="8">
                  <c:v>-0.23471929488407836</c:v>
                </c:pt>
                <c:pt idx="9">
                  <c:v>2.2612253687950896</c:v>
                </c:pt>
                <c:pt idx="10">
                  <c:v>1.9957983193277258</c:v>
                </c:pt>
                <c:pt idx="11">
                  <c:v>2.7309460777483618</c:v>
                </c:pt>
                <c:pt idx="12">
                  <c:v>3.1320481722626519</c:v>
                </c:pt>
                <c:pt idx="13">
                  <c:v>1.2807427685933181</c:v>
                </c:pt>
                <c:pt idx="14">
                  <c:v>-7.6352995606736158</c:v>
                </c:pt>
                <c:pt idx="15">
                  <c:v>0.11468623687092577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67-452B-8954-D3F7D48913DA}"/>
            </c:ext>
          </c:extLst>
        </c:ser>
        <c:ser>
          <c:idx val="4"/>
          <c:order val="3"/>
          <c:tx>
            <c:strRef>
              <c:f>'G1-Státní rozpočet-příjmy-2020'!$A$33</c:f>
              <c:strCache>
                <c:ptCount val="1"/>
                <c:pt idx="0">
                  <c:v>Daně z příjmů právnických osob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noFill/>
            </a:ln>
          </c:spPr>
          <c:invertIfNegative val="0"/>
          <c:cat>
            <c:numRef>
              <c:f>'G1-Státní rozpočet-příjmy-2020'!$D$29:$S$29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rozpočet-příjmy-2020'!$D$33:$S$33</c:f>
              <c:numCache>
                <c:formatCode>0.0</c:formatCode>
                <c:ptCount val="16"/>
                <c:pt idx="0">
                  <c:v>0.39240506329113639</c:v>
                </c:pt>
                <c:pt idx="1">
                  <c:v>3.4449178332318948</c:v>
                </c:pt>
                <c:pt idx="2">
                  <c:v>-2.9230769230769251</c:v>
                </c:pt>
                <c:pt idx="3">
                  <c:v>-6.4119004873054381E-3</c:v>
                </c:pt>
                <c:pt idx="4">
                  <c:v>-1.5871149776628251</c:v>
                </c:pt>
                <c:pt idx="5">
                  <c:v>-0.11752335003401837</c:v>
                </c:pt>
                <c:pt idx="6">
                  <c:v>-8.2801040927371936E-2</c:v>
                </c:pt>
                <c:pt idx="7">
                  <c:v>0.38439260702437977</c:v>
                </c:pt>
                <c:pt idx="8">
                  <c:v>1.0059398352174735</c:v>
                </c:pt>
                <c:pt idx="9">
                  <c:v>2.1104770108754165</c:v>
                </c:pt>
                <c:pt idx="10">
                  <c:v>1.7957182873149218</c:v>
                </c:pt>
                <c:pt idx="11">
                  <c:v>0.20900097533788606</c:v>
                </c:pt>
                <c:pt idx="12">
                  <c:v>0.62981403463977115</c:v>
                </c:pt>
                <c:pt idx="13">
                  <c:v>0.32691017416434559</c:v>
                </c:pt>
                <c:pt idx="14">
                  <c:v>0.10558008367166571</c:v>
                </c:pt>
                <c:pt idx="15">
                  <c:v>1.0190084559497676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67-452B-8954-D3F7D48913DA}"/>
            </c:ext>
          </c:extLst>
        </c:ser>
        <c:ser>
          <c:idx val="2"/>
          <c:order val="4"/>
          <c:tx>
            <c:strRef>
              <c:f>'G1-Státní rozpočet-příjmy-2020'!$A$34</c:f>
              <c:strCache>
                <c:ptCount val="1"/>
                <c:pt idx="0">
                  <c:v>Spotřební daň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numRef>
              <c:f>'G1-Státní rozpočet-příjmy-2020'!$D$29:$S$29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rozpočet-příjmy-2020'!$D$34:$S$34</c:f>
              <c:numCache>
                <c:formatCode>0.0</c:formatCode>
                <c:ptCount val="16"/>
                <c:pt idx="0">
                  <c:v>0.82278481012658011</c:v>
                </c:pt>
                <c:pt idx="1">
                  <c:v>-0.18867924528301808</c:v>
                </c:pt>
                <c:pt idx="2">
                  <c:v>-2.3760683760683778</c:v>
                </c:pt>
                <c:pt idx="3">
                  <c:v>4.9756347781482431</c:v>
                </c:pt>
                <c:pt idx="4">
                  <c:v>-0.74065365624265089</c:v>
                </c:pt>
                <c:pt idx="5">
                  <c:v>1.9855260716273873</c:v>
                </c:pt>
                <c:pt idx="6">
                  <c:v>2.1587414241779017</c:v>
                </c:pt>
                <c:pt idx="7">
                  <c:v>2.9592965088726193</c:v>
                </c:pt>
                <c:pt idx="8">
                  <c:v>-6.1841348917417109</c:v>
                </c:pt>
                <c:pt idx="9">
                  <c:v>1.4590287498653987</c:v>
                </c:pt>
                <c:pt idx="10">
                  <c:v>0.42016806722689187</c:v>
                </c:pt>
                <c:pt idx="11">
                  <c:v>0.58055826482745765</c:v>
                </c:pt>
                <c:pt idx="12">
                  <c:v>-0.62130303417166777</c:v>
                </c:pt>
                <c:pt idx="13">
                  <c:v>1.0735727426060964</c:v>
                </c:pt>
                <c:pt idx="14">
                  <c:v>-2.947038410473608</c:v>
                </c:pt>
                <c:pt idx="15">
                  <c:v>2.0331205799622141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67-452B-8954-D3F7D48913DA}"/>
            </c:ext>
          </c:extLst>
        </c:ser>
        <c:ser>
          <c:idx val="5"/>
          <c:order val="5"/>
          <c:tx>
            <c:strRef>
              <c:f>'G1-Státní rozpočet-příjmy-2020'!$A$35</c:f>
              <c:strCache>
                <c:ptCount val="1"/>
                <c:pt idx="0">
                  <c:v>DPH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numRef>
              <c:f>'G1-Státní rozpočet-příjmy-2020'!$D$29:$S$29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rozpočet-příjmy-2020'!$D$35:$S$35</c:f>
              <c:numCache>
                <c:formatCode>0.0</c:formatCode>
                <c:ptCount val="16"/>
                <c:pt idx="0">
                  <c:v>1.4240506329113878</c:v>
                </c:pt>
                <c:pt idx="1">
                  <c:v>1.4790018259281799</c:v>
                </c:pt>
                <c:pt idx="2">
                  <c:v>-2.1253561253561242</c:v>
                </c:pt>
                <c:pt idx="3">
                  <c:v>4.0459092074891005</c:v>
                </c:pt>
                <c:pt idx="4">
                  <c:v>-2.3571596520103477</c:v>
                </c:pt>
                <c:pt idx="5">
                  <c:v>1.1257499845364003</c:v>
                </c:pt>
                <c:pt idx="6">
                  <c:v>8.8123964986988383</c:v>
                </c:pt>
                <c:pt idx="7">
                  <c:v>5.8396082354799592</c:v>
                </c:pt>
                <c:pt idx="8">
                  <c:v>-5.78654914734624</c:v>
                </c:pt>
                <c:pt idx="9">
                  <c:v>1.6313125874878858</c:v>
                </c:pt>
                <c:pt idx="10">
                  <c:v>3.2513005202080785</c:v>
                </c:pt>
                <c:pt idx="11">
                  <c:v>4.9974455436347585</c:v>
                </c:pt>
                <c:pt idx="12">
                  <c:v>-6.3832503510790173E-2</c:v>
                </c:pt>
                <c:pt idx="13">
                  <c:v>2.1661942638579434</c:v>
                </c:pt>
                <c:pt idx="14">
                  <c:v>-2.6237556934223591</c:v>
                </c:pt>
                <c:pt idx="15">
                  <c:v>9.5989598816327071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67-452B-8954-D3F7D4891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94467712"/>
        <c:axId val="194473984"/>
      </c:barChart>
      <c:lineChart>
        <c:grouping val="standard"/>
        <c:varyColors val="0"/>
        <c:ser>
          <c:idx val="0"/>
          <c:order val="0"/>
          <c:tx>
            <c:strRef>
              <c:f>'G1-Státní rozpočet-příjmy-2020'!$A$30</c:f>
              <c:strCache>
                <c:ptCount val="1"/>
                <c:pt idx="0">
                  <c:v>Celkové daňové příjmy (bez pojistného na SZ)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'G1-Státní rozpočet-příjmy-2020'!$D$29:$S$29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rozpočet-příjmy-2020'!$D$30:$S$30</c:f>
              <c:numCache>
                <c:formatCode>0.0</c:formatCode>
                <c:ptCount val="16"/>
                <c:pt idx="0">
                  <c:v>3.9873417721518933</c:v>
                </c:pt>
                <c:pt idx="1">
                  <c:v>6.8167985392574479</c:v>
                </c:pt>
                <c:pt idx="2">
                  <c:v>-11.133903133903132</c:v>
                </c:pt>
                <c:pt idx="3">
                  <c:v>9.0792510900230781</c:v>
                </c:pt>
                <c:pt idx="4">
                  <c:v>-4.9670820597225571</c:v>
                </c:pt>
                <c:pt idx="5">
                  <c:v>4.5834106513267869</c:v>
                </c:pt>
                <c:pt idx="6">
                  <c:v>12.319612017979637</c:v>
                </c:pt>
                <c:pt idx="7">
                  <c:v>9.9257543046706189</c:v>
                </c:pt>
                <c:pt idx="8">
                  <c:v>-11.027016669860117</c:v>
                </c:pt>
                <c:pt idx="9">
                  <c:v>7.6343275546462621</c:v>
                </c:pt>
                <c:pt idx="10">
                  <c:v>7.6980792316926738</c:v>
                </c:pt>
                <c:pt idx="11">
                  <c:v>9.1403093214434961</c:v>
                </c:pt>
                <c:pt idx="12">
                  <c:v>3.8852717136899457</c:v>
                </c:pt>
                <c:pt idx="13">
                  <c:v>5.5112387756759631</c:v>
                </c:pt>
                <c:pt idx="14">
                  <c:v>-14.692247205497949</c:v>
                </c:pt>
                <c:pt idx="15">
                  <c:v>13.881201994763728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967-452B-8954-D3F7D4891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67712"/>
        <c:axId val="194473984"/>
      </c:lineChart>
      <c:lineChart>
        <c:grouping val="standard"/>
        <c:varyColors val="0"/>
        <c:ser>
          <c:idx val="6"/>
          <c:order val="6"/>
          <c:tx>
            <c:strRef>
              <c:f>'G1-Státní rozpočet-příjmy-2020'!$A$36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'G1-Státní rozpočet-příjmy-2020'!$D$29:$S$29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rozpočet-příjmy-2020'!$D$36:$S$36</c:f>
              <c:numCache>
                <c:formatCode>#\ ##0.0</c:formatCode>
                <c:ptCount val="16"/>
                <c:pt idx="0">
                  <c:v>11.263</c:v>
                </c:pt>
                <c:pt idx="1">
                  <c:v>-13.347</c:v>
                </c:pt>
                <c:pt idx="2">
                  <c:v>-2.3460000000000001</c:v>
                </c:pt>
                <c:pt idx="3">
                  <c:v>-45.942</c:v>
                </c:pt>
                <c:pt idx="4">
                  <c:v>-25.202000000000002</c:v>
                </c:pt>
                <c:pt idx="5">
                  <c:v>-22.69</c:v>
                </c:pt>
                <c:pt idx="6">
                  <c:v>13.97</c:v>
                </c:pt>
                <c:pt idx="7">
                  <c:v>43.59</c:v>
                </c:pt>
                <c:pt idx="8">
                  <c:v>19.91</c:v>
                </c:pt>
                <c:pt idx="9">
                  <c:v>43.6</c:v>
                </c:pt>
                <c:pt idx="10">
                  <c:v>4.68</c:v>
                </c:pt>
                <c:pt idx="11">
                  <c:v>16.260000000000002</c:v>
                </c:pt>
                <c:pt idx="12">
                  <c:v>-9.24</c:v>
                </c:pt>
                <c:pt idx="13">
                  <c:v>-44.70771591839997</c:v>
                </c:pt>
                <c:pt idx="14">
                  <c:v>-125.1977047449202</c:v>
                </c:pt>
                <c:pt idx="15">
                  <c:v>-59.140376242370053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967-452B-8954-D3F7D4891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204576"/>
        <c:axId val="556140592"/>
      </c:lineChart>
      <c:catAx>
        <c:axId val="1944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0" i="0"/>
            </a:pPr>
            <a:endParaRPr lang="cs-CZ"/>
          </a:p>
        </c:txPr>
        <c:crossAx val="194473984"/>
        <c:crosses val="autoZero"/>
        <c:auto val="1"/>
        <c:lblAlgn val="ctr"/>
        <c:lblOffset val="0"/>
        <c:noMultiLvlLbl val="0"/>
      </c:catAx>
      <c:valAx>
        <c:axId val="194473984"/>
        <c:scaling>
          <c:orientation val="minMax"/>
          <c:max val="15"/>
          <c:min val="-1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Příspěvek k růstu celkových daňových příjmů (v p. b.)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0" i="0"/>
            </a:pPr>
            <a:endParaRPr lang="cs-CZ"/>
          </a:p>
        </c:txPr>
        <c:crossAx val="194467712"/>
        <c:crosses val="autoZero"/>
        <c:crossBetween val="between"/>
        <c:majorUnit val="3"/>
      </c:valAx>
      <c:valAx>
        <c:axId val="556140592"/>
        <c:scaling>
          <c:orientation val="minMax"/>
          <c:max val="150"/>
          <c:min val="-180"/>
        </c:scaling>
        <c:delete val="0"/>
        <c:axPos val="r"/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Saldo státního rozpočtu (v mld. korun)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="0" i="0"/>
            </a:pPr>
            <a:endParaRPr lang="cs-CZ"/>
          </a:p>
        </c:txPr>
        <c:crossAx val="539204576"/>
        <c:crosses val="max"/>
        <c:crossBetween val="between"/>
        <c:majorUnit val="30"/>
      </c:valAx>
      <c:catAx>
        <c:axId val="539204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614059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0646178276027358E-2"/>
          <c:y val="0.87575771712393202"/>
          <c:w val="0.95851508447487288"/>
          <c:h val="0.12059881571378753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50" b="0" i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 b="1" i="1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888679630405088E-2"/>
          <c:y val="1.7112323287741892E-2"/>
          <c:w val="0.84571832592277729"/>
          <c:h val="0.7606774707477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'G2-St.rozpočet-výdaje-1q'!$B$30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rgbClr val="D3D3D3"/>
            </a:solidFill>
            <a:ln>
              <a:noFill/>
            </a:ln>
          </c:spPr>
          <c:invertIfNegative val="0"/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'G2-St.rozpočet-výdaje-1q'!$B$33:$B$48</c:f>
              <c:numCache>
                <c:formatCode>0.0</c:formatCode>
                <c:ptCount val="16"/>
                <c:pt idx="0">
                  <c:v>220.65</c:v>
                </c:pt>
                <c:pt idx="1">
                  <c:v>251.64</c:v>
                </c:pt>
                <c:pt idx="2">
                  <c:v>242.03</c:v>
                </c:pt>
                <c:pt idx="3">
                  <c:v>262.01</c:v>
                </c:pt>
                <c:pt idx="4">
                  <c:v>252.45</c:v>
                </c:pt>
                <c:pt idx="5">
                  <c:v>258.94</c:v>
                </c:pt>
                <c:pt idx="6">
                  <c:v>261.20999999999998</c:v>
                </c:pt>
                <c:pt idx="7">
                  <c:v>265.72000000000003</c:v>
                </c:pt>
                <c:pt idx="8">
                  <c:v>274.76</c:v>
                </c:pt>
                <c:pt idx="9">
                  <c:v>278.33</c:v>
                </c:pt>
                <c:pt idx="10">
                  <c:v>296.72000000000003</c:v>
                </c:pt>
                <c:pt idx="11">
                  <c:v>317.70999999999998</c:v>
                </c:pt>
                <c:pt idx="12">
                  <c:v>357.12</c:v>
                </c:pt>
                <c:pt idx="13">
                  <c:v>398.64712341415998</c:v>
                </c:pt>
                <c:pt idx="14">
                  <c:v>441.4270080969801</c:v>
                </c:pt>
                <c:pt idx="15">
                  <c:v>399.48008619403004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2C-45BC-861E-0300E836B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'G2-St.rozpočet-výdaje-1q'!$C$30</c:f>
              <c:strCache>
                <c:ptCount val="1"/>
                <c:pt idx="0">
                  <c:v>Platy a související výdaje*</c:v>
                </c:pt>
              </c:strCache>
            </c:strRef>
          </c:tx>
          <c:spPr>
            <a:ln w="15875"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'G2-St.rozpočet-výdaje-1q'!$C$33:$C$48</c:f>
              <c:numCache>
                <c:formatCode>0.0</c:formatCode>
                <c:ptCount val="16"/>
                <c:pt idx="0">
                  <c:v>14.85</c:v>
                </c:pt>
                <c:pt idx="1">
                  <c:v>14.73</c:v>
                </c:pt>
                <c:pt idx="2">
                  <c:v>15.14</c:v>
                </c:pt>
                <c:pt idx="3">
                  <c:v>15.42</c:v>
                </c:pt>
                <c:pt idx="4">
                  <c:v>14.05</c:v>
                </c:pt>
                <c:pt idx="5">
                  <c:v>14.35</c:v>
                </c:pt>
                <c:pt idx="6">
                  <c:v>14.46</c:v>
                </c:pt>
                <c:pt idx="7">
                  <c:v>14.8</c:v>
                </c:pt>
                <c:pt idx="8">
                  <c:v>15.8</c:v>
                </c:pt>
                <c:pt idx="9">
                  <c:v>16.75</c:v>
                </c:pt>
                <c:pt idx="10">
                  <c:v>17.75</c:v>
                </c:pt>
                <c:pt idx="11">
                  <c:v>20.47</c:v>
                </c:pt>
                <c:pt idx="12">
                  <c:v>22.19</c:v>
                </c:pt>
                <c:pt idx="13">
                  <c:v>23.368913903229998</c:v>
                </c:pt>
                <c:pt idx="14">
                  <c:v>23.533468726859997</c:v>
                </c:pt>
                <c:pt idx="15">
                  <c:v>23.349220424599999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2C-45BC-861E-0300E836B74E}"/>
            </c:ext>
          </c:extLst>
        </c:ser>
        <c:ser>
          <c:idx val="6"/>
          <c:order val="2"/>
          <c:tx>
            <c:strRef>
              <c:f>'G2-St.rozpočet-výdaje-1q'!$D$30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'G2-St.rozpočet-výdaje-1q'!$D$33:$D$48</c:f>
              <c:numCache>
                <c:formatCode>0.0</c:formatCode>
                <c:ptCount val="16"/>
                <c:pt idx="0">
                  <c:v>2.0099999999999998</c:v>
                </c:pt>
                <c:pt idx="1">
                  <c:v>1.87</c:v>
                </c:pt>
                <c:pt idx="2">
                  <c:v>3.07</c:v>
                </c:pt>
                <c:pt idx="3">
                  <c:v>4.21</c:v>
                </c:pt>
                <c:pt idx="4">
                  <c:v>3.62</c:v>
                </c:pt>
                <c:pt idx="5">
                  <c:v>2.63</c:v>
                </c:pt>
                <c:pt idx="6">
                  <c:v>2.82</c:v>
                </c:pt>
                <c:pt idx="7">
                  <c:v>2.86</c:v>
                </c:pt>
                <c:pt idx="8">
                  <c:v>2.56</c:v>
                </c:pt>
                <c:pt idx="9">
                  <c:v>2.4500000000000002</c:v>
                </c:pt>
                <c:pt idx="10">
                  <c:v>2.42</c:v>
                </c:pt>
                <c:pt idx="11">
                  <c:v>2.21</c:v>
                </c:pt>
                <c:pt idx="12">
                  <c:v>2.30140118962</c:v>
                </c:pt>
                <c:pt idx="13">
                  <c:v>2.4618649264500001</c:v>
                </c:pt>
                <c:pt idx="14">
                  <c:v>2.9688356739000001</c:v>
                </c:pt>
                <c:pt idx="15">
                  <c:v>2.7041628439199998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2C-45BC-861E-0300E836B74E}"/>
            </c:ext>
          </c:extLst>
        </c:ser>
        <c:ser>
          <c:idx val="7"/>
          <c:order val="3"/>
          <c:tx>
            <c:strRef>
              <c:f>'G2-St.rozpočet-výdaje-1q'!$E$30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'G2-St.rozpočet-výdaje-1q'!$E$33:$E$48</c:f>
              <c:numCache>
                <c:formatCode>General</c:formatCode>
                <c:ptCount val="16"/>
                <c:pt idx="0">
                  <c:v>11.18</c:v>
                </c:pt>
                <c:pt idx="1">
                  <c:v>11.07</c:v>
                </c:pt>
                <c:pt idx="2">
                  <c:v>10.199999999999999</c:v>
                </c:pt>
                <c:pt idx="3">
                  <c:v>10.3</c:v>
                </c:pt>
                <c:pt idx="4">
                  <c:v>9.3800000000000008</c:v>
                </c:pt>
                <c:pt idx="5">
                  <c:v>8.89</c:v>
                </c:pt>
                <c:pt idx="6">
                  <c:v>9.2200000000000006</c:v>
                </c:pt>
                <c:pt idx="7">
                  <c:v>9.3699999999999992</c:v>
                </c:pt>
                <c:pt idx="8">
                  <c:v>9.33</c:v>
                </c:pt>
                <c:pt idx="9">
                  <c:v>9.3800000000000008</c:v>
                </c:pt>
                <c:pt idx="10">
                  <c:v>9.2899999999999991</c:v>
                </c:pt>
                <c:pt idx="11">
                  <c:v>9.48</c:v>
                </c:pt>
                <c:pt idx="12" formatCode="0.00">
                  <c:v>9.5169305102399999</c:v>
                </c:pt>
                <c:pt idx="13">
                  <c:v>11.83410995721</c:v>
                </c:pt>
                <c:pt idx="14" formatCode="0.00">
                  <c:v>12.157197793090001</c:v>
                </c:pt>
                <c:pt idx="15" formatCode="0.00">
                  <c:v>11.88152775915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52C-45BC-861E-0300E836B74E}"/>
            </c:ext>
          </c:extLst>
        </c:ser>
        <c:ser>
          <c:idx val="2"/>
          <c:order val="4"/>
          <c:tx>
            <c:strRef>
              <c:f>'G2-St.rozpočet-výdaje-1q'!$F$30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'G2-St.rozpočet-výdaje-1q'!$F$33:$F$48</c:f>
              <c:numCache>
                <c:formatCode>0.00</c:formatCode>
                <c:ptCount val="16"/>
                <c:pt idx="0">
                  <c:v>9.6080000000000005</c:v>
                </c:pt>
                <c:pt idx="1">
                  <c:v>9.09</c:v>
                </c:pt>
                <c:pt idx="2">
                  <c:v>7.27</c:v>
                </c:pt>
                <c:pt idx="3">
                  <c:v>6.07</c:v>
                </c:pt>
                <c:pt idx="4">
                  <c:v>6.07</c:v>
                </c:pt>
                <c:pt idx="5">
                  <c:v>5.21</c:v>
                </c:pt>
                <c:pt idx="6">
                  <c:v>5.3</c:v>
                </c:pt>
                <c:pt idx="7">
                  <c:v>5.47</c:v>
                </c:pt>
                <c:pt idx="8">
                  <c:v>6.21</c:v>
                </c:pt>
                <c:pt idx="9">
                  <c:v>6.67</c:v>
                </c:pt>
                <c:pt idx="10">
                  <c:v>7.47</c:v>
                </c:pt>
                <c:pt idx="11">
                  <c:v>8.2899999999999991</c:v>
                </c:pt>
                <c:pt idx="12">
                  <c:v>9.92</c:v>
                </c:pt>
                <c:pt idx="13">
                  <c:v>10.97</c:v>
                </c:pt>
                <c:pt idx="14">
                  <c:v>13.3</c:v>
                </c:pt>
                <c:pt idx="15">
                  <c:v>13.36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52C-45BC-861E-0300E836B74E}"/>
            </c:ext>
          </c:extLst>
        </c:ser>
        <c:ser>
          <c:idx val="3"/>
          <c:order val="5"/>
          <c:tx>
            <c:strRef>
              <c:f>'G2-St.rozpočet-výdaje-1q'!$G$30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'G2-St.rozpočet-výdaje-1q'!$G$33:$G$48</c:f>
              <c:numCache>
                <c:formatCode>0.00</c:formatCode>
                <c:ptCount val="16"/>
                <c:pt idx="0">
                  <c:v>8.8000000000000007</c:v>
                </c:pt>
                <c:pt idx="1">
                  <c:v>7.8000000000000007</c:v>
                </c:pt>
                <c:pt idx="2">
                  <c:v>7.1</c:v>
                </c:pt>
                <c:pt idx="3">
                  <c:v>7.1999999999999993</c:v>
                </c:pt>
                <c:pt idx="4">
                  <c:v>6.68</c:v>
                </c:pt>
                <c:pt idx="5">
                  <c:v>6.37</c:v>
                </c:pt>
                <c:pt idx="6">
                  <c:v>7.64</c:v>
                </c:pt>
                <c:pt idx="7">
                  <c:v>8.2100000000000009</c:v>
                </c:pt>
                <c:pt idx="8">
                  <c:v>8.44</c:v>
                </c:pt>
                <c:pt idx="9">
                  <c:v>8.34</c:v>
                </c:pt>
                <c:pt idx="10">
                  <c:v>8.85</c:v>
                </c:pt>
                <c:pt idx="11">
                  <c:v>8.48</c:v>
                </c:pt>
                <c:pt idx="12">
                  <c:v>8.3800000000000008</c:v>
                </c:pt>
                <c:pt idx="13">
                  <c:v>9.91</c:v>
                </c:pt>
                <c:pt idx="14">
                  <c:v>10.199999999999999</c:v>
                </c:pt>
                <c:pt idx="15">
                  <c:v>11.6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52C-45BC-861E-0300E836B74E}"/>
            </c:ext>
          </c:extLst>
        </c:ser>
        <c:ser>
          <c:idx val="4"/>
          <c:order val="6"/>
          <c:tx>
            <c:strRef>
              <c:f>'G2-St.rozpočet-výdaje-1q'!$H$30</c:f>
              <c:strCache>
                <c:ptCount val="1"/>
                <c:pt idx="0">
                  <c:v>Neinv. nákupy a souvis.výdaje****</c:v>
                </c:pt>
              </c:strCache>
            </c:strRef>
          </c:tx>
          <c:spPr>
            <a:ln w="15875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'G2-St.rozpočet-výdaje-1q'!$H$33:$H$48</c:f>
              <c:numCache>
                <c:formatCode>General</c:formatCode>
                <c:ptCount val="16"/>
                <c:pt idx="5" formatCode="0.0">
                  <c:v>14.04</c:v>
                </c:pt>
                <c:pt idx="6" formatCode="0.0">
                  <c:v>11.8</c:v>
                </c:pt>
                <c:pt idx="7" formatCode="0.0">
                  <c:v>10.3</c:v>
                </c:pt>
                <c:pt idx="8" formatCode="0.0">
                  <c:v>12.43</c:v>
                </c:pt>
                <c:pt idx="9" formatCode="0.0">
                  <c:v>11.780000000000001</c:v>
                </c:pt>
                <c:pt idx="10" formatCode="0.0">
                  <c:v>14.34</c:v>
                </c:pt>
                <c:pt idx="11" formatCode="0.0">
                  <c:v>15.51</c:v>
                </c:pt>
                <c:pt idx="12" formatCode="0.0">
                  <c:v>13.6</c:v>
                </c:pt>
                <c:pt idx="13" formatCode="0.0">
                  <c:v>18.412898374919997</c:v>
                </c:pt>
                <c:pt idx="14" formatCode="0.0">
                  <c:v>13.877945219839999</c:v>
                </c:pt>
                <c:pt idx="15" formatCode="0.0">
                  <c:v>15.195244836200001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52C-45BC-861E-0300E836B74E}"/>
            </c:ext>
          </c:extLst>
        </c:ser>
        <c:ser>
          <c:idx val="5"/>
          <c:order val="7"/>
          <c:tx>
            <c:strRef>
              <c:f>'G2-St.rozpočet-výdaje-1q'!$I$30</c:f>
              <c:strCache>
                <c:ptCount val="1"/>
                <c:pt idx="0">
                  <c:v>Neinvestič. transfery podnik. subj.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'G2-St.rozpočet-výdaje-1q'!$I$33:$I$48</c:f>
              <c:numCache>
                <c:formatCode>General</c:formatCode>
                <c:ptCount val="16"/>
                <c:pt idx="5" formatCode="0.0">
                  <c:v>8.6300000000000008</c:v>
                </c:pt>
                <c:pt idx="6" formatCode="0.0">
                  <c:v>7.93</c:v>
                </c:pt>
                <c:pt idx="7" formatCode="0.0">
                  <c:v>9.3800000000000008</c:v>
                </c:pt>
                <c:pt idx="8" formatCode="0.0">
                  <c:v>10.44</c:v>
                </c:pt>
                <c:pt idx="9" formatCode="0.0">
                  <c:v>9.8800000000000008</c:v>
                </c:pt>
                <c:pt idx="10" formatCode="0.0">
                  <c:v>13.31</c:v>
                </c:pt>
                <c:pt idx="11" formatCode="0.0">
                  <c:v>11.74</c:v>
                </c:pt>
                <c:pt idx="12" formatCode="0.0">
                  <c:v>15.29</c:v>
                </c:pt>
                <c:pt idx="13" formatCode="0.0">
                  <c:v>15.09</c:v>
                </c:pt>
                <c:pt idx="14" formatCode="0.0">
                  <c:v>38.603799745229999</c:v>
                </c:pt>
                <c:pt idx="15" formatCode="0.0">
                  <c:v>13.399562617960001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52C-45BC-861E-0300E836B74E}"/>
            </c:ext>
          </c:extLst>
        </c:ser>
        <c:ser>
          <c:idx val="8"/>
          <c:order val="8"/>
          <c:tx>
            <c:strRef>
              <c:f>'G2-St.rozpočet-výdaje-1q'!$J$30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'G2-St.rozpočet-výdaje-1q'!$A$33:$A$48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'G2-St.rozpočet-výdaje-1q'!$J$33:$J$48</c:f>
              <c:numCache>
                <c:formatCode>0.0</c:formatCode>
                <c:ptCount val="16"/>
                <c:pt idx="0">
                  <c:v>10.07</c:v>
                </c:pt>
                <c:pt idx="1">
                  <c:v>31.85</c:v>
                </c:pt>
                <c:pt idx="2">
                  <c:v>31.88</c:v>
                </c:pt>
                <c:pt idx="3">
                  <c:v>33.1</c:v>
                </c:pt>
                <c:pt idx="4">
                  <c:v>26.12</c:v>
                </c:pt>
                <c:pt idx="5">
                  <c:v>22.19</c:v>
                </c:pt>
                <c:pt idx="6">
                  <c:v>17.690000000000001</c:v>
                </c:pt>
                <c:pt idx="7">
                  <c:v>14.93</c:v>
                </c:pt>
                <c:pt idx="8">
                  <c:v>19.78</c:v>
                </c:pt>
                <c:pt idx="9">
                  <c:v>20.02</c:v>
                </c:pt>
                <c:pt idx="10">
                  <c:v>6.27</c:v>
                </c:pt>
                <c:pt idx="11">
                  <c:v>11.73</c:v>
                </c:pt>
                <c:pt idx="12">
                  <c:v>16.43</c:v>
                </c:pt>
                <c:pt idx="13">
                  <c:v>23.367157547710001</c:v>
                </c:pt>
                <c:pt idx="14">
                  <c:v>23.477695399889999</c:v>
                </c:pt>
                <c:pt idx="15">
                  <c:v>15.90252220831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52C-45BC-861E-0300E836B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45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Ostatní výdaje (v mld. korun)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27648"/>
        <c:crosses val="autoZero"/>
        <c:crossBetween val="between"/>
        <c:majorUnit val="5"/>
      </c:valAx>
      <c:valAx>
        <c:axId val="72835072"/>
        <c:scaling>
          <c:orientation val="minMax"/>
          <c:max val="45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Běžné výdaje celkem (v mld. korun)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2836608"/>
        <c:crosses val="max"/>
        <c:crossBetween val="between"/>
        <c:majorUnit val="50"/>
        <c:minorUnit val="1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927421442144005E-2"/>
          <c:y val="0.83414510021698063"/>
          <c:w val="0.85087443158264642"/>
          <c:h val="0.1587939613277391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592-90E9-43CD-8442-E35C6D50E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0F67F-4687-48EB-B9B8-C4A0B0D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5</Pages>
  <Words>2114</Words>
  <Characters>12478</Characters>
  <Application>Microsoft Office Word</Application>
  <DocSecurity>0</DocSecurity>
  <Lines>103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14563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2022-06-15T08:05:00Z</dcterms:created>
  <dcterms:modified xsi:type="dcterms:W3CDTF">2022-06-15T08:52:00Z</dcterms:modified>
</cp:coreProperties>
</file>