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5453" w14:textId="77777777" w:rsidR="00E920DE" w:rsidRPr="009110F7" w:rsidRDefault="00E920DE" w:rsidP="00E920DE">
      <w:pPr>
        <w:pStyle w:val="Nadpis11"/>
      </w:pPr>
      <w:bookmarkStart w:id="0" w:name="_Toc98245444"/>
      <w:bookmarkStart w:id="1" w:name="_Toc106176406"/>
      <w:bookmarkStart w:id="2" w:name="_Toc82508189"/>
      <w:r w:rsidRPr="009110F7">
        <w:t>5</w:t>
      </w:r>
      <w:r>
        <w:t>. </w:t>
      </w:r>
      <w:r w:rsidRPr="009110F7">
        <w:t>Ceny</w:t>
      </w:r>
      <w:bookmarkEnd w:id="0"/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E920DE" w:rsidRPr="009110F7" w14:paraId="4AE52E35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F19A947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Cenová hladina se v 1. čtvrtletí rekordně zvyšovala.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67FDA52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1E720E0" w14:textId="3D83D284" w:rsidR="00E920DE" w:rsidRPr="00793D78" w:rsidRDefault="00E920DE" w:rsidP="00550540">
            <w:pPr>
              <w:rPr>
                <w:szCs w:val="20"/>
              </w:rPr>
            </w:pPr>
            <w:r>
              <w:rPr>
                <w:szCs w:val="20"/>
              </w:rPr>
              <w:t>Meziroční růst celkové cenové hladiny měřený deflátorem HDP v 1. čtvrtletí 2022 zrychlil na 5,8 %. Přírůstek cen dorovnal úroveň ze 4. čtvr</w:t>
            </w:r>
            <w:r w:rsidR="007D7763">
              <w:rPr>
                <w:szCs w:val="20"/>
              </w:rPr>
              <w:t>tletí 2001 a byl nejvyšší od 4. </w:t>
            </w:r>
            <w:r>
              <w:rPr>
                <w:szCs w:val="20"/>
              </w:rPr>
              <w:t>kvartálu 1998. Prudce zrychlil meziroční růst cen spotř</w:t>
            </w:r>
            <w:r w:rsidR="007D7763">
              <w:rPr>
                <w:szCs w:val="20"/>
              </w:rPr>
              <w:t>ebních statků (9,6 %), z toho u </w:t>
            </w:r>
            <w:r>
              <w:rPr>
                <w:szCs w:val="20"/>
              </w:rPr>
              <w:t>domácností to bylo 11,9 %. Také růst cen kapitálových statků posílil na 8,4 %. Směnné relace byly v 1. čtvrtletí hluboce negativní (95,6 %), především pod vlivem směnných relací obchodu se zbožím (94,8 %). Směnné relace obchodu se službami byly naopak kladné (101,2 %). Mezičtvrtletně se c</w:t>
            </w:r>
            <w:r w:rsidR="007D7763">
              <w:rPr>
                <w:szCs w:val="20"/>
              </w:rPr>
              <w:t>elková cenová hladina zvýšila o </w:t>
            </w:r>
            <w:r>
              <w:rPr>
                <w:szCs w:val="20"/>
              </w:rPr>
              <w:t xml:space="preserve">4,0 %. Přitom ceny spotřebních statků vzrostly o 5,6 % a kapitálového zboží o 5,1 %.    </w:t>
            </w:r>
          </w:p>
        </w:tc>
      </w:tr>
      <w:tr w:rsidR="00E920DE" w:rsidRPr="009110F7" w14:paraId="35371954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52A7268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1. čtvrtletí 2022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873E0BD" w14:textId="77777777" w:rsidR="00E920DE" w:rsidRPr="00793D78" w:rsidRDefault="00E920DE" w:rsidP="00550540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0818E25" w14:textId="15F92792" w:rsidR="00E920DE" w:rsidRPr="000316FC" w:rsidRDefault="00E920DE" w:rsidP="00550540">
            <w:r>
              <w:t>V 1. čtvrtletí 2022 dál pokračovalo zrychlování meziročního růstu spotřebitelských cen. Index spotřebitelských cen se v 1. čtvrtletí meziročně zvýšil o 11,2 %. To byl mimořádně velký skok v tempu oproti předchozím obdobím (ve 4. čtvrtletí tempo dosáhlo 6,1 %). Mezičtvrtletně se spotřebitelské ceny zvýšily o 6,3 %, což byl největší přírůstek od 1. čtvrtletí 1993. Hlavním hybatelem vývoje spotřebit</w:t>
            </w:r>
            <w:r w:rsidR="007D7763">
              <w:t>elských cen byly v meziročním i</w:t>
            </w:r>
            <w:r w:rsidR="007D7763">
              <w:rPr>
                <w:szCs w:val="20"/>
              </w:rPr>
              <w:t> </w:t>
            </w:r>
            <w:r>
              <w:t xml:space="preserve">mezičtvrtletním pohledu ceny bydlení, vody, energií a paliv (dále bydlení a energie). Ty se nejvíce podílely na celkovém meziročním přírůstku a také na zrychlení jeho tempa. K meziročnímu růstu dál velmi silně přispívaly ceny dopravy a potravin. Výrazné příspěvky měly i ceny odívání a obuvi, rekreací a kultury a stravování a ubytování. Meziroční růst cen sílil napříč celým spotřebním košem.   </w:t>
            </w:r>
          </w:p>
        </w:tc>
      </w:tr>
      <w:tr w:rsidR="00E920DE" w:rsidRPr="009110F7" w14:paraId="6042C772" w14:textId="77777777" w:rsidTr="00550540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1DD376F9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487DE8F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B720550" w14:textId="58D27FD4" w:rsidR="00E920DE" w:rsidRDefault="00E920DE" w:rsidP="00550540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2759C7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proofErr w:type="gramStart"/>
            <w:r w:rsidR="002759C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E920DE" w:rsidRPr="009110F7" w14:paraId="07354161" w14:textId="77777777" w:rsidTr="00550540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7CEA4424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2451037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E8BE0A0" w14:textId="77777777" w:rsidR="00E920DE" w:rsidRDefault="00E920DE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FA69B77" wp14:editId="35A71AC5">
                  <wp:extent cx="4737600" cy="3553200"/>
                  <wp:effectExtent l="0" t="0" r="635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920DE" w:rsidRPr="009110F7" w14:paraId="361B53E2" w14:textId="77777777" w:rsidTr="00550540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2119E568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9827EF9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E4E1F81" w14:textId="77777777" w:rsidR="00E920DE" w:rsidRDefault="00E920DE" w:rsidP="00550540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920DE" w:rsidRPr="009110F7" w14:paraId="79ECB9F0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16DCB89" w14:textId="503F51A6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Nejvíce k růst</w:t>
            </w:r>
            <w:r w:rsidR="007D7763">
              <w:rPr>
                <w:spacing w:val="0"/>
              </w:rPr>
              <w:t>u přispíval vývoj cen bydlení a</w:t>
            </w:r>
            <w:r w:rsidR="007D7763">
              <w:t> </w:t>
            </w:r>
            <w:r>
              <w:rPr>
                <w:spacing w:val="0"/>
              </w:rPr>
              <w:t>energií.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C2616B7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C42636A" w14:textId="289F5481" w:rsidR="00E920DE" w:rsidRDefault="00E920DE" w:rsidP="00550540">
            <w:r>
              <w:t>Ceny bydlení a energií byly v 1. čtvrtletí meziročně vyšší o 16,0 %. Mezičtvrtletně se zvýšily o 10,6 %. Nejvíce meziročně vzrostly ceny elektr</w:t>
            </w:r>
            <w:r w:rsidR="007D7763">
              <w:t>ické a tepelné energie, plynu a</w:t>
            </w:r>
            <w:r w:rsidR="007D7763">
              <w:rPr>
                <w:szCs w:val="20"/>
              </w:rPr>
              <w:t> </w:t>
            </w:r>
            <w:r>
              <w:t>ostatních paliv (22,6 %). Vývoj cen elektřiny se také významně promítl do mezičtvrtletního zrychlení celkového růstu cen,</w:t>
            </w:r>
            <w:r w:rsidR="007D7763">
              <w:t xml:space="preserve"> protože odpuštění plateb DPH u</w:t>
            </w:r>
            <w:r w:rsidR="007D7763">
              <w:rPr>
                <w:szCs w:val="20"/>
              </w:rPr>
              <w:t> </w:t>
            </w:r>
            <w:r>
              <w:t xml:space="preserve">elektřiny platné ve 4. čtvrtletí 2021 bylo ukončeno a ceny tak skokově narostly. Velmi </w:t>
            </w:r>
            <w:r>
              <w:lastRenderedPageBreak/>
              <w:t>silně v 1. čtvrtletí 2022 dál rostlo také imputované nájemné</w:t>
            </w:r>
            <w:r>
              <w:rPr>
                <w:rStyle w:val="Znakapoznpodarou"/>
              </w:rPr>
              <w:footnoteReference w:id="1"/>
            </w:r>
            <w:r>
              <w:t xml:space="preserve">, které bylo meziročně vyšší o 15,8 %. Ceny běžné údržby a drobných oprav bytu byly vyšší o 14,8 %, ostatních služeb souvisejících s bydlením o 4,6 % a nájemné z bytu se meziročně zvýšilo o 4,3 %.  </w:t>
            </w:r>
          </w:p>
        </w:tc>
      </w:tr>
      <w:tr w:rsidR="00E920DE" w:rsidRPr="009110F7" w14:paraId="7A32659C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9A623A0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Pod vlivem cen pohonných hmot zrychloval i meziroční růst cen dopravy.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B17948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48695EC" w14:textId="77777777" w:rsidR="00E920DE" w:rsidRDefault="00E920DE" w:rsidP="00550540">
            <w:r>
              <w:t>Meziroční růst cen dopravy v minulém roce zrychloval a posiloval i na začátku letošního roku. Celkově se ceny dopravy v 1. čtvrtletí 2022 meziročně zvýšily o 17,2 %. K jejich růstu nejvíce přispívaly ceny provozu osobních dopravních prostředků, které byly vyšší o 26,6 %. Právě jejich dynamika odrážející velmi silné navýšení cen pohonných hmot ovlivňovala popsané zrychlení meziročního růstu cen dopravy v loňském roce. Letos v březnu došlo k dalšímu skokovému navýšení cen pohonných hmot v reakci na geopolitickou situaci, které se do cen dopravy také silně promítlo. Stále velmi výrazný zůstával v 1. čtvrtletí meziroční přírůstek cen nákupů automobilů, motocyklů a jízdních kol (10,9 %), které signifikantně zdražují už od první poloviny roku 2020. Ceny dopravních služeb se meziročně zvýšily o 5,4 %.</w:t>
            </w:r>
          </w:p>
        </w:tc>
      </w:tr>
      <w:tr w:rsidR="00E920DE" w:rsidRPr="009110F7" w14:paraId="4A4705C9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A70FA91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Posílil i růst cen potravin.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B499844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16351D4" w14:textId="77777777" w:rsidR="00E920DE" w:rsidRDefault="00E920DE" w:rsidP="00550540">
            <w:r>
              <w:t>Meziroční růst cen potravin a nealkoholických nápojů v 1. čtvrtletí 2022 navázal na zrychlení, ke kterému došlo ve druhé polovině roku 2021, a posílil na 6,7 %. Výrazný podíl na tom měly ceny pekárenských výrobků a obilovin (meziroční přírůstek 10,9 %), dále oleje a tuky (25,8 %) a mléko, sýry a vejce (8,3 %). Meziroční růst cen ostatních skupin potravin v 1. čtvrtletí také posiloval. Ceny zeleniny byly vyšší o 8,7 %, cukru, marmelády, medu, čokolády a cukrovinek o 7,0 % a nealkoholických nápojů o 6,2 %. Vyšší byly také ceny masa (1,0 %) a ryb a mořských plodů (3,1 %).</w:t>
            </w:r>
          </w:p>
        </w:tc>
      </w:tr>
      <w:tr w:rsidR="00E920DE" w:rsidRPr="009110F7" w14:paraId="3215F49A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1B5CCB5" w14:textId="644599AC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 v</w:t>
            </w:r>
            <w:r w:rsidR="007D7763">
              <w:rPr>
                <w:spacing w:val="0"/>
              </w:rPr>
              <w:t>ýjimkou stagnujících cen pošt a</w:t>
            </w:r>
            <w:r w:rsidR="007D7763">
              <w:t> </w:t>
            </w:r>
            <w:r>
              <w:rPr>
                <w:spacing w:val="0"/>
              </w:rPr>
              <w:t>telekomunikací ceny ve všech oddílech spotřebního koše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67B09AE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92F2E74" w14:textId="433273EB" w:rsidR="00E920DE" w:rsidRDefault="00E920DE" w:rsidP="00550540">
            <w:r>
              <w:t xml:space="preserve">Posílený byl až na nemnohé výjimky cenový růst i ve zbytku spotřebního koše. Ceny odívání a obuvi meziročně vzrostly o 16,9 % a pokračovalo tak zrychlování jejich dynamiky z loňského roku. Ceny stravování a ubytování byly v 1. čtvrtletí meziročně vyšší o 12,3 %. Z toho ceny stravovacích služeb vzrostly o 13,0 % a ubytovacích služeb o 7,5 %. Ceny bytového vybavení a zařízení domácností posílily o 9,2 % a zdražení zboží v rámci tohoto oddílu bylo plošné, ať už se jednalo o nábytek, bytový textil, spotřebiče nebo nářadí. O 8,5 % se meziročně zvýšily ceny rekreací a kultury a výrazné přírůstky měla většina skupin zboží a služeb v tomto oddílu. Ceny alkoholických nápojů a tabáku byly vyšší o 7,1 %. Ceny zdraví vzrostly o 6,8 % a ostatní zboží a služby zdražily o 6,6 %. Mírně rostly ceny vzdělávání (1,8 %) a stagnovaly ceny pošt </w:t>
            </w:r>
            <w:r w:rsidR="007D7763">
              <w:t>a</w:t>
            </w:r>
            <w:r w:rsidR="007D7763">
              <w:rPr>
                <w:szCs w:val="20"/>
              </w:rPr>
              <w:t> </w:t>
            </w:r>
            <w:r>
              <w:t xml:space="preserve">telekomunikací. </w:t>
            </w:r>
          </w:p>
        </w:tc>
      </w:tr>
      <w:tr w:rsidR="00E920DE" w:rsidRPr="009110F7" w14:paraId="05784B89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F559755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EU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19B541F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EF7049A" w14:textId="3E6F1BFE" w:rsidR="00E920DE" w:rsidRDefault="00E920DE" w:rsidP="00550540">
            <w:r>
              <w:t>Harmonizovaný index spotřebitelských cen (HICP)</w:t>
            </w:r>
            <w:r>
              <w:rPr>
                <w:rStyle w:val="Znakapoznpodarou"/>
              </w:rPr>
              <w:footnoteReference w:id="2"/>
            </w:r>
            <w:r>
              <w:t xml:space="preserve"> v EU v 1. čtvrtletí meziročně vzrostl o 6,5 %. Přírůstek tak dál zrychlil oproti předchozímu kvartálu (4,9 %) i průměru roku 2021 (2,9 %). Spotřebitelské ceny v Evropě tak rostly rekordním tempem, které značně předbíhá předchozí maxima. Tahounem růst</w:t>
            </w:r>
            <w:r w:rsidR="007D7763">
              <w:t>u byly ceny bydlení a energií a</w:t>
            </w:r>
            <w:r w:rsidR="007D7763">
              <w:rPr>
                <w:szCs w:val="20"/>
              </w:rPr>
              <w:t> </w:t>
            </w:r>
            <w:r>
              <w:t xml:space="preserve">dopravy, ale od začátku roku výrazně posílil také meziroční růst cen potravin. Spotřebitelské ceny meziročně rostly ve všech zemích EU, nejvýrazněji v Litvě (13,9 %), Estonsku (12,5 %) a Česku (10,2 %). Česko jednoznačně dominovalo cenovému růstu v rámci středoevropského regionu. Výrazně překonalo i růst cen v Polsku (9,0 %) a Maďarsku (8,3 %), které donedávna dominovaly žebříčku zemí s nejsilnější inflací. Růst cen byl nadprůměrný i na Slovensku (8,5 %), ale v relativně mírnějším pásmu se držel v Německu (6,1 %) i Rakousku (5,5 %). Nejmírněji rostly v 1. čtvrtletí spotřebitelské ceny ve Francii (4,2 %), na Maltě (4,3 </w:t>
            </w:r>
            <w:r w:rsidR="007D7763">
              <w:t xml:space="preserve">%) a v Portugalsku (4,4 %). </w:t>
            </w:r>
          </w:p>
        </w:tc>
      </w:tr>
      <w:tr w:rsidR="00E920DE" w:rsidRPr="009110F7" w14:paraId="4BFA2647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2F67419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Růst cen bytů dál zrychloval.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3D0DF29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0E204E" w14:textId="77777777" w:rsidR="00E920DE" w:rsidRDefault="00E920DE" w:rsidP="00550540">
            <w:r>
              <w:t xml:space="preserve">Meziroční růst nabídkových cen bytů v ČR dál zrychloval a v 1. čtvrtletí 2022 dosáhl 16,9 %. Dynamika nabídkových cen bytů v Česku již tři roky překonává přírůstky bytů v samotné Praze, ale zrychluje růst obou ukazatelů. Nabídkové ceny bytů mimo Prahu v 1. čtvrtletí vzrostly o 22,6 %, zatímco ceny v Praze o 12,3 %. Realizované ceny starších bytů v Česku v 1. čtvrtletí 2022 meziročně vzrostly o 27,3 %. Trval tak výrazný převis dynamiky realizovaných cen nad cenami nabídkovými, což je dokladem napětí na nemovitostním trhu, kde nabídka nestíhá uspokojit poptávku. Přitom realizované ceny starších bytů mimo Prahu vzrostly o 29,7 %, zatímco přírůstek v Praze zpomalil na 19,0 %. Realizované ceny nových bytů v Praze meziročně vzrostly o 30,3 %. </w:t>
            </w:r>
          </w:p>
        </w:tc>
      </w:tr>
      <w:tr w:rsidR="00E920DE" w:rsidRPr="009110F7" w14:paraId="09FD1941" w14:textId="77777777" w:rsidTr="00550540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569B58BE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0A860E5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699EBEF" w14:textId="70CFB6CF" w:rsidR="00E920DE" w:rsidRDefault="002759C7" w:rsidP="00550540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11</w:t>
            </w:r>
            <w:r w:rsidR="00E920DE"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="00E920DE" w:rsidRPr="00793D78">
              <w:rPr>
                <w:b/>
                <w:sz w:val="18"/>
                <w:szCs w:val="18"/>
                <w:lang w:eastAsia="en-US"/>
              </w:rPr>
              <w:t xml:space="preserve"> nemovitostí </w:t>
            </w:r>
            <w:r w:rsidR="00E920DE"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E920DE" w:rsidRPr="009110F7" w14:paraId="7707E570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4DBE759B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1EB28E7B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4310CFFD" w14:textId="77777777" w:rsidR="00E920DE" w:rsidRDefault="00E920DE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6BAB8D4" wp14:editId="24517EE0">
                  <wp:extent cx="4743950" cy="3378575"/>
                  <wp:effectExtent l="0" t="0" r="0" b="0"/>
                  <wp:docPr id="42" name="Graf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920DE" w:rsidRPr="009110F7" w14:paraId="2D40151A" w14:textId="77777777" w:rsidTr="00550540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04F9F34D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03F77CF6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8818E62" w14:textId="77777777" w:rsidR="00E920DE" w:rsidRDefault="00E920DE" w:rsidP="00550540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920DE" w:rsidRPr="009110F7" w14:paraId="0A40582F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E765593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dál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CBD94AF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FFDE4D3" w14:textId="1EDB1528" w:rsidR="00E920DE" w:rsidRDefault="00E920DE" w:rsidP="00550540">
            <w:r>
              <w:t>Meziroční růst cen průmyslových výrobců v průběhu loňského roku zrychloval a tento vývoj se od počátku roku 2022 zintenzivnil. Meziroční přírůstek cen průmyslových výrobců v 1. čtvrtletí 2022 dosáhl 21,8 %. Oproti 4. čtvrtletí 2021 byly ceny průmyslových výrobců vyšší o 10,4 %. Největší vliv na meziroční růst cen průmyslových výrobců měly výrobky a služby zpracovatelského prům</w:t>
            </w:r>
            <w:r w:rsidR="007D7763">
              <w:t>yslu, jejichž ceny byly vyšší o</w:t>
            </w:r>
            <w:r w:rsidR="007D7763">
              <w:rPr>
                <w:szCs w:val="20"/>
              </w:rPr>
              <w:t> </w:t>
            </w:r>
            <w:r>
              <w:t>17,5 %. Z toho k růstu klíčově přispívaly ceny koksu a rafinovaných ropných produktů</w:t>
            </w:r>
            <w:r>
              <w:rPr>
                <w:rStyle w:val="Znakapoznpodarou"/>
              </w:rPr>
              <w:footnoteReference w:id="3"/>
            </w:r>
            <w:r>
              <w:t>, obecných kovů a kovodělných výrobků (meziroční přírůstek 25,7 %), chemických látek a výrobků (47,5 %), pryžových a plastových výrobků a ostatních nekovových minerálních výrobků (15,5 %), d</w:t>
            </w:r>
            <w:r w:rsidR="007D7763">
              <w:t>řeva, papíru a tisku (27,9 %) a</w:t>
            </w:r>
            <w:r w:rsidR="007D7763">
              <w:rPr>
                <w:szCs w:val="20"/>
              </w:rPr>
              <w:t> </w:t>
            </w:r>
            <w:r>
              <w:t>potravinářských výrobků, nápojů a tabáku (9,4 %). Výrazně rostly i ceny t</w:t>
            </w:r>
            <w:r w:rsidR="007D7763">
              <w:t xml:space="preserve">extilu, oděvů a usní (11,4 %), </w:t>
            </w:r>
            <w:r>
              <w:t>strojů a zařízení (10,2 %), elektrick</w:t>
            </w:r>
            <w:r w:rsidR="007D7763">
              <w:t>ých zařízení (8,1 %), nábytku a</w:t>
            </w:r>
            <w:r w:rsidR="007D7763">
              <w:rPr>
                <w:szCs w:val="20"/>
              </w:rPr>
              <w:t> </w:t>
            </w:r>
            <w:r>
              <w:t>ostatních výrobků zpracovatelského průmyslu (8,0</w:t>
            </w:r>
            <w:r w:rsidR="007D7763">
              <w:t xml:space="preserve"> %), počítačů, elektronických a</w:t>
            </w:r>
            <w:r w:rsidR="007D7763">
              <w:rPr>
                <w:szCs w:val="20"/>
              </w:rPr>
              <w:t> </w:t>
            </w:r>
            <w:r>
              <w:t xml:space="preserve">optických přístrojů (5,6 %) a základních farmaceutických výrobků (4,0 %). Pouze ceny dopravních prostředků meziročně stagnovaly. V 1. čtvrtletí 2022 dramaticky posílil meziroční růst cen elektřiny, plynu, páry a klimatizovaného vzduchu. Celkově dosáhl 45,0 %. Zejména pod vlivem cen zemního plynu zrychlil letos i meziroční růst cen těžby a dobývání, které v 1. čtvrtletí stouply o 25,2 %. Zásobování vodou a služby související s odpadními vodami zdražily o 5,3 %.    </w:t>
            </w:r>
          </w:p>
        </w:tc>
      </w:tr>
      <w:tr w:rsidR="00E920DE" w:rsidRPr="009110F7" w14:paraId="065CB122" w14:textId="77777777" w:rsidTr="00550540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6183BB45" w14:textId="77777777" w:rsidR="00E920DE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5B428C0" w14:textId="77777777" w:rsidR="00E920DE" w:rsidRPr="00793D78" w:rsidRDefault="00E920DE" w:rsidP="00550540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8C09B1" w14:textId="634B8D7E" w:rsidR="00E920DE" w:rsidRPr="00D75AC1" w:rsidRDefault="002759C7" w:rsidP="00550540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</w:t>
            </w:r>
            <w:proofErr w:type="gramStart"/>
            <w:r>
              <w:rPr>
                <w:b/>
                <w:sz w:val="18"/>
                <w:szCs w:val="18"/>
              </w:rPr>
              <w:t>12</w:t>
            </w:r>
            <w:r w:rsidR="00E920DE" w:rsidRPr="00793D78">
              <w:rPr>
                <w:b/>
                <w:sz w:val="18"/>
                <w:szCs w:val="18"/>
              </w:rPr>
              <w:t xml:space="preserve">  </w:t>
            </w:r>
            <w:r w:rsidR="00E920DE"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="00E920DE"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</w:t>
            </w:r>
            <w:r w:rsidR="00E920DE"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E920DE" w:rsidRPr="009110F7" w14:paraId="536F3820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2D04130F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105BF8A6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335EB5BF" w14:textId="77777777" w:rsidR="00E920DE" w:rsidRPr="00793D78" w:rsidRDefault="00E920DE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57D1364" wp14:editId="0A5DD021">
                  <wp:extent cx="4737600" cy="3553200"/>
                  <wp:effectExtent l="0" t="0" r="6350" b="0"/>
                  <wp:docPr id="43" name="Graf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920DE" w:rsidRPr="009110F7" w14:paraId="193B7FAA" w14:textId="77777777" w:rsidTr="00550540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CC9185C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9B88179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4BE922" w14:textId="77777777" w:rsidR="00E920DE" w:rsidRPr="00793D78" w:rsidRDefault="00E920DE" w:rsidP="00550540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920DE" w:rsidRPr="009110F7" w14:paraId="29274AD7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A9D6D15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 prudce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46E8DAE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03E17E4" w14:textId="77B14A5F" w:rsidR="00E920DE" w:rsidRDefault="00E920DE" w:rsidP="00550540">
            <w:r>
              <w:t>Meziroční růst cen průmyslových výrobců v EU během loňského roku prudce zrychlil a na tento vývoj navázalo i 1. čtvrtletí 2022, kdy ceny vzrostly o 32,8 %</w:t>
            </w:r>
            <w:r>
              <w:rPr>
                <w:rStyle w:val="Znakapoznpodarou"/>
              </w:rPr>
              <w:footnoteReference w:id="4"/>
            </w:r>
            <w:r>
              <w:t>. Na průmyslové výrobce v celé EU doléhaly prudce se zvyšující ceny ropy a zemního plynu i elektřiny. Posílil meziroční přírůstek cen těžby a dobývání (69,2 %), výrobků a služeb zpracovatelského průmyslu (16,0 %) i elektřiny, plynu, páry a klimatizovaného vzduchu (102,8 %). Nejvíc se zvyšovaly ceny průmyslových výrobců v Irsku (76,9 %), Rumunsku (60,8 %) a Dánsku (56,6 %). Relativně mírně vzrostly ceny na Maltě (8,2 %) a pod 20% úrovní se přírůstek udržel i ve Slovinsku (17,2 %), na Kypru (18,2 %), ve Švédsku (19,0 %) a v Lucembursku (19,6 %). Česko patřilo v rámci evropského srovnání k podprůměru navzdory mimořádně vysokému meziročnímu přírůs</w:t>
            </w:r>
            <w:r w:rsidR="007D7763">
              <w:t>tku, který dosáhl 21,8 %.</w:t>
            </w:r>
          </w:p>
        </w:tc>
      </w:tr>
      <w:tr w:rsidR="00E920DE" w:rsidRPr="009110F7" w14:paraId="312D55B9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36ED8BE" w14:textId="77777777" w:rsidR="00E920DE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Ceny stavebních prací velmi silně rostly.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E7DEB88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C19992" w14:textId="2DB7D5CF" w:rsidR="00E920DE" w:rsidRPr="00793D78" w:rsidRDefault="00E920DE" w:rsidP="00550540">
            <w:r>
              <w:t>Podle odhadů byly ceny stavebních prací v 1. čtvrtl</w:t>
            </w:r>
            <w:r w:rsidR="007D7763">
              <w:t>etí 2022 mezičtvrtletně vyšší o</w:t>
            </w:r>
            <w:r w:rsidR="007D7763">
              <w:rPr>
                <w:szCs w:val="20"/>
              </w:rPr>
              <w:t> </w:t>
            </w:r>
            <w:r>
              <w:t>2,6 %. Přitom ceny materiálů a výrobků spotřebováva</w:t>
            </w:r>
            <w:r w:rsidR="007D7763">
              <w:t>ných ve stavebnictví vzrostly o</w:t>
            </w:r>
            <w:r w:rsidR="007D7763">
              <w:rPr>
                <w:szCs w:val="20"/>
              </w:rPr>
              <w:t> </w:t>
            </w:r>
            <w:r>
              <w:t>5,6 %. Meziroční růst cen stavebních prací dál zrychl</w:t>
            </w:r>
            <w:r w:rsidR="007D7763">
              <w:t>oval a v 1. kvartálu dosáhl 9,8</w:t>
            </w:r>
            <w:r w:rsidR="007D7763">
              <w:rPr>
                <w:szCs w:val="20"/>
              </w:rPr>
              <w:t> </w:t>
            </w:r>
            <w:r>
              <w:t xml:space="preserve">%. Ceny materiálů a výrobků spotřebovávaných ve stavebnictví byly oproti stejnému období roku 2021 vyšší o 20,9 %.  </w:t>
            </w:r>
          </w:p>
        </w:tc>
      </w:tr>
      <w:tr w:rsidR="00E920DE" w:rsidRPr="009110F7" w14:paraId="0B17AB53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33E7253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přírůstek cen tržních služeb byl nejsilnější za více než dvacet let.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DB4A501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2B02D0" w14:textId="3914E9AE" w:rsidR="00E920DE" w:rsidRPr="00793D78" w:rsidRDefault="00E920DE" w:rsidP="00550540">
            <w:r>
              <w:t>Ceny tržních služeb se v 1. čtvrtletí 2022 meziročně zvýšily o 4,2 %, což představovalo prudké zrychlení a nejvyšší přírůstek od 2. čtvrtletí 2001. Dynamika cen většiny služeb posilovala, ale k celkovému zrychlení nejvíce p</w:t>
            </w:r>
            <w:r w:rsidR="007D7763">
              <w:t>řispěl růst cen ve skladování a</w:t>
            </w:r>
            <w:r w:rsidR="007D7763">
              <w:rPr>
                <w:szCs w:val="20"/>
              </w:rPr>
              <w:t> </w:t>
            </w:r>
            <w:r>
              <w:t>podpůrných službách v dopravě (14,5 %), ceny pozemní a potrubní dopravy (4,0 %) a reklamní služby a průzkum trhu (13,4 %). Meziroč</w:t>
            </w:r>
            <w:r w:rsidR="007D7763">
              <w:t>ní růst cen tržních služeb v 1.</w:t>
            </w:r>
            <w:r w:rsidR="007D7763">
              <w:rPr>
                <w:szCs w:val="20"/>
              </w:rPr>
              <w:t> </w:t>
            </w:r>
            <w:r>
              <w:t xml:space="preserve">čtvrtletí významně ovlivnily i ceny služeb v oblasti nemovitostí (3,2 %), služeb v oblasti zaměstnání (9,6 %), služeb v oblasti pronájmu a operativního leasingu (5,8 %) a služeb v oblasti programování a souvisejícího poradenství (2,1 %). Meziročně klesaly pouze ceny telekomunikačních služeb (-1,2 %), finančních služeb kromě pojišťovnictví </w:t>
            </w:r>
            <w:r>
              <w:lastRenderedPageBreak/>
              <w:t xml:space="preserve">a penzijního financování (-0,3 %) a administrativních, kancelářských a jiných podpůrných služeb pro podnikání (-0,2 %).  </w:t>
            </w:r>
          </w:p>
        </w:tc>
      </w:tr>
      <w:tr w:rsidR="00E920DE" w:rsidRPr="009110F7" w14:paraId="14B88BE6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61446C0" w14:textId="31941351" w:rsidR="00E920DE" w:rsidRPr="00793D78" w:rsidRDefault="00FC42C5" w:rsidP="00550540">
            <w:pPr>
              <w:pStyle w:val="Marginlie"/>
              <w:rPr>
                <w:spacing w:val="0"/>
              </w:rPr>
            </w:pPr>
            <w:proofErr w:type="spellStart"/>
            <w:r>
              <w:rPr>
                <w:spacing w:val="0"/>
              </w:rPr>
              <w:lastRenderedPageBreak/>
              <w:t>závislost</w:t>
            </w:r>
            <w:r w:rsidR="00E920DE">
              <w:rPr>
                <w:spacing w:val="0"/>
              </w:rPr>
              <w:t>Silně</w:t>
            </w:r>
            <w:proofErr w:type="spellEnd"/>
            <w:r w:rsidR="00E920DE">
              <w:rPr>
                <w:spacing w:val="0"/>
              </w:rPr>
              <w:t xml:space="preserve"> rostly ceny rostlinné i živočišné výroby.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2EB050B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D2D7A45" w14:textId="115D8CA2" w:rsidR="00E920DE" w:rsidRPr="00CB64E1" w:rsidRDefault="00E920DE" w:rsidP="00550540">
            <w:pPr>
              <w:rPr>
                <w:spacing w:val="-2"/>
              </w:rPr>
            </w:pPr>
            <w:r>
              <w:rPr>
                <w:spacing w:val="-2"/>
              </w:rPr>
              <w:t xml:space="preserve">Ceny zemědělské výroby (včetně ryb) v 1. čtvrtletí 2022 meziročně vzrostly o 23,9 %. Pokračovalo tak prudké zrychlování tempa jejich růstu. Ceny rostlinné výroby byly meziročně vyšší o 35,0 %. Zrychloval růst cen obilovin (36,1 %), z toho se ceny pšenice navýšily o 37,3 %, žita o 37,9 %, ječmene o 33,5 %, ovsa o 24,4 % a kukuřice o 35,3 %. Ještě výrazněji než u obilovin zrychlil meziroční růst cen v případě průmyslových plodin (42,3 %), zejména olejnin (45,9 %). Krmné plodiny </w:t>
            </w:r>
            <w:r w:rsidR="007D7763">
              <w:rPr>
                <w:spacing w:val="-2"/>
              </w:rPr>
              <w:t>byly meziročně dražší o 8,5 % a</w:t>
            </w:r>
            <w:r w:rsidR="007D7763">
              <w:rPr>
                <w:szCs w:val="20"/>
              </w:rPr>
              <w:t> </w:t>
            </w:r>
            <w:r>
              <w:rPr>
                <w:spacing w:val="-2"/>
              </w:rPr>
              <w:t xml:space="preserve">zelenina a zahradnické produkty o 25,4 %. Na 16,0 % posílil meziroční přírůstek cen brambor. Naopak nižší byly ceny ovoce (-12,0 %). Ceny živočišné výroby v 1. čtvrtletí meziročně vzrostly o 10,4 %. Zrychloval růst cen hospodářských zvířat (6,5 %), a to skotu (16,2 %) i prasat a selat (po šesti čtvrtletích poklesů se jejich ceny zvýšily o 1,3 %). Přírůstek cen drůbeže se udržel na 3,2 %. Ceny živočišných výrobků byly meziročně vyšší o 13,3 %, z toho ceny mléka o 14,0 % a vajec o 4,7 %.       </w:t>
            </w:r>
          </w:p>
        </w:tc>
      </w:tr>
      <w:tr w:rsidR="00E920DE" w:rsidRPr="009110F7" w14:paraId="74077A61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6DBC070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zahraničního obchodu zrychloval. Kurzové vlivy přírůstek cen tlumily.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7723FE9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50AA277" w14:textId="77777777" w:rsidR="00E920DE" w:rsidRPr="00793D78" w:rsidRDefault="00E920DE" w:rsidP="00550540">
            <w:r>
              <w:t>Dynamika cen zahraničního obchodu v 1. čtvrtletí rovněž dál nabírala na síle. Kurzové vlivy meziroční růst cen vývozu i dovozu tlumily, protože koruna vůči euru výrazně meziročně posílila a oslabení vůči dolaru bylo jen mírné</w:t>
            </w:r>
            <w:r>
              <w:rPr>
                <w:rStyle w:val="Znakapoznpodarou"/>
              </w:rPr>
              <w:footnoteReference w:id="5"/>
            </w:r>
            <w:r>
              <w:t>. Ceny vývozu se v 1. čtvrtletí meziročně zvýšily o 11,2 %. Nejvíce přitom rostly ceny minerálních paliv (131,0 %) a ostatních surovin</w:t>
            </w:r>
            <w:r>
              <w:rPr>
                <w:rStyle w:val="Znakapoznpodarou"/>
              </w:rPr>
              <w:footnoteReference w:id="6"/>
            </w:r>
            <w:r>
              <w:t xml:space="preserve"> (41,5 %). Posiloval také výrazný meziroční přírůstek cen polotovarů</w:t>
            </w:r>
            <w:r>
              <w:rPr>
                <w:rStyle w:val="Znakapoznpodarou"/>
              </w:rPr>
              <w:footnoteReference w:id="7"/>
            </w:r>
            <w:r>
              <w:t xml:space="preserve"> (18,8 %), chemikálií a příbuzných výrobků (16,5 %) a potravin a živých zvířat (13,7 %). Mírněji rostly ceny vývozu průmyslového spotřebního zboží (3,7 %), nápojů a tabáku (2,0 %) a strojů a dopravních prostředků (0,5 %).  </w:t>
            </w:r>
          </w:p>
        </w:tc>
      </w:tr>
      <w:tr w:rsidR="00E920DE" w:rsidRPr="009110F7" w14:paraId="074963DB" w14:textId="77777777" w:rsidTr="00550540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DEEE28F" w14:textId="77777777" w:rsidR="00E920DE" w:rsidRPr="00793D78" w:rsidRDefault="00E920DE" w:rsidP="00550540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byly výrazně záporné.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0766396" w14:textId="77777777" w:rsidR="00E920DE" w:rsidRPr="00793D78" w:rsidRDefault="00E920DE" w:rsidP="00550540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8D750F3" w14:textId="77777777" w:rsidR="00E920DE" w:rsidRDefault="00E920DE" w:rsidP="00550540">
            <w:r>
              <w:t xml:space="preserve">Ceny dovozu byly v 1. čtvrtletí meziročně vyšší o 15,4 %. Nejvíce se opět zvyšovaly ceny minerálních paliv (119,7 %) následované polotovary (19,0 %) a ostatními surovinami (16,0 %). Velmi silný byl také růst cen dovozu chemikálií (14,6 %) a nápojů a tabáku (12,7 %). Výrazně posílil meziroční přírůstek cen importu potravin a živých zvířat (6,2 %) a průmyslového spotřebního zboží (4,6 %). Jen mírně se zvyšovaly ceny strojů a dopravních prostředků (0,6 %). Převis tempa růstu cen dovozu nad cenami vývozu se prohluboval a s ním i směnné relace. Ty v 1. čtvrtletí dosáhly 96,4 %. Silně záporné byly směnné relace obchodu s nápoji a tabákem (90,5 %) a negativní hodnoty měly i směnné relace u průmyslového spotřebního zboží (99,1 %), polotovarů (99,8 %) a strojů a dopravních prostředků (99,9 %). Naopak kladné byly směnné relace obchodu s ostatními surovinami (122,0 %), potravinami a živými zvířaty (107,1 %), minerálními palivy (105,1 %) a chemikáliemi (101,7 %). </w:t>
            </w:r>
          </w:p>
        </w:tc>
      </w:tr>
    </w:tbl>
    <w:p w14:paraId="2588796A" w14:textId="77777777" w:rsidR="00E920DE" w:rsidRPr="00E42054" w:rsidRDefault="00E920DE" w:rsidP="00E920DE">
      <w:pPr>
        <w:pStyle w:val="Nadpis11"/>
        <w:rPr>
          <w:b w:val="0"/>
          <w:sz w:val="2"/>
          <w:szCs w:val="2"/>
        </w:rPr>
      </w:pPr>
    </w:p>
    <w:p w14:paraId="692F9C9B" w14:textId="4C29D79F" w:rsidR="00E920DE" w:rsidRDefault="00E920DE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</w:p>
    <w:bookmarkEnd w:id="2"/>
    <w:sectPr w:rsidR="00E920DE" w:rsidSect="00452AE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4C062B93" w14:textId="77777777" w:rsidR="00825120" w:rsidRPr="00114669" w:rsidRDefault="00825120" w:rsidP="00E920DE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2">
    <w:p w14:paraId="23C278FA" w14:textId="77777777" w:rsidR="00825120" w:rsidRPr="00C055FA" w:rsidRDefault="00825120" w:rsidP="00E920DE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je hlavním důvodem rozdílu mezi naměřenými tempy růstu cen</w:t>
      </w:r>
      <w:r w:rsidRPr="00C055FA">
        <w:rPr>
          <w:sz w:val="16"/>
          <w:szCs w:val="16"/>
        </w:rPr>
        <w:t>.</w:t>
      </w:r>
    </w:p>
  </w:footnote>
  <w:footnote w:id="3">
    <w:p w14:paraId="76A7C8BD" w14:textId="77777777" w:rsidR="00825120" w:rsidRPr="005F66A4" w:rsidRDefault="00825120" w:rsidP="00E920DE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4">
    <w:p w14:paraId="1DCCE429" w14:textId="77777777" w:rsidR="00825120" w:rsidRPr="000C5F73" w:rsidRDefault="00825120" w:rsidP="00E920DE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5">
    <w:p w14:paraId="5859C924" w14:textId="77777777" w:rsidR="00825120" w:rsidRPr="00C11C5A" w:rsidRDefault="00825120" w:rsidP="00E920DE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dosáhl v 1. čtvrtletí 2022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24,653 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Loni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>26,07 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Jen mírně slabší byl kurz</w:t>
      </w:r>
      <w:r w:rsidRPr="00C11C5A">
        <w:rPr>
          <w:sz w:val="16"/>
          <w:szCs w:val="16"/>
        </w:rPr>
        <w:t xml:space="preserve"> vůči dolaru. </w:t>
      </w:r>
      <w:r>
        <w:rPr>
          <w:sz w:val="16"/>
          <w:szCs w:val="16"/>
        </w:rPr>
        <w:t xml:space="preserve">V 1. čtvrtletí 2021 </w:t>
      </w:r>
      <w:r w:rsidRPr="00C11C5A">
        <w:rPr>
          <w:sz w:val="16"/>
          <w:szCs w:val="16"/>
        </w:rPr>
        <w:t xml:space="preserve">průměr činil </w:t>
      </w:r>
      <w:r>
        <w:rPr>
          <w:sz w:val="16"/>
          <w:szCs w:val="16"/>
        </w:rPr>
        <w:t>21,641 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1</w:t>
      </w:r>
      <w:r w:rsidRPr="00C11C5A">
        <w:rPr>
          <w:sz w:val="16"/>
          <w:szCs w:val="16"/>
        </w:rPr>
        <w:t>,</w:t>
      </w:r>
      <w:r>
        <w:rPr>
          <w:sz w:val="16"/>
          <w:szCs w:val="16"/>
        </w:rPr>
        <w:t>989 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6">
    <w:p w14:paraId="07865887" w14:textId="77777777" w:rsidR="00825120" w:rsidRPr="00940B11" w:rsidRDefault="00825120" w:rsidP="00E920DE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  <w:footnote w:id="7">
    <w:p w14:paraId="47FEDC7A" w14:textId="77777777" w:rsidR="00825120" w:rsidRPr="00940B11" w:rsidRDefault="00825120" w:rsidP="00E920DE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AE2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471575213004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2'!$C$26:$C$46</c:f>
              <c:numCache>
                <c:formatCode>General</c:formatCode>
                <c:ptCount val="21"/>
                <c:pt idx="0">
                  <c:v>2.4000000000000057</c:v>
                </c:pt>
                <c:pt idx="1">
                  <c:v>2.2000000000000028</c:v>
                </c:pt>
                <c:pt idx="2" formatCode="0.0">
                  <c:v>2.5</c:v>
                </c:pt>
                <c:pt idx="3" formatCode="0.0">
                  <c:v>2.6</c:v>
                </c:pt>
                <c:pt idx="4" formatCode="0.0">
                  <c:v>1.9</c:v>
                </c:pt>
                <c:pt idx="5" formatCode="0.0">
                  <c:v>2.2999999999999998</c:v>
                </c:pt>
                <c:pt idx="6" formatCode="0.0">
                  <c:v>2.4</c:v>
                </c:pt>
                <c:pt idx="7" formatCode="0.0">
                  <c:v>2.1</c:v>
                </c:pt>
                <c:pt idx="8" formatCode="0.0">
                  <c:v>2.7</c:v>
                </c:pt>
                <c:pt idx="9" formatCode="0.0">
                  <c:v>2.8</c:v>
                </c:pt>
                <c:pt idx="10" formatCode="0.0">
                  <c:v>2.8</c:v>
                </c:pt>
                <c:pt idx="11" formatCode="0.0">
                  <c:v>3</c:v>
                </c:pt>
                <c:pt idx="12" formatCode="0.0">
                  <c:v>3.6</c:v>
                </c:pt>
                <c:pt idx="13" formatCode="0.0">
                  <c:v>3.1</c:v>
                </c:pt>
                <c:pt idx="14" formatCode="0.0">
                  <c:v>3.3</c:v>
                </c:pt>
                <c:pt idx="15" formatCode="0.0">
                  <c:v>2.6</c:v>
                </c:pt>
                <c:pt idx="16" formatCode="0.0">
                  <c:v>2.2000000000000002</c:v>
                </c:pt>
                <c:pt idx="17" formatCode="0.0">
                  <c:v>2.9</c:v>
                </c:pt>
                <c:pt idx="18" formatCode="0.0">
                  <c:v>4.0999999999999996</c:v>
                </c:pt>
                <c:pt idx="19" formatCode="0.0">
                  <c:v>6.1</c:v>
                </c:pt>
                <c:pt idx="20" formatCode="0.0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3-44B1-BB61-9D57A6115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2'!$D$26:$D$46</c:f>
              <c:numCache>
                <c:formatCode>General</c:formatCode>
                <c:ptCount val="21"/>
                <c:pt idx="0">
                  <c:v>4.2000000000000028</c:v>
                </c:pt>
                <c:pt idx="1">
                  <c:v>4.5</c:v>
                </c:pt>
                <c:pt idx="2" formatCode="0.0">
                  <c:v>5.7</c:v>
                </c:pt>
                <c:pt idx="3" formatCode="0.0">
                  <c:v>6.3</c:v>
                </c:pt>
                <c:pt idx="4" formatCode="0.0">
                  <c:v>2.9</c:v>
                </c:pt>
                <c:pt idx="5" formatCode="#\ ##0.0_ ;\-#\ ##0.0\ ">
                  <c:v>2.2999999999999998</c:v>
                </c:pt>
                <c:pt idx="6" formatCode="0.0">
                  <c:v>0.6</c:v>
                </c:pt>
                <c:pt idx="7" formatCode="0.0">
                  <c:v>-0.5</c:v>
                </c:pt>
                <c:pt idx="8" formatCode="0.0">
                  <c:v>1</c:v>
                </c:pt>
                <c:pt idx="9" formatCode="0.0">
                  <c:v>2.5</c:v>
                </c:pt>
                <c:pt idx="10" formatCode="0.0">
                  <c:v>3.5</c:v>
                </c:pt>
                <c:pt idx="11" formatCode="0.0">
                  <c:v>4.3</c:v>
                </c:pt>
                <c:pt idx="12" formatCode="0.0">
                  <c:v>6.1</c:v>
                </c:pt>
                <c:pt idx="13" formatCode="0.0">
                  <c:v>6.5</c:v>
                </c:pt>
                <c:pt idx="14" formatCode="0.0">
                  <c:v>4</c:v>
                </c:pt>
                <c:pt idx="15" formatCode="0.0">
                  <c:v>1.7</c:v>
                </c:pt>
                <c:pt idx="16" formatCode="0.0">
                  <c:v>0.3</c:v>
                </c:pt>
                <c:pt idx="17" formatCode="0.0">
                  <c:v>-0.8</c:v>
                </c:pt>
                <c:pt idx="18" formatCode="0.0">
                  <c:v>1.4</c:v>
                </c:pt>
                <c:pt idx="19" formatCode="0.0">
                  <c:v>2.2999999999999998</c:v>
                </c:pt>
                <c:pt idx="20" formatCode="0.0">
                  <c:v>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53-44B1-BB61-9D57A6115E74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2'!$F$26:$F$46</c:f>
              <c:numCache>
                <c:formatCode>General</c:formatCode>
                <c:ptCount val="21"/>
                <c:pt idx="0">
                  <c:v>0.79999999999999716</c:v>
                </c:pt>
                <c:pt idx="1">
                  <c:v>1.5</c:v>
                </c:pt>
                <c:pt idx="2" formatCode="0.0">
                  <c:v>2.1</c:v>
                </c:pt>
                <c:pt idx="3" formatCode="0.0">
                  <c:v>2.2000000000000002</c:v>
                </c:pt>
                <c:pt idx="4" formatCode="0.0">
                  <c:v>2.2999999999999998</c:v>
                </c:pt>
                <c:pt idx="5" formatCode="0.0">
                  <c:v>2.6</c:v>
                </c:pt>
                <c:pt idx="6" formatCode="0.0">
                  <c:v>3.2</c:v>
                </c:pt>
                <c:pt idx="7" formatCode="0.0">
                  <c:v>3.8</c:v>
                </c:pt>
                <c:pt idx="8" formatCode="0.0">
                  <c:v>5.4</c:v>
                </c:pt>
                <c:pt idx="9" formatCode="0.0">
                  <c:v>5.7</c:v>
                </c:pt>
                <c:pt idx="10" formatCode="0.0">
                  <c:v>5.2</c:v>
                </c:pt>
                <c:pt idx="11" formatCode="0.0">
                  <c:v>5</c:v>
                </c:pt>
                <c:pt idx="12" formatCode="0.0">
                  <c:v>4.2</c:v>
                </c:pt>
                <c:pt idx="13" formatCode="0.0">
                  <c:v>3.2</c:v>
                </c:pt>
                <c:pt idx="14" formatCode="0.0">
                  <c:v>2.7</c:v>
                </c:pt>
                <c:pt idx="15" formatCode="0.0">
                  <c:v>1.4</c:v>
                </c:pt>
                <c:pt idx="16" formatCode="0.0">
                  <c:v>0.6</c:v>
                </c:pt>
                <c:pt idx="17" formatCode="0.0">
                  <c:v>1.3</c:v>
                </c:pt>
                <c:pt idx="18" formatCode="0.0">
                  <c:v>3.6</c:v>
                </c:pt>
                <c:pt idx="19" formatCode="0.0">
                  <c:v>5.6</c:v>
                </c:pt>
                <c:pt idx="20" formatCode="0.0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53-44B1-BB61-9D57A6115E74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2'!$G$26:$G$46</c:f>
              <c:numCache>
                <c:formatCode>General</c:formatCode>
                <c:ptCount val="21"/>
                <c:pt idx="0">
                  <c:v>6</c:v>
                </c:pt>
                <c:pt idx="1">
                  <c:v>3.9000000000000057</c:v>
                </c:pt>
                <c:pt idx="2" formatCode="0.0">
                  <c:v>2.5</c:v>
                </c:pt>
                <c:pt idx="3" formatCode="0.0">
                  <c:v>2.5</c:v>
                </c:pt>
                <c:pt idx="4" formatCode="0.0">
                  <c:v>1</c:v>
                </c:pt>
                <c:pt idx="5" formatCode="0.0">
                  <c:v>3</c:v>
                </c:pt>
                <c:pt idx="6" formatCode="0.0">
                  <c:v>4.5</c:v>
                </c:pt>
                <c:pt idx="7" formatCode="0.0">
                  <c:v>2.6</c:v>
                </c:pt>
                <c:pt idx="8" formatCode="0.0">
                  <c:v>0.6</c:v>
                </c:pt>
                <c:pt idx="9" formatCode="0.0">
                  <c:v>0.8</c:v>
                </c:pt>
                <c:pt idx="10" formatCode="0.0">
                  <c:v>-0.2</c:v>
                </c:pt>
                <c:pt idx="11" formatCode="0.0">
                  <c:v>0.5</c:v>
                </c:pt>
                <c:pt idx="12">
                  <c:v>1.7</c:v>
                </c:pt>
                <c:pt idx="13" formatCode="0.0">
                  <c:v>-3.4</c:v>
                </c:pt>
                <c:pt idx="14" formatCode="0.0">
                  <c:v>-0.2</c:v>
                </c:pt>
                <c:pt idx="15" formatCode="0.0">
                  <c:v>0.6</c:v>
                </c:pt>
                <c:pt idx="16" formatCode="0.0">
                  <c:v>2.4</c:v>
                </c:pt>
                <c:pt idx="17" formatCode="0.0">
                  <c:v>9.1</c:v>
                </c:pt>
                <c:pt idx="18" formatCode="0.0">
                  <c:v>8.8000000000000007</c:v>
                </c:pt>
                <c:pt idx="19" formatCode="0.0">
                  <c:v>13.1</c:v>
                </c:pt>
                <c:pt idx="20" formatCode="0.0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53-44B1-BB61-9D57A6115E74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2'!$E$26:$E$46</c:f>
              <c:numCache>
                <c:formatCode>General</c:formatCode>
                <c:ptCount val="21"/>
                <c:pt idx="0">
                  <c:v>3.4000000000000057</c:v>
                </c:pt>
                <c:pt idx="1">
                  <c:v>0.79999999999999716</c:v>
                </c:pt>
                <c:pt idx="2" formatCode="0.0">
                  <c:v>1.3</c:v>
                </c:pt>
                <c:pt idx="3" formatCode="0.0">
                  <c:v>1.5</c:v>
                </c:pt>
                <c:pt idx="4" formatCode="0.0">
                  <c:v>2.5</c:v>
                </c:pt>
                <c:pt idx="5" formatCode="0.0">
                  <c:v>3.6</c:v>
                </c:pt>
                <c:pt idx="6" formatCode="0.0">
                  <c:v>2.8</c:v>
                </c:pt>
                <c:pt idx="7" formatCode="0.0">
                  <c:v>3.1</c:v>
                </c:pt>
                <c:pt idx="8" formatCode="0.0">
                  <c:v>3.3</c:v>
                </c:pt>
                <c:pt idx="9" formatCode="0.0">
                  <c:v>1.7</c:v>
                </c:pt>
                <c:pt idx="10" formatCode="0.0">
                  <c:v>1.9</c:v>
                </c:pt>
                <c:pt idx="11" formatCode="0.0">
                  <c:v>1.8</c:v>
                </c:pt>
                <c:pt idx="12">
                  <c:v>3.5</c:v>
                </c:pt>
                <c:pt idx="13" formatCode="0.0">
                  <c:v>6.6</c:v>
                </c:pt>
                <c:pt idx="14" formatCode="0.0">
                  <c:v>10.3</c:v>
                </c:pt>
                <c:pt idx="15" formatCode="0.0">
                  <c:v>9.9</c:v>
                </c:pt>
                <c:pt idx="16" formatCode="0.0">
                  <c:v>9.9</c:v>
                </c:pt>
                <c:pt idx="17" formatCode="0.0">
                  <c:v>9.8000000000000007</c:v>
                </c:pt>
                <c:pt idx="18" formatCode="0.0">
                  <c:v>6.5</c:v>
                </c:pt>
                <c:pt idx="19" formatCode="0.0">
                  <c:v>7.7</c:v>
                </c:pt>
                <c:pt idx="20" formatCode="0.0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953-44B1-BB61-9D57A6115E74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2'!$H$26:$H$46</c:f>
              <c:numCache>
                <c:formatCode>###\ ###\ ##0.0</c:formatCode>
                <c:ptCount val="21"/>
                <c:pt idx="0">
                  <c:v>5.2000000000000028</c:v>
                </c:pt>
                <c:pt idx="1">
                  <c:v>5.7999999999999972</c:v>
                </c:pt>
                <c:pt idx="2">
                  <c:v>6.2999999999999972</c:v>
                </c:pt>
                <c:pt idx="3" formatCode="0.0">
                  <c:v>5.6</c:v>
                </c:pt>
                <c:pt idx="4" formatCode="0.0">
                  <c:v>3.5</c:v>
                </c:pt>
                <c:pt idx="5" formatCode="0.0">
                  <c:v>3.6</c:v>
                </c:pt>
                <c:pt idx="6" formatCode="0.0">
                  <c:v>3.5</c:v>
                </c:pt>
                <c:pt idx="7" formatCode="0.0">
                  <c:v>3.7</c:v>
                </c:pt>
                <c:pt idx="8" formatCode="0.0">
                  <c:v>3.8</c:v>
                </c:pt>
                <c:pt idx="9" formatCode="0.0">
                  <c:v>4</c:v>
                </c:pt>
                <c:pt idx="10" formatCode="0.0">
                  <c:v>4.5</c:v>
                </c:pt>
                <c:pt idx="11" formatCode="0.0">
                  <c:v>4.5999999999999996</c:v>
                </c:pt>
                <c:pt idx="12" formatCode="0.0">
                  <c:v>5.5</c:v>
                </c:pt>
                <c:pt idx="13" formatCode="0.0">
                  <c:v>5.0999999999999996</c:v>
                </c:pt>
                <c:pt idx="14" formatCode="0.0">
                  <c:v>4.9000000000000004</c:v>
                </c:pt>
                <c:pt idx="15" formatCode="0.0">
                  <c:v>4.3</c:v>
                </c:pt>
                <c:pt idx="16" formatCode="0.0">
                  <c:v>3</c:v>
                </c:pt>
                <c:pt idx="17" formatCode="0.0">
                  <c:v>2.9</c:v>
                </c:pt>
                <c:pt idx="18" formatCode="0.0">
                  <c:v>4.5999999999999996</c:v>
                </c:pt>
                <c:pt idx="19" formatCode="0.0">
                  <c:v>6.8</c:v>
                </c:pt>
                <c:pt idx="20" formatCode="0.0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953-44B1-BB61-9D57A6115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  <c:max val="18"/>
          <c:min val="-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5444938788566116"/>
          <c:w val="0.92202296521445437"/>
          <c:h val="0.1381645293553171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1'!$C$26:$C$46</c:f>
              <c:numCache>
                <c:formatCode>General</c:formatCode>
                <c:ptCount val="21"/>
                <c:pt idx="0">
                  <c:v>17.200000000000003</c:v>
                </c:pt>
                <c:pt idx="1">
                  <c:v>18.700000000000003</c:v>
                </c:pt>
                <c:pt idx="2">
                  <c:v>15.799999999999997</c:v>
                </c:pt>
                <c:pt idx="3">
                  <c:v>12</c:v>
                </c:pt>
                <c:pt idx="4">
                  <c:v>9.2000000000000028</c:v>
                </c:pt>
                <c:pt idx="5">
                  <c:v>8</c:v>
                </c:pt>
                <c:pt idx="6">
                  <c:v>9.4000000000000057</c:v>
                </c:pt>
                <c:pt idx="7">
                  <c:v>11.400000000000006</c:v>
                </c:pt>
                <c:pt idx="8">
                  <c:v>11.299999999999997</c:v>
                </c:pt>
                <c:pt idx="9">
                  <c:v>10.599999999999994</c:v>
                </c:pt>
                <c:pt idx="10">
                  <c:v>9.5</c:v>
                </c:pt>
                <c:pt idx="11">
                  <c:v>9.4000000000000057</c:v>
                </c:pt>
                <c:pt idx="12">
                  <c:v>10.599999999999994</c:v>
                </c:pt>
                <c:pt idx="13">
                  <c:v>10.200000000000003</c:v>
                </c:pt>
                <c:pt idx="14">
                  <c:v>11.200000000000003</c:v>
                </c:pt>
                <c:pt idx="15">
                  <c:v>13.299999999999997</c:v>
                </c:pt>
                <c:pt idx="16">
                  <c:v>15.200000000000003</c:v>
                </c:pt>
                <c:pt idx="17">
                  <c:v>17.900000000000006</c:v>
                </c:pt>
                <c:pt idx="18">
                  <c:v>21.299999999999997</c:v>
                </c:pt>
                <c:pt idx="19">
                  <c:v>25.200000000000003</c:v>
                </c:pt>
                <c:pt idx="20">
                  <c:v>27.299999999999997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3-4F6A-9C60-CB78FEF7D690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1'!$D$26:$D$46</c:f>
              <c:numCache>
                <c:formatCode>General</c:formatCode>
                <c:ptCount val="21"/>
                <c:pt idx="0">
                  <c:v>16.200000000000003</c:v>
                </c:pt>
                <c:pt idx="1">
                  <c:v>19</c:v>
                </c:pt>
                <c:pt idx="2">
                  <c:v>16.400000000000006</c:v>
                </c:pt>
                <c:pt idx="3">
                  <c:v>11.099999999999994</c:v>
                </c:pt>
                <c:pt idx="4">
                  <c:v>8.2999999999999972</c:v>
                </c:pt>
                <c:pt idx="5">
                  <c:v>4</c:v>
                </c:pt>
                <c:pt idx="6">
                  <c:v>6</c:v>
                </c:pt>
                <c:pt idx="7">
                  <c:v>8.7000000000000028</c:v>
                </c:pt>
                <c:pt idx="8">
                  <c:v>9.4000000000000057</c:v>
                </c:pt>
                <c:pt idx="9">
                  <c:v>8.7000000000000028</c:v>
                </c:pt>
                <c:pt idx="10">
                  <c:v>6.5</c:v>
                </c:pt>
                <c:pt idx="11">
                  <c:v>7.0999999999999943</c:v>
                </c:pt>
                <c:pt idx="12">
                  <c:v>6.2000000000000028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10.599999999999994</c:v>
                </c:pt>
                <c:pt idx="16">
                  <c:v>14.299999999999997</c:v>
                </c:pt>
                <c:pt idx="17">
                  <c:v>15.799999999999997</c:v>
                </c:pt>
                <c:pt idx="18">
                  <c:v>16.599999999999994</c:v>
                </c:pt>
                <c:pt idx="19">
                  <c:v>20</c:v>
                </c:pt>
                <c:pt idx="2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3-4F6A-9C60-CB78FEF7D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1'!$E$26:$E$46</c:f>
              <c:numCache>
                <c:formatCode>General</c:formatCode>
                <c:ptCount val="21"/>
                <c:pt idx="0" formatCode="0.0">
                  <c:v>9.5238095238095184</c:v>
                </c:pt>
                <c:pt idx="1">
                  <c:v>9.5278969957081472</c:v>
                </c:pt>
                <c:pt idx="2">
                  <c:v>12.542087542087543</c:v>
                </c:pt>
                <c:pt idx="3">
                  <c:v>12.469237079573418</c:v>
                </c:pt>
                <c:pt idx="4">
                  <c:v>12.801932367149746</c:v>
                </c:pt>
                <c:pt idx="5">
                  <c:v>12.225705329153584</c:v>
                </c:pt>
                <c:pt idx="6">
                  <c:v>9.498878085265531</c:v>
                </c:pt>
                <c:pt idx="7">
                  <c:v>8.4609773887673185</c:v>
                </c:pt>
                <c:pt idx="8">
                  <c:v>7.4232690935046435</c:v>
                </c:pt>
                <c:pt idx="9">
                  <c:v>5.7262569832402335</c:v>
                </c:pt>
                <c:pt idx="10">
                  <c:v>5.1912568306010911</c:v>
                </c:pt>
                <c:pt idx="11">
                  <c:v>5.5144586415601964</c:v>
                </c:pt>
                <c:pt idx="12">
                  <c:v>6.0465116279069662</c:v>
                </c:pt>
                <c:pt idx="13">
                  <c:v>7.1334214002641829</c:v>
                </c:pt>
                <c:pt idx="14">
                  <c:v>7.9870129870129887</c:v>
                </c:pt>
                <c:pt idx="15">
                  <c:v>7.6481835564053569</c:v>
                </c:pt>
                <c:pt idx="16">
                  <c:v>7.6441102756892292</c:v>
                </c:pt>
                <c:pt idx="17">
                  <c:v>7.9531442663378584</c:v>
                </c:pt>
                <c:pt idx="18">
                  <c:v>9.3205051112447421</c:v>
                </c:pt>
                <c:pt idx="19">
                  <c:v>12.433392539964473</c:v>
                </c:pt>
                <c:pt idx="20">
                  <c:v>16.880093131548307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E3-4F6A-9C60-CB78FEF7D690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1'!$F$26:$F$46</c:f>
              <c:numCache>
                <c:formatCode>General</c:formatCode>
                <c:ptCount val="21"/>
                <c:pt idx="0" formatCode="0.0">
                  <c:v>13.636363636363626</c:v>
                </c:pt>
                <c:pt idx="1">
                  <c:v>14.589905362776051</c:v>
                </c:pt>
                <c:pt idx="2">
                  <c:v>18.266253869969049</c:v>
                </c:pt>
                <c:pt idx="3">
                  <c:v>18.773373223635019</c:v>
                </c:pt>
                <c:pt idx="4">
                  <c:v>15.071428571428555</c:v>
                </c:pt>
                <c:pt idx="5">
                  <c:v>14.24638678596007</c:v>
                </c:pt>
                <c:pt idx="6">
                  <c:v>10.732984293193695</c:v>
                </c:pt>
                <c:pt idx="7">
                  <c:v>8.7531486146095574</c:v>
                </c:pt>
                <c:pt idx="8">
                  <c:v>8.3178150217256359</c:v>
                </c:pt>
                <c:pt idx="9">
                  <c:v>4.9397590361445651</c:v>
                </c:pt>
                <c:pt idx="10">
                  <c:v>3.3096926713947994</c:v>
                </c:pt>
                <c:pt idx="11">
                  <c:v>2.9530978575564575</c:v>
                </c:pt>
                <c:pt idx="12">
                  <c:v>3.5530085959885298</c:v>
                </c:pt>
                <c:pt idx="13">
                  <c:v>5.2812858783008068</c:v>
                </c:pt>
                <c:pt idx="14">
                  <c:v>6.2356979405034281</c:v>
                </c:pt>
                <c:pt idx="15">
                  <c:v>5.1743532058492718</c:v>
                </c:pt>
                <c:pt idx="16">
                  <c:v>4.759269507470961</c:v>
                </c:pt>
                <c:pt idx="17">
                  <c:v>4.5256270447110012</c:v>
                </c:pt>
                <c:pt idx="18">
                  <c:v>6.2466343564889826</c:v>
                </c:pt>
                <c:pt idx="19">
                  <c:v>9.1443850267379503</c:v>
                </c:pt>
                <c:pt idx="20">
                  <c:v>12.255678816693077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EE3-4F6A-9C60-CB78FEF7D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ax val="2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4'!$A$54:$B$116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4'!$C$54:$C$116</c:f>
              <c:numCache>
                <c:formatCode>General</c:formatCode>
                <c:ptCount val="63"/>
                <c:pt idx="0">
                  <c:v>2.0999999999999943</c:v>
                </c:pt>
                <c:pt idx="1">
                  <c:v>3.0999999999999943</c:v>
                </c:pt>
                <c:pt idx="2" formatCode="0.0">
                  <c:v>3</c:v>
                </c:pt>
                <c:pt idx="3" formatCode="0.0">
                  <c:v>3.2000000000000028</c:v>
                </c:pt>
                <c:pt idx="4">
                  <c:v>2.2999999999999972</c:v>
                </c:pt>
                <c:pt idx="5">
                  <c:v>1.2999999999999972</c:v>
                </c:pt>
                <c:pt idx="6">
                  <c:v>1.1000000000000001</c:v>
                </c:pt>
                <c:pt idx="7">
                  <c:v>1.4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0.7</c:v>
                </c:pt>
                <c:pt idx="12">
                  <c:v>0.5</c:v>
                </c:pt>
                <c:pt idx="13">
                  <c:v>-0.3</c:v>
                </c:pt>
                <c:pt idx="14">
                  <c:v>0.1</c:v>
                </c:pt>
                <c:pt idx="15">
                  <c:v>0</c:v>
                </c:pt>
                <c:pt idx="16">
                  <c:v>1.5</c:v>
                </c:pt>
                <c:pt idx="17">
                  <c:v>2.9</c:v>
                </c:pt>
                <c:pt idx="18">
                  <c:v>3.4</c:v>
                </c:pt>
                <c:pt idx="19">
                  <c:v>3.3</c:v>
                </c:pt>
                <c:pt idx="20">
                  <c:v>3.2</c:v>
                </c:pt>
                <c:pt idx="21">
                  <c:v>3.9</c:v>
                </c:pt>
                <c:pt idx="22">
                  <c:v>3.9</c:v>
                </c:pt>
                <c:pt idx="23">
                  <c:v>2.4</c:v>
                </c:pt>
                <c:pt idx="24">
                  <c:v>2.9</c:v>
                </c:pt>
                <c:pt idx="25">
                  <c:v>3.6</c:v>
                </c:pt>
                <c:pt idx="26">
                  <c:v>3.8</c:v>
                </c:pt>
                <c:pt idx="27">
                  <c:v>4.3</c:v>
                </c:pt>
                <c:pt idx="28">
                  <c:v>3.8</c:v>
                </c:pt>
                <c:pt idx="29">
                  <c:v>2.5</c:v>
                </c:pt>
                <c:pt idx="30">
                  <c:v>2.1</c:v>
                </c:pt>
                <c:pt idx="31">
                  <c:v>2.1</c:v>
                </c:pt>
                <c:pt idx="32">
                  <c:v>1.9</c:v>
                </c:pt>
                <c:pt idx="33">
                  <c:v>0.9</c:v>
                </c:pt>
                <c:pt idx="34">
                  <c:v>0.9</c:v>
                </c:pt>
                <c:pt idx="35">
                  <c:v>2.1</c:v>
                </c:pt>
                <c:pt idx="36">
                  <c:v>2.4</c:v>
                </c:pt>
                <c:pt idx="37">
                  <c:v>1.4</c:v>
                </c:pt>
                <c:pt idx="38">
                  <c:v>0.4</c:v>
                </c:pt>
                <c:pt idx="39">
                  <c:v>-0.8</c:v>
                </c:pt>
                <c:pt idx="40">
                  <c:v>-0.9</c:v>
                </c:pt>
                <c:pt idx="41">
                  <c:v>-0.3</c:v>
                </c:pt>
                <c:pt idx="42">
                  <c:v>-0.1</c:v>
                </c:pt>
                <c:pt idx="43">
                  <c:v>-0.5</c:v>
                </c:pt>
                <c:pt idx="44">
                  <c:v>-0.4</c:v>
                </c:pt>
                <c:pt idx="45">
                  <c:v>0.3</c:v>
                </c:pt>
                <c:pt idx="46">
                  <c:v>-0.1</c:v>
                </c:pt>
                <c:pt idx="47">
                  <c:v>0</c:v>
                </c:pt>
                <c:pt idx="48">
                  <c:v>0</c:v>
                </c:pt>
                <c:pt idx="49">
                  <c:v>1.4</c:v>
                </c:pt>
                <c:pt idx="50">
                  <c:v>3.3</c:v>
                </c:pt>
                <c:pt idx="51">
                  <c:v>4.5999999999999996</c:v>
                </c:pt>
                <c:pt idx="52">
                  <c:v>5.0999999999999996</c:v>
                </c:pt>
                <c:pt idx="53">
                  <c:v>6.1</c:v>
                </c:pt>
                <c:pt idx="54">
                  <c:v>7.8</c:v>
                </c:pt>
                <c:pt idx="55">
                  <c:v>9.3000000000000007</c:v>
                </c:pt>
                <c:pt idx="56">
                  <c:v>9.9</c:v>
                </c:pt>
                <c:pt idx="57">
                  <c:v>11.6</c:v>
                </c:pt>
                <c:pt idx="58">
                  <c:v>13.5</c:v>
                </c:pt>
                <c:pt idx="59">
                  <c:v>13.2</c:v>
                </c:pt>
                <c:pt idx="60">
                  <c:v>19.399999999999999</c:v>
                </c:pt>
                <c:pt idx="61">
                  <c:v>21.3</c:v>
                </c:pt>
                <c:pt idx="62">
                  <c:v>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02-49A2-8806-548FE57C3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4'!$A$54:$B$116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4'!$D$54:$D$116</c:f>
              <c:numCache>
                <c:formatCode>General</c:formatCode>
                <c:ptCount val="63"/>
                <c:pt idx="0">
                  <c:v>2.2999999999999972</c:v>
                </c:pt>
                <c:pt idx="1">
                  <c:v>5.7999999999999972</c:v>
                </c:pt>
                <c:pt idx="2" formatCode="0.0">
                  <c:v>6.2000000000000028</c:v>
                </c:pt>
                <c:pt idx="3" formatCode="0.0">
                  <c:v>6.4000000000000057</c:v>
                </c:pt>
                <c:pt idx="4">
                  <c:v>4.2999999999999972</c:v>
                </c:pt>
                <c:pt idx="5">
                  <c:v>4.0999999999999943</c:v>
                </c:pt>
                <c:pt idx="6">
                  <c:v>2.9</c:v>
                </c:pt>
                <c:pt idx="7">
                  <c:v>1.7</c:v>
                </c:pt>
                <c:pt idx="8">
                  <c:v>1.9</c:v>
                </c:pt>
                <c:pt idx="9">
                  <c:v>3.4</c:v>
                </c:pt>
                <c:pt idx="10">
                  <c:v>3.3</c:v>
                </c:pt>
                <c:pt idx="11">
                  <c:v>3.6</c:v>
                </c:pt>
                <c:pt idx="12">
                  <c:v>6.7</c:v>
                </c:pt>
                <c:pt idx="13">
                  <c:v>5</c:v>
                </c:pt>
                <c:pt idx="14">
                  <c:v>4.3</c:v>
                </c:pt>
                <c:pt idx="15">
                  <c:v>4.5999999999999996</c:v>
                </c:pt>
                <c:pt idx="16">
                  <c:v>7.4</c:v>
                </c:pt>
                <c:pt idx="17">
                  <c:v>8</c:v>
                </c:pt>
                <c:pt idx="18">
                  <c:v>8.4</c:v>
                </c:pt>
                <c:pt idx="19">
                  <c:v>10.1</c:v>
                </c:pt>
                <c:pt idx="20">
                  <c:v>9.9</c:v>
                </c:pt>
                <c:pt idx="21">
                  <c:v>9</c:v>
                </c:pt>
                <c:pt idx="22">
                  <c:v>9.1999999999999993</c:v>
                </c:pt>
                <c:pt idx="23">
                  <c:v>8.3000000000000007</c:v>
                </c:pt>
                <c:pt idx="24">
                  <c:v>7.9</c:v>
                </c:pt>
                <c:pt idx="25">
                  <c:v>7.4</c:v>
                </c:pt>
                <c:pt idx="26">
                  <c:v>8</c:v>
                </c:pt>
                <c:pt idx="27">
                  <c:v>8.4</c:v>
                </c:pt>
                <c:pt idx="28">
                  <c:v>7.5</c:v>
                </c:pt>
                <c:pt idx="29">
                  <c:v>7.1</c:v>
                </c:pt>
                <c:pt idx="30">
                  <c:v>6.9</c:v>
                </c:pt>
                <c:pt idx="31">
                  <c:v>6.8</c:v>
                </c:pt>
                <c:pt idx="32">
                  <c:v>6.6</c:v>
                </c:pt>
                <c:pt idx="33">
                  <c:v>3.6</c:v>
                </c:pt>
                <c:pt idx="34">
                  <c:v>3.2</c:v>
                </c:pt>
                <c:pt idx="35">
                  <c:v>4.3</c:v>
                </c:pt>
                <c:pt idx="36">
                  <c:v>-2.1</c:v>
                </c:pt>
                <c:pt idx="37">
                  <c:v>-1.8</c:v>
                </c:pt>
                <c:pt idx="38">
                  <c:v>-2.6</c:v>
                </c:pt>
                <c:pt idx="39">
                  <c:v>-3.7</c:v>
                </c:pt>
                <c:pt idx="40">
                  <c:v>-3.1</c:v>
                </c:pt>
                <c:pt idx="41">
                  <c:v>-3.6</c:v>
                </c:pt>
                <c:pt idx="42">
                  <c:v>-3.5</c:v>
                </c:pt>
                <c:pt idx="43">
                  <c:v>-3.5</c:v>
                </c:pt>
                <c:pt idx="44">
                  <c:v>-3.7</c:v>
                </c:pt>
                <c:pt idx="45">
                  <c:v>-1.9</c:v>
                </c:pt>
                <c:pt idx="46">
                  <c:v>-1.8</c:v>
                </c:pt>
                <c:pt idx="47">
                  <c:v>-2.2000000000000002</c:v>
                </c:pt>
                <c:pt idx="48">
                  <c:v>-0.3</c:v>
                </c:pt>
                <c:pt idx="49">
                  <c:v>-0.8</c:v>
                </c:pt>
                <c:pt idx="50">
                  <c:v>-0.3</c:v>
                </c:pt>
                <c:pt idx="51">
                  <c:v>1</c:v>
                </c:pt>
                <c:pt idx="52">
                  <c:v>0.3</c:v>
                </c:pt>
                <c:pt idx="53">
                  <c:v>1.1000000000000001</c:v>
                </c:pt>
                <c:pt idx="54">
                  <c:v>2</c:v>
                </c:pt>
                <c:pt idx="55">
                  <c:v>3.6</c:v>
                </c:pt>
                <c:pt idx="56">
                  <c:v>4.3</c:v>
                </c:pt>
                <c:pt idx="57">
                  <c:v>12.7</c:v>
                </c:pt>
                <c:pt idx="58">
                  <c:v>14</c:v>
                </c:pt>
                <c:pt idx="59">
                  <c:v>14.6</c:v>
                </c:pt>
                <c:pt idx="60">
                  <c:v>24.2</c:v>
                </c:pt>
                <c:pt idx="61">
                  <c:v>25.1</c:v>
                </c:pt>
                <c:pt idx="62">
                  <c:v>26.3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02-49A2-8806-548FE57C3382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4'!$A$54:$B$116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4'!$E$54:$E$116</c:f>
              <c:numCache>
                <c:formatCode>General</c:formatCode>
                <c:ptCount val="63"/>
                <c:pt idx="0">
                  <c:v>2.5999999999999943</c:v>
                </c:pt>
                <c:pt idx="1">
                  <c:v>4</c:v>
                </c:pt>
                <c:pt idx="2" formatCode="0.0">
                  <c:v>3.7999999999999972</c:v>
                </c:pt>
                <c:pt idx="3" formatCode="0.0">
                  <c:v>4</c:v>
                </c:pt>
                <c:pt idx="4">
                  <c:v>2.7999999999999972</c:v>
                </c:pt>
                <c:pt idx="5">
                  <c:v>1.5</c:v>
                </c:pt>
                <c:pt idx="6">
                  <c:v>1.4</c:v>
                </c:pt>
                <c:pt idx="7">
                  <c:v>2</c:v>
                </c:pt>
                <c:pt idx="8">
                  <c:v>2.1</c:v>
                </c:pt>
                <c:pt idx="9">
                  <c:v>1.4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0.2</c:v>
                </c:pt>
                <c:pt idx="13">
                  <c:v>-0.9</c:v>
                </c:pt>
                <c:pt idx="14">
                  <c:v>-0.5</c:v>
                </c:pt>
                <c:pt idx="15">
                  <c:v>-0.5</c:v>
                </c:pt>
                <c:pt idx="16">
                  <c:v>1.3</c:v>
                </c:pt>
                <c:pt idx="17">
                  <c:v>2.8</c:v>
                </c:pt>
                <c:pt idx="18">
                  <c:v>3.4</c:v>
                </c:pt>
                <c:pt idx="19">
                  <c:v>3.2</c:v>
                </c:pt>
                <c:pt idx="20">
                  <c:v>3</c:v>
                </c:pt>
                <c:pt idx="21">
                  <c:v>3.8</c:v>
                </c:pt>
                <c:pt idx="22">
                  <c:v>3.9</c:v>
                </c:pt>
                <c:pt idx="23">
                  <c:v>2.2000000000000002</c:v>
                </c:pt>
                <c:pt idx="24">
                  <c:v>1.9</c:v>
                </c:pt>
                <c:pt idx="25">
                  <c:v>2.9</c:v>
                </c:pt>
                <c:pt idx="26">
                  <c:v>3</c:v>
                </c:pt>
                <c:pt idx="27">
                  <c:v>3.5</c:v>
                </c:pt>
                <c:pt idx="28">
                  <c:v>2.9</c:v>
                </c:pt>
                <c:pt idx="29">
                  <c:v>1.4</c:v>
                </c:pt>
                <c:pt idx="30">
                  <c:v>0.9</c:v>
                </c:pt>
                <c:pt idx="31">
                  <c:v>0.8</c:v>
                </c:pt>
                <c:pt idx="32">
                  <c:v>0.7</c:v>
                </c:pt>
                <c:pt idx="33">
                  <c:v>-0.4</c:v>
                </c:pt>
                <c:pt idx="34">
                  <c:v>-0.7</c:v>
                </c:pt>
                <c:pt idx="35">
                  <c:v>0.8</c:v>
                </c:pt>
                <c:pt idx="36">
                  <c:v>1.2</c:v>
                </c:pt>
                <c:pt idx="37">
                  <c:v>-0.1</c:v>
                </c:pt>
                <c:pt idx="38">
                  <c:v>-1.2</c:v>
                </c:pt>
                <c:pt idx="39">
                  <c:v>-2.5</c:v>
                </c:pt>
                <c:pt idx="40">
                  <c:v>-2.6</c:v>
                </c:pt>
                <c:pt idx="41">
                  <c:v>-1.9</c:v>
                </c:pt>
                <c:pt idx="42">
                  <c:v>-1.6</c:v>
                </c:pt>
                <c:pt idx="43">
                  <c:v>-2</c:v>
                </c:pt>
                <c:pt idx="44">
                  <c:v>-1.9</c:v>
                </c:pt>
                <c:pt idx="45">
                  <c:v>-1.1000000000000001</c:v>
                </c:pt>
                <c:pt idx="46">
                  <c:v>-1.4</c:v>
                </c:pt>
                <c:pt idx="47">
                  <c:v>-1.2</c:v>
                </c:pt>
                <c:pt idx="48">
                  <c:v>-0.3</c:v>
                </c:pt>
                <c:pt idx="49">
                  <c:v>1.6</c:v>
                </c:pt>
                <c:pt idx="50">
                  <c:v>4.0999999999999996</c:v>
                </c:pt>
                <c:pt idx="51">
                  <c:v>5.6</c:v>
                </c:pt>
                <c:pt idx="52">
                  <c:v>6.3</c:v>
                </c:pt>
                <c:pt idx="53">
                  <c:v>7.4</c:v>
                </c:pt>
                <c:pt idx="54">
                  <c:v>9.5</c:v>
                </c:pt>
                <c:pt idx="55">
                  <c:v>11.4</c:v>
                </c:pt>
                <c:pt idx="56">
                  <c:v>12</c:v>
                </c:pt>
                <c:pt idx="57">
                  <c:v>13.4</c:v>
                </c:pt>
                <c:pt idx="58">
                  <c:v>15.4</c:v>
                </c:pt>
                <c:pt idx="59">
                  <c:v>14.7</c:v>
                </c:pt>
                <c:pt idx="60">
                  <c:v>15.5</c:v>
                </c:pt>
                <c:pt idx="61">
                  <c:v>16.600000000000001</c:v>
                </c:pt>
                <c:pt idx="62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02-49A2-8806-548FE57C3382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4'!$A$54:$B$116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4'!$F$54:$F$116</c:f>
              <c:numCache>
                <c:formatCode>General</c:formatCode>
                <c:ptCount val="63"/>
                <c:pt idx="0">
                  <c:v>-1.0999999999999943</c:v>
                </c:pt>
                <c:pt idx="1">
                  <c:v>-1.2000000000000028</c:v>
                </c:pt>
                <c:pt idx="2" formatCode="0.0">
                  <c:v>-1.2000000000000028</c:v>
                </c:pt>
                <c:pt idx="3" formatCode="0.0">
                  <c:v>-1.4000000000000057</c:v>
                </c:pt>
                <c:pt idx="4">
                  <c:v>-1.2999999999999972</c:v>
                </c:pt>
                <c:pt idx="5">
                  <c:v>-1.0999999999999943</c:v>
                </c:pt>
                <c:pt idx="6">
                  <c:v>-1.1000000000000001</c:v>
                </c:pt>
                <c:pt idx="7">
                  <c:v>-1.3</c:v>
                </c:pt>
                <c:pt idx="8">
                  <c:v>-1.1000000000000001</c:v>
                </c:pt>
                <c:pt idx="9">
                  <c:v>-1.1000000000000001</c:v>
                </c:pt>
                <c:pt idx="10">
                  <c:v>-1.1000000000000001</c:v>
                </c:pt>
                <c:pt idx="11">
                  <c:v>-1.1000000000000001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1.7</c:v>
                </c:pt>
                <c:pt idx="16">
                  <c:v>1.7</c:v>
                </c:pt>
                <c:pt idx="17">
                  <c:v>2.2999999999999998</c:v>
                </c:pt>
                <c:pt idx="18">
                  <c:v>2.2999999999999998</c:v>
                </c:pt>
                <c:pt idx="19">
                  <c:v>2.6</c:v>
                </c:pt>
                <c:pt idx="20">
                  <c:v>2.7</c:v>
                </c:pt>
                <c:pt idx="21">
                  <c:v>2.8</c:v>
                </c:pt>
                <c:pt idx="22">
                  <c:v>2.8</c:v>
                </c:pt>
                <c:pt idx="23">
                  <c:v>2.8</c:v>
                </c:pt>
                <c:pt idx="24">
                  <c:v>7.2</c:v>
                </c:pt>
                <c:pt idx="25">
                  <c:v>7.5</c:v>
                </c:pt>
                <c:pt idx="26">
                  <c:v>8.4</c:v>
                </c:pt>
                <c:pt idx="27">
                  <c:v>8.1999999999999993</c:v>
                </c:pt>
                <c:pt idx="28">
                  <c:v>8.6</c:v>
                </c:pt>
                <c:pt idx="29">
                  <c:v>7.9</c:v>
                </c:pt>
                <c:pt idx="30">
                  <c:v>8</c:v>
                </c:pt>
                <c:pt idx="31">
                  <c:v>7.7</c:v>
                </c:pt>
                <c:pt idx="32">
                  <c:v>7.7</c:v>
                </c:pt>
                <c:pt idx="33">
                  <c:v>7.5</c:v>
                </c:pt>
                <c:pt idx="34">
                  <c:v>8.6999999999999993</c:v>
                </c:pt>
                <c:pt idx="35">
                  <c:v>8.8000000000000007</c:v>
                </c:pt>
                <c:pt idx="36">
                  <c:v>9.3000000000000007</c:v>
                </c:pt>
                <c:pt idx="37">
                  <c:v>9</c:v>
                </c:pt>
                <c:pt idx="38">
                  <c:v>8.3000000000000007</c:v>
                </c:pt>
                <c:pt idx="39">
                  <c:v>8.6</c:v>
                </c:pt>
                <c:pt idx="40">
                  <c:v>8</c:v>
                </c:pt>
                <c:pt idx="41">
                  <c:v>8</c:v>
                </c:pt>
                <c:pt idx="42">
                  <c:v>7.7</c:v>
                </c:pt>
                <c:pt idx="43">
                  <c:v>7.9</c:v>
                </c:pt>
                <c:pt idx="44">
                  <c:v>7.7</c:v>
                </c:pt>
                <c:pt idx="45">
                  <c:v>7</c:v>
                </c:pt>
                <c:pt idx="46">
                  <c:v>5.8</c:v>
                </c:pt>
                <c:pt idx="47">
                  <c:v>5.6</c:v>
                </c:pt>
                <c:pt idx="48">
                  <c:v>0.4</c:v>
                </c:pt>
                <c:pt idx="49">
                  <c:v>0.4</c:v>
                </c:pt>
                <c:pt idx="50">
                  <c:v>0.1</c:v>
                </c:pt>
                <c:pt idx="51">
                  <c:v>-0.1</c:v>
                </c:pt>
                <c:pt idx="52">
                  <c:v>0.2</c:v>
                </c:pt>
                <c:pt idx="53">
                  <c:v>0.2</c:v>
                </c:pt>
                <c:pt idx="54">
                  <c:v>0.5</c:v>
                </c:pt>
                <c:pt idx="55">
                  <c:v>0.7</c:v>
                </c:pt>
                <c:pt idx="56">
                  <c:v>1.2</c:v>
                </c:pt>
                <c:pt idx="57">
                  <c:v>3.7</c:v>
                </c:pt>
                <c:pt idx="58">
                  <c:v>5.6</c:v>
                </c:pt>
                <c:pt idx="59">
                  <c:v>7.1</c:v>
                </c:pt>
                <c:pt idx="60">
                  <c:v>40.6</c:v>
                </c:pt>
                <c:pt idx="61">
                  <c:v>45.5</c:v>
                </c:pt>
                <c:pt idx="62">
                  <c:v>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D02-49A2-8806-548FE57C3382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4'!$A$54:$B$116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4'!$G$54:$G$116</c:f>
              <c:numCache>
                <c:formatCode>General</c:formatCode>
                <c:ptCount val="63"/>
                <c:pt idx="0">
                  <c:v>2.0999999999999943</c:v>
                </c:pt>
                <c:pt idx="1">
                  <c:v>2.0999999999999943</c:v>
                </c:pt>
                <c:pt idx="2" formatCode="0.0">
                  <c:v>2.0999999999999943</c:v>
                </c:pt>
                <c:pt idx="3" formatCode="0.0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1.9</c:v>
                </c:pt>
                <c:pt idx="13">
                  <c:v>1.9</c:v>
                </c:pt>
                <c:pt idx="14">
                  <c:v>1.9</c:v>
                </c:pt>
                <c:pt idx="15">
                  <c:v>1.9</c:v>
                </c:pt>
                <c:pt idx="16">
                  <c:v>1.9</c:v>
                </c:pt>
                <c:pt idx="17">
                  <c:v>1.9</c:v>
                </c:pt>
                <c:pt idx="18">
                  <c:v>1.9</c:v>
                </c:pt>
                <c:pt idx="19">
                  <c:v>1.9</c:v>
                </c:pt>
                <c:pt idx="20">
                  <c:v>1.9</c:v>
                </c:pt>
                <c:pt idx="21">
                  <c:v>1.9</c:v>
                </c:pt>
                <c:pt idx="22">
                  <c:v>1.9</c:v>
                </c:pt>
                <c:pt idx="23">
                  <c:v>1.9</c:v>
                </c:pt>
                <c:pt idx="24">
                  <c:v>2.9</c:v>
                </c:pt>
                <c:pt idx="25">
                  <c:v>2.9</c:v>
                </c:pt>
                <c:pt idx="26">
                  <c:v>2.9</c:v>
                </c:pt>
                <c:pt idx="27">
                  <c:v>2.9</c:v>
                </c:pt>
                <c:pt idx="28">
                  <c:v>2.9</c:v>
                </c:pt>
                <c:pt idx="29">
                  <c:v>2.9</c:v>
                </c:pt>
                <c:pt idx="30">
                  <c:v>2.9</c:v>
                </c:pt>
                <c:pt idx="31">
                  <c:v>2.9</c:v>
                </c:pt>
                <c:pt idx="32">
                  <c:v>2.9</c:v>
                </c:pt>
                <c:pt idx="33">
                  <c:v>2.9</c:v>
                </c:pt>
                <c:pt idx="34">
                  <c:v>2.9</c:v>
                </c:pt>
                <c:pt idx="35">
                  <c:v>2.9</c:v>
                </c:pt>
                <c:pt idx="36">
                  <c:v>5.4</c:v>
                </c:pt>
                <c:pt idx="37">
                  <c:v>5.4</c:v>
                </c:pt>
                <c:pt idx="38">
                  <c:v>5.4</c:v>
                </c:pt>
                <c:pt idx="39">
                  <c:v>5.4</c:v>
                </c:pt>
                <c:pt idx="40">
                  <c:v>6.4</c:v>
                </c:pt>
                <c:pt idx="41">
                  <c:v>6.4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6.4</c:v>
                </c:pt>
                <c:pt idx="46">
                  <c:v>6.4</c:v>
                </c:pt>
                <c:pt idx="47">
                  <c:v>6.4</c:v>
                </c:pt>
                <c:pt idx="48">
                  <c:v>6.9</c:v>
                </c:pt>
                <c:pt idx="49">
                  <c:v>6.9</c:v>
                </c:pt>
                <c:pt idx="50">
                  <c:v>6.9</c:v>
                </c:pt>
                <c:pt idx="51">
                  <c:v>6.9</c:v>
                </c:pt>
                <c:pt idx="52">
                  <c:v>5.9</c:v>
                </c:pt>
                <c:pt idx="53">
                  <c:v>5.9</c:v>
                </c:pt>
                <c:pt idx="54">
                  <c:v>5.9</c:v>
                </c:pt>
                <c:pt idx="55">
                  <c:v>5.9</c:v>
                </c:pt>
                <c:pt idx="56">
                  <c:v>5.9</c:v>
                </c:pt>
                <c:pt idx="57">
                  <c:v>5.9</c:v>
                </c:pt>
                <c:pt idx="58">
                  <c:v>5.9</c:v>
                </c:pt>
                <c:pt idx="59">
                  <c:v>5.9</c:v>
                </c:pt>
                <c:pt idx="60">
                  <c:v>5.3</c:v>
                </c:pt>
                <c:pt idx="61">
                  <c:v>5.3</c:v>
                </c:pt>
                <c:pt idx="62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D02-49A2-8806-548FE57C3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50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5</Pages>
  <Words>1956</Words>
  <Characters>11542</Characters>
  <Application>Microsoft Office Word</Application>
  <DocSecurity>0</DocSecurity>
  <Lines>96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13472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2022-06-15T08:49:00Z</dcterms:modified>
</cp:coreProperties>
</file>