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68" w:type="dxa"/>
        <w:tblInd w:w="-30" w:type="dxa"/>
        <w:tblCellMar>
          <w:left w:w="0" w:type="dxa"/>
          <w:right w:w="0" w:type="dxa"/>
        </w:tblCellMar>
        <w:tblLook w:val="00A0" w:firstRow="1" w:lastRow="0" w:firstColumn="1" w:lastColumn="0" w:noHBand="0" w:noVBand="0"/>
      </w:tblPr>
      <w:tblGrid>
        <w:gridCol w:w="9656"/>
        <w:gridCol w:w="6"/>
        <w:gridCol w:w="6"/>
      </w:tblGrid>
      <w:tr w:rsidR="00550540" w:rsidRPr="004272BE" w14:paraId="007C0551" w14:textId="77777777" w:rsidTr="001B54FA">
        <w:trPr>
          <w:trHeight w:val="145"/>
        </w:trPr>
        <w:tc>
          <w:tcPr>
            <w:tcW w:w="9656" w:type="dxa"/>
            <w:shd w:val="clear" w:color="auto" w:fill="auto"/>
            <w:tcMar>
              <w:left w:w="0" w:type="dxa"/>
            </w:tcMar>
          </w:tcPr>
          <w:p w14:paraId="48D4589A" w14:textId="77777777" w:rsidR="00550540" w:rsidRDefault="00550540" w:rsidP="00550540">
            <w:pPr>
              <w:pStyle w:val="Nadpis11"/>
            </w:pPr>
            <w:bookmarkStart w:id="0" w:name="_Toc58605374"/>
            <w:bookmarkStart w:id="1" w:name="_Toc66719930"/>
            <w:bookmarkStart w:id="2" w:name="_Toc532558287"/>
            <w:bookmarkStart w:id="3" w:name="_Toc58605375"/>
            <w:bookmarkStart w:id="4" w:name="_Toc106176404"/>
            <w:r>
              <w:t>3</w:t>
            </w:r>
            <w:r w:rsidRPr="00B43216">
              <w:t>. </w:t>
            </w:r>
            <w:r>
              <w:t>Výkonnost odvětví</w:t>
            </w:r>
            <w:bookmarkEnd w:id="4"/>
          </w:p>
          <w:tbl>
            <w:tblPr>
              <w:tblW w:w="9664" w:type="dxa"/>
              <w:tblCellMar>
                <w:left w:w="0" w:type="dxa"/>
                <w:right w:w="0" w:type="dxa"/>
              </w:tblCellMar>
              <w:tblLook w:val="00A0" w:firstRow="1" w:lastRow="0" w:firstColumn="1" w:lastColumn="0" w:noHBand="0" w:noVBand="0"/>
            </w:tblPr>
            <w:tblGrid>
              <w:gridCol w:w="1609"/>
              <w:gridCol w:w="193"/>
              <w:gridCol w:w="7862"/>
            </w:tblGrid>
            <w:tr w:rsidR="000F15F7" w:rsidRPr="006237E6" w14:paraId="7C5EEC48" w14:textId="77777777" w:rsidTr="00550540">
              <w:trPr>
                <w:trHeight w:val="155"/>
              </w:trPr>
              <w:tc>
                <w:tcPr>
                  <w:tcW w:w="1609" w:type="dxa"/>
                  <w:shd w:val="clear" w:color="auto" w:fill="auto"/>
                  <w:tcMar>
                    <w:left w:w="0" w:type="dxa"/>
                  </w:tcMar>
                </w:tcPr>
                <w:p w14:paraId="1557EA22" w14:textId="1F5A73A3" w:rsidR="000F15F7" w:rsidRDefault="000F15F7" w:rsidP="000F15F7">
                  <w:pPr>
                    <w:pStyle w:val="Marginlie"/>
                  </w:pPr>
                  <w:r>
                    <w:t xml:space="preserve">Výkon všech odvětví ekonomiky se dále mírně zvyšoval, </w:t>
                  </w:r>
                  <w:proofErr w:type="spellStart"/>
                  <w:r>
                    <w:t>mezikvartální</w:t>
                  </w:r>
                  <w:proofErr w:type="spellEnd"/>
                  <w:r>
                    <w:t xml:space="preserve"> růst však slábnul, především vlivem slabší poptávky domácností. </w:t>
                  </w:r>
                </w:p>
              </w:tc>
              <w:tc>
                <w:tcPr>
                  <w:tcW w:w="193" w:type="dxa"/>
                  <w:shd w:val="clear" w:color="auto" w:fill="auto"/>
                  <w:tcMar>
                    <w:left w:w="0" w:type="dxa"/>
                  </w:tcMar>
                </w:tcPr>
                <w:p w14:paraId="68BDDA30" w14:textId="77777777" w:rsidR="000F15F7" w:rsidRPr="003B1401" w:rsidRDefault="000F15F7" w:rsidP="000F15F7">
                  <w:pPr>
                    <w:pStyle w:val="Textpoznpodarou"/>
                    <w:jc w:val="both"/>
                    <w:rPr>
                      <w:spacing w:val="-4"/>
                    </w:rPr>
                  </w:pPr>
                </w:p>
              </w:tc>
              <w:tc>
                <w:tcPr>
                  <w:tcW w:w="7862" w:type="dxa"/>
                  <w:shd w:val="clear" w:color="auto" w:fill="auto"/>
                  <w:tcMar>
                    <w:left w:w="0" w:type="dxa"/>
                  </w:tcMar>
                </w:tcPr>
                <w:p w14:paraId="56685A59" w14:textId="0FE3CB28" w:rsidR="000F15F7" w:rsidRDefault="000F15F7" w:rsidP="000F15F7">
                  <w:pPr>
                    <w:spacing w:after="200"/>
                    <w:rPr>
                      <w:spacing w:val="-4"/>
                    </w:rPr>
                  </w:pPr>
                  <w:r>
                    <w:rPr>
                      <w:spacing w:val="-4"/>
                    </w:rPr>
                    <w:t xml:space="preserve">Na počátku roku pokračovalo </w:t>
                  </w:r>
                  <w:proofErr w:type="spellStart"/>
                  <w:r>
                    <w:rPr>
                      <w:spacing w:val="-4"/>
                    </w:rPr>
                    <w:t>pokrizové</w:t>
                  </w:r>
                  <w:proofErr w:type="spellEnd"/>
                  <w:r>
                    <w:rPr>
                      <w:spacing w:val="-4"/>
                    </w:rPr>
                    <w:t xml:space="preserve"> zotavování tuzemské ekonomiky. Výkon všech jejích odvětví, měřený na základně vytvořené hrubé přidané hodnoty</w:t>
                  </w:r>
                  <w:r w:rsidRPr="00ED0C82">
                    <w:rPr>
                      <w:rStyle w:val="Znakapoznpodarou"/>
                      <w:color w:val="0D0D0D" w:themeColor="text1" w:themeTint="F2"/>
                      <w:spacing w:val="-4"/>
                    </w:rPr>
                    <w:footnoteReference w:id="1"/>
                  </w:r>
                  <w:r>
                    <w:rPr>
                      <w:spacing w:val="-4"/>
                    </w:rPr>
                    <w:t>, se mezikvartálně zvýšil o</w:t>
                  </w:r>
                  <w:r w:rsidRPr="00ED0C82">
                    <w:rPr>
                      <w:color w:val="0D0D0D" w:themeColor="text1" w:themeTint="F2"/>
                      <w:spacing w:val="-4"/>
                    </w:rPr>
                    <w:t> </w:t>
                  </w:r>
                  <w:r>
                    <w:rPr>
                      <w:spacing w:val="-4"/>
                    </w:rPr>
                    <w:t>0,8</w:t>
                  </w:r>
                  <w:r>
                    <w:rPr>
                      <w:color w:val="0D0D0D" w:themeColor="text1" w:themeTint="F2"/>
                      <w:spacing w:val="-4"/>
                    </w:rPr>
                    <w:t> </w:t>
                  </w:r>
                  <w:r>
                    <w:rPr>
                      <w:spacing w:val="-4"/>
                    </w:rPr>
                    <w:t>%. Toto ovšem představovalo nejslabší tempo od 1. čtvrtletí 2021</w:t>
                  </w:r>
                  <w:r w:rsidRPr="00ED0C82">
                    <w:rPr>
                      <w:color w:val="0D0D0D" w:themeColor="text1" w:themeTint="F2"/>
                      <w:spacing w:val="-4"/>
                    </w:rPr>
                    <w:t>, kdy pandemie covidu-19 v Česku vrcholila a ř</w:t>
                  </w:r>
                  <w:r>
                    <w:rPr>
                      <w:color w:val="0D0D0D" w:themeColor="text1" w:themeTint="F2"/>
                      <w:spacing w:val="-4"/>
                    </w:rPr>
                    <w:t>ada odvětví služeb trpěla pod tí</w:t>
                  </w:r>
                  <w:r w:rsidRPr="00ED0C82">
                    <w:rPr>
                      <w:color w:val="0D0D0D" w:themeColor="text1" w:themeTint="F2"/>
                      <w:spacing w:val="-4"/>
                    </w:rPr>
                    <w:t xml:space="preserve">hou restriktivních opatření. </w:t>
                  </w:r>
                  <w:r>
                    <w:rPr>
                      <w:color w:val="0D0D0D" w:themeColor="text1" w:themeTint="F2"/>
                      <w:spacing w:val="-4"/>
                    </w:rPr>
                    <w:t xml:space="preserve">K letošnímu růstu nejvíce přispěl zpracovatelský průmysl, v němž sice významné problémy s nedostatkovými komponenty přetrvávaly, solidně však rostla poptávka v řadě oborů mimo výrobu dopravních prostředků. Ještě více se dařilo stavebnictví, jež zaznamenalo nejsilnější </w:t>
                  </w:r>
                  <w:proofErr w:type="spellStart"/>
                  <w:r>
                    <w:rPr>
                      <w:color w:val="0D0D0D" w:themeColor="text1" w:themeTint="F2"/>
                      <w:spacing w:val="-4"/>
                    </w:rPr>
                    <w:t>mezikvartální</w:t>
                  </w:r>
                  <w:proofErr w:type="spellEnd"/>
                  <w:r>
                    <w:rPr>
                      <w:color w:val="0D0D0D" w:themeColor="text1" w:themeTint="F2"/>
                      <w:spacing w:val="-4"/>
                    </w:rPr>
                    <w:t xml:space="preserve"> posun od roku 2006. Naopak souhrnný výkon služeb pouze stagnoval, především vlivem odvětví s převahou veřejného sektoru (veřejné služby) a též finančnictví, v nichž svižný loňský růst již nepokračoval</w:t>
                  </w:r>
                  <w:r>
                    <w:rPr>
                      <w:rStyle w:val="Znakapoznpodarou"/>
                      <w:color w:val="0D0D0D" w:themeColor="text1" w:themeTint="F2"/>
                      <w:spacing w:val="-4"/>
                    </w:rPr>
                    <w:footnoteReference w:id="2"/>
                  </w:r>
                  <w:r>
                    <w:rPr>
                      <w:color w:val="0D0D0D" w:themeColor="text1" w:themeTint="F2"/>
                      <w:spacing w:val="-4"/>
                    </w:rPr>
                    <w:t>. Navíc na váhově významné odvětví obchodu, dopravy, ubytování a pohostinství dopadal vliv slábnoucí tuzemské poptávky, především od domácností. Výkon všech odvětví ekonomiky tak v 1. čtvrtletí stále za svým maximem z období poslední konjunktury</w:t>
                  </w:r>
                  <w:r>
                    <w:rPr>
                      <w:rStyle w:val="Znakapoznpodarou"/>
                      <w:color w:val="0D0D0D" w:themeColor="text1" w:themeTint="F2"/>
                      <w:spacing w:val="-4"/>
                    </w:rPr>
                    <w:footnoteReference w:id="3"/>
                  </w:r>
                  <w:r>
                    <w:rPr>
                      <w:color w:val="0D0D0D" w:themeColor="text1" w:themeTint="F2"/>
                      <w:spacing w:val="-4"/>
                    </w:rPr>
                    <w:t xml:space="preserve"> mírně zaostával (o 1,2 %), především vlivem zpracovatelského průmyslu (4,3 %), stavebnictví (5,7 %) </w:t>
                  </w:r>
                  <w:r w:rsidR="00374B96">
                    <w:rPr>
                      <w:color w:val="0D0D0D" w:themeColor="text1" w:themeTint="F2"/>
                      <w:spacing w:val="-4"/>
                    </w:rPr>
                    <w:t>a obchodu, dopravy, ubytování a</w:t>
                  </w:r>
                  <w:r w:rsidR="00374B96">
                    <w:t> </w:t>
                  </w:r>
                  <w:r>
                    <w:rPr>
                      <w:color w:val="0D0D0D" w:themeColor="text1" w:themeTint="F2"/>
                      <w:spacing w:val="-4"/>
                    </w:rPr>
                    <w:t>pohostinství (5,5 %). Služby jako celek již ale předkrizové úrovně HPH dosáhly, o což se zasloužily primárně veřejné služby, i</w:t>
                  </w:r>
                  <w:r w:rsidRPr="00764E48">
                    <w:rPr>
                      <w:color w:val="0D0D0D" w:themeColor="text1" w:themeTint="F2"/>
                      <w:spacing w:val="-4"/>
                    </w:rPr>
                    <w:t>nformační a komunikační činnosti</w:t>
                  </w:r>
                  <w:r>
                    <w:rPr>
                      <w:color w:val="0D0D0D" w:themeColor="text1" w:themeTint="F2"/>
                      <w:spacing w:val="-4"/>
                    </w:rPr>
                    <w:t>, finančnictví a oblast nemovitostí.</w:t>
                  </w:r>
                </w:p>
              </w:tc>
            </w:tr>
            <w:tr w:rsidR="000F15F7" w:rsidRPr="006237E6" w14:paraId="3F62A553" w14:textId="77777777" w:rsidTr="00550540">
              <w:trPr>
                <w:trHeight w:val="155"/>
              </w:trPr>
              <w:tc>
                <w:tcPr>
                  <w:tcW w:w="1609" w:type="dxa"/>
                  <w:shd w:val="clear" w:color="auto" w:fill="auto"/>
                  <w:tcMar>
                    <w:left w:w="0" w:type="dxa"/>
                  </w:tcMar>
                </w:tcPr>
                <w:p w14:paraId="609B9232" w14:textId="3E9D5AE4" w:rsidR="000F15F7" w:rsidRDefault="000F15F7" w:rsidP="000F15F7">
                  <w:pPr>
                    <w:pStyle w:val="Marginlie"/>
                    <w:rPr>
                      <w:spacing w:val="-4"/>
                    </w:rPr>
                  </w:pPr>
                  <w:r>
                    <w:rPr>
                      <w:spacing w:val="-4"/>
                    </w:rPr>
                    <w:t>Mírné zotavování tuzemského průmyslu pokračovalo, bylo ovšem narušeno řadou brzdících faktorů.</w:t>
                  </w:r>
                </w:p>
              </w:tc>
              <w:tc>
                <w:tcPr>
                  <w:tcW w:w="193" w:type="dxa"/>
                  <w:shd w:val="clear" w:color="auto" w:fill="auto"/>
                  <w:tcMar>
                    <w:left w:w="0" w:type="dxa"/>
                  </w:tcMar>
                </w:tcPr>
                <w:p w14:paraId="4B4474BC" w14:textId="77777777" w:rsidR="000F15F7" w:rsidRPr="003B1401" w:rsidRDefault="000F15F7" w:rsidP="000F15F7">
                  <w:pPr>
                    <w:pStyle w:val="Textpoznpodarou"/>
                    <w:jc w:val="both"/>
                    <w:rPr>
                      <w:spacing w:val="-4"/>
                    </w:rPr>
                  </w:pPr>
                </w:p>
              </w:tc>
              <w:tc>
                <w:tcPr>
                  <w:tcW w:w="7862" w:type="dxa"/>
                  <w:shd w:val="clear" w:color="auto" w:fill="auto"/>
                  <w:tcMar>
                    <w:left w:w="0" w:type="dxa"/>
                  </w:tcMar>
                </w:tcPr>
                <w:p w14:paraId="1C3F31B5" w14:textId="35B4C128" w:rsidR="000F15F7" w:rsidRDefault="000F15F7" w:rsidP="000F15F7">
                  <w:pPr>
                    <w:spacing w:after="200"/>
                    <w:rPr>
                      <w:color w:val="0D0D0D" w:themeColor="text1" w:themeTint="F2"/>
                      <w:spacing w:val="-4"/>
                    </w:rPr>
                  </w:pPr>
                  <w:r>
                    <w:rPr>
                      <w:color w:val="0D0D0D" w:themeColor="text1" w:themeTint="F2"/>
                      <w:spacing w:val="-4"/>
                    </w:rPr>
                    <w:t xml:space="preserve">Rovněž podrobnější údaje z podnikových statistik potvrzují pokračující trend mírného zotavování tuzemského průmyslu. Ten profitoval z loňského oživení investiční aktivity i spotřeby, k němuž došlo v Česku i v zemích eurozóny. Současně byl ovšem rozvoj průmyslu nadále limitován řadou brzdících faktorů, některé z nich přitom nabyly v 1. čtvrtletí na významu. Neočekávané vzplanutí rusko-ukrajinského válečného konfliktu prohloubilo v Česku dodavatelské problémy v dílčích zpracovatelských oborech (výroba motorových vozidel, hutnictví), výrazně přispělo i k eskalaci cenového růstu energií i dalších materiálových vstupů a také citelně znejistilo očekávání výrobní činnosti v oborech značně závislých na dodávkách ruského plynu (sklářství, potravinářství). Problémy s narušenými globálními dodavatelskými řetězci ovšem sužovaly tuzemský průmyslu prakticky i po celý loňský rok. Ty pramenily z rychlého oživení nejvyspělejších světových ekonomik doprovázeného výrobními i logistickými problémy v asijských regionech, které vlivem zhoršené pandemické situace přetrvávaly rovněž na počátku roku 2022. </w:t>
                  </w:r>
                </w:p>
              </w:tc>
            </w:tr>
            <w:tr w:rsidR="000F15F7" w:rsidRPr="006237E6" w14:paraId="7DEA10F4" w14:textId="77777777" w:rsidTr="00550540">
              <w:trPr>
                <w:trHeight w:val="155"/>
              </w:trPr>
              <w:tc>
                <w:tcPr>
                  <w:tcW w:w="1609" w:type="dxa"/>
                  <w:shd w:val="clear" w:color="auto" w:fill="auto"/>
                  <w:tcMar>
                    <w:left w:w="0" w:type="dxa"/>
                  </w:tcMar>
                </w:tcPr>
                <w:p w14:paraId="466D4050" w14:textId="53697531" w:rsidR="000F15F7" w:rsidRDefault="000F15F7" w:rsidP="000F15F7">
                  <w:pPr>
                    <w:pStyle w:val="Marginlie"/>
                    <w:rPr>
                      <w:spacing w:val="-4"/>
                    </w:rPr>
                  </w:pPr>
                  <w:r>
                    <w:rPr>
                      <w:spacing w:val="-4"/>
                    </w:rPr>
                    <w:t>Průmyslová produkce vzrostla mezikvartálně nejvíce od konce roku 2020, za předkrizovou úrovní ale nadále mírně zaostávala.</w:t>
                  </w:r>
                </w:p>
              </w:tc>
              <w:tc>
                <w:tcPr>
                  <w:tcW w:w="193" w:type="dxa"/>
                  <w:shd w:val="clear" w:color="auto" w:fill="auto"/>
                  <w:tcMar>
                    <w:left w:w="0" w:type="dxa"/>
                  </w:tcMar>
                </w:tcPr>
                <w:p w14:paraId="68490AC3" w14:textId="77777777" w:rsidR="000F15F7" w:rsidRPr="003B1401" w:rsidRDefault="000F15F7" w:rsidP="000F15F7">
                  <w:pPr>
                    <w:pStyle w:val="Textpoznpodarou"/>
                    <w:jc w:val="both"/>
                    <w:rPr>
                      <w:spacing w:val="-4"/>
                    </w:rPr>
                  </w:pPr>
                </w:p>
              </w:tc>
              <w:tc>
                <w:tcPr>
                  <w:tcW w:w="7862" w:type="dxa"/>
                  <w:shd w:val="clear" w:color="auto" w:fill="auto"/>
                  <w:tcMar>
                    <w:left w:w="0" w:type="dxa"/>
                  </w:tcMar>
                </w:tcPr>
                <w:p w14:paraId="552EC28A" w14:textId="0FC1AB73" w:rsidR="000F15F7" w:rsidRDefault="000F15F7" w:rsidP="000F15F7">
                  <w:pPr>
                    <w:spacing w:after="200"/>
                    <w:rPr>
                      <w:color w:val="0D0D0D" w:themeColor="text1" w:themeTint="F2"/>
                      <w:spacing w:val="-4"/>
                    </w:rPr>
                  </w:pPr>
                  <w:r>
                    <w:rPr>
                      <w:color w:val="0D0D0D" w:themeColor="text1" w:themeTint="F2"/>
                      <w:spacing w:val="-4"/>
                    </w:rPr>
                    <w:t>P</w:t>
                  </w:r>
                  <w:r w:rsidRPr="00BF07B5">
                    <w:rPr>
                      <w:color w:val="0D0D0D" w:themeColor="text1" w:themeTint="F2"/>
                      <w:spacing w:val="-4"/>
                    </w:rPr>
                    <w:t>růmyslová produkce</w:t>
                  </w:r>
                  <w:r w:rsidRPr="00BF07B5">
                    <w:rPr>
                      <w:color w:val="0D0D0D" w:themeColor="text1" w:themeTint="F2"/>
                      <w:spacing w:val="-4"/>
                      <w:vertAlign w:val="superscript"/>
                    </w:rPr>
                    <w:footnoteReference w:id="4"/>
                  </w:r>
                  <w:r>
                    <w:rPr>
                      <w:color w:val="0D0D0D" w:themeColor="text1" w:themeTint="F2"/>
                      <w:spacing w:val="-4"/>
                    </w:rPr>
                    <w:t xml:space="preserve"> se letos v prvním čtvrtletí mezikvartálně zvýšila o 1,6 %, což znamenalo nejvýraznější oživení od konce roku 2020. Pozitivní bylo, že toto vzedmutí signalizovaly prakticky všechny větší průmyslové obory (vyjma energetiky, potravinářství, chemického průmyslu, gumárenství a </w:t>
                  </w:r>
                  <w:proofErr w:type="spellStart"/>
                  <w:r>
                    <w:rPr>
                      <w:color w:val="0D0D0D" w:themeColor="text1" w:themeTint="F2"/>
                      <w:spacing w:val="-4"/>
                    </w:rPr>
                    <w:t>plastikářství</w:t>
                  </w:r>
                  <w:proofErr w:type="spellEnd"/>
                  <w:r>
                    <w:rPr>
                      <w:color w:val="0D0D0D" w:themeColor="text1" w:themeTint="F2"/>
                      <w:spacing w:val="-4"/>
                    </w:rPr>
                    <w:t>), byť v případě výroby motorových vozidel šlo do značné míry o efekt nízké loňské základny (neplánovaného přerušení výroby na přelomu září a října). Navzdory tomuto vývoji produkce v celém průmyslu stále za svým předpandemickým vrcholem lehce zaostávala</w:t>
                  </w:r>
                  <w:r>
                    <w:rPr>
                      <w:rStyle w:val="Znakapoznpodarou"/>
                      <w:color w:val="0D0D0D" w:themeColor="text1" w:themeTint="F2"/>
                      <w:spacing w:val="-4"/>
                    </w:rPr>
                    <w:footnoteReference w:id="5"/>
                  </w:r>
                  <w:r>
                    <w:rPr>
                      <w:color w:val="0D0D0D" w:themeColor="text1" w:themeTint="F2"/>
                      <w:spacing w:val="-4"/>
                    </w:rPr>
                    <w:t xml:space="preserve">. </w:t>
                  </w:r>
                </w:p>
              </w:tc>
            </w:tr>
            <w:tr w:rsidR="000F15F7" w:rsidRPr="006237E6" w14:paraId="31002FB7" w14:textId="77777777" w:rsidTr="00550540">
              <w:trPr>
                <w:trHeight w:val="155"/>
              </w:trPr>
              <w:tc>
                <w:tcPr>
                  <w:tcW w:w="1609" w:type="dxa"/>
                  <w:shd w:val="clear" w:color="auto" w:fill="auto"/>
                  <w:tcMar>
                    <w:left w:w="0" w:type="dxa"/>
                  </w:tcMar>
                </w:tcPr>
                <w:p w14:paraId="17996544" w14:textId="7CB5BD12" w:rsidR="000F15F7" w:rsidRDefault="000F15F7" w:rsidP="000F15F7">
                  <w:pPr>
                    <w:pStyle w:val="Marginlie"/>
                    <w:rPr>
                      <w:spacing w:val="-4"/>
                    </w:rPr>
                  </w:pPr>
                  <w:r>
                    <w:rPr>
                      <w:spacing w:val="-4"/>
                    </w:rPr>
                    <w:t>Průmyslová produkce meziročně mírně klesla. Vyšší výkony si připsalo strojírenství, výroba elektrických zařízení či stavebních hmot.</w:t>
                  </w:r>
                </w:p>
              </w:tc>
              <w:tc>
                <w:tcPr>
                  <w:tcW w:w="193" w:type="dxa"/>
                  <w:shd w:val="clear" w:color="auto" w:fill="auto"/>
                  <w:tcMar>
                    <w:left w:w="0" w:type="dxa"/>
                  </w:tcMar>
                </w:tcPr>
                <w:p w14:paraId="72CEA8A8" w14:textId="77777777" w:rsidR="000F15F7" w:rsidRPr="003B1401" w:rsidRDefault="000F15F7" w:rsidP="000F15F7">
                  <w:pPr>
                    <w:pStyle w:val="Textpoznpodarou"/>
                    <w:jc w:val="both"/>
                    <w:rPr>
                      <w:spacing w:val="-4"/>
                    </w:rPr>
                  </w:pPr>
                </w:p>
              </w:tc>
              <w:tc>
                <w:tcPr>
                  <w:tcW w:w="7862" w:type="dxa"/>
                  <w:shd w:val="clear" w:color="auto" w:fill="auto"/>
                  <w:tcMar>
                    <w:left w:w="0" w:type="dxa"/>
                  </w:tcMar>
                </w:tcPr>
                <w:p w14:paraId="7D2935C1" w14:textId="6323663B" w:rsidR="000F15F7" w:rsidRDefault="000F15F7" w:rsidP="000F15F7">
                  <w:pPr>
                    <w:spacing w:after="200"/>
                    <w:rPr>
                      <w:color w:val="0D0D0D" w:themeColor="text1" w:themeTint="F2"/>
                      <w:spacing w:val="-4"/>
                    </w:rPr>
                  </w:pPr>
                  <w:r>
                    <w:rPr>
                      <w:color w:val="0D0D0D" w:themeColor="text1" w:themeTint="F2"/>
                      <w:spacing w:val="-4"/>
                    </w:rPr>
                    <w:t xml:space="preserve">V meziročním vyjádření průmyslová produkce v 1. čtvrtletí 2022 mírně klesla (-0,4 %). Přetrvávající slabší výkon výrobců motorových vozidel byl takřka kompenzován pokračujícím </w:t>
                  </w:r>
                  <w:proofErr w:type="spellStart"/>
                  <w:r>
                    <w:rPr>
                      <w:color w:val="0D0D0D" w:themeColor="text1" w:themeTint="F2"/>
                      <w:spacing w:val="-4"/>
                    </w:rPr>
                    <w:t>pokrizovým</w:t>
                  </w:r>
                  <w:proofErr w:type="spellEnd"/>
                  <w:r>
                    <w:rPr>
                      <w:color w:val="0D0D0D" w:themeColor="text1" w:themeTint="F2"/>
                      <w:spacing w:val="-4"/>
                    </w:rPr>
                    <w:t xml:space="preserve"> oživením většiny ostatních váhově významnějších zpracovatelských oborů. Z nich táhly růst celého průmyslu především diverzifikované obory strojírenství a elektrotechniky (v obou případech příspěvek shodně 0,4 p. b. při růstu odvětví těsně pod 5 %). Zatímco objem výroby v odvětví elektrických zařízení, profitující zejména z rostoucí zahraniční poptávky, se letos v březnu nacházel fakticky na svém historickém maximu, produkce ve strojírenství za svým vrcholem z éry předpandemické konjunktury</w:t>
                  </w:r>
                  <w:r>
                    <w:rPr>
                      <w:rStyle w:val="Znakapoznpodarou"/>
                      <w:color w:val="0D0D0D" w:themeColor="text1" w:themeTint="F2"/>
                      <w:spacing w:val="-4"/>
                    </w:rPr>
                    <w:footnoteReference w:id="6"/>
                  </w:r>
                  <w:r>
                    <w:rPr>
                      <w:color w:val="0D0D0D" w:themeColor="text1" w:themeTint="F2"/>
                      <w:spacing w:val="-4"/>
                    </w:rPr>
                    <w:t xml:space="preserve"> stále o takřka desetinu zaostávala. </w:t>
                  </w:r>
                  <w:r w:rsidRPr="00A6276E">
                    <w:rPr>
                      <w:color w:val="0D0D0D" w:themeColor="text1" w:themeTint="F2"/>
                      <w:spacing w:val="-6"/>
                    </w:rPr>
                    <w:t>Významný byl i příspěvek odvětví výroby ostatních nekovových minerálních výrobků (+0,3 p. b.),</w:t>
                  </w:r>
                  <w:r>
                    <w:rPr>
                      <w:color w:val="0D0D0D" w:themeColor="text1" w:themeTint="F2"/>
                      <w:spacing w:val="-4"/>
                    </w:rPr>
                    <w:t xml:space="preserve"> v němž se projevila sílící domácí poptávka po stavebních materiálech. Výkon tohoto odvětví tak již mírně předčil úroveň z vrcholu poslední konjunktury. To platilo i pro chemický průmysl, v němž rozšiřování výrobních kapacit pomáhalo saturovat vyšší poptávku zejména z tuzemska. Stále nevyřešená pandemická situace ovlivňovala výkon farmaceutického </w:t>
                  </w:r>
                  <w:r>
                    <w:rPr>
                      <w:color w:val="0D0D0D" w:themeColor="text1" w:themeTint="F2"/>
                      <w:spacing w:val="-4"/>
                    </w:rPr>
                    <w:lastRenderedPageBreak/>
                    <w:t xml:space="preserve">průmyslu, jehož produkce byla oproti prvnímu loňskému kvartálu vyšší skoro o desetinu (při současném dosažení historicky rekordní úrovně). </w:t>
                  </w:r>
                </w:p>
              </w:tc>
            </w:tr>
            <w:tr w:rsidR="000F15F7" w:rsidRPr="006237E6" w14:paraId="75C1E093" w14:textId="77777777" w:rsidTr="00550540">
              <w:trPr>
                <w:trHeight w:val="155"/>
              </w:trPr>
              <w:tc>
                <w:tcPr>
                  <w:tcW w:w="1609" w:type="dxa"/>
                  <w:shd w:val="clear" w:color="auto" w:fill="auto"/>
                  <w:tcMar>
                    <w:left w:w="0" w:type="dxa"/>
                  </w:tcMar>
                </w:tcPr>
                <w:p w14:paraId="6F334A08" w14:textId="56B0C91A" w:rsidR="000F15F7" w:rsidRDefault="000F15F7" w:rsidP="000F15F7">
                  <w:pPr>
                    <w:pStyle w:val="Marginlie"/>
                    <w:rPr>
                      <w:spacing w:val="-4"/>
                    </w:rPr>
                  </w:pPr>
                  <w:r>
                    <w:rPr>
                      <w:spacing w:val="-4"/>
                    </w:rPr>
                    <w:lastRenderedPageBreak/>
                    <w:t>Dařilo se i většině menších zpracovatel-</w:t>
                  </w:r>
                  <w:proofErr w:type="spellStart"/>
                  <w:r>
                    <w:rPr>
                      <w:spacing w:val="-4"/>
                    </w:rPr>
                    <w:t>ských</w:t>
                  </w:r>
                  <w:proofErr w:type="spellEnd"/>
                  <w:r>
                    <w:rPr>
                      <w:spacing w:val="-4"/>
                    </w:rPr>
                    <w:t xml:space="preserve"> oborů. Část z nich ale byla dříve silně zasažena útlumem poptávky během pandemie. </w:t>
                  </w:r>
                </w:p>
              </w:tc>
              <w:tc>
                <w:tcPr>
                  <w:tcW w:w="193" w:type="dxa"/>
                  <w:shd w:val="clear" w:color="auto" w:fill="auto"/>
                  <w:tcMar>
                    <w:left w:w="0" w:type="dxa"/>
                  </w:tcMar>
                </w:tcPr>
                <w:p w14:paraId="1DAC0AD9" w14:textId="77777777" w:rsidR="000F15F7" w:rsidRPr="003B1401" w:rsidRDefault="000F15F7" w:rsidP="000F15F7">
                  <w:pPr>
                    <w:pStyle w:val="Textpoznpodarou"/>
                    <w:jc w:val="both"/>
                    <w:rPr>
                      <w:spacing w:val="-4"/>
                    </w:rPr>
                  </w:pPr>
                </w:p>
              </w:tc>
              <w:tc>
                <w:tcPr>
                  <w:tcW w:w="7862" w:type="dxa"/>
                  <w:shd w:val="clear" w:color="auto" w:fill="auto"/>
                  <w:tcMar>
                    <w:left w:w="0" w:type="dxa"/>
                  </w:tcMar>
                </w:tcPr>
                <w:p w14:paraId="6C28D6B5" w14:textId="571FC2EF" w:rsidR="000F15F7" w:rsidRPr="00BF07B5" w:rsidRDefault="000F15F7" w:rsidP="000F15F7">
                  <w:pPr>
                    <w:spacing w:after="200"/>
                    <w:rPr>
                      <w:color w:val="0D0D0D" w:themeColor="text1" w:themeTint="F2"/>
                      <w:spacing w:val="-4"/>
                    </w:rPr>
                  </w:pPr>
                  <w:r>
                    <w:rPr>
                      <w:color w:val="0D0D0D" w:themeColor="text1" w:themeTint="F2"/>
                      <w:spacing w:val="-4"/>
                    </w:rPr>
                    <w:t xml:space="preserve">Růst průmyslu letos podporovala i drtivá většina menších oborů – nejvíce z nich </w:t>
                  </w:r>
                  <w:r>
                    <w:rPr>
                      <w:spacing w:val="-4"/>
                    </w:rPr>
                    <w:t xml:space="preserve">ostatní zpracovatelský průmysl (+0,2 p. b.), zahrnující </w:t>
                  </w:r>
                  <w:r>
                    <w:rPr>
                      <w:color w:val="000000" w:themeColor="text1"/>
                      <w:spacing w:val="-4"/>
                    </w:rPr>
                    <w:t xml:space="preserve">například </w:t>
                  </w:r>
                  <w:r w:rsidRPr="004173F3">
                    <w:rPr>
                      <w:color w:val="000000" w:themeColor="text1"/>
                      <w:spacing w:val="-4"/>
                    </w:rPr>
                    <w:t>výrobu lékařsk</w:t>
                  </w:r>
                  <w:r>
                    <w:rPr>
                      <w:color w:val="000000" w:themeColor="text1"/>
                      <w:spacing w:val="-4"/>
                    </w:rPr>
                    <w:t>ých nástrojů, sportovních potřeb, her a</w:t>
                  </w:r>
                  <w:r>
                    <w:rPr>
                      <w:spacing w:val="-4"/>
                    </w:rPr>
                    <w:t> </w:t>
                  </w:r>
                  <w:r w:rsidRPr="004173F3">
                    <w:rPr>
                      <w:color w:val="000000" w:themeColor="text1"/>
                      <w:spacing w:val="-4"/>
                    </w:rPr>
                    <w:t>hraček</w:t>
                  </w:r>
                  <w:r>
                    <w:rPr>
                      <w:color w:val="000000" w:themeColor="text1"/>
                      <w:spacing w:val="-4"/>
                    </w:rPr>
                    <w:t>. Jeho výroba meziročně rostla po celé období pandemie, především díky sílící domácí poptávce. Podobné tendence vykazoval</w:t>
                  </w:r>
                  <w:r>
                    <w:rPr>
                      <w:color w:val="0D0D0D" w:themeColor="text1" w:themeTint="F2"/>
                      <w:spacing w:val="-4"/>
                    </w:rPr>
                    <w:t>o potravinářství</w:t>
                  </w:r>
                  <w:r>
                    <w:rPr>
                      <w:color w:val="000000" w:themeColor="text1"/>
                      <w:spacing w:val="-4"/>
                    </w:rPr>
                    <w:t xml:space="preserve"> a </w:t>
                  </w:r>
                  <w:r>
                    <w:rPr>
                      <w:color w:val="0D0D0D" w:themeColor="text1" w:themeTint="F2"/>
                      <w:spacing w:val="-4"/>
                    </w:rPr>
                    <w:t xml:space="preserve">rovněž </w:t>
                  </w:r>
                  <w:r>
                    <w:rPr>
                      <w:color w:val="000000" w:themeColor="text1"/>
                      <w:spacing w:val="-4"/>
                    </w:rPr>
                    <w:t>papírenský průmysl, jehož produkce v 1. čtvrtletí meziročně posílila o více než 7,4 %</w:t>
                  </w:r>
                  <w:r>
                    <w:rPr>
                      <w:rStyle w:val="Znakapoznpodarou"/>
                      <w:color w:val="000000" w:themeColor="text1"/>
                      <w:spacing w:val="-4"/>
                    </w:rPr>
                    <w:footnoteReference w:id="7"/>
                  </w:r>
                  <w:r>
                    <w:rPr>
                      <w:color w:val="000000" w:themeColor="text1"/>
                      <w:spacing w:val="-4"/>
                    </w:rPr>
                    <w:t xml:space="preserve">. Významný růst (+16,7 %) si i díky realizaci odložené spotřeby ze strany domácností připsali výrobci oděvů. Objem výroby zde již tak dorovnal hladinu z počátku roku 2019 – stejně jako v textilním průmyslu. Podstatně hůře na tom byli i přes výraznější letošní oživení (+15,9 %) výrobci nápojů, neboť v 1. čtvrtletí 2021, kdy pandemie a z ní vyplývající restrikce vrcholily, dosáhla produkce v tomto odvětví minima v celé sledované řadě (od roku 2000). </w:t>
                  </w:r>
                </w:p>
              </w:tc>
            </w:tr>
            <w:tr w:rsidR="000F15F7" w:rsidRPr="006237E6" w14:paraId="51E492ED" w14:textId="77777777" w:rsidTr="00550540">
              <w:trPr>
                <w:trHeight w:val="155"/>
              </w:trPr>
              <w:tc>
                <w:tcPr>
                  <w:tcW w:w="1609" w:type="dxa"/>
                  <w:shd w:val="clear" w:color="auto" w:fill="auto"/>
                  <w:tcMar>
                    <w:left w:w="0" w:type="dxa"/>
                  </w:tcMar>
                </w:tcPr>
                <w:p w14:paraId="29D16D4D" w14:textId="77777777" w:rsidR="000F15F7" w:rsidRPr="00BE54BF" w:rsidRDefault="000F15F7" w:rsidP="000F15F7">
                  <w:pPr>
                    <w:pStyle w:val="Marginlie"/>
                  </w:pPr>
                </w:p>
              </w:tc>
              <w:tc>
                <w:tcPr>
                  <w:tcW w:w="193" w:type="dxa"/>
                  <w:shd w:val="clear" w:color="auto" w:fill="auto"/>
                  <w:tcMar>
                    <w:left w:w="0" w:type="dxa"/>
                  </w:tcMar>
                </w:tcPr>
                <w:p w14:paraId="625AED3A" w14:textId="77777777" w:rsidR="000F15F7" w:rsidRPr="003B1401" w:rsidRDefault="000F15F7" w:rsidP="000F15F7">
                  <w:pPr>
                    <w:pStyle w:val="Textpoznpodarou"/>
                    <w:jc w:val="both"/>
                    <w:rPr>
                      <w:spacing w:val="-4"/>
                    </w:rPr>
                  </w:pPr>
                </w:p>
              </w:tc>
              <w:tc>
                <w:tcPr>
                  <w:tcW w:w="7862" w:type="dxa"/>
                  <w:shd w:val="clear" w:color="auto" w:fill="auto"/>
                  <w:tcMar>
                    <w:left w:w="0" w:type="dxa"/>
                  </w:tcMar>
                </w:tcPr>
                <w:p w14:paraId="554BA422" w14:textId="3EA0A515" w:rsidR="000F15F7" w:rsidRPr="008E64D7" w:rsidRDefault="000F15F7" w:rsidP="000F15F7">
                  <w:pPr>
                    <w:spacing w:after="0"/>
                  </w:pPr>
                  <w:r w:rsidRPr="008E64D7">
                    <w:rPr>
                      <w:rFonts w:cs="Arial"/>
                      <w:b/>
                      <w:bCs/>
                      <w:color w:val="000000"/>
                      <w:szCs w:val="20"/>
                    </w:rPr>
                    <w:t>Graf č. </w:t>
                  </w:r>
                  <w:proofErr w:type="gramStart"/>
                  <w:r w:rsidRPr="008E64D7">
                    <w:rPr>
                      <w:rFonts w:cs="Arial"/>
                      <w:b/>
                      <w:bCs/>
                      <w:color w:val="000000"/>
                      <w:szCs w:val="20"/>
                    </w:rPr>
                    <w:t xml:space="preserve">4  </w:t>
                  </w:r>
                  <w:r w:rsidRPr="008E64D7">
                    <w:rPr>
                      <w:b/>
                    </w:rPr>
                    <w:t>Příspěvky</w:t>
                  </w:r>
                  <w:proofErr w:type="gramEnd"/>
                  <w:r w:rsidRPr="008E64D7">
                    <w:rPr>
                      <w:b/>
                    </w:rPr>
                    <w:t xml:space="preserve"> dílčích odvětví k meziroční změně průmyslové produkce</w:t>
                  </w:r>
                  <w:r w:rsidRPr="008E64D7">
                    <w:rPr>
                      <w:b/>
                    </w:rPr>
                    <w:br/>
                  </w:r>
                  <w:r w:rsidRPr="008E64D7">
                    <w:t>(</w:t>
                  </w:r>
                  <w:r w:rsidR="008E64D7" w:rsidRPr="008E64D7">
                    <w:t xml:space="preserve">očištěno o kalendářní vlivy, </w:t>
                  </w:r>
                  <w:r w:rsidRPr="008E64D7">
                    <w:t xml:space="preserve">reálně, v p. b.) </w:t>
                  </w:r>
                  <w:r w:rsidRPr="008E64D7">
                    <w:rPr>
                      <w:b/>
                    </w:rPr>
                    <w:t xml:space="preserve">a tržby* i produkce v celém průmyslu </w:t>
                  </w:r>
                  <w:r w:rsidR="00374B96" w:rsidRPr="008E64D7">
                    <w:t>(</w:t>
                  </w:r>
                  <w:r w:rsidR="008E64D7" w:rsidRPr="008E64D7">
                    <w:t xml:space="preserve">sezónně očištěno, </w:t>
                  </w:r>
                  <w:r w:rsidR="00374B96" w:rsidRPr="008E64D7">
                    <w:t>úroveň roku 2015=</w:t>
                  </w:r>
                  <w:r w:rsidRPr="008E64D7">
                    <w:t>100</w:t>
                  </w:r>
                  <w:r w:rsidR="00374B96" w:rsidRPr="008E64D7">
                    <w:t>, pravá osa</w:t>
                  </w:r>
                  <w:r w:rsidRPr="008E64D7">
                    <w:t>)</w:t>
                  </w:r>
                </w:p>
              </w:tc>
            </w:tr>
            <w:tr w:rsidR="000F15F7" w:rsidRPr="00B43216" w14:paraId="4B52986E" w14:textId="77777777" w:rsidTr="00550540">
              <w:tblPrEx>
                <w:tblCellMar>
                  <w:left w:w="70" w:type="dxa"/>
                  <w:right w:w="70" w:type="dxa"/>
                </w:tblCellMar>
              </w:tblPrEx>
              <w:trPr>
                <w:trHeight w:val="145"/>
              </w:trPr>
              <w:tc>
                <w:tcPr>
                  <w:tcW w:w="1609" w:type="dxa"/>
                  <w:shd w:val="clear" w:color="auto" w:fill="auto"/>
                </w:tcPr>
                <w:p w14:paraId="48E5817D" w14:textId="77777777" w:rsidR="000F15F7" w:rsidRDefault="000F15F7" w:rsidP="000F15F7">
                  <w:pPr>
                    <w:pStyle w:val="Marginlie"/>
                    <w:rPr>
                      <w:spacing w:val="-4"/>
                    </w:rPr>
                  </w:pPr>
                </w:p>
              </w:tc>
              <w:tc>
                <w:tcPr>
                  <w:tcW w:w="193" w:type="dxa"/>
                  <w:shd w:val="clear" w:color="auto" w:fill="auto"/>
                </w:tcPr>
                <w:p w14:paraId="27A567C3" w14:textId="77777777" w:rsidR="000F15F7" w:rsidRPr="00B43216" w:rsidRDefault="000F15F7" w:rsidP="000F15F7">
                  <w:pPr>
                    <w:pStyle w:val="Textpoznpodarou"/>
                    <w:jc w:val="both"/>
                    <w:rPr>
                      <w:spacing w:val="-4"/>
                    </w:rPr>
                  </w:pPr>
                </w:p>
              </w:tc>
              <w:tc>
                <w:tcPr>
                  <w:tcW w:w="7862" w:type="dxa"/>
                  <w:shd w:val="clear" w:color="auto" w:fill="auto"/>
                </w:tcPr>
                <w:p w14:paraId="0F8A6508" w14:textId="048146D7" w:rsidR="000F15F7" w:rsidRPr="00241E62" w:rsidRDefault="000F15F7" w:rsidP="000F15F7">
                  <w:pPr>
                    <w:spacing w:after="0"/>
                    <w:rPr>
                      <w:rFonts w:cs="Arial"/>
                      <w:bCs/>
                      <w:color w:val="000000"/>
                      <w:szCs w:val="20"/>
                    </w:rPr>
                  </w:pPr>
                  <w:r>
                    <w:rPr>
                      <w:noProof/>
                    </w:rPr>
                    <w:drawing>
                      <wp:inline distT="0" distB="0" distL="0" distR="0" wp14:anchorId="6E87572E" wp14:editId="240B2EAE">
                        <wp:extent cx="4781550" cy="3544056"/>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0F15F7" w:rsidRPr="00B43216" w14:paraId="03B61AE0" w14:textId="77777777" w:rsidTr="00550540">
              <w:trPr>
                <w:trHeight w:val="145"/>
              </w:trPr>
              <w:tc>
                <w:tcPr>
                  <w:tcW w:w="1609" w:type="dxa"/>
                  <w:shd w:val="clear" w:color="auto" w:fill="auto"/>
                  <w:tcMar>
                    <w:left w:w="0" w:type="dxa"/>
                  </w:tcMar>
                </w:tcPr>
                <w:p w14:paraId="3AAE9A77" w14:textId="77777777" w:rsidR="000F15F7" w:rsidRDefault="000F15F7" w:rsidP="000F15F7">
                  <w:pPr>
                    <w:pStyle w:val="Marginlie"/>
                    <w:rPr>
                      <w:spacing w:val="-4"/>
                    </w:rPr>
                  </w:pPr>
                </w:p>
              </w:tc>
              <w:tc>
                <w:tcPr>
                  <w:tcW w:w="193" w:type="dxa"/>
                  <w:shd w:val="clear" w:color="auto" w:fill="auto"/>
                  <w:tcMar>
                    <w:left w:w="0" w:type="dxa"/>
                  </w:tcMar>
                </w:tcPr>
                <w:p w14:paraId="57688D4A" w14:textId="77777777" w:rsidR="000F15F7" w:rsidRPr="00B43216" w:rsidRDefault="000F15F7" w:rsidP="000F15F7">
                  <w:pPr>
                    <w:pStyle w:val="Textpoznpodarou"/>
                    <w:jc w:val="both"/>
                    <w:rPr>
                      <w:spacing w:val="-4"/>
                    </w:rPr>
                  </w:pPr>
                </w:p>
              </w:tc>
              <w:tc>
                <w:tcPr>
                  <w:tcW w:w="7862" w:type="dxa"/>
                  <w:shd w:val="clear" w:color="auto" w:fill="auto"/>
                  <w:tcMar>
                    <w:left w:w="0" w:type="dxa"/>
                  </w:tcMar>
                </w:tcPr>
                <w:p w14:paraId="6101235A" w14:textId="49D65E2C" w:rsidR="000F15F7" w:rsidRPr="007A0D91" w:rsidRDefault="000F15F7" w:rsidP="000F15F7">
                  <w:pPr>
                    <w:tabs>
                      <w:tab w:val="right" w:pos="7711"/>
                    </w:tabs>
                    <w:spacing w:after="200"/>
                    <w:jc w:val="left"/>
                    <w:rPr>
                      <w:rFonts w:cs="Arial"/>
                      <w:sz w:val="14"/>
                      <w:szCs w:val="14"/>
                    </w:rPr>
                  </w:pPr>
                  <w:r>
                    <w:rPr>
                      <w:rFonts w:cs="Arial"/>
                      <w:sz w:val="14"/>
                      <w:szCs w:val="14"/>
                    </w:rPr>
                    <w:t>Poznámk</w:t>
                  </w:r>
                  <w:r w:rsidR="008E64D7">
                    <w:rPr>
                      <w:rFonts w:cs="Arial"/>
                      <w:sz w:val="14"/>
                      <w:szCs w:val="14"/>
                    </w:rPr>
                    <w:t xml:space="preserve">a: </w:t>
                  </w:r>
                  <w:r>
                    <w:rPr>
                      <w:rFonts w:cs="Arial"/>
                      <w:sz w:val="14"/>
                      <w:szCs w:val="14"/>
                    </w:rPr>
                    <w:t xml:space="preserve">Tržby jsou uvedeny v běžných cenách. </w:t>
                  </w:r>
                  <w:r>
                    <w:rPr>
                      <w:rFonts w:cs="Arial"/>
                      <w:sz w:val="14"/>
                      <w:szCs w:val="14"/>
                    </w:rPr>
                    <w:tab/>
                    <w:t xml:space="preserve"> </w:t>
                  </w:r>
                  <w:r w:rsidRPr="00883202">
                    <w:rPr>
                      <w:rFonts w:cs="Arial"/>
                      <w:sz w:val="14"/>
                      <w:szCs w:val="14"/>
                    </w:rPr>
                    <w:t>Zdroj: ČSÚ</w:t>
                  </w:r>
                </w:p>
              </w:tc>
            </w:tr>
            <w:tr w:rsidR="000F15F7" w:rsidRPr="00B43216" w14:paraId="50E01A19" w14:textId="77777777" w:rsidTr="00550540">
              <w:trPr>
                <w:trHeight w:val="145"/>
              </w:trPr>
              <w:tc>
                <w:tcPr>
                  <w:tcW w:w="1609" w:type="dxa"/>
                  <w:shd w:val="clear" w:color="auto" w:fill="auto"/>
                  <w:tcMar>
                    <w:left w:w="0" w:type="dxa"/>
                  </w:tcMar>
                </w:tcPr>
                <w:p w14:paraId="7C31BB6B" w14:textId="248616A8" w:rsidR="000F15F7" w:rsidRDefault="000F15F7" w:rsidP="000F15F7">
                  <w:pPr>
                    <w:pStyle w:val="Marginlie"/>
                    <w:rPr>
                      <w:color w:val="0D0D0D" w:themeColor="text1" w:themeTint="F2"/>
                    </w:rPr>
                  </w:pPr>
                  <w:r>
                    <w:rPr>
                      <w:spacing w:val="-4"/>
                    </w:rPr>
                    <w:t xml:space="preserve">Výkon automobilového průmyslu byl nadále negativně ovlivněn problémy s nedostatkovými </w:t>
                  </w:r>
                  <w:r>
                    <w:rPr>
                      <w:spacing w:val="-4"/>
                    </w:rPr>
                    <w:lastRenderedPageBreak/>
                    <w:t>komponentami. Poznamenal také gumárenství.</w:t>
                  </w:r>
                </w:p>
              </w:tc>
              <w:tc>
                <w:tcPr>
                  <w:tcW w:w="193" w:type="dxa"/>
                  <w:shd w:val="clear" w:color="auto" w:fill="auto"/>
                  <w:tcMar>
                    <w:left w:w="0" w:type="dxa"/>
                  </w:tcMar>
                </w:tcPr>
                <w:p w14:paraId="1AEFF2FB" w14:textId="77777777" w:rsidR="000F15F7" w:rsidRPr="00932754" w:rsidRDefault="000F15F7" w:rsidP="000F15F7">
                  <w:pPr>
                    <w:pStyle w:val="Textpoznpodarou"/>
                    <w:jc w:val="both"/>
                    <w:rPr>
                      <w:color w:val="0D0D0D" w:themeColor="text1" w:themeTint="F2"/>
                      <w:spacing w:val="-4"/>
                    </w:rPr>
                  </w:pPr>
                </w:p>
              </w:tc>
              <w:tc>
                <w:tcPr>
                  <w:tcW w:w="7862" w:type="dxa"/>
                  <w:shd w:val="clear" w:color="auto" w:fill="auto"/>
                  <w:tcMar>
                    <w:left w:w="0" w:type="dxa"/>
                  </w:tcMar>
                </w:tcPr>
                <w:p w14:paraId="02494B73" w14:textId="471FEA32" w:rsidR="000F15F7" w:rsidRPr="00EF7D18" w:rsidRDefault="000F15F7" w:rsidP="000F15F7">
                  <w:pPr>
                    <w:spacing w:after="200"/>
                    <w:rPr>
                      <w:rFonts w:cs="Arial"/>
                      <w:bCs/>
                      <w:color w:val="0D0D0D" w:themeColor="text1" w:themeTint="F2"/>
                      <w:spacing w:val="-5"/>
                      <w:szCs w:val="20"/>
                    </w:rPr>
                  </w:pPr>
                  <w:r w:rsidRPr="00EF7D18">
                    <w:rPr>
                      <w:color w:val="0D0D0D" w:themeColor="text1" w:themeTint="F2"/>
                      <w:spacing w:val="-5"/>
                    </w:rPr>
                    <w:t>Automobilový průmysl se i v 1. čtvrtletí 2022 potýkal s dodavatelskými problémy, jež byly prohloubeny zmrazením výroby některých zdrojových komponent v Číně i na Ukrajině. Produkce výrobců automobilů se tak meziročně propadla o více než desetinu</w:t>
                  </w:r>
                  <w:r w:rsidRPr="00EF7D18">
                    <w:rPr>
                      <w:rStyle w:val="Znakapoznpodarou"/>
                      <w:color w:val="0D0D0D" w:themeColor="text1" w:themeTint="F2"/>
                      <w:spacing w:val="-5"/>
                    </w:rPr>
                    <w:footnoteReference w:id="8"/>
                  </w:r>
                  <w:r w:rsidRPr="00EF7D18">
                    <w:rPr>
                      <w:color w:val="0D0D0D" w:themeColor="text1" w:themeTint="F2"/>
                      <w:spacing w:val="-5"/>
                    </w:rPr>
                    <w:t xml:space="preserve">. Průměrné Využití výrobních kapacit se zde již třetí čtvrtletí v řadě pohybovalo znatelně pod dlouhodobým </w:t>
                  </w:r>
                  <w:r w:rsidRPr="00EF7D18">
                    <w:rPr>
                      <w:color w:val="0D0D0D" w:themeColor="text1" w:themeTint="F2"/>
                      <w:spacing w:val="-5"/>
                    </w:rPr>
                    <w:lastRenderedPageBreak/>
                    <w:t>průměrem</w:t>
                  </w:r>
                  <w:r w:rsidRPr="00EF7D18">
                    <w:rPr>
                      <w:rStyle w:val="Znakapoznpodarou"/>
                      <w:color w:val="0D0D0D" w:themeColor="text1" w:themeTint="F2"/>
                      <w:spacing w:val="-5"/>
                    </w:rPr>
                    <w:footnoteReference w:id="9"/>
                  </w:r>
                  <w:r w:rsidRPr="00EF7D18">
                    <w:rPr>
                      <w:color w:val="0D0D0D" w:themeColor="text1" w:themeTint="F2"/>
                      <w:spacing w:val="-5"/>
                    </w:rPr>
                    <w:t>. Nedostatek materiálu a zařízení deklarovalo letos v lednu rekordních 89 % podniků v odvětví výroby motorových vozidel (v celém průmyslu pak 39 %). Problémy tohoto oboru se přelily i do návazné výroby pryžových a plastových výrobků, kde v 1. čtvrtletí produkce za loňskou výš</w:t>
                  </w:r>
                  <w:r>
                    <w:rPr>
                      <w:color w:val="0D0D0D" w:themeColor="text1" w:themeTint="F2"/>
                      <w:spacing w:val="-5"/>
                    </w:rPr>
                    <w:t>í</w:t>
                  </w:r>
                  <w:r w:rsidRPr="00EF7D18">
                    <w:rPr>
                      <w:color w:val="0D0D0D" w:themeColor="text1" w:themeTint="F2"/>
                      <w:spacing w:val="-5"/>
                    </w:rPr>
                    <w:t xml:space="preserve"> o 4 % zaostala. Potíže s nedostatkem i cenou materiálů významně ovlivnily také hutnictví</w:t>
                  </w:r>
                  <w:r>
                    <w:rPr>
                      <w:color w:val="0D0D0D" w:themeColor="text1" w:themeTint="F2"/>
                      <w:spacing w:val="-5"/>
                    </w:rPr>
                    <w:t xml:space="preserve"> a</w:t>
                  </w:r>
                  <w:r w:rsidRPr="00EF7D18">
                    <w:rPr>
                      <w:color w:val="0D0D0D" w:themeColor="text1" w:themeTint="F2"/>
                      <w:spacing w:val="-5"/>
                    </w:rPr>
                    <w:t xml:space="preserve"> s ním provázanou výrobu kovových konstrukcí – produkce v nich meziročně fakticky stagnovala (v úhrnu za loňský rok byly přitom tyto obory hlavními tahouny růstu celého průmyslu). Vinou menších plánovaných odstávek výrobních zařízení se letos mírně snížila také produkce v odvětví energetiky (o 2,7 %). Naopak výkon těžby a dobývání po hlubokých propadech z let 2019 i 2020 letos meziročně vzrostl (</w:t>
                  </w:r>
                  <w:r>
                    <w:rPr>
                      <w:color w:val="0D0D0D" w:themeColor="text1" w:themeTint="F2"/>
                      <w:spacing w:val="-5"/>
                    </w:rPr>
                    <w:t xml:space="preserve">o </w:t>
                  </w:r>
                  <w:r w:rsidRPr="00EF7D18">
                    <w:rPr>
                      <w:color w:val="0D0D0D" w:themeColor="text1" w:themeTint="F2"/>
                      <w:spacing w:val="-5"/>
                    </w:rPr>
                    <w:t xml:space="preserve">4,9 %), hlavně vlivem vyšší těžby stavebních materiálů a podpůrných činností při těžbě, které překonaly i úroveň produkce z počátku roku 2019. </w:t>
                  </w:r>
                </w:p>
              </w:tc>
            </w:tr>
            <w:tr w:rsidR="000F15F7" w:rsidRPr="00B43216" w14:paraId="2204E6F1" w14:textId="77777777" w:rsidTr="00550540">
              <w:trPr>
                <w:trHeight w:val="145"/>
              </w:trPr>
              <w:tc>
                <w:tcPr>
                  <w:tcW w:w="1609" w:type="dxa"/>
                  <w:shd w:val="clear" w:color="auto" w:fill="auto"/>
                  <w:tcMar>
                    <w:left w:w="0" w:type="dxa"/>
                  </w:tcMar>
                </w:tcPr>
                <w:p w14:paraId="40560814" w14:textId="76482361" w:rsidR="000F15F7" w:rsidRPr="00932754" w:rsidRDefault="000F15F7" w:rsidP="000F15F7">
                  <w:pPr>
                    <w:pStyle w:val="Marginlie"/>
                    <w:rPr>
                      <w:color w:val="0D0D0D" w:themeColor="text1" w:themeTint="F2"/>
                    </w:rPr>
                  </w:pPr>
                  <w:r>
                    <w:rPr>
                      <w:color w:val="0D0D0D" w:themeColor="text1" w:themeTint="F2"/>
                    </w:rPr>
                    <w:lastRenderedPageBreak/>
                    <w:t xml:space="preserve">Tržby podniků z průmyslové činnosti rostly zejména díky vyšším cenám surovin i hotových výrobků. Zásadně k nim přispěly vyšší tržby v energetice. </w:t>
                  </w:r>
                </w:p>
              </w:tc>
              <w:tc>
                <w:tcPr>
                  <w:tcW w:w="193" w:type="dxa"/>
                  <w:shd w:val="clear" w:color="auto" w:fill="auto"/>
                  <w:tcMar>
                    <w:left w:w="0" w:type="dxa"/>
                  </w:tcMar>
                </w:tcPr>
                <w:p w14:paraId="3F80AD53" w14:textId="77777777" w:rsidR="000F15F7" w:rsidRPr="00932754" w:rsidRDefault="000F15F7" w:rsidP="000F15F7">
                  <w:pPr>
                    <w:pStyle w:val="Textpoznpodarou"/>
                    <w:jc w:val="both"/>
                    <w:rPr>
                      <w:color w:val="0D0D0D" w:themeColor="text1" w:themeTint="F2"/>
                      <w:spacing w:val="-4"/>
                    </w:rPr>
                  </w:pPr>
                </w:p>
              </w:tc>
              <w:tc>
                <w:tcPr>
                  <w:tcW w:w="7862" w:type="dxa"/>
                  <w:shd w:val="clear" w:color="auto" w:fill="auto"/>
                  <w:tcMar>
                    <w:left w:w="0" w:type="dxa"/>
                  </w:tcMar>
                </w:tcPr>
                <w:p w14:paraId="46861C9F" w14:textId="13A14746" w:rsidR="000F15F7" w:rsidRPr="006F2228" w:rsidRDefault="000F15F7" w:rsidP="000F15F7">
                  <w:pPr>
                    <w:spacing w:after="200"/>
                    <w:rPr>
                      <w:color w:val="0D0D0D" w:themeColor="text1" w:themeTint="F2"/>
                      <w:spacing w:val="-4"/>
                    </w:rPr>
                  </w:pPr>
                  <w:r w:rsidRPr="00353052">
                    <w:rPr>
                      <w:rFonts w:cs="Arial"/>
                      <w:bCs/>
                      <w:color w:val="0D0D0D" w:themeColor="text1" w:themeTint="F2"/>
                      <w:spacing w:val="-4"/>
                      <w:szCs w:val="20"/>
                    </w:rPr>
                    <w:t>Nominální tržby průmyslových podniků</w:t>
                  </w:r>
                  <w:r w:rsidRPr="00353052">
                    <w:rPr>
                      <w:rStyle w:val="Znakapoznpodarou"/>
                      <w:bCs/>
                      <w:color w:val="0D0D0D" w:themeColor="text1" w:themeTint="F2"/>
                      <w:spacing w:val="-4"/>
                      <w:szCs w:val="20"/>
                    </w:rPr>
                    <w:footnoteReference w:id="10"/>
                  </w:r>
                  <w:r w:rsidRPr="00353052">
                    <w:rPr>
                      <w:rFonts w:cs="Arial"/>
                      <w:bCs/>
                      <w:color w:val="0D0D0D" w:themeColor="text1" w:themeTint="F2"/>
                      <w:spacing w:val="-4"/>
                      <w:szCs w:val="20"/>
                    </w:rPr>
                    <w:t xml:space="preserve"> se v 1. čtvrtl</w:t>
                  </w:r>
                  <w:r>
                    <w:rPr>
                      <w:rFonts w:cs="Arial"/>
                      <w:bCs/>
                      <w:color w:val="0D0D0D" w:themeColor="text1" w:themeTint="F2"/>
                      <w:spacing w:val="-4"/>
                      <w:szCs w:val="20"/>
                    </w:rPr>
                    <w:t>etí 2022 meziročně zvýšily o 9,3 % a</w:t>
                  </w:r>
                  <w:r>
                    <w:rPr>
                      <w:color w:val="0D0D0D" w:themeColor="text1" w:themeTint="F2"/>
                      <w:spacing w:val="-4"/>
                    </w:rPr>
                    <w:t> </w:t>
                  </w:r>
                  <w:r w:rsidRPr="00353052">
                    <w:rPr>
                      <w:rFonts w:cs="Arial"/>
                      <w:bCs/>
                      <w:color w:val="0D0D0D" w:themeColor="text1" w:themeTint="F2"/>
                      <w:spacing w:val="-4"/>
                      <w:szCs w:val="20"/>
                    </w:rPr>
                    <w:t xml:space="preserve">rostly tak jen mírně nižším tempem než za celý předchozí rok. Jestliže v roce 2021 byl ale jejich růst z převážné části výsledkem </w:t>
                  </w:r>
                  <w:proofErr w:type="spellStart"/>
                  <w:r w:rsidRPr="00353052">
                    <w:rPr>
                      <w:rFonts w:cs="Arial"/>
                      <w:bCs/>
                      <w:color w:val="0D0D0D" w:themeColor="text1" w:themeTint="F2"/>
                      <w:spacing w:val="-4"/>
                      <w:szCs w:val="20"/>
                    </w:rPr>
                    <w:t>pokrizového</w:t>
                  </w:r>
                  <w:proofErr w:type="spellEnd"/>
                  <w:r w:rsidRPr="00353052">
                    <w:rPr>
                      <w:rFonts w:cs="Arial"/>
                      <w:bCs/>
                      <w:color w:val="0D0D0D" w:themeColor="text1" w:themeTint="F2"/>
                      <w:spacing w:val="-4"/>
                      <w:szCs w:val="20"/>
                    </w:rPr>
                    <w:t xml:space="preserve"> oživení objemu výroby,</w:t>
                  </w:r>
                  <w:r>
                    <w:rPr>
                      <w:rFonts w:cs="Arial"/>
                      <w:bCs/>
                      <w:color w:val="0D0D0D" w:themeColor="text1" w:themeTint="F2"/>
                      <w:spacing w:val="-4"/>
                      <w:szCs w:val="20"/>
                    </w:rPr>
                    <w:t xml:space="preserve"> na počá</w:t>
                  </w:r>
                  <w:r w:rsidRPr="00353052">
                    <w:rPr>
                      <w:rFonts w:cs="Arial"/>
                      <w:bCs/>
                      <w:color w:val="0D0D0D" w:themeColor="text1" w:themeTint="F2"/>
                      <w:spacing w:val="-4"/>
                      <w:szCs w:val="20"/>
                    </w:rPr>
                    <w:t xml:space="preserve">tku letošního roku odrážel takřka výhradně </w:t>
                  </w:r>
                  <w:r>
                    <w:rPr>
                      <w:rFonts w:cs="Arial"/>
                      <w:bCs/>
                      <w:color w:val="0D0D0D" w:themeColor="text1" w:themeTint="F2"/>
                      <w:spacing w:val="-4"/>
                      <w:szCs w:val="20"/>
                    </w:rPr>
                    <w:t>dopad</w:t>
                  </w:r>
                  <w:r w:rsidRPr="00353052">
                    <w:rPr>
                      <w:rFonts w:cs="Arial"/>
                      <w:bCs/>
                      <w:color w:val="0D0D0D" w:themeColor="text1" w:themeTint="F2"/>
                      <w:spacing w:val="-4"/>
                      <w:szCs w:val="20"/>
                    </w:rPr>
                    <w:t xml:space="preserve"> </w:t>
                  </w:r>
                  <w:r>
                    <w:rPr>
                      <w:rFonts w:cs="Arial"/>
                      <w:bCs/>
                      <w:color w:val="0D0D0D" w:themeColor="text1" w:themeTint="F2"/>
                      <w:spacing w:val="-4"/>
                      <w:szCs w:val="20"/>
                    </w:rPr>
                    <w:t xml:space="preserve">nebývale </w:t>
                  </w:r>
                  <w:r w:rsidRPr="00353052">
                    <w:rPr>
                      <w:color w:val="0D0D0D" w:themeColor="text1" w:themeTint="F2"/>
                      <w:spacing w:val="-4"/>
                    </w:rPr>
                    <w:t>silného cenového růstu materiálových vstupů umocněného neočekávanou eskalací cen energií.</w:t>
                  </w:r>
                  <w:r>
                    <w:rPr>
                      <w:color w:val="0D0D0D" w:themeColor="text1" w:themeTint="F2"/>
                      <w:spacing w:val="-4"/>
                    </w:rPr>
                    <w:t xml:space="preserve"> Růst cen výrobců se ovšem v rámci průmyslu dosti lišil, nejvíce vyčníval u surovin a energií, relati</w:t>
                  </w:r>
                  <w:r w:rsidR="00374B96">
                    <w:rPr>
                      <w:color w:val="0D0D0D" w:themeColor="text1" w:themeTint="F2"/>
                      <w:spacing w:val="-4"/>
                    </w:rPr>
                    <w:t>vně slabý byl naopak u strojů a</w:t>
                  </w:r>
                  <w:r w:rsidR="00374B96">
                    <w:t> </w:t>
                  </w:r>
                  <w:r>
                    <w:rPr>
                      <w:color w:val="0D0D0D" w:themeColor="text1" w:themeTint="F2"/>
                      <w:spacing w:val="-4"/>
                    </w:rPr>
                    <w:t>zařízení, dopravních prostředků či počítačů, elektronických a optických přístrojů. Naprostá většina odvětví vykázala dvojciferný růst tržeb – nejvíce těžba a dobývání (45 %), chemický průmysl (37 %), hutnictví (35 %) a dřevozpracující průmysl (31 %). Tržby se meziročně snížily prakticky jen výrobcům motorových vozidel (u nichž se nacházely zhruba na úrovni počátku roku 2020). To se podepsalo i na slabším tempu tržeb z přímého vývozu u všech průmyslových podniků (+3,4 %). Naopak domácí tržby byly oproti počátku loňského roku vyšší o 17,7 %, z významné části působením cenového růstu energií.</w:t>
                  </w:r>
                </w:p>
              </w:tc>
            </w:tr>
            <w:tr w:rsidR="000F15F7" w:rsidRPr="00B43216" w14:paraId="65ECAB1B" w14:textId="77777777" w:rsidTr="00550540">
              <w:trPr>
                <w:trHeight w:val="145"/>
              </w:trPr>
              <w:tc>
                <w:tcPr>
                  <w:tcW w:w="1609" w:type="dxa"/>
                  <w:shd w:val="clear" w:color="auto" w:fill="auto"/>
                  <w:tcMar>
                    <w:left w:w="0" w:type="dxa"/>
                  </w:tcMar>
                </w:tcPr>
                <w:p w14:paraId="311C6399" w14:textId="39804840" w:rsidR="000F15F7" w:rsidRPr="00932754" w:rsidRDefault="000F15F7" w:rsidP="000F15F7">
                  <w:pPr>
                    <w:pStyle w:val="Marginlie"/>
                    <w:rPr>
                      <w:color w:val="0D0D0D" w:themeColor="text1" w:themeTint="F2"/>
                    </w:rPr>
                  </w:pPr>
                  <w:r>
                    <w:rPr>
                      <w:color w:val="0D0D0D" w:themeColor="text1" w:themeTint="F2"/>
                    </w:rPr>
                    <w:t>Nominální hodnota nových průmyslových zakázek rostla opět pomaleji než výrobní náklady průmyslových podniků.</w:t>
                  </w:r>
                </w:p>
              </w:tc>
              <w:tc>
                <w:tcPr>
                  <w:tcW w:w="193" w:type="dxa"/>
                  <w:shd w:val="clear" w:color="auto" w:fill="auto"/>
                  <w:tcMar>
                    <w:left w:w="0" w:type="dxa"/>
                  </w:tcMar>
                </w:tcPr>
                <w:p w14:paraId="2925B954" w14:textId="77777777" w:rsidR="000F15F7" w:rsidRPr="00932754" w:rsidRDefault="000F15F7" w:rsidP="000F15F7">
                  <w:pPr>
                    <w:pStyle w:val="Textpoznpodarou"/>
                    <w:jc w:val="both"/>
                    <w:rPr>
                      <w:color w:val="0D0D0D" w:themeColor="text1" w:themeTint="F2"/>
                      <w:spacing w:val="-4"/>
                    </w:rPr>
                  </w:pPr>
                </w:p>
              </w:tc>
              <w:tc>
                <w:tcPr>
                  <w:tcW w:w="7862" w:type="dxa"/>
                  <w:shd w:val="clear" w:color="auto" w:fill="auto"/>
                  <w:tcMar>
                    <w:left w:w="0" w:type="dxa"/>
                  </w:tcMar>
                </w:tcPr>
                <w:p w14:paraId="27438FB4" w14:textId="09608E4E" w:rsidR="000F15F7" w:rsidRPr="004B4D82" w:rsidRDefault="000F15F7" w:rsidP="000F15F7">
                  <w:pPr>
                    <w:spacing w:after="190"/>
                    <w:rPr>
                      <w:color w:val="0D0D0D" w:themeColor="text1" w:themeTint="F2"/>
                      <w:spacing w:val="-4"/>
                    </w:rPr>
                  </w:pPr>
                  <w:r>
                    <w:rPr>
                      <w:color w:val="0D0D0D" w:themeColor="text1" w:themeTint="F2"/>
                      <w:spacing w:val="-4"/>
                    </w:rPr>
                    <w:t>Nové průmyslové zakáz</w:t>
                  </w:r>
                  <w:r w:rsidRPr="002C7622">
                    <w:rPr>
                      <w:color w:val="0D0D0D" w:themeColor="text1" w:themeTint="F2"/>
                      <w:spacing w:val="-4"/>
                    </w:rPr>
                    <w:t>k</w:t>
                  </w:r>
                  <w:r>
                    <w:rPr>
                      <w:color w:val="0D0D0D" w:themeColor="text1" w:themeTint="F2"/>
                      <w:spacing w:val="-4"/>
                    </w:rPr>
                    <w:t>y</w:t>
                  </w:r>
                  <w:r w:rsidRPr="002C7622">
                    <w:rPr>
                      <w:rStyle w:val="Znakapoznpodarou"/>
                      <w:color w:val="0D0D0D" w:themeColor="text1" w:themeTint="F2"/>
                      <w:spacing w:val="-4"/>
                    </w:rPr>
                    <w:footnoteReference w:id="11"/>
                  </w:r>
                  <w:r>
                    <w:rPr>
                      <w:color w:val="0D0D0D" w:themeColor="text1" w:themeTint="F2"/>
                      <w:spacing w:val="-4"/>
                    </w:rPr>
                    <w:t xml:space="preserve"> v</w:t>
                  </w:r>
                  <w:r w:rsidRPr="002C7622">
                    <w:rPr>
                      <w:color w:val="0D0D0D" w:themeColor="text1" w:themeTint="F2"/>
                      <w:spacing w:val="-4"/>
                    </w:rPr>
                    <w:t xml:space="preserve"> </w:t>
                  </w:r>
                  <w:r>
                    <w:rPr>
                      <w:color w:val="0D0D0D" w:themeColor="text1" w:themeTint="F2"/>
                      <w:spacing w:val="-4"/>
                    </w:rPr>
                    <w:t xml:space="preserve">1. čtvrtletí 2022 meziročně vzrostly nominálně o 5,6 % (jen mírně vyšší tempo vykázaly tuzemské zakázky). Jejich hodnota se </w:t>
                  </w:r>
                  <w:r>
                    <w:rPr>
                      <w:rFonts w:cs="Arial"/>
                      <w:bCs/>
                      <w:color w:val="0D0D0D" w:themeColor="text1" w:themeTint="F2"/>
                      <w:spacing w:val="-4"/>
                      <w:szCs w:val="20"/>
                    </w:rPr>
                    <w:t>již od poloviny loňského roku</w:t>
                  </w:r>
                  <w:r>
                    <w:rPr>
                      <w:color w:val="0D0D0D" w:themeColor="text1" w:themeTint="F2"/>
                      <w:spacing w:val="-4"/>
                    </w:rPr>
                    <w:t xml:space="preserve"> zvyšovala pomalejším tempem </w:t>
                  </w:r>
                  <w:r>
                    <w:rPr>
                      <w:rFonts w:cs="Arial"/>
                      <w:bCs/>
                      <w:color w:val="0D0D0D" w:themeColor="text1" w:themeTint="F2"/>
                      <w:spacing w:val="-4"/>
                      <w:szCs w:val="20"/>
                    </w:rPr>
                    <w:t>než výrobní náklady vyjádřené prostřednictvím cen průmyslových výrobců. Více než dvě třetiny dosavadního letošního růstu celkových zakázek obstarala výroba kovových konstrukcí a kovodělných výrobků spolu s chemickým průmyslem. S ohledem na dynamiku výrobních nákladů i loňskou základnu lze pozitivně hodnotit růst zakázek ve výrobě elektrických zařízení (15 %), oděvnictví 16 %) i textilním průmyslu (22 %). S tím kontrastuje téměř 8% redukce hodnoty zakázek ve výrobě motorových vozidel. Meziroční pokles zde přetrvával třetí čtvrtletí v řadě a týkal se objednávek z tuzemska i ze zahraničí. Opakovaně se snížil objem zakázek i u výrobců ostatních (zejména kolejových) dopravních prostředků, u nich je však vývoj poptávky tradičně volatilnější.</w:t>
                  </w:r>
                </w:p>
              </w:tc>
            </w:tr>
            <w:tr w:rsidR="000F15F7" w:rsidRPr="00B43216" w14:paraId="15B14D26" w14:textId="77777777" w:rsidTr="00550540">
              <w:trPr>
                <w:trHeight w:val="145"/>
              </w:trPr>
              <w:tc>
                <w:tcPr>
                  <w:tcW w:w="1609" w:type="dxa"/>
                  <w:shd w:val="clear" w:color="auto" w:fill="auto"/>
                  <w:tcMar>
                    <w:left w:w="0" w:type="dxa"/>
                  </w:tcMar>
                </w:tcPr>
                <w:p w14:paraId="41904A59" w14:textId="77777777" w:rsidR="000F15F7" w:rsidRDefault="000F15F7" w:rsidP="000F15F7">
                  <w:pPr>
                    <w:pStyle w:val="Marginlie"/>
                    <w:rPr>
                      <w:color w:val="0D0D0D" w:themeColor="text1" w:themeTint="F2"/>
                      <w:spacing w:val="0"/>
                    </w:rPr>
                  </w:pPr>
                  <w:r>
                    <w:rPr>
                      <w:color w:val="0D0D0D" w:themeColor="text1" w:themeTint="F2"/>
                      <w:spacing w:val="0"/>
                    </w:rPr>
                    <w:t>Navzdory zásadnímu zhoršení geopolitické situace celková důvěra podnikatelů v průmyslu od ledna do dubna rostla.</w:t>
                  </w:r>
                </w:p>
                <w:p w14:paraId="578113F8" w14:textId="77777777" w:rsidR="000F15F7" w:rsidRDefault="000F15F7" w:rsidP="000F15F7">
                  <w:pPr>
                    <w:pStyle w:val="Marginlie"/>
                    <w:rPr>
                      <w:color w:val="0D0D0D" w:themeColor="text1" w:themeTint="F2"/>
                      <w:spacing w:val="0"/>
                    </w:rPr>
                  </w:pPr>
                </w:p>
                <w:p w14:paraId="0DE7F08E" w14:textId="77777777" w:rsidR="000F15F7" w:rsidRDefault="000F15F7" w:rsidP="000F15F7">
                  <w:pPr>
                    <w:pStyle w:val="Marginlie"/>
                    <w:rPr>
                      <w:color w:val="0D0D0D" w:themeColor="text1" w:themeTint="F2"/>
                      <w:spacing w:val="0"/>
                    </w:rPr>
                  </w:pPr>
                </w:p>
                <w:p w14:paraId="16043ACD" w14:textId="77777777" w:rsidR="000F15F7" w:rsidRDefault="000F15F7" w:rsidP="000F15F7">
                  <w:pPr>
                    <w:pStyle w:val="Marginlie"/>
                    <w:rPr>
                      <w:color w:val="0D0D0D" w:themeColor="text1" w:themeTint="F2"/>
                      <w:spacing w:val="0"/>
                    </w:rPr>
                  </w:pPr>
                </w:p>
                <w:p w14:paraId="3B507B54" w14:textId="77777777" w:rsidR="000F15F7" w:rsidRDefault="000F15F7" w:rsidP="000F15F7">
                  <w:pPr>
                    <w:pStyle w:val="Marginlie"/>
                    <w:rPr>
                      <w:color w:val="0D0D0D" w:themeColor="text1" w:themeTint="F2"/>
                      <w:spacing w:val="0"/>
                    </w:rPr>
                  </w:pPr>
                </w:p>
                <w:p w14:paraId="76519C17" w14:textId="1998097A" w:rsidR="000F15F7" w:rsidRDefault="000F15F7" w:rsidP="000F15F7">
                  <w:pPr>
                    <w:pStyle w:val="Marginlie"/>
                    <w:rPr>
                      <w:color w:val="0D0D0D" w:themeColor="text1" w:themeTint="F2"/>
                    </w:rPr>
                  </w:pPr>
                  <w:r>
                    <w:rPr>
                      <w:spacing w:val="0"/>
                    </w:rPr>
                    <w:t>Nedostatek materiálu a zařízení sužoval v dubnu 2022 již skoro polovinu podniků v průmyslu.</w:t>
                  </w:r>
                </w:p>
              </w:tc>
              <w:tc>
                <w:tcPr>
                  <w:tcW w:w="193" w:type="dxa"/>
                  <w:shd w:val="clear" w:color="auto" w:fill="auto"/>
                  <w:tcMar>
                    <w:left w:w="0" w:type="dxa"/>
                  </w:tcMar>
                </w:tcPr>
                <w:p w14:paraId="33DE1F29" w14:textId="77777777" w:rsidR="000F15F7" w:rsidRPr="00932754" w:rsidRDefault="000F15F7" w:rsidP="000F15F7">
                  <w:pPr>
                    <w:pStyle w:val="Textpoznpodarou"/>
                    <w:jc w:val="both"/>
                    <w:rPr>
                      <w:color w:val="0D0D0D" w:themeColor="text1" w:themeTint="F2"/>
                      <w:spacing w:val="-4"/>
                    </w:rPr>
                  </w:pPr>
                </w:p>
              </w:tc>
              <w:tc>
                <w:tcPr>
                  <w:tcW w:w="7862" w:type="dxa"/>
                  <w:shd w:val="clear" w:color="auto" w:fill="auto"/>
                  <w:tcMar>
                    <w:left w:w="0" w:type="dxa"/>
                  </w:tcMar>
                </w:tcPr>
                <w:p w14:paraId="6B5E24A9" w14:textId="78B05D7E" w:rsidR="000F15F7" w:rsidRDefault="000F15F7" w:rsidP="000F15F7">
                  <w:pPr>
                    <w:spacing w:after="200"/>
                    <w:rPr>
                      <w:color w:val="0D0D0D" w:themeColor="text1" w:themeTint="F2"/>
                      <w:spacing w:val="-4"/>
                    </w:rPr>
                  </w:pPr>
                  <w:r w:rsidRPr="0050728A">
                    <w:rPr>
                      <w:color w:val="0D0D0D" w:themeColor="text1" w:themeTint="F2"/>
                      <w:spacing w:val="-4"/>
                    </w:rPr>
                    <w:t xml:space="preserve">Důvěra podnikatelů v průmyslu </w:t>
                  </w:r>
                  <w:r>
                    <w:rPr>
                      <w:color w:val="0D0D0D" w:themeColor="text1" w:themeTint="F2"/>
                      <w:spacing w:val="-4"/>
                    </w:rPr>
                    <w:t xml:space="preserve">se od loňského října, kdy došlo k citelnému omezení výroby v některých podnicích v automobilovém průmyslu, a pesimismus byl nejhlubší od jara 2020, pozvolna zvyšovala. Letos v dubnu se saldo důvěry vrátilo do kladného pásma a v květnu dále posílilo, když vystoupalo na nejvyšší úroveň od loňského června. Podnikatelé v průmyslu zároveň vyjádřili větší optimismus než po celý rok 2019. Negativně hodnotila současnou poptávku méně než desetina podniků, což koresponduje s poklesem významu nedostatečné poptávky jako významné růstové bariéry produkce. Tu v dubnu uvedla jen pětina podniků (v lednu 2021 skoro polovina). V příštích třech měsících očekávalo růst výrobní činnosti již 36 % podniků, pokles pouze 9 %. Podniky nadále plánovaly mírné navyšování počtu pracovníků. Evidenční počet zaměstnanců letos v 1. čtvrtletí meziročně stagnoval. Podniky hodnotily příznivě současnou ekonomickou situaci, v krátkodobých výhledech – zejména na 2. čtvrtletí nicméně zůstávaly mnohem opatrnější. Rekordně vysoký počet podniků ovšem očekával v nejbližších měsících růst svých prodejních cen (až 60 %). To souviselo nejen </w:t>
                  </w:r>
                  <w:r>
                    <w:rPr>
                      <w:color w:val="0D0D0D" w:themeColor="text1" w:themeTint="F2"/>
                      <w:spacing w:val="-4"/>
                    </w:rPr>
                    <w:lastRenderedPageBreak/>
                    <w:t>s rostoucími cenami vstupů, ale i s faktem, že bezmála polovina respondentů uvedla jako jednu z významných růstových bariér nedostatek materiálu či zařízení.</w:t>
                  </w:r>
                </w:p>
              </w:tc>
            </w:tr>
            <w:tr w:rsidR="000F15F7" w:rsidRPr="00B43216" w14:paraId="314818C2" w14:textId="77777777" w:rsidTr="00550540">
              <w:trPr>
                <w:trHeight w:val="155"/>
              </w:trPr>
              <w:tc>
                <w:tcPr>
                  <w:tcW w:w="1609" w:type="dxa"/>
                  <w:vMerge w:val="restart"/>
                  <w:shd w:val="clear" w:color="auto" w:fill="auto"/>
                  <w:tcMar>
                    <w:left w:w="0" w:type="dxa"/>
                  </w:tcMar>
                </w:tcPr>
                <w:p w14:paraId="4DE9780E" w14:textId="77777777" w:rsidR="000F15F7" w:rsidRPr="00B43216" w:rsidRDefault="000F15F7" w:rsidP="000F15F7">
                  <w:pPr>
                    <w:pStyle w:val="Marginlie"/>
                    <w:rPr>
                      <w:spacing w:val="-4"/>
                    </w:rPr>
                  </w:pPr>
                </w:p>
              </w:tc>
              <w:tc>
                <w:tcPr>
                  <w:tcW w:w="193" w:type="dxa"/>
                  <w:vMerge w:val="restart"/>
                  <w:shd w:val="clear" w:color="auto" w:fill="auto"/>
                  <w:tcMar>
                    <w:left w:w="0" w:type="dxa"/>
                  </w:tcMar>
                </w:tcPr>
                <w:p w14:paraId="10AF9558" w14:textId="77777777" w:rsidR="000F15F7" w:rsidRPr="00B43216" w:rsidRDefault="000F15F7" w:rsidP="000F15F7">
                  <w:pPr>
                    <w:pStyle w:val="Textpoznpodarou"/>
                    <w:jc w:val="both"/>
                    <w:rPr>
                      <w:spacing w:val="-4"/>
                    </w:rPr>
                  </w:pPr>
                </w:p>
              </w:tc>
              <w:tc>
                <w:tcPr>
                  <w:tcW w:w="7862" w:type="dxa"/>
                  <w:shd w:val="clear" w:color="auto" w:fill="auto"/>
                  <w:tcMar>
                    <w:left w:w="0" w:type="dxa"/>
                  </w:tcMar>
                </w:tcPr>
                <w:p w14:paraId="3B0105CB" w14:textId="29D1CF41" w:rsidR="000F15F7" w:rsidRPr="00760356" w:rsidRDefault="000F15F7" w:rsidP="000F15F7">
                  <w:pPr>
                    <w:pStyle w:val="Textpoznpodarou"/>
                    <w:spacing w:line="276" w:lineRule="auto"/>
                    <w:jc w:val="both"/>
                    <w:rPr>
                      <w:b/>
                      <w:spacing w:val="-2"/>
                    </w:rPr>
                  </w:pPr>
                  <w:r w:rsidRPr="00760356">
                    <w:rPr>
                      <w:b/>
                      <w:spacing w:val="-2"/>
                    </w:rPr>
                    <w:t>Graf č. </w:t>
                  </w:r>
                  <w:proofErr w:type="gramStart"/>
                  <w:r w:rsidRPr="00760356">
                    <w:rPr>
                      <w:b/>
                      <w:spacing w:val="-2"/>
                    </w:rPr>
                    <w:t>5</w:t>
                  </w:r>
                  <w:r>
                    <w:rPr>
                      <w:b/>
                      <w:spacing w:val="-2"/>
                    </w:rPr>
                    <w:t xml:space="preserve">  Nové</w:t>
                  </w:r>
                  <w:proofErr w:type="gramEnd"/>
                  <w:r>
                    <w:rPr>
                      <w:b/>
                      <w:spacing w:val="-2"/>
                    </w:rPr>
                    <w:t xml:space="preserve"> zakázky v </w:t>
                  </w:r>
                  <w:r w:rsidRPr="00760356">
                    <w:rPr>
                      <w:b/>
                      <w:spacing w:val="-2"/>
                    </w:rPr>
                    <w:t xml:space="preserve">průmyslu </w:t>
                  </w:r>
                  <w:r w:rsidRPr="00760356">
                    <w:rPr>
                      <w:bCs/>
                      <w:spacing w:val="-2"/>
                    </w:rPr>
                    <w:t>(</w:t>
                  </w:r>
                  <w:r>
                    <w:rPr>
                      <w:bCs/>
                      <w:spacing w:val="-2"/>
                    </w:rPr>
                    <w:t>nominálně</w:t>
                  </w:r>
                  <w:r w:rsidRPr="00760356">
                    <w:rPr>
                      <w:bCs/>
                      <w:spacing w:val="-2"/>
                    </w:rPr>
                    <w:t xml:space="preserve">, </w:t>
                  </w:r>
                  <w:r w:rsidRPr="00760356">
                    <w:rPr>
                      <w:spacing w:val="-2"/>
                    </w:rPr>
                    <w:t>meziročně</w:t>
                  </w:r>
                  <w:r>
                    <w:rPr>
                      <w:spacing w:val="-2"/>
                    </w:rPr>
                    <w:t>,</w:t>
                  </w:r>
                  <w:r w:rsidRPr="00760356">
                    <w:rPr>
                      <w:bCs/>
                      <w:spacing w:val="-2"/>
                    </w:rPr>
                    <w:t xml:space="preserve"> v %)</w:t>
                  </w:r>
                  <w:r>
                    <w:rPr>
                      <w:b/>
                      <w:spacing w:val="-2"/>
                    </w:rPr>
                    <w:t xml:space="preserve">, </w:t>
                  </w:r>
                  <w:r w:rsidRPr="00760356">
                    <w:rPr>
                      <w:b/>
                      <w:spacing w:val="-2"/>
                    </w:rPr>
                    <w:t>využi</w:t>
                  </w:r>
                  <w:r>
                    <w:rPr>
                      <w:b/>
                      <w:spacing w:val="-2"/>
                    </w:rPr>
                    <w:t xml:space="preserve">tí výrobních kapacit v průmyslu, </w:t>
                  </w:r>
                  <w:r w:rsidRPr="00760356">
                    <w:rPr>
                      <w:b/>
                      <w:spacing w:val="-2"/>
                    </w:rPr>
                    <w:t>vybrané bariéry růst</w:t>
                  </w:r>
                  <w:r w:rsidRPr="006E759E">
                    <w:rPr>
                      <w:b/>
                      <w:spacing w:val="-2"/>
                    </w:rPr>
                    <w:t>u</w:t>
                  </w:r>
                  <w:r w:rsidRPr="006E759E">
                    <w:rPr>
                      <w:spacing w:val="-2"/>
                    </w:rPr>
                    <w:t xml:space="preserve">* (v %, pravá osa) </w:t>
                  </w:r>
                  <w:r w:rsidRPr="006E759E">
                    <w:rPr>
                      <w:b/>
                      <w:spacing w:val="-2"/>
                    </w:rPr>
                    <w:t>a </w:t>
                  </w:r>
                  <w:r>
                    <w:rPr>
                      <w:b/>
                    </w:rPr>
                    <w:t>saldo</w:t>
                  </w:r>
                  <w:r w:rsidRPr="006E759E">
                    <w:rPr>
                      <w:b/>
                    </w:rPr>
                    <w:t xml:space="preserve"> důvěry</w:t>
                  </w:r>
                  <w:r w:rsidRPr="00883202">
                    <w:rPr>
                      <w:b/>
                    </w:rPr>
                    <w:t xml:space="preserve"> </w:t>
                  </w:r>
                  <w:r>
                    <w:rPr>
                      <w:b/>
                    </w:rPr>
                    <w:t xml:space="preserve">podnikatelů </w:t>
                  </w:r>
                  <w:r w:rsidRPr="00883202">
                    <w:rPr>
                      <w:b/>
                    </w:rPr>
                    <w:t xml:space="preserve">v průmyslu* </w:t>
                  </w:r>
                  <w:r>
                    <w:t xml:space="preserve">(v p. b., pravá </w:t>
                  </w:r>
                  <w:r w:rsidRPr="00883202">
                    <w:t>osa)</w:t>
                  </w:r>
                </w:p>
              </w:tc>
            </w:tr>
            <w:tr w:rsidR="000F15F7" w:rsidRPr="00B43216" w14:paraId="4B3D7EDC" w14:textId="77777777" w:rsidTr="00550540">
              <w:tblPrEx>
                <w:tblCellMar>
                  <w:left w:w="70" w:type="dxa"/>
                  <w:right w:w="70" w:type="dxa"/>
                </w:tblCellMar>
              </w:tblPrEx>
              <w:trPr>
                <w:trHeight w:val="155"/>
              </w:trPr>
              <w:tc>
                <w:tcPr>
                  <w:tcW w:w="1609" w:type="dxa"/>
                  <w:vMerge/>
                  <w:shd w:val="clear" w:color="auto" w:fill="auto"/>
                </w:tcPr>
                <w:p w14:paraId="35EAA66A" w14:textId="77777777" w:rsidR="000F15F7" w:rsidRPr="00B43216" w:rsidRDefault="000F15F7" w:rsidP="000F15F7">
                  <w:pPr>
                    <w:pStyle w:val="Marginlie"/>
                    <w:rPr>
                      <w:spacing w:val="-4"/>
                    </w:rPr>
                  </w:pPr>
                </w:p>
              </w:tc>
              <w:tc>
                <w:tcPr>
                  <w:tcW w:w="193" w:type="dxa"/>
                  <w:vMerge/>
                  <w:shd w:val="clear" w:color="auto" w:fill="auto"/>
                </w:tcPr>
                <w:p w14:paraId="05FF057B" w14:textId="77777777" w:rsidR="000F15F7" w:rsidRPr="00B43216" w:rsidRDefault="000F15F7" w:rsidP="000F15F7">
                  <w:pPr>
                    <w:pStyle w:val="Textpoznpodarou"/>
                    <w:jc w:val="both"/>
                    <w:rPr>
                      <w:spacing w:val="-4"/>
                    </w:rPr>
                  </w:pPr>
                </w:p>
              </w:tc>
              <w:tc>
                <w:tcPr>
                  <w:tcW w:w="7862" w:type="dxa"/>
                  <w:shd w:val="clear" w:color="auto" w:fill="auto"/>
                </w:tcPr>
                <w:p w14:paraId="2381F26A" w14:textId="255E4D3B" w:rsidR="000F15F7" w:rsidRPr="00B43216" w:rsidRDefault="000F15F7" w:rsidP="000F15F7">
                  <w:pPr>
                    <w:spacing w:after="0"/>
                    <w:rPr>
                      <w:spacing w:val="-4"/>
                    </w:rPr>
                  </w:pPr>
                  <w:r>
                    <w:rPr>
                      <w:noProof/>
                    </w:rPr>
                    <w:drawing>
                      <wp:inline distT="0" distB="0" distL="0" distR="0" wp14:anchorId="2DC58D94" wp14:editId="414AE2C8">
                        <wp:extent cx="4817994" cy="3626053"/>
                        <wp:effectExtent l="0" t="0" r="1905" b="0"/>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0F15F7" w:rsidRPr="00B43216" w14:paraId="061B90E7" w14:textId="77777777" w:rsidTr="00550540">
              <w:trPr>
                <w:trHeight w:val="152"/>
              </w:trPr>
              <w:tc>
                <w:tcPr>
                  <w:tcW w:w="1609" w:type="dxa"/>
                  <w:vMerge/>
                  <w:shd w:val="clear" w:color="auto" w:fill="auto"/>
                  <w:tcMar>
                    <w:left w:w="0" w:type="dxa"/>
                  </w:tcMar>
                </w:tcPr>
                <w:p w14:paraId="11389A29" w14:textId="77777777" w:rsidR="000F15F7" w:rsidRPr="00B43216" w:rsidRDefault="000F15F7" w:rsidP="000F15F7">
                  <w:pPr>
                    <w:pStyle w:val="Marginlie"/>
                    <w:rPr>
                      <w:spacing w:val="-4"/>
                    </w:rPr>
                  </w:pPr>
                </w:p>
              </w:tc>
              <w:tc>
                <w:tcPr>
                  <w:tcW w:w="193" w:type="dxa"/>
                  <w:vMerge/>
                  <w:shd w:val="clear" w:color="auto" w:fill="auto"/>
                  <w:tcMar>
                    <w:left w:w="0" w:type="dxa"/>
                  </w:tcMar>
                </w:tcPr>
                <w:p w14:paraId="437EE160" w14:textId="77777777" w:rsidR="000F15F7" w:rsidRPr="00B43216" w:rsidRDefault="000F15F7" w:rsidP="000F15F7">
                  <w:pPr>
                    <w:pStyle w:val="Textpoznpodarou"/>
                    <w:jc w:val="both"/>
                    <w:rPr>
                      <w:spacing w:val="-4"/>
                    </w:rPr>
                  </w:pPr>
                </w:p>
              </w:tc>
              <w:tc>
                <w:tcPr>
                  <w:tcW w:w="7862" w:type="dxa"/>
                  <w:shd w:val="clear" w:color="auto" w:fill="auto"/>
                  <w:tcMar>
                    <w:left w:w="0" w:type="dxa"/>
                  </w:tcMar>
                </w:tcPr>
                <w:p w14:paraId="7598E87A" w14:textId="073A70B5" w:rsidR="000F15F7" w:rsidRPr="008C5037" w:rsidRDefault="000F15F7" w:rsidP="000F15F7">
                  <w:pPr>
                    <w:tabs>
                      <w:tab w:val="right" w:pos="7711"/>
                    </w:tabs>
                    <w:spacing w:after="200"/>
                    <w:rPr>
                      <w:rFonts w:cs="Arial"/>
                      <w:sz w:val="14"/>
                      <w:szCs w:val="14"/>
                    </w:rPr>
                  </w:pPr>
                  <w:r w:rsidRPr="00883202">
                    <w:rPr>
                      <w:rFonts w:cs="Arial"/>
                      <w:sz w:val="14"/>
                      <w:szCs w:val="14"/>
                    </w:rPr>
                    <w:t>*Využití průmys</w:t>
                  </w:r>
                  <w:r>
                    <w:rPr>
                      <w:rFonts w:cs="Arial"/>
                      <w:sz w:val="14"/>
                      <w:szCs w:val="14"/>
                    </w:rPr>
                    <w:t xml:space="preserve">lových kapacit i bariéry růstu vyjadřují stav v prvním měsíci daného čtvrtletí, </w:t>
                  </w:r>
                  <w:r w:rsidRPr="006E759E">
                    <w:rPr>
                      <w:rFonts w:cs="Arial"/>
                      <w:sz w:val="14"/>
                      <w:szCs w:val="14"/>
                    </w:rPr>
                    <w:t>saldo důvěry</w:t>
                  </w:r>
                  <w:r>
                    <w:rPr>
                      <w:rFonts w:cs="Arial"/>
                      <w:sz w:val="14"/>
                      <w:szCs w:val="14"/>
                    </w:rPr>
                    <w:t xml:space="preserve"> podnikatelů je vztaženo k</w:t>
                  </w:r>
                  <w:r w:rsidRPr="00883202">
                    <w:rPr>
                      <w:rFonts w:cs="Arial"/>
                      <w:sz w:val="14"/>
                      <w:szCs w:val="14"/>
                    </w:rPr>
                    <w:t xml:space="preserve">e </w:t>
                  </w:r>
                  <w:r>
                    <w:rPr>
                      <w:rFonts w:cs="Arial"/>
                      <w:sz w:val="14"/>
                      <w:szCs w:val="14"/>
                    </w:rPr>
                    <w:t xml:space="preserve">druhému měsíci čtvrtletí. Zakázky jsou očištěny o kalendářní vlivy, ostatní ukazatele jsou </w:t>
                  </w:r>
                  <w:r w:rsidRPr="00883202">
                    <w:rPr>
                      <w:rFonts w:cs="Arial"/>
                      <w:spacing w:val="-2"/>
                      <w:sz w:val="14"/>
                      <w:szCs w:val="14"/>
                    </w:rPr>
                    <w:t>sezónně očištěny</w:t>
                  </w:r>
                  <w:r>
                    <w:rPr>
                      <w:rFonts w:cs="Arial"/>
                      <w:spacing w:val="-2"/>
                      <w:sz w:val="14"/>
                      <w:szCs w:val="14"/>
                    </w:rPr>
                    <w:t>.</w:t>
                  </w:r>
                  <w:r w:rsidRPr="00883202">
                    <w:rPr>
                      <w:rFonts w:cs="Arial"/>
                      <w:spacing w:val="-2"/>
                      <w:sz w:val="14"/>
                      <w:szCs w:val="14"/>
                    </w:rPr>
                    <w:t xml:space="preserve"> </w:t>
                  </w:r>
                  <w:r>
                    <w:rPr>
                      <w:rFonts w:cs="Arial"/>
                      <w:sz w:val="14"/>
                      <w:szCs w:val="14"/>
                    </w:rPr>
                    <w:t xml:space="preserve">Podniky mohly uvést více hlavních růstových bariér současně.                                                                                              </w:t>
                  </w:r>
                  <w:r w:rsidRPr="00883202">
                    <w:rPr>
                      <w:rFonts w:cs="Arial"/>
                      <w:sz w:val="14"/>
                      <w:szCs w:val="14"/>
                    </w:rPr>
                    <w:t>Zdroj: ČSÚ</w:t>
                  </w:r>
                  <w:r>
                    <w:rPr>
                      <w:rFonts w:cs="Arial"/>
                      <w:sz w:val="14"/>
                      <w:szCs w:val="14"/>
                    </w:rPr>
                    <w:t xml:space="preserve">, </w:t>
                  </w:r>
                  <w:proofErr w:type="spellStart"/>
                  <w:r>
                    <w:rPr>
                      <w:rFonts w:cs="Arial"/>
                      <w:sz w:val="14"/>
                      <w:szCs w:val="14"/>
                    </w:rPr>
                    <w:t>Eurostat</w:t>
                  </w:r>
                  <w:proofErr w:type="spellEnd"/>
                </w:p>
              </w:tc>
            </w:tr>
            <w:tr w:rsidR="000F15F7" w:rsidRPr="00191C35" w14:paraId="38DF6AF1" w14:textId="77777777" w:rsidTr="00550540">
              <w:trPr>
                <w:trHeight w:val="145"/>
              </w:trPr>
              <w:tc>
                <w:tcPr>
                  <w:tcW w:w="1609" w:type="dxa"/>
                  <w:shd w:val="clear" w:color="auto" w:fill="auto"/>
                  <w:tcMar>
                    <w:left w:w="0" w:type="dxa"/>
                  </w:tcMar>
                </w:tcPr>
                <w:p w14:paraId="6A9295B4" w14:textId="5C692E16" w:rsidR="000F15F7" w:rsidRDefault="000F15F7" w:rsidP="000F15F7">
                  <w:pPr>
                    <w:pStyle w:val="Marginlie"/>
                    <w:rPr>
                      <w:color w:val="0D0D0D" w:themeColor="text1" w:themeTint="F2"/>
                      <w:spacing w:val="0"/>
                    </w:rPr>
                  </w:pPr>
                  <w:r>
                    <w:rPr>
                      <w:color w:val="0D0D0D" w:themeColor="text1" w:themeTint="F2"/>
                      <w:spacing w:val="0"/>
                    </w:rPr>
                    <w:t>Průmysl v EU pokračoval v pomalém zotavování. Podobně jako v tuzemsku ho citelně brzdil nedostatek výrobních komponent.</w:t>
                  </w:r>
                </w:p>
              </w:tc>
              <w:tc>
                <w:tcPr>
                  <w:tcW w:w="193" w:type="dxa"/>
                  <w:shd w:val="clear" w:color="auto" w:fill="auto"/>
                  <w:tcMar>
                    <w:left w:w="0" w:type="dxa"/>
                  </w:tcMar>
                </w:tcPr>
                <w:p w14:paraId="1486058B" w14:textId="77777777" w:rsidR="000F15F7" w:rsidRPr="00EE550E" w:rsidRDefault="000F15F7" w:rsidP="000F15F7">
                  <w:pPr>
                    <w:pStyle w:val="Textpoznpodarou"/>
                    <w:jc w:val="both"/>
                    <w:rPr>
                      <w:color w:val="0D0D0D" w:themeColor="text1" w:themeTint="F2"/>
                      <w:spacing w:val="-4"/>
                    </w:rPr>
                  </w:pPr>
                </w:p>
              </w:tc>
              <w:tc>
                <w:tcPr>
                  <w:tcW w:w="7862" w:type="dxa"/>
                  <w:shd w:val="clear" w:color="auto" w:fill="auto"/>
                  <w:tcMar>
                    <w:left w:w="0" w:type="dxa"/>
                  </w:tcMar>
                </w:tcPr>
                <w:p w14:paraId="748F4F3A" w14:textId="4A19DC95" w:rsidR="000F15F7" w:rsidRPr="0050728A" w:rsidRDefault="000F15F7" w:rsidP="000F15F7">
                  <w:pPr>
                    <w:spacing w:after="160"/>
                    <w:rPr>
                      <w:color w:val="0D0D0D" w:themeColor="text1" w:themeTint="F2"/>
                      <w:spacing w:val="-4"/>
                    </w:rPr>
                  </w:pPr>
                  <w:r>
                    <w:rPr>
                      <w:color w:val="0D0D0D" w:themeColor="text1" w:themeTint="F2"/>
                      <w:spacing w:val="-4"/>
                    </w:rPr>
                    <w:t>Průmyslová produkce v EU pokračovala v 1. čtvrtletí v nevýrazném růstu. Ve srovnání s posledním loňským kvartálem posílila o 1,4 % a meziročně byla vyšší o 1,2 %. To zatím stačilo jen k vyrovnání rekordní úrovně produkce z éry poslední konjunktury (4. čtvrtletí 2017), k čemuž pomohlo rychlejší zotavení průmyslu v novějších členských zemích Unie. K meziročnímu růstu v EU přispěly zejména obory orientované na produkci zboží krátkodobé (růst o 7,5 %) i dlouhodobě spotřeby (5,0 %), naopak výkon oborů zaměřených převážně na investiční statky především vlivem útlumu výroby motorových vozidel klesl (o 4,1 %). To se negativně promítlo do produkce celého průmyslu např. v Německu (-0,6 %), ve Francii (+0,2 %), Španělsku (+1,6 %) či na Slovensku (-1,7 %). Každý druhý průmyslový podnik v EU limitovaly potíže s nedostatkem materiálu a zařízení, naopak jen čtvrtina firem žádnou významnou růstovou bariéru na počátku 2. čtvrtletí 2022 nepociťovala.</w:t>
                  </w:r>
                </w:p>
              </w:tc>
            </w:tr>
            <w:tr w:rsidR="000F15F7" w:rsidRPr="00191C35" w14:paraId="71BFF96A" w14:textId="77777777" w:rsidTr="00550540">
              <w:trPr>
                <w:trHeight w:val="145"/>
              </w:trPr>
              <w:tc>
                <w:tcPr>
                  <w:tcW w:w="1609" w:type="dxa"/>
                  <w:shd w:val="clear" w:color="auto" w:fill="auto"/>
                  <w:tcMar>
                    <w:left w:w="0" w:type="dxa"/>
                  </w:tcMar>
                </w:tcPr>
                <w:p w14:paraId="25429B96" w14:textId="77777777" w:rsidR="000F15F7" w:rsidRDefault="000F15F7" w:rsidP="000F15F7">
                  <w:pPr>
                    <w:pStyle w:val="Marginlie"/>
                    <w:rPr>
                      <w:color w:val="0D0D0D" w:themeColor="text1" w:themeTint="F2"/>
                      <w:spacing w:val="0"/>
                    </w:rPr>
                  </w:pPr>
                  <w:proofErr w:type="spellStart"/>
                  <w:r>
                    <w:rPr>
                      <w:color w:val="0D0D0D" w:themeColor="text1" w:themeTint="F2"/>
                      <w:spacing w:val="0"/>
                    </w:rPr>
                    <w:t>Mezikvartální</w:t>
                  </w:r>
                  <w:proofErr w:type="spellEnd"/>
                  <w:r>
                    <w:rPr>
                      <w:color w:val="0D0D0D" w:themeColor="text1" w:themeTint="F2"/>
                      <w:spacing w:val="0"/>
                    </w:rPr>
                    <w:t xml:space="preserve"> růst stavební produkce výrazně zrychlil. Podpořila ho vysoká zásoba zakázek i</w:t>
                  </w:r>
                  <w:r>
                    <w:rPr>
                      <w:spacing w:val="0"/>
                    </w:rPr>
                    <w:t> </w:t>
                  </w:r>
                  <w:r>
                    <w:rPr>
                      <w:color w:val="0D0D0D" w:themeColor="text1" w:themeTint="F2"/>
                      <w:spacing w:val="0"/>
                    </w:rPr>
                    <w:t>příznivé počasí.</w:t>
                  </w:r>
                </w:p>
                <w:p w14:paraId="0757A103" w14:textId="77777777" w:rsidR="000F15F7" w:rsidRDefault="000F15F7" w:rsidP="000F15F7">
                  <w:pPr>
                    <w:pStyle w:val="Marginlie"/>
                    <w:rPr>
                      <w:color w:val="0D0D0D" w:themeColor="text1" w:themeTint="F2"/>
                      <w:spacing w:val="0"/>
                    </w:rPr>
                  </w:pPr>
                </w:p>
                <w:p w14:paraId="47C8A98F" w14:textId="77777777" w:rsidR="000F15F7" w:rsidRDefault="000F15F7" w:rsidP="000F15F7">
                  <w:pPr>
                    <w:pStyle w:val="Marginlie"/>
                    <w:rPr>
                      <w:color w:val="0D0D0D" w:themeColor="text1" w:themeTint="F2"/>
                      <w:spacing w:val="0"/>
                    </w:rPr>
                  </w:pPr>
                </w:p>
                <w:p w14:paraId="781DB900" w14:textId="77777777" w:rsidR="000F15F7" w:rsidRDefault="000F15F7" w:rsidP="000F15F7">
                  <w:pPr>
                    <w:pStyle w:val="Marginlie"/>
                    <w:rPr>
                      <w:color w:val="0D0D0D" w:themeColor="text1" w:themeTint="F2"/>
                      <w:spacing w:val="0"/>
                    </w:rPr>
                  </w:pPr>
                </w:p>
                <w:p w14:paraId="07802823" w14:textId="274F1DFA" w:rsidR="000F15F7" w:rsidRDefault="000F15F7" w:rsidP="000F15F7">
                  <w:pPr>
                    <w:pStyle w:val="Marginlie"/>
                    <w:rPr>
                      <w:color w:val="0D0D0D" w:themeColor="text1" w:themeTint="F2"/>
                      <w:spacing w:val="0"/>
                    </w:rPr>
                  </w:pPr>
                  <w:r>
                    <w:rPr>
                      <w:color w:val="0D0D0D" w:themeColor="text1" w:themeTint="F2"/>
                      <w:spacing w:val="0"/>
                    </w:rPr>
                    <w:lastRenderedPageBreak/>
                    <w:t>Počet zahájených bytů byl i díky vyšší výstavbě rodinných domů rekordní.</w:t>
                  </w:r>
                </w:p>
              </w:tc>
              <w:tc>
                <w:tcPr>
                  <w:tcW w:w="193" w:type="dxa"/>
                  <w:shd w:val="clear" w:color="auto" w:fill="auto"/>
                  <w:tcMar>
                    <w:left w:w="0" w:type="dxa"/>
                  </w:tcMar>
                </w:tcPr>
                <w:p w14:paraId="5A908B46" w14:textId="77777777" w:rsidR="000F15F7" w:rsidRPr="00EE550E" w:rsidRDefault="000F15F7" w:rsidP="000F15F7">
                  <w:pPr>
                    <w:pStyle w:val="Textpoznpodarou"/>
                    <w:jc w:val="both"/>
                    <w:rPr>
                      <w:color w:val="0D0D0D" w:themeColor="text1" w:themeTint="F2"/>
                      <w:spacing w:val="-4"/>
                    </w:rPr>
                  </w:pPr>
                </w:p>
              </w:tc>
              <w:tc>
                <w:tcPr>
                  <w:tcW w:w="7862" w:type="dxa"/>
                  <w:shd w:val="clear" w:color="auto" w:fill="auto"/>
                  <w:tcMar>
                    <w:left w:w="0" w:type="dxa"/>
                  </w:tcMar>
                </w:tcPr>
                <w:p w14:paraId="763BDDFC" w14:textId="30C1C2AC" w:rsidR="000F15F7" w:rsidRDefault="000F15F7" w:rsidP="000F15F7">
                  <w:pPr>
                    <w:spacing w:after="200"/>
                    <w:rPr>
                      <w:color w:val="0D0D0D" w:themeColor="text1" w:themeTint="F2"/>
                      <w:spacing w:val="-4"/>
                    </w:rPr>
                  </w:pPr>
                  <w:r>
                    <w:rPr>
                      <w:color w:val="0D0D0D" w:themeColor="text1" w:themeTint="F2"/>
                      <w:spacing w:val="-4"/>
                    </w:rPr>
                    <w:t>Stavebnictví se v ČR v 1. čtvrtletí 2022 dařilo. Jeho produkce</w:t>
                  </w:r>
                  <w:r w:rsidRPr="005232F9">
                    <w:rPr>
                      <w:rStyle w:val="Znakapoznpodarou"/>
                      <w:color w:val="0D0D0D" w:themeColor="text1" w:themeTint="F2"/>
                      <w:spacing w:val="-2"/>
                    </w:rPr>
                    <w:footnoteReference w:id="12"/>
                  </w:r>
                  <w:r>
                    <w:rPr>
                      <w:color w:val="0D0D0D" w:themeColor="text1" w:themeTint="F2"/>
                      <w:spacing w:val="-4"/>
                    </w:rPr>
                    <w:t xml:space="preserve"> oproti poslednímu loňskému kvartálu vzrostla o 4,5 % a meziročně byla vyšší skoro o 10 %. Hodnota produkce tak poprvé předčila úroveň z období těšně před propuknutím pandemie a zároveň dosáhla nejvyšší hladiny od 3. čtvrtletí 2009, kdy ještě doznívaly pozitivní efekty předchozí konjunktury. Stavebnictví na počátku letošního roku profitovalo ze svižného tempa přílivu nových zakázek (patrného po většinu loňského roku) i jejich stále vysoké </w:t>
                  </w:r>
                  <w:r w:rsidR="00374B96">
                    <w:rPr>
                      <w:color w:val="0D0D0D" w:themeColor="text1" w:themeTint="F2"/>
                      <w:spacing w:val="-4"/>
                    </w:rPr>
                    <w:t>celkové zásoby. Odvětví přálo i</w:t>
                  </w:r>
                  <w:r w:rsidR="00374B96">
                    <w:t> </w:t>
                  </w:r>
                  <w:r>
                    <w:rPr>
                      <w:color w:val="0D0D0D" w:themeColor="text1" w:themeTint="F2"/>
                      <w:spacing w:val="-4"/>
                    </w:rPr>
                    <w:t>počasí</w:t>
                  </w:r>
                  <w:r>
                    <w:rPr>
                      <w:rStyle w:val="Znakapoznpodarou"/>
                      <w:color w:val="0D0D0D" w:themeColor="text1" w:themeTint="F2"/>
                      <w:spacing w:val="-4"/>
                    </w:rPr>
                    <w:footnoteReference w:id="13"/>
                  </w:r>
                  <w:r>
                    <w:rPr>
                      <w:color w:val="0D0D0D" w:themeColor="text1" w:themeTint="F2"/>
                      <w:spacing w:val="-4"/>
                    </w:rPr>
                    <w:t>. Projevil se i dopad nižší loňské základny, nebo</w:t>
                  </w:r>
                  <w:r w:rsidR="00374B96">
                    <w:rPr>
                      <w:color w:val="0D0D0D" w:themeColor="text1" w:themeTint="F2"/>
                      <w:spacing w:val="-4"/>
                    </w:rPr>
                    <w:t>ť tehdy pandemie kulminovala, a</w:t>
                  </w:r>
                  <w:r w:rsidR="00374B96">
                    <w:t> </w:t>
                  </w:r>
                  <w:r>
                    <w:rPr>
                      <w:color w:val="0D0D0D" w:themeColor="text1" w:themeTint="F2"/>
                      <w:spacing w:val="-4"/>
                    </w:rPr>
                    <w:t xml:space="preserve">zvýšená nemocnost, ztížený přeshraniční pohyb pracovníků i omezení výkonu stavebních </w:t>
                  </w:r>
                  <w:r>
                    <w:rPr>
                      <w:color w:val="0D0D0D" w:themeColor="text1" w:themeTint="F2"/>
                      <w:spacing w:val="-4"/>
                    </w:rPr>
                    <w:lastRenderedPageBreak/>
                    <w:t>úřadů významně limitovaly produkční možnosti stavebnictví. Obdobně jako po většinu loňského roku táhlo v 1. čtvrtletí 2022 celé odvětví hlavně zotavující se pozemní stavitelství (růst 8,5 %, příspěvek k meziročnímu tempu +6,6 p. b.). Svižně ale rostlo i inženýrské stavitelství (+14,9 %), jež bylo díky kontinuálnímu čerpání veř</w:t>
                  </w:r>
                  <w:r w:rsidR="00374B96">
                    <w:rPr>
                      <w:color w:val="0D0D0D" w:themeColor="text1" w:themeTint="F2"/>
                      <w:spacing w:val="-4"/>
                    </w:rPr>
                    <w:t>ejných prostředků na výstavbu i</w:t>
                  </w:r>
                  <w:r w:rsidR="00374B96">
                    <w:t> </w:t>
                  </w:r>
                  <w:r>
                    <w:rPr>
                      <w:color w:val="0D0D0D" w:themeColor="text1" w:themeTint="F2"/>
                      <w:spacing w:val="-4"/>
                    </w:rPr>
                    <w:t>modernizaci dopravní infrastruktury poslední recesí zasaženo mírněji. Pozemní stavitelství letos těžilo z rozvoje bytové výstavby. Počet zahájených bytů (10,8 tis.) byl v rámci 1. čtvrtletí v novodobé historii ČR rekordní, primárně díky výstavbě rodinných domů. K meziročnímu růstu celkové výstavby (+28 %) přispěly vedle Plzeňského kraje nejvíce Praha se středními Čechami – ty společně letos reprezentovaly více než třetinu všech dokončených bytů v tuzemsku. Navzdory problémům s růstem ceny i horší dostupnosti stavebních materiálů meziročně velmi mírně rostl také počet dokončených bytů a objem výstavby v Česku (9,1 tis.) zaostal za rekordní výší z počátku roku 2009 jen nepatrně.</w:t>
                  </w:r>
                </w:p>
              </w:tc>
            </w:tr>
            <w:tr w:rsidR="000F15F7" w:rsidRPr="00191C35" w14:paraId="2EAC4892" w14:textId="77777777" w:rsidTr="00550540">
              <w:trPr>
                <w:trHeight w:val="145"/>
              </w:trPr>
              <w:tc>
                <w:tcPr>
                  <w:tcW w:w="1609" w:type="dxa"/>
                  <w:shd w:val="clear" w:color="auto" w:fill="auto"/>
                  <w:tcMar>
                    <w:left w:w="0" w:type="dxa"/>
                  </w:tcMar>
                </w:tcPr>
                <w:p w14:paraId="51180ECA" w14:textId="77777777" w:rsidR="000F15F7" w:rsidRDefault="000F15F7" w:rsidP="000F15F7">
                  <w:pPr>
                    <w:pStyle w:val="Marginlie"/>
                    <w:rPr>
                      <w:color w:val="0D0D0D" w:themeColor="text1" w:themeTint="F2"/>
                      <w:spacing w:val="0"/>
                    </w:rPr>
                  </w:pPr>
                  <w:r>
                    <w:rPr>
                      <w:color w:val="0D0D0D" w:themeColor="text1" w:themeTint="F2"/>
                      <w:spacing w:val="0"/>
                    </w:rPr>
                    <w:lastRenderedPageBreak/>
                    <w:t>Svižný růst hodnoty nových staveních zakázek pokračoval, u</w:t>
                  </w:r>
                  <w:r>
                    <w:rPr>
                      <w:spacing w:val="0"/>
                    </w:rPr>
                    <w:t> </w:t>
                  </w:r>
                  <w:r>
                    <w:rPr>
                      <w:color w:val="0D0D0D" w:themeColor="text1" w:themeTint="F2"/>
                      <w:spacing w:val="0"/>
                    </w:rPr>
                    <w:t>jejich celkové zásoby ale zmírnil.</w:t>
                  </w:r>
                </w:p>
                <w:p w14:paraId="22FC330D" w14:textId="77777777" w:rsidR="000F15F7" w:rsidRDefault="000F15F7" w:rsidP="000F15F7">
                  <w:pPr>
                    <w:pStyle w:val="Marginlie"/>
                    <w:rPr>
                      <w:color w:val="0D0D0D" w:themeColor="text1" w:themeTint="F2"/>
                      <w:spacing w:val="0"/>
                    </w:rPr>
                  </w:pPr>
                </w:p>
                <w:p w14:paraId="403F4121" w14:textId="77777777" w:rsidR="000F15F7" w:rsidRDefault="000F15F7" w:rsidP="000F15F7">
                  <w:pPr>
                    <w:pStyle w:val="Marginlie"/>
                    <w:rPr>
                      <w:color w:val="0D0D0D" w:themeColor="text1" w:themeTint="F2"/>
                      <w:spacing w:val="0"/>
                    </w:rPr>
                  </w:pPr>
                </w:p>
                <w:p w14:paraId="55B26CCC" w14:textId="77777777" w:rsidR="000F15F7" w:rsidRDefault="000F15F7" w:rsidP="000F15F7">
                  <w:pPr>
                    <w:pStyle w:val="Marginlie"/>
                    <w:rPr>
                      <w:color w:val="0D0D0D" w:themeColor="text1" w:themeTint="F2"/>
                      <w:spacing w:val="0"/>
                    </w:rPr>
                  </w:pPr>
                </w:p>
                <w:p w14:paraId="3904B7D5" w14:textId="77777777" w:rsidR="000F15F7" w:rsidRDefault="000F15F7" w:rsidP="000F15F7">
                  <w:pPr>
                    <w:pStyle w:val="Marginlie"/>
                    <w:rPr>
                      <w:color w:val="0D0D0D" w:themeColor="text1" w:themeTint="F2"/>
                      <w:spacing w:val="0"/>
                    </w:rPr>
                  </w:pPr>
                </w:p>
                <w:p w14:paraId="050D4B89" w14:textId="77777777" w:rsidR="000F15F7" w:rsidRDefault="000F15F7" w:rsidP="000F15F7">
                  <w:pPr>
                    <w:pStyle w:val="Marginlie"/>
                    <w:rPr>
                      <w:color w:val="0D0D0D" w:themeColor="text1" w:themeTint="F2"/>
                      <w:spacing w:val="0"/>
                    </w:rPr>
                  </w:pPr>
                </w:p>
                <w:p w14:paraId="36F2ED4C" w14:textId="6A17827C" w:rsidR="000F15F7" w:rsidRDefault="000F15F7" w:rsidP="000F15F7">
                  <w:pPr>
                    <w:pStyle w:val="Marginlie"/>
                    <w:rPr>
                      <w:color w:val="0D0D0D" w:themeColor="text1" w:themeTint="F2"/>
                      <w:spacing w:val="0"/>
                    </w:rPr>
                  </w:pPr>
                  <w:r>
                    <w:rPr>
                      <w:color w:val="0D0D0D" w:themeColor="text1" w:themeTint="F2"/>
                      <w:spacing w:val="0"/>
                    </w:rPr>
                    <w:t xml:space="preserve">Růstové tempo hodnoty stavebních povolení růst cen stavebních prací stále převyšovalo. </w:t>
                  </w:r>
                </w:p>
              </w:tc>
              <w:tc>
                <w:tcPr>
                  <w:tcW w:w="193" w:type="dxa"/>
                  <w:shd w:val="clear" w:color="auto" w:fill="auto"/>
                  <w:tcMar>
                    <w:left w:w="0" w:type="dxa"/>
                  </w:tcMar>
                </w:tcPr>
                <w:p w14:paraId="20864B36" w14:textId="77777777" w:rsidR="000F15F7" w:rsidRPr="00EE550E" w:rsidRDefault="000F15F7" w:rsidP="000F15F7">
                  <w:pPr>
                    <w:pStyle w:val="Textpoznpodarou"/>
                    <w:jc w:val="both"/>
                    <w:rPr>
                      <w:color w:val="0D0D0D" w:themeColor="text1" w:themeTint="F2"/>
                      <w:spacing w:val="-4"/>
                    </w:rPr>
                  </w:pPr>
                </w:p>
              </w:tc>
              <w:tc>
                <w:tcPr>
                  <w:tcW w:w="7862" w:type="dxa"/>
                  <w:shd w:val="clear" w:color="auto" w:fill="auto"/>
                  <w:tcMar>
                    <w:left w:w="0" w:type="dxa"/>
                  </w:tcMar>
                </w:tcPr>
                <w:p w14:paraId="5B001ED9" w14:textId="7E0B1A53" w:rsidR="000F15F7" w:rsidRPr="003448DB" w:rsidRDefault="000F15F7" w:rsidP="000F15F7">
                  <w:pPr>
                    <w:spacing w:after="200"/>
                    <w:rPr>
                      <w:rFonts w:cs="Arial"/>
                      <w:color w:val="0D0D0D" w:themeColor="text1" w:themeTint="F2"/>
                      <w:spacing w:val="-4"/>
                    </w:rPr>
                  </w:pPr>
                  <w:r w:rsidRPr="003448DB">
                    <w:rPr>
                      <w:rFonts w:cs="Arial"/>
                      <w:color w:val="0D0D0D" w:themeColor="text1" w:themeTint="F2"/>
                      <w:spacing w:val="-4"/>
                    </w:rPr>
                    <w:t>Nominální hodnota nově uzavřených tuzemských stavebních zakázek (v podnicích s více než 50 zaměstnanci) vzros</w:t>
                  </w:r>
                  <w:r>
                    <w:rPr>
                      <w:rFonts w:cs="Arial"/>
                      <w:color w:val="0D0D0D" w:themeColor="text1" w:themeTint="F2"/>
                      <w:spacing w:val="-4"/>
                    </w:rPr>
                    <w:t>tla v 1. čtvrtletí meziročně o 13,1</w:t>
                  </w:r>
                  <w:r w:rsidRPr="003448DB">
                    <w:rPr>
                      <w:rFonts w:cs="Arial"/>
                      <w:color w:val="0D0D0D" w:themeColor="text1" w:themeTint="F2"/>
                      <w:spacing w:val="-4"/>
                    </w:rPr>
                    <w:t xml:space="preserve"> %. V segmentu pozemního</w:t>
                  </w:r>
                  <w:r>
                    <w:rPr>
                      <w:rFonts w:cs="Arial"/>
                      <w:color w:val="0D0D0D" w:themeColor="text1" w:themeTint="F2"/>
                      <w:spacing w:val="-4"/>
                    </w:rPr>
                    <w:t xml:space="preserve"> stavitelství posílila skoro o třeti</w:t>
                  </w:r>
                  <w:r w:rsidRPr="003448DB">
                    <w:rPr>
                      <w:rFonts w:cs="Arial"/>
                      <w:color w:val="0D0D0D" w:themeColor="text1" w:themeTint="F2"/>
                      <w:spacing w:val="-4"/>
                    </w:rPr>
                    <w:t xml:space="preserve">nu, naopak </w:t>
                  </w:r>
                  <w:r>
                    <w:rPr>
                      <w:rFonts w:cs="Arial"/>
                      <w:color w:val="0D0D0D" w:themeColor="text1" w:themeTint="F2"/>
                      <w:spacing w:val="-4"/>
                    </w:rPr>
                    <w:t>na úseku inženýrských staveb se oproti vysoké loňské základně téměř nezměnila</w:t>
                  </w:r>
                  <w:r w:rsidRPr="003448DB">
                    <w:rPr>
                      <w:rFonts w:cs="Arial"/>
                      <w:color w:val="0D0D0D" w:themeColor="text1" w:themeTint="F2"/>
                      <w:spacing w:val="-4"/>
                    </w:rPr>
                    <w:t>. To patrně souviselo s loňským i letošním zvolněním tempa čerpání veřejných prostředků v oblasti dopravní infrastruktury. Celková zásoba práce zahrnující veškeré dosud nerealizované stavební zakázky byla na konc</w:t>
                  </w:r>
                  <w:r w:rsidR="00374B96">
                    <w:rPr>
                      <w:rFonts w:cs="Arial"/>
                      <w:color w:val="0D0D0D" w:themeColor="text1" w:themeTint="F2"/>
                      <w:spacing w:val="-4"/>
                    </w:rPr>
                    <w:t>i letošního března meziročně o</w:t>
                  </w:r>
                  <w:r w:rsidR="00374B96">
                    <w:t> </w:t>
                  </w:r>
                  <w:r>
                    <w:rPr>
                      <w:rFonts w:cs="Arial"/>
                      <w:color w:val="0D0D0D" w:themeColor="text1" w:themeTint="F2"/>
                      <w:spacing w:val="-4"/>
                    </w:rPr>
                    <w:t>8,5</w:t>
                  </w:r>
                  <w:r w:rsidRPr="003448DB">
                    <w:rPr>
                      <w:rFonts w:cs="Arial"/>
                      <w:color w:val="0D0D0D" w:themeColor="text1" w:themeTint="F2"/>
                      <w:spacing w:val="-4"/>
                    </w:rPr>
                    <w:t xml:space="preserve"> %</w:t>
                  </w:r>
                  <w:r>
                    <w:rPr>
                      <w:rFonts w:cs="Arial"/>
                      <w:color w:val="0D0D0D" w:themeColor="text1" w:themeTint="F2"/>
                      <w:spacing w:val="-4"/>
                    </w:rPr>
                    <w:t xml:space="preserve"> vyšší, což představovalo nejslabší tempo od poloviny roku 2019</w:t>
                  </w:r>
                  <w:r w:rsidRPr="003448DB">
                    <w:rPr>
                      <w:rFonts w:cs="Arial"/>
                      <w:color w:val="0D0D0D" w:themeColor="text1" w:themeTint="F2"/>
                      <w:spacing w:val="-4"/>
                    </w:rPr>
                    <w:t>. Za slabším růstem stála nižší dynamika zásoby veřejných tuzemských prací i zakázek v zahraničí. Pozitivnější výhledy pro celé odvětví naznačuje pokračující svižný růst orientační hodnoty vydaných stavebních povolení (proti 1. čtvrtletí 2021 vyšší o 17</w:t>
                  </w:r>
                  <w:r>
                    <w:rPr>
                      <w:rFonts w:cs="Arial"/>
                      <w:color w:val="0D0D0D" w:themeColor="text1" w:themeTint="F2"/>
                      <w:spacing w:val="-4"/>
                    </w:rPr>
                    <w:t>,3</w:t>
                  </w:r>
                  <w:r w:rsidRPr="003448DB">
                    <w:rPr>
                      <w:rFonts w:cs="Arial"/>
                      <w:color w:val="0D0D0D" w:themeColor="text1" w:themeTint="F2"/>
                      <w:spacing w:val="-4"/>
                    </w:rPr>
                    <w:t xml:space="preserve"> %) sycený novou výstavbou, zejména bytových budov. Tempo růstu nominální hodnoty povolení </w:t>
                  </w:r>
                  <w:r>
                    <w:rPr>
                      <w:rFonts w:cs="Arial"/>
                      <w:color w:val="0D0D0D" w:themeColor="text1" w:themeTint="F2"/>
                      <w:spacing w:val="-4"/>
                    </w:rPr>
                    <w:t xml:space="preserve">stále </w:t>
                  </w:r>
                  <w:r w:rsidRPr="003448DB">
                    <w:rPr>
                      <w:rFonts w:cs="Arial"/>
                      <w:color w:val="0D0D0D" w:themeColor="text1" w:themeTint="F2"/>
                      <w:spacing w:val="-4"/>
                    </w:rPr>
                    <w:t xml:space="preserve">znatelně převyšovalo dynamiku cen stavebních prací. </w:t>
                  </w:r>
                  <w:r>
                    <w:rPr>
                      <w:rFonts w:cs="Arial"/>
                      <w:color w:val="0D0D0D" w:themeColor="text1" w:themeTint="F2"/>
                      <w:spacing w:val="-4"/>
                    </w:rPr>
                    <w:t>Nicméně v</w:t>
                  </w:r>
                  <w:r w:rsidRPr="003448DB">
                    <w:rPr>
                      <w:rFonts w:cs="Arial"/>
                      <w:color w:val="0D0D0D" w:themeColor="text1" w:themeTint="F2"/>
                      <w:spacing w:val="-4"/>
                    </w:rPr>
                    <w:t> prostředí sílících nákladových cen (materiálových,</w:t>
                  </w:r>
                  <w:r>
                    <w:rPr>
                      <w:rFonts w:cs="Arial"/>
                      <w:color w:val="0D0D0D" w:themeColor="text1" w:themeTint="F2"/>
                      <w:spacing w:val="-4"/>
                    </w:rPr>
                    <w:t xml:space="preserve"> energetických, mzdových) nelze</w:t>
                  </w:r>
                  <w:r w:rsidRPr="003448DB">
                    <w:rPr>
                      <w:rFonts w:cs="Arial"/>
                      <w:color w:val="0D0D0D" w:themeColor="text1" w:themeTint="F2"/>
                      <w:spacing w:val="-4"/>
                    </w:rPr>
                    <w:t xml:space="preserve"> vyloučit, že fakturované ceny po dokončení staveb se mohou od cen předpokládaných při povolování staveb významněji odchýlit.  </w:t>
                  </w:r>
                </w:p>
              </w:tc>
            </w:tr>
            <w:tr w:rsidR="000F15F7" w:rsidRPr="00191C35" w14:paraId="6EC5524E" w14:textId="77777777" w:rsidTr="00550540">
              <w:trPr>
                <w:trHeight w:val="145"/>
              </w:trPr>
              <w:tc>
                <w:tcPr>
                  <w:tcW w:w="1609" w:type="dxa"/>
                  <w:shd w:val="clear" w:color="auto" w:fill="auto"/>
                  <w:tcMar>
                    <w:left w:w="0" w:type="dxa"/>
                  </w:tcMar>
                </w:tcPr>
                <w:p w14:paraId="2268C56F" w14:textId="77777777" w:rsidR="000F15F7" w:rsidRDefault="000F15F7" w:rsidP="000F15F7">
                  <w:pPr>
                    <w:pStyle w:val="Marginlie"/>
                  </w:pPr>
                </w:p>
              </w:tc>
              <w:tc>
                <w:tcPr>
                  <w:tcW w:w="193" w:type="dxa"/>
                  <w:shd w:val="clear" w:color="auto" w:fill="auto"/>
                  <w:tcMar>
                    <w:left w:w="0" w:type="dxa"/>
                  </w:tcMar>
                </w:tcPr>
                <w:p w14:paraId="286AF63D" w14:textId="77777777" w:rsidR="000F15F7" w:rsidRPr="00B43216" w:rsidRDefault="000F15F7" w:rsidP="000F15F7">
                  <w:pPr>
                    <w:pStyle w:val="Textpoznpodarou"/>
                    <w:jc w:val="both"/>
                    <w:rPr>
                      <w:spacing w:val="-4"/>
                    </w:rPr>
                  </w:pPr>
                </w:p>
              </w:tc>
              <w:tc>
                <w:tcPr>
                  <w:tcW w:w="7862" w:type="dxa"/>
                  <w:shd w:val="clear" w:color="auto" w:fill="auto"/>
                  <w:tcMar>
                    <w:left w:w="0" w:type="dxa"/>
                  </w:tcMar>
                </w:tcPr>
                <w:p w14:paraId="2A753D81" w14:textId="3AE236D8" w:rsidR="000F15F7" w:rsidRPr="006E759E" w:rsidRDefault="000F15F7" w:rsidP="000F15F7">
                  <w:pPr>
                    <w:spacing w:after="0"/>
                    <w:rPr>
                      <w:spacing w:val="-5"/>
                    </w:rPr>
                  </w:pPr>
                  <w:r w:rsidRPr="006E759E">
                    <w:rPr>
                      <w:b/>
                      <w:spacing w:val="-5"/>
                    </w:rPr>
                    <w:t>Graf č. </w:t>
                  </w:r>
                  <w:proofErr w:type="gramStart"/>
                  <w:r w:rsidRPr="006E759E">
                    <w:rPr>
                      <w:b/>
                      <w:spacing w:val="-5"/>
                    </w:rPr>
                    <w:t>6  Příspěvky</w:t>
                  </w:r>
                  <w:proofErr w:type="gramEnd"/>
                  <w:r w:rsidRPr="006E759E">
                    <w:rPr>
                      <w:b/>
                      <w:spacing w:val="-5"/>
                    </w:rPr>
                    <w:t xml:space="preserve"> odvětví k meziroční změně stavební produkce </w:t>
                  </w:r>
                  <w:r w:rsidRPr="006E759E">
                    <w:rPr>
                      <w:spacing w:val="-5"/>
                    </w:rPr>
                    <w:t>(reálně, v p. b.)</w:t>
                  </w:r>
                  <w:r w:rsidRPr="006E759E">
                    <w:rPr>
                      <w:b/>
                      <w:bCs/>
                      <w:spacing w:val="-5"/>
                    </w:rPr>
                    <w:t>,</w:t>
                  </w:r>
                  <w:r w:rsidRPr="006E759E">
                    <w:rPr>
                      <w:b/>
                      <w:bCs/>
                      <w:spacing w:val="-5"/>
                    </w:rPr>
                    <w:br/>
                  </w:r>
                  <w:r w:rsidRPr="006E759E">
                    <w:rPr>
                      <w:b/>
                      <w:spacing w:val="-5"/>
                    </w:rPr>
                    <w:t xml:space="preserve">nové stavební zakázky </w:t>
                  </w:r>
                  <w:r w:rsidRPr="006E759E">
                    <w:rPr>
                      <w:spacing w:val="-5"/>
                    </w:rPr>
                    <w:t>(</w:t>
                  </w:r>
                  <w:r w:rsidRPr="006E759E">
                    <w:rPr>
                      <w:bCs/>
                      <w:spacing w:val="-5"/>
                    </w:rPr>
                    <w:t xml:space="preserve">nominálně, </w:t>
                  </w:r>
                  <w:r w:rsidRPr="006E759E">
                    <w:rPr>
                      <w:spacing w:val="-5"/>
                    </w:rPr>
                    <w:t>meziročně,</w:t>
                  </w:r>
                  <w:r w:rsidRPr="006E759E">
                    <w:rPr>
                      <w:bCs/>
                      <w:spacing w:val="-5"/>
                    </w:rPr>
                    <w:t xml:space="preserve"> v %</w:t>
                  </w:r>
                  <w:r w:rsidRPr="006E759E">
                    <w:rPr>
                      <w:spacing w:val="-5"/>
                    </w:rPr>
                    <w:t>, pravá osa</w:t>
                  </w:r>
                  <w:r w:rsidRPr="006E759E">
                    <w:rPr>
                      <w:bCs/>
                      <w:spacing w:val="-5"/>
                    </w:rPr>
                    <w:t>)</w:t>
                  </w:r>
                  <w:r w:rsidRPr="006E759E">
                    <w:rPr>
                      <w:b/>
                      <w:spacing w:val="-5"/>
                    </w:rPr>
                    <w:t>, saldo důvěry podnikatelů ve stavebnictví*</w:t>
                  </w:r>
                  <w:r w:rsidRPr="006E759E">
                    <w:rPr>
                      <w:spacing w:val="-5"/>
                    </w:rPr>
                    <w:t xml:space="preserve"> (v p. b., pravá osa) </w:t>
                  </w:r>
                  <w:r w:rsidRPr="006E759E">
                    <w:rPr>
                      <w:b/>
                      <w:spacing w:val="-5"/>
                    </w:rPr>
                    <w:t>a vybrané bariéry růstu</w:t>
                  </w:r>
                  <w:r w:rsidRPr="006E759E">
                    <w:rPr>
                      <w:spacing w:val="-5"/>
                    </w:rPr>
                    <w:t>* (v %, pravá osa)</w:t>
                  </w:r>
                </w:p>
              </w:tc>
            </w:tr>
            <w:tr w:rsidR="000F15F7" w:rsidRPr="00191C35" w14:paraId="258A9604" w14:textId="77777777" w:rsidTr="00550540">
              <w:tblPrEx>
                <w:tblCellMar>
                  <w:left w:w="70" w:type="dxa"/>
                  <w:right w:w="70" w:type="dxa"/>
                </w:tblCellMar>
              </w:tblPrEx>
              <w:trPr>
                <w:trHeight w:val="145"/>
              </w:trPr>
              <w:tc>
                <w:tcPr>
                  <w:tcW w:w="1609" w:type="dxa"/>
                  <w:shd w:val="clear" w:color="auto" w:fill="auto"/>
                </w:tcPr>
                <w:p w14:paraId="22F36F60" w14:textId="77777777" w:rsidR="000F15F7" w:rsidRDefault="000F15F7" w:rsidP="000F15F7">
                  <w:pPr>
                    <w:pStyle w:val="Marginlie"/>
                  </w:pPr>
                </w:p>
              </w:tc>
              <w:tc>
                <w:tcPr>
                  <w:tcW w:w="193" w:type="dxa"/>
                  <w:shd w:val="clear" w:color="auto" w:fill="auto"/>
                </w:tcPr>
                <w:p w14:paraId="70048539" w14:textId="77777777" w:rsidR="000F15F7" w:rsidRPr="00B43216" w:rsidRDefault="000F15F7" w:rsidP="000F15F7">
                  <w:pPr>
                    <w:pStyle w:val="Textpoznpodarou"/>
                    <w:jc w:val="both"/>
                    <w:rPr>
                      <w:spacing w:val="-4"/>
                    </w:rPr>
                  </w:pPr>
                </w:p>
              </w:tc>
              <w:tc>
                <w:tcPr>
                  <w:tcW w:w="7862" w:type="dxa"/>
                  <w:shd w:val="clear" w:color="auto" w:fill="auto"/>
                </w:tcPr>
                <w:p w14:paraId="7877C341" w14:textId="556AB825" w:rsidR="000F15F7" w:rsidRPr="003E01D3" w:rsidRDefault="000F15F7" w:rsidP="000F15F7">
                  <w:pPr>
                    <w:spacing w:after="0"/>
                    <w:rPr>
                      <w:b/>
                      <w:spacing w:val="-4"/>
                    </w:rPr>
                  </w:pPr>
                  <w:r>
                    <w:rPr>
                      <w:noProof/>
                    </w:rPr>
                    <w:drawing>
                      <wp:inline distT="0" distB="0" distL="0" distR="0" wp14:anchorId="7A274478" wp14:editId="0FC85372">
                        <wp:extent cx="4817745" cy="3377821"/>
                        <wp:effectExtent l="0" t="0" r="1905"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0F15F7" w:rsidRPr="00191C35" w14:paraId="28043C5E" w14:textId="77777777" w:rsidTr="00550540">
              <w:trPr>
                <w:trHeight w:val="145"/>
              </w:trPr>
              <w:tc>
                <w:tcPr>
                  <w:tcW w:w="1609" w:type="dxa"/>
                  <w:shd w:val="clear" w:color="auto" w:fill="auto"/>
                  <w:tcMar>
                    <w:left w:w="0" w:type="dxa"/>
                  </w:tcMar>
                </w:tcPr>
                <w:p w14:paraId="50A9E59A" w14:textId="77777777" w:rsidR="000F15F7" w:rsidRDefault="000F15F7" w:rsidP="000F15F7">
                  <w:pPr>
                    <w:pStyle w:val="Marginlie"/>
                  </w:pPr>
                </w:p>
              </w:tc>
              <w:tc>
                <w:tcPr>
                  <w:tcW w:w="193" w:type="dxa"/>
                  <w:shd w:val="clear" w:color="auto" w:fill="auto"/>
                  <w:tcMar>
                    <w:left w:w="0" w:type="dxa"/>
                  </w:tcMar>
                </w:tcPr>
                <w:p w14:paraId="20DA3018" w14:textId="77777777" w:rsidR="000F15F7" w:rsidRPr="00B43216" w:rsidRDefault="000F15F7" w:rsidP="000F15F7">
                  <w:pPr>
                    <w:pStyle w:val="Textpoznpodarou"/>
                    <w:jc w:val="both"/>
                    <w:rPr>
                      <w:spacing w:val="-4"/>
                    </w:rPr>
                  </w:pPr>
                </w:p>
              </w:tc>
              <w:tc>
                <w:tcPr>
                  <w:tcW w:w="7862" w:type="dxa"/>
                  <w:shd w:val="clear" w:color="auto" w:fill="auto"/>
                  <w:tcMar>
                    <w:left w:w="0" w:type="dxa"/>
                  </w:tcMar>
                </w:tcPr>
                <w:p w14:paraId="4680CA84" w14:textId="77777777" w:rsidR="000F15F7" w:rsidRPr="00883202" w:rsidRDefault="000F15F7" w:rsidP="000F15F7">
                  <w:pPr>
                    <w:spacing w:after="0"/>
                    <w:rPr>
                      <w:rFonts w:cs="Arial"/>
                      <w:sz w:val="14"/>
                      <w:szCs w:val="14"/>
                    </w:rPr>
                  </w:pPr>
                  <w:r>
                    <w:rPr>
                      <w:rFonts w:cs="Arial"/>
                      <w:sz w:val="14"/>
                      <w:szCs w:val="14"/>
                    </w:rPr>
                    <w:t xml:space="preserve">Poznámka: </w:t>
                  </w:r>
                  <w:r w:rsidRPr="00883202">
                    <w:rPr>
                      <w:rFonts w:cs="Arial"/>
                      <w:sz w:val="14"/>
                      <w:szCs w:val="14"/>
                    </w:rPr>
                    <w:t>Údaje o stavební produkci jsou očištěny o kalendářní vlivy.</w:t>
                  </w:r>
                </w:p>
                <w:p w14:paraId="1051AA70" w14:textId="190A0101" w:rsidR="000F15F7" w:rsidRPr="00FC6785" w:rsidRDefault="000F15F7" w:rsidP="000F15F7">
                  <w:pPr>
                    <w:tabs>
                      <w:tab w:val="right" w:pos="7711"/>
                    </w:tabs>
                    <w:spacing w:after="0"/>
                    <w:rPr>
                      <w:rFonts w:cs="Arial"/>
                      <w:sz w:val="14"/>
                      <w:szCs w:val="14"/>
                    </w:rPr>
                  </w:pPr>
                  <w:r w:rsidRPr="00883202">
                    <w:rPr>
                      <w:rFonts w:cs="Arial"/>
                      <w:sz w:val="14"/>
                      <w:szCs w:val="14"/>
                    </w:rPr>
                    <w:t>*</w:t>
                  </w:r>
                  <w:r w:rsidRPr="006E759E">
                    <w:rPr>
                      <w:rFonts w:cs="Arial"/>
                      <w:spacing w:val="-2"/>
                      <w:sz w:val="14"/>
                      <w:szCs w:val="14"/>
                    </w:rPr>
                    <w:t>Saldo důvěry podnikatelů i bariéry</w:t>
                  </w:r>
                  <w:r w:rsidRPr="00883202">
                    <w:rPr>
                      <w:rFonts w:cs="Arial"/>
                      <w:spacing w:val="-2"/>
                      <w:sz w:val="14"/>
                      <w:szCs w:val="14"/>
                    </w:rPr>
                    <w:t xml:space="preserve"> růstu jsou sezónně očištěny a vyjadřují stav ve druhém měsíci daného čtvrtletí</w:t>
                  </w:r>
                  <w:r w:rsidRPr="00883202">
                    <w:rPr>
                      <w:rFonts w:cs="Arial"/>
                      <w:sz w:val="14"/>
                      <w:szCs w:val="14"/>
                    </w:rPr>
                    <w:t>.</w:t>
                  </w:r>
                  <w:r>
                    <w:rPr>
                      <w:rFonts w:cs="Arial"/>
                      <w:sz w:val="14"/>
                      <w:szCs w:val="14"/>
                    </w:rPr>
                    <w:t xml:space="preserve"> Podniky mohly uvést více hlavních bariér současně.                                                                                                              </w:t>
                  </w:r>
                  <w:r w:rsidRPr="00883202">
                    <w:rPr>
                      <w:rFonts w:cs="Arial"/>
                      <w:sz w:val="14"/>
                      <w:szCs w:val="14"/>
                    </w:rPr>
                    <w:t>Zdroj: ČSÚ</w:t>
                  </w:r>
                  <w:r>
                    <w:rPr>
                      <w:rFonts w:cs="Arial"/>
                      <w:sz w:val="14"/>
                      <w:szCs w:val="14"/>
                    </w:rPr>
                    <w:t xml:space="preserve">, </w:t>
                  </w:r>
                  <w:proofErr w:type="spellStart"/>
                  <w:r>
                    <w:rPr>
                      <w:rFonts w:cs="Arial"/>
                      <w:sz w:val="14"/>
                      <w:szCs w:val="14"/>
                    </w:rPr>
                    <w:t>Eurostat</w:t>
                  </w:r>
                  <w:proofErr w:type="spellEnd"/>
                </w:p>
              </w:tc>
            </w:tr>
            <w:tr w:rsidR="000F15F7" w:rsidRPr="0050728A" w14:paraId="409F36A4" w14:textId="77777777" w:rsidTr="00550540">
              <w:trPr>
                <w:trHeight w:val="145"/>
              </w:trPr>
              <w:tc>
                <w:tcPr>
                  <w:tcW w:w="1609" w:type="dxa"/>
                  <w:shd w:val="clear" w:color="auto" w:fill="auto"/>
                  <w:tcMar>
                    <w:left w:w="0" w:type="dxa"/>
                  </w:tcMar>
                </w:tcPr>
                <w:p w14:paraId="52AEFFDE" w14:textId="77777777" w:rsidR="000F15F7" w:rsidRDefault="000F15F7" w:rsidP="000F15F7">
                  <w:pPr>
                    <w:pStyle w:val="Marginlie"/>
                  </w:pPr>
                  <w:r>
                    <w:lastRenderedPageBreak/>
                    <w:t>Podniky očekávaly růst stavební činnosti, v delším horizontu se ale obávaly zhoršení vlastní ekonomické situace.</w:t>
                  </w:r>
                </w:p>
                <w:p w14:paraId="1E9AD9FE" w14:textId="77777777" w:rsidR="000F15F7" w:rsidRDefault="000F15F7" w:rsidP="000F15F7">
                  <w:pPr>
                    <w:pStyle w:val="Marginlie"/>
                  </w:pPr>
                </w:p>
                <w:p w14:paraId="5449BD8E" w14:textId="35A99FCB" w:rsidR="000F15F7" w:rsidRPr="00190C58" w:rsidRDefault="000F15F7" w:rsidP="000F15F7">
                  <w:pPr>
                    <w:pStyle w:val="Marginlie"/>
                  </w:pPr>
                  <w:r>
                    <w:t>Výkon celého odvětví nadále limitovaly významné růstové bariéry.</w:t>
                  </w:r>
                </w:p>
              </w:tc>
              <w:tc>
                <w:tcPr>
                  <w:tcW w:w="193" w:type="dxa"/>
                  <w:shd w:val="clear" w:color="auto" w:fill="auto"/>
                  <w:tcMar>
                    <w:left w:w="0" w:type="dxa"/>
                  </w:tcMar>
                </w:tcPr>
                <w:p w14:paraId="2BF9C422" w14:textId="77777777" w:rsidR="000F15F7" w:rsidRPr="00190C58" w:rsidRDefault="000F15F7" w:rsidP="000F15F7">
                  <w:pPr>
                    <w:pStyle w:val="Textpoznpodarou"/>
                    <w:jc w:val="both"/>
                    <w:rPr>
                      <w:spacing w:val="-4"/>
                    </w:rPr>
                  </w:pPr>
                </w:p>
              </w:tc>
              <w:tc>
                <w:tcPr>
                  <w:tcW w:w="7862" w:type="dxa"/>
                  <w:shd w:val="clear" w:color="auto" w:fill="auto"/>
                  <w:tcMar>
                    <w:left w:w="0" w:type="dxa"/>
                  </w:tcMar>
                </w:tcPr>
                <w:p w14:paraId="27E61422" w14:textId="56EA4C92" w:rsidR="000F15F7" w:rsidRPr="00C2592B" w:rsidRDefault="000F15F7" w:rsidP="000F15F7">
                  <w:pPr>
                    <w:spacing w:after="200"/>
                    <w:rPr>
                      <w:rFonts w:cs="Arial"/>
                      <w:color w:val="0D0D0D" w:themeColor="text1" w:themeTint="F2"/>
                      <w:spacing w:val="-4"/>
                    </w:rPr>
                  </w:pPr>
                  <w:r w:rsidRPr="00C2592B">
                    <w:rPr>
                      <w:rFonts w:cs="Arial"/>
                      <w:color w:val="0D0D0D" w:themeColor="text1" w:themeTint="F2"/>
                      <w:spacing w:val="-4"/>
                    </w:rPr>
                    <w:t>Důvěra podnikatelů ve stavebnictví se po dočasném vzedmutí na počátku letošního roku (způsoben</w:t>
                  </w:r>
                  <w:r>
                    <w:rPr>
                      <w:rFonts w:cs="Arial"/>
                      <w:color w:val="0D0D0D" w:themeColor="text1" w:themeTint="F2"/>
                      <w:spacing w:val="-4"/>
                    </w:rPr>
                    <w:t>é</w:t>
                  </w:r>
                  <w:r w:rsidRPr="00C2592B">
                    <w:rPr>
                      <w:rFonts w:cs="Arial"/>
                      <w:color w:val="0D0D0D" w:themeColor="text1" w:themeTint="F2"/>
                      <w:spacing w:val="-4"/>
                    </w:rPr>
                    <w:t xml:space="preserve">m krátkodobým pozitivnějším očekáváním růstu zaměstnanosti) mírně snížila a </w:t>
                  </w:r>
                  <w:r w:rsidR="00374B96">
                    <w:t> </w:t>
                  </w:r>
                  <w:r w:rsidRPr="00C2592B">
                    <w:rPr>
                      <w:rFonts w:cs="Arial"/>
                      <w:color w:val="0D0D0D" w:themeColor="text1" w:themeTint="F2"/>
                      <w:spacing w:val="-4"/>
                    </w:rPr>
                    <w:t>v květnu dosahovala zhruba úrovně z přelomu let 2019 a 2020. Čtvrtina podniků považovala současnou poptávku za neuspokojivou, pětina firem ale také předpokládala v příštích třech měsících růst stavební činnosti. Skoro 85 % respondentů očekávalo stabilizovanou vlastní ekonomickou situaci, v horizontu šesti měsíců ale počítala s jejím zhoršením čtvrtina firem. To patrně souviselo se silnými růstovými bariérami (materiálovými, lidskými)</w:t>
                  </w:r>
                  <w:r w:rsidRPr="00C2592B">
                    <w:rPr>
                      <w:rStyle w:val="Znakapoznpodarou"/>
                      <w:color w:val="0D0D0D" w:themeColor="text1" w:themeTint="F2"/>
                      <w:spacing w:val="-4"/>
                    </w:rPr>
                    <w:footnoteReference w:id="14"/>
                  </w:r>
                  <w:r w:rsidRPr="00C2592B">
                    <w:rPr>
                      <w:rFonts w:cs="Arial"/>
                      <w:color w:val="0D0D0D" w:themeColor="text1" w:themeTint="F2"/>
                      <w:spacing w:val="-4"/>
                    </w:rPr>
                    <w:t xml:space="preserve"> i sílícími a obtížně </w:t>
                  </w:r>
                  <w:proofErr w:type="spellStart"/>
                  <w:r w:rsidRPr="00C2592B">
                    <w:rPr>
                      <w:rFonts w:cs="Arial"/>
                      <w:color w:val="0D0D0D" w:themeColor="text1" w:themeTint="F2"/>
                      <w:spacing w:val="-4"/>
                    </w:rPr>
                    <w:t>predikovatelnými</w:t>
                  </w:r>
                  <w:proofErr w:type="spellEnd"/>
                  <w:r w:rsidRPr="00C2592B">
                    <w:rPr>
                      <w:rFonts w:cs="Arial"/>
                      <w:color w:val="0D0D0D" w:themeColor="text1" w:themeTint="F2"/>
                      <w:spacing w:val="-4"/>
                    </w:rPr>
                    <w:t xml:space="preserve"> nákladovými tlaky. Navyšování prodejních cen vlastní produkce plánovaly v nejbližším čtvrtletí již skoro dvě ze tří </w:t>
                  </w:r>
                  <w:r>
                    <w:rPr>
                      <w:rFonts w:cs="Arial"/>
                      <w:color w:val="0D0D0D" w:themeColor="text1" w:themeTint="F2"/>
                      <w:spacing w:val="-4"/>
                    </w:rPr>
                    <w:t xml:space="preserve">stavebních </w:t>
                  </w:r>
                  <w:r w:rsidRPr="00C2592B">
                    <w:rPr>
                      <w:rFonts w:cs="Arial"/>
                      <w:color w:val="0D0D0D" w:themeColor="text1" w:themeTint="F2"/>
                      <w:spacing w:val="-4"/>
                    </w:rPr>
                    <w:t>firem.</w:t>
                  </w:r>
                </w:p>
              </w:tc>
            </w:tr>
            <w:tr w:rsidR="00BF765C" w:rsidRPr="00A42A66" w14:paraId="0F824FEB" w14:textId="77777777" w:rsidTr="00550540">
              <w:trPr>
                <w:trHeight w:val="145"/>
              </w:trPr>
              <w:tc>
                <w:tcPr>
                  <w:tcW w:w="1609" w:type="dxa"/>
                  <w:shd w:val="clear" w:color="auto" w:fill="auto"/>
                  <w:tcMar>
                    <w:left w:w="0" w:type="dxa"/>
                  </w:tcMar>
                </w:tcPr>
                <w:p w14:paraId="370006B3" w14:textId="76A54083" w:rsidR="00BF765C" w:rsidRDefault="00BF765C" w:rsidP="00BF765C">
                  <w:pPr>
                    <w:pStyle w:val="Marginlie"/>
                  </w:pPr>
                  <w:proofErr w:type="spellStart"/>
                  <w:r>
                    <w:t>Mezikvartální</w:t>
                  </w:r>
                  <w:proofErr w:type="spellEnd"/>
                  <w:r>
                    <w:t xml:space="preserve"> růst tržeb ve službách pokračoval a jejich výkon se tak již vyrovnal úrovni z první poloviny roku 2019.</w:t>
                  </w:r>
                </w:p>
              </w:tc>
              <w:tc>
                <w:tcPr>
                  <w:tcW w:w="193" w:type="dxa"/>
                  <w:shd w:val="clear" w:color="auto" w:fill="auto"/>
                  <w:tcMar>
                    <w:left w:w="0" w:type="dxa"/>
                  </w:tcMar>
                </w:tcPr>
                <w:p w14:paraId="170DC1B1" w14:textId="77777777" w:rsidR="00BF765C" w:rsidRPr="00572A63" w:rsidRDefault="00BF765C" w:rsidP="00BF765C">
                  <w:pPr>
                    <w:pStyle w:val="Textpoznpodarou"/>
                    <w:jc w:val="both"/>
                    <w:rPr>
                      <w:spacing w:val="-4"/>
                    </w:rPr>
                  </w:pPr>
                </w:p>
              </w:tc>
              <w:tc>
                <w:tcPr>
                  <w:tcW w:w="7862" w:type="dxa"/>
                  <w:shd w:val="clear" w:color="auto" w:fill="auto"/>
                  <w:tcMar>
                    <w:left w:w="0" w:type="dxa"/>
                  </w:tcMar>
                </w:tcPr>
                <w:p w14:paraId="05CC73C7" w14:textId="3CA8C758" w:rsidR="00BF765C" w:rsidRPr="00572A63" w:rsidRDefault="00BF765C" w:rsidP="00BF765C">
                  <w:pPr>
                    <w:spacing w:after="200"/>
                    <w:rPr>
                      <w:rFonts w:cs="Arial"/>
                      <w:color w:val="0D0D0D" w:themeColor="text1" w:themeTint="F2"/>
                      <w:spacing w:val="-2"/>
                    </w:rPr>
                  </w:pPr>
                  <w:r>
                    <w:rPr>
                      <w:rFonts w:cs="Arial"/>
                      <w:color w:val="0D0D0D" w:themeColor="text1" w:themeTint="F2"/>
                      <w:spacing w:val="-2"/>
                    </w:rPr>
                    <w:t>Na počátku letošního roku pokračovalo postupné posilování poptávky ve</w:t>
                  </w:r>
                  <w:r w:rsidRPr="00231745">
                    <w:rPr>
                      <w:color w:val="0D0D0D" w:themeColor="text1" w:themeTint="F2"/>
                      <w:spacing w:val="-4"/>
                    </w:rPr>
                    <w:t xml:space="preserve"> službách</w:t>
                  </w:r>
                  <w:r w:rsidRPr="00231745">
                    <w:rPr>
                      <w:color w:val="0D0D0D" w:themeColor="text1" w:themeTint="F2"/>
                      <w:spacing w:val="-4"/>
                      <w:vertAlign w:val="superscript"/>
                    </w:rPr>
                    <w:footnoteReference w:id="15"/>
                  </w:r>
                  <w:r>
                    <w:rPr>
                      <w:color w:val="0D0D0D" w:themeColor="text1" w:themeTint="F2"/>
                      <w:spacing w:val="-4"/>
                    </w:rPr>
                    <w:t>. Některé segmenty služeb závislé převážně na poptávce od domácností se ale zotavovaly pomalu. Přestože poslední protipandemické restrikce (spočívající především v regulaci počtu návštěvníků u některých hromadných vnitřních aktivit</w:t>
                  </w:r>
                  <w:r>
                    <w:rPr>
                      <w:rStyle w:val="Znakapoznpodarou"/>
                      <w:color w:val="0D0D0D" w:themeColor="text1" w:themeTint="F2"/>
                      <w:spacing w:val="-4"/>
                    </w:rPr>
                    <w:footnoteReference w:id="16"/>
                  </w:r>
                  <w:r>
                    <w:rPr>
                      <w:color w:val="0D0D0D" w:themeColor="text1" w:themeTint="F2"/>
                      <w:spacing w:val="-4"/>
                    </w:rPr>
                    <w:t>) byly během 1. čtvrtletí zrušeny, část populace patrně nadále některé sociální ko</w:t>
                  </w:r>
                  <w:r w:rsidRPr="00175019">
                    <w:rPr>
                      <w:color w:val="0D0D0D" w:themeColor="text1" w:themeTint="F2"/>
                      <w:spacing w:val="-4"/>
                    </w:rPr>
                    <w:t>ntakty spontánně omezovala (i vzhledem k relativně vysoké nemocnosti v</w:t>
                  </w:r>
                  <w:r>
                    <w:rPr>
                      <w:color w:val="0D0D0D" w:themeColor="text1" w:themeTint="F2"/>
                      <w:spacing w:val="-4"/>
                    </w:rPr>
                    <w:t> </w:t>
                  </w:r>
                  <w:r w:rsidRPr="00175019">
                    <w:rPr>
                      <w:color w:val="0D0D0D" w:themeColor="text1" w:themeTint="F2"/>
                      <w:spacing w:val="-4"/>
                    </w:rPr>
                    <w:t>zimním</w:t>
                  </w:r>
                  <w:r>
                    <w:rPr>
                      <w:color w:val="0D0D0D" w:themeColor="text1" w:themeTint="F2"/>
                      <w:spacing w:val="-4"/>
                    </w:rPr>
                    <w:t xml:space="preserve"> období</w:t>
                  </w:r>
                  <w:r w:rsidRPr="00175019">
                    <w:rPr>
                      <w:rStyle w:val="Znakapoznpodarou"/>
                      <w:color w:val="0D0D0D" w:themeColor="text1" w:themeTint="F2"/>
                      <w:spacing w:val="-4"/>
                    </w:rPr>
                    <w:footnoteReference w:id="17"/>
                  </w:r>
                  <w:r w:rsidRPr="00175019">
                    <w:rPr>
                      <w:color w:val="0D0D0D" w:themeColor="text1" w:themeTint="F2"/>
                      <w:spacing w:val="-4"/>
                    </w:rPr>
                    <w:t>).</w:t>
                  </w:r>
                  <w:r>
                    <w:rPr>
                      <w:color w:val="0D0D0D" w:themeColor="text1" w:themeTint="F2"/>
                      <w:spacing w:val="-4"/>
                    </w:rPr>
                    <w:t xml:space="preserve"> Vedle toho se již mohlo začít negativně projevovat výrazné zhoršení důvěry domácností (kontrastující s celkovým narůstajícím optimismem podniků ve službách), do níž se promítaly sílící nejistoty spojené se silným geopolitickým napětím i prudkým růstem spotřebitelských cen. Tržby ve službách v 1. čtvrtletí 2022 mezikvartálně vzrostly o rovná 2 %, přičinily se o to takřka všechna významnější dílčí odvětví (vyjma skladování, stravování a pohostinství a také telekomunikačních činností). Letošní tempo zotavování bylo ovšem nejslabší od 1. čtvrtletí 2021. I to ale stačilo k tomu, že výkon služeb se již dorovnal vrcholu z období předpandemické konjunktury (2. čtvrtletí 2019).</w:t>
                  </w:r>
                </w:p>
              </w:tc>
            </w:tr>
            <w:tr w:rsidR="00BF765C" w:rsidRPr="00A42A66" w14:paraId="401B942E" w14:textId="77777777" w:rsidTr="00550540">
              <w:trPr>
                <w:trHeight w:val="145"/>
              </w:trPr>
              <w:tc>
                <w:tcPr>
                  <w:tcW w:w="1609" w:type="dxa"/>
                  <w:shd w:val="clear" w:color="auto" w:fill="auto"/>
                  <w:tcMar>
                    <w:left w:w="0" w:type="dxa"/>
                  </w:tcMar>
                </w:tcPr>
                <w:p w14:paraId="1540ADCF" w14:textId="7E326CE7" w:rsidR="00BF765C" w:rsidRDefault="00BF765C" w:rsidP="00BF765C">
                  <w:pPr>
                    <w:pStyle w:val="Marginlie"/>
                  </w:pPr>
                  <w:r>
                    <w:t>K meziročnímu růstu tržeb ve službách přispěly z více než třetiny doprava a skladování.</w:t>
                  </w:r>
                </w:p>
              </w:tc>
              <w:tc>
                <w:tcPr>
                  <w:tcW w:w="193" w:type="dxa"/>
                  <w:shd w:val="clear" w:color="auto" w:fill="auto"/>
                  <w:tcMar>
                    <w:left w:w="0" w:type="dxa"/>
                  </w:tcMar>
                </w:tcPr>
                <w:p w14:paraId="6D58A3F4" w14:textId="77777777" w:rsidR="00BF765C" w:rsidRPr="00572A63" w:rsidRDefault="00BF765C" w:rsidP="00BF765C">
                  <w:pPr>
                    <w:pStyle w:val="Textpoznpodarou"/>
                    <w:jc w:val="both"/>
                    <w:rPr>
                      <w:spacing w:val="-4"/>
                    </w:rPr>
                  </w:pPr>
                </w:p>
              </w:tc>
              <w:tc>
                <w:tcPr>
                  <w:tcW w:w="7862" w:type="dxa"/>
                  <w:shd w:val="clear" w:color="auto" w:fill="auto"/>
                  <w:tcMar>
                    <w:left w:w="0" w:type="dxa"/>
                  </w:tcMar>
                </w:tcPr>
                <w:p w14:paraId="7C96CBF6" w14:textId="6F88DD31" w:rsidR="00BF765C" w:rsidRPr="00572A63" w:rsidRDefault="00BF765C" w:rsidP="00BF765C">
                  <w:pPr>
                    <w:spacing w:after="200"/>
                    <w:rPr>
                      <w:rFonts w:cs="Arial"/>
                      <w:color w:val="0D0D0D" w:themeColor="text1" w:themeTint="F2"/>
                      <w:spacing w:val="-2"/>
                    </w:rPr>
                  </w:pPr>
                  <w:r>
                    <w:rPr>
                      <w:rFonts w:cs="Arial"/>
                      <w:color w:val="0D0D0D" w:themeColor="text1" w:themeTint="F2"/>
                      <w:spacing w:val="-2"/>
                    </w:rPr>
                    <w:t>Ve srovnání s prvním loňským čtvrtletím byly letos tržby ve službách vyšší o 13,1 %. Více než třetinou se o to zasloužilo odvětví dopravy a skladování (to sehrávalo rozhodující pozitivní roli i po většinu loňského roku). Posilování zahraničního obchodu i vyšší mobilita obyvatelstva se odrazily v rostoucích tržbách za pozemní a potrubní dopravu (14,9 %), slábnoucí, ale stále dvouciferný růst zaznamenalo i skladování. Výrazně ožila l</w:t>
                  </w:r>
                  <w:r w:rsidRPr="00264089">
                    <w:rPr>
                      <w:rFonts w:cs="Arial"/>
                      <w:color w:val="0D0D0D" w:themeColor="text1" w:themeTint="F2"/>
                      <w:spacing w:val="-2"/>
                    </w:rPr>
                    <w:t>etecká doprava</w:t>
                  </w:r>
                  <w:r>
                    <w:rPr>
                      <w:rFonts w:cs="Arial"/>
                      <w:color w:val="0D0D0D" w:themeColor="text1" w:themeTint="F2"/>
                      <w:spacing w:val="-2"/>
                    </w:rPr>
                    <w:t xml:space="preserve">, jejíž tržby však byly oproti úrovni z počátku roku 2019 stále o více než 40 % nižší (to platilo i o vodní dopravě). Naopak výkon poštovních a kurýrních činností se druhý kvartál v řadě meziročně mírně snížil, neboť část výrazně vzedmuté poptávky v pandemickém období se začala od internetových prodejců opět přesouvat do kamenných prodejen. </w:t>
                  </w:r>
                </w:p>
              </w:tc>
            </w:tr>
            <w:tr w:rsidR="00BF765C" w:rsidRPr="00A42A66" w14:paraId="7BF59F11" w14:textId="77777777" w:rsidTr="00550540">
              <w:trPr>
                <w:trHeight w:val="145"/>
              </w:trPr>
              <w:tc>
                <w:tcPr>
                  <w:tcW w:w="1609" w:type="dxa"/>
                  <w:shd w:val="clear" w:color="auto" w:fill="auto"/>
                  <w:tcMar>
                    <w:left w:w="0" w:type="dxa"/>
                  </w:tcMar>
                </w:tcPr>
                <w:p w14:paraId="08AA6DFB" w14:textId="77777777" w:rsidR="00BF765C" w:rsidRDefault="00BF765C" w:rsidP="00BF765C">
                  <w:pPr>
                    <w:pStyle w:val="Marginlie"/>
                  </w:pPr>
                  <w:r>
                    <w:t>K výraznějšímu oživení cestovního ruchu v Česku přispívala zatím především domácí klientela.</w:t>
                  </w:r>
                </w:p>
                <w:p w14:paraId="0D49FD5E" w14:textId="77777777" w:rsidR="00BF765C" w:rsidRDefault="00BF765C" w:rsidP="00BF765C">
                  <w:pPr>
                    <w:pStyle w:val="Marginlie"/>
                  </w:pPr>
                </w:p>
                <w:p w14:paraId="6A89C80D" w14:textId="77777777" w:rsidR="00BF765C" w:rsidRDefault="00BF765C" w:rsidP="00BF765C">
                  <w:pPr>
                    <w:pStyle w:val="Marginlie"/>
                  </w:pPr>
                </w:p>
                <w:p w14:paraId="42CC90CF" w14:textId="77777777" w:rsidR="00BF765C" w:rsidRDefault="00BF765C" w:rsidP="00BF765C">
                  <w:pPr>
                    <w:pStyle w:val="Marginlie"/>
                  </w:pPr>
                </w:p>
                <w:p w14:paraId="3CDC393B" w14:textId="77777777" w:rsidR="00BF765C" w:rsidRDefault="00BF765C" w:rsidP="00BF765C">
                  <w:pPr>
                    <w:pStyle w:val="Marginlie"/>
                  </w:pPr>
                </w:p>
                <w:p w14:paraId="678C52B7" w14:textId="77777777" w:rsidR="00BF765C" w:rsidRDefault="00BF765C" w:rsidP="00BF765C">
                  <w:pPr>
                    <w:pStyle w:val="Marginlie"/>
                  </w:pPr>
                </w:p>
                <w:p w14:paraId="0D4E1EDC" w14:textId="77777777" w:rsidR="00BF765C" w:rsidRDefault="00BF765C" w:rsidP="00BF765C">
                  <w:pPr>
                    <w:pStyle w:val="Marginlie"/>
                  </w:pPr>
                  <w:r>
                    <w:t>Vyšší poptávka po profesních, vědeckých a technických činnostech souvisela hlavně s rozvojem stavebnictví.</w:t>
                  </w:r>
                </w:p>
                <w:p w14:paraId="09029260" w14:textId="77777777" w:rsidR="00BF765C" w:rsidRDefault="00BF765C" w:rsidP="00BF765C">
                  <w:pPr>
                    <w:pStyle w:val="Marginlie"/>
                  </w:pPr>
                </w:p>
                <w:p w14:paraId="42B6260C" w14:textId="77777777" w:rsidR="00BF765C" w:rsidRDefault="00BF765C" w:rsidP="00BF765C">
                  <w:pPr>
                    <w:pStyle w:val="Marginlie"/>
                  </w:pPr>
                  <w:r>
                    <w:lastRenderedPageBreak/>
                    <w:t>Filmový a hudební průmysl výrazně ožil.</w:t>
                  </w:r>
                </w:p>
                <w:p w14:paraId="40DE19F9" w14:textId="77777777" w:rsidR="00BF765C" w:rsidRDefault="00BF765C" w:rsidP="00BF765C">
                  <w:pPr>
                    <w:pStyle w:val="Marginlie"/>
                  </w:pPr>
                </w:p>
              </w:tc>
              <w:tc>
                <w:tcPr>
                  <w:tcW w:w="193" w:type="dxa"/>
                  <w:shd w:val="clear" w:color="auto" w:fill="auto"/>
                  <w:tcMar>
                    <w:left w:w="0" w:type="dxa"/>
                  </w:tcMar>
                </w:tcPr>
                <w:p w14:paraId="239734A9" w14:textId="77777777" w:rsidR="00BF765C" w:rsidRPr="00572A63" w:rsidRDefault="00BF765C" w:rsidP="00BF765C">
                  <w:pPr>
                    <w:pStyle w:val="Textpoznpodarou"/>
                    <w:jc w:val="both"/>
                    <w:rPr>
                      <w:spacing w:val="-4"/>
                    </w:rPr>
                  </w:pPr>
                </w:p>
              </w:tc>
              <w:tc>
                <w:tcPr>
                  <w:tcW w:w="7862" w:type="dxa"/>
                  <w:shd w:val="clear" w:color="auto" w:fill="auto"/>
                  <w:tcMar>
                    <w:left w:w="0" w:type="dxa"/>
                  </w:tcMar>
                </w:tcPr>
                <w:p w14:paraId="7ACBEAA4" w14:textId="7AD290BB" w:rsidR="00BF765C" w:rsidRPr="00572A63" w:rsidRDefault="00BF765C" w:rsidP="00BF765C">
                  <w:pPr>
                    <w:spacing w:after="200"/>
                    <w:rPr>
                      <w:rFonts w:cs="Arial"/>
                      <w:color w:val="0D0D0D" w:themeColor="text1" w:themeTint="F2"/>
                      <w:spacing w:val="-2"/>
                    </w:rPr>
                  </w:pPr>
                  <w:r>
                    <w:rPr>
                      <w:rFonts w:cs="Arial"/>
                      <w:color w:val="0D0D0D" w:themeColor="text1" w:themeTint="F2"/>
                      <w:spacing w:val="-2"/>
                    </w:rPr>
                    <w:t>Skoro čtvrtinou přispělo k růstu tržeb ve službách odvětví ubytování, stravování a</w:t>
                  </w:r>
                  <w:r>
                    <w:rPr>
                      <w:color w:val="0D0D0D" w:themeColor="text1" w:themeTint="F2"/>
                      <w:spacing w:val="-4"/>
                    </w:rPr>
                    <w:t> </w:t>
                  </w:r>
                  <w:r>
                    <w:rPr>
                      <w:rFonts w:cs="Arial"/>
                      <w:color w:val="0D0D0D" w:themeColor="text1" w:themeTint="F2"/>
                      <w:spacing w:val="-2"/>
                    </w:rPr>
                    <w:t xml:space="preserve">pohostinství, jehož výkon byl ovšem v 1. čtvrtletí 2021 zásadně omezen restrikcemi. Oproti „běžnému“ 1. čtvrtletí 2019 tak letos tržby ve stravování a pohostinství zaostaly </w:t>
                  </w:r>
                  <w:r w:rsidR="00825120">
                    <w:rPr>
                      <w:rFonts w:cs="Arial"/>
                      <w:color w:val="0D0D0D" w:themeColor="text1" w:themeTint="F2"/>
                      <w:spacing w:val="-2"/>
                    </w:rPr>
                    <w:t>o 23 %, v ubytování dokonce o 43</w:t>
                  </w:r>
                  <w:r>
                    <w:rPr>
                      <w:rFonts w:cs="Arial"/>
                      <w:color w:val="0D0D0D" w:themeColor="text1" w:themeTint="F2"/>
                      <w:spacing w:val="-2"/>
                    </w:rPr>
                    <w:t xml:space="preserve"> %. Zatímco počet přenocování tuzemských hostů v hromadných ubytovacích zařízeních byl letos ve srovnání s počátkem roku 2019 vyšší o 3 %, deficit u</w:t>
                  </w:r>
                  <w:r>
                    <w:rPr>
                      <w:color w:val="0D0D0D" w:themeColor="text1" w:themeTint="F2"/>
                      <w:spacing w:val="-4"/>
                    </w:rPr>
                    <w:t> </w:t>
                  </w:r>
                  <w:r>
                    <w:rPr>
                      <w:rFonts w:cs="Arial"/>
                      <w:color w:val="0D0D0D" w:themeColor="text1" w:themeTint="F2"/>
                      <w:spacing w:val="-2"/>
                    </w:rPr>
                    <w:t xml:space="preserve">hostů ze zahraničí </w:t>
                  </w:r>
                  <w:proofErr w:type="gramStart"/>
                  <w:r>
                    <w:rPr>
                      <w:rFonts w:cs="Arial"/>
                      <w:color w:val="0D0D0D" w:themeColor="text1" w:themeTint="F2"/>
                      <w:spacing w:val="-2"/>
                    </w:rPr>
                    <w:t>dosahoval  56</w:t>
                  </w:r>
                  <w:proofErr w:type="gramEnd"/>
                  <w:r>
                    <w:rPr>
                      <w:rFonts w:cs="Arial"/>
                      <w:color w:val="0D0D0D" w:themeColor="text1" w:themeTint="F2"/>
                      <w:spacing w:val="-2"/>
                    </w:rPr>
                    <w:t xml:space="preserve"> %, neboť prakticky absentovala dříve významná asijská a</w:t>
                  </w:r>
                  <w:r>
                    <w:rPr>
                      <w:color w:val="0D0D0D" w:themeColor="text1" w:themeTint="F2"/>
                      <w:spacing w:val="-4"/>
                    </w:rPr>
                    <w:t> </w:t>
                  </w:r>
                  <w:r>
                    <w:rPr>
                      <w:rFonts w:cs="Arial"/>
                      <w:color w:val="0D0D0D" w:themeColor="text1" w:themeTint="F2"/>
                      <w:spacing w:val="-2"/>
                    </w:rPr>
                    <w:t>ruská klientela (více než 60% propad poptávky ale nastal i ze strany hostů z Itálie, Velké Británie, USA či Kanady</w:t>
                  </w:r>
                  <w:r>
                    <w:rPr>
                      <w:rStyle w:val="Znakapoznpodarou"/>
                      <w:color w:val="0D0D0D" w:themeColor="text1" w:themeTint="F2"/>
                      <w:spacing w:val="-2"/>
                    </w:rPr>
                    <w:footnoteReference w:id="18"/>
                  </w:r>
                  <w:r>
                    <w:rPr>
                      <w:rFonts w:cs="Arial"/>
                      <w:color w:val="0D0D0D" w:themeColor="text1" w:themeTint="F2"/>
                      <w:spacing w:val="-2"/>
                    </w:rPr>
                    <w:t xml:space="preserve">). Oživení turismu zlepšilo i situaci </w:t>
                  </w:r>
                  <w:r w:rsidRPr="00A20A71">
                    <w:rPr>
                      <w:rFonts w:cs="Arial"/>
                      <w:color w:val="0D0D0D" w:themeColor="text1" w:themeTint="F2"/>
                      <w:spacing w:val="-2"/>
                    </w:rPr>
                    <w:t>cestovních agentur</w:t>
                  </w:r>
                  <w:r>
                    <w:rPr>
                      <w:rFonts w:cs="Arial"/>
                      <w:color w:val="0D0D0D" w:themeColor="text1" w:themeTint="F2"/>
                      <w:spacing w:val="-2"/>
                    </w:rPr>
                    <w:t xml:space="preserve"> a kanceláří, které stály z převažující části za letošním meziročním růstem odvětví administrativních a</w:t>
                  </w:r>
                  <w:r>
                    <w:rPr>
                      <w:color w:val="0D0D0D" w:themeColor="text1" w:themeTint="F2"/>
                      <w:spacing w:val="-4"/>
                    </w:rPr>
                    <w:t> </w:t>
                  </w:r>
                  <w:r>
                    <w:rPr>
                      <w:rFonts w:cs="Arial"/>
                      <w:color w:val="0D0D0D" w:themeColor="text1" w:themeTint="F2"/>
                      <w:spacing w:val="-2"/>
                    </w:rPr>
                    <w:t xml:space="preserve">podpůrných činností (16,4 %). Přestože poptávka se postupně zvyšovala i u dalších segmentů tohoto odvětví, u výrazné většiny z nich nebylo předkrizové úrovně tržeb dosud dosaženo (vyjma bezpečnostních i pátracích činností a též administrativních, kancelářských a jiných podpůrných činností pro podnikání). To však neplatí pro odvětví profesní, vědecké a technické činnosti, které zpravidla poskytuje sofistikovanější služby pro podniky, </w:t>
                  </w:r>
                  <w:r>
                    <w:rPr>
                      <w:color w:val="0D0D0D" w:themeColor="text1" w:themeTint="F2"/>
                      <w:spacing w:val="-4"/>
                    </w:rPr>
                    <w:t xml:space="preserve">kde </w:t>
                  </w:r>
                  <w:r>
                    <w:rPr>
                      <w:rFonts w:cs="Arial"/>
                      <w:color w:val="0D0D0D" w:themeColor="text1" w:themeTint="F2"/>
                      <w:spacing w:val="-2"/>
                    </w:rPr>
                    <w:lastRenderedPageBreak/>
                    <w:t>poptávka po mnohých z nich nebyla během pandemického o</w:t>
                  </w:r>
                  <w:r w:rsidR="00374B96">
                    <w:rPr>
                      <w:rFonts w:cs="Arial"/>
                      <w:color w:val="0D0D0D" w:themeColor="text1" w:themeTint="F2"/>
                      <w:spacing w:val="-2"/>
                    </w:rPr>
                    <w:t>bdobí příliš narušena (právní a</w:t>
                  </w:r>
                  <w:r w:rsidR="00374B96">
                    <w:t> </w:t>
                  </w:r>
                  <w:r>
                    <w:rPr>
                      <w:rFonts w:cs="Arial"/>
                      <w:color w:val="0D0D0D" w:themeColor="text1" w:themeTint="F2"/>
                      <w:spacing w:val="-2"/>
                    </w:rPr>
                    <w:t>účetnické činnosti, poradenství v oblasti řízení). K letošnímu růstu celého výše uvedeného odvětví (12,0 %) přispěly především a</w:t>
                  </w:r>
                  <w:r w:rsidRPr="00520E4A">
                    <w:rPr>
                      <w:rFonts w:cs="Arial"/>
                      <w:color w:val="0D0D0D" w:themeColor="text1" w:themeTint="F2"/>
                      <w:spacing w:val="-2"/>
                    </w:rPr>
                    <w:t>rchitektonické a inženýrské činnosti</w:t>
                  </w:r>
                  <w:r>
                    <w:rPr>
                      <w:rFonts w:cs="Arial"/>
                      <w:color w:val="0D0D0D" w:themeColor="text1" w:themeTint="F2"/>
                      <w:spacing w:val="-2"/>
                    </w:rPr>
                    <w:t>, jež profitovaly z rozvoje stavebnictví. Tržby v dlouhodobě posilujícím odvětví informačních a</w:t>
                  </w:r>
                  <w:r>
                    <w:rPr>
                      <w:color w:val="0D0D0D" w:themeColor="text1" w:themeTint="F2"/>
                      <w:spacing w:val="-4"/>
                    </w:rPr>
                    <w:t> </w:t>
                  </w:r>
                  <w:r>
                    <w:rPr>
                      <w:rFonts w:cs="Arial"/>
                      <w:color w:val="0D0D0D" w:themeColor="text1" w:themeTint="F2"/>
                      <w:spacing w:val="-2"/>
                    </w:rPr>
                    <w:t>komunikačních činností vzrostly mírně (4,2 %) zejména zásluhou činností v oblasti informačních technologií (např. programování, s</w:t>
                  </w:r>
                  <w:r w:rsidRPr="00600F00">
                    <w:rPr>
                      <w:rFonts w:cs="Arial"/>
                      <w:color w:val="0D0D0D" w:themeColor="text1" w:themeTint="F2"/>
                      <w:spacing w:val="-2"/>
                    </w:rPr>
                    <w:t>práva počítačového vybavení</w:t>
                  </w:r>
                  <w:r>
                    <w:rPr>
                      <w:rFonts w:cs="Arial"/>
                      <w:color w:val="0D0D0D" w:themeColor="text1" w:themeTint="F2"/>
                      <w:spacing w:val="-2"/>
                    </w:rPr>
                    <w:t>). V nich tržby (podobně jako v informačních činnostech zahrnujících např. zpracování dat) o více než desetinu převýšily úroveň z počátku roku 2019. Naopak hudební a</w:t>
                  </w:r>
                  <w:r>
                    <w:rPr>
                      <w:color w:val="0D0D0D" w:themeColor="text1" w:themeTint="F2"/>
                      <w:spacing w:val="-4"/>
                    </w:rPr>
                    <w:t> </w:t>
                  </w:r>
                  <w:r>
                    <w:rPr>
                      <w:rFonts w:cs="Arial"/>
                      <w:color w:val="0D0D0D" w:themeColor="text1" w:themeTint="F2"/>
                      <w:spacing w:val="-2"/>
                    </w:rPr>
                    <w:t>filmový průmysl patřil v tomto odvětví k nejvíce zasaženým oborům během pandemie</w:t>
                  </w:r>
                  <w:r>
                    <w:rPr>
                      <w:rStyle w:val="Znakapoznpodarou"/>
                      <w:color w:val="0D0D0D" w:themeColor="text1" w:themeTint="F2"/>
                      <w:spacing w:val="-2"/>
                    </w:rPr>
                    <w:footnoteReference w:id="19"/>
                  </w:r>
                  <w:r>
                    <w:rPr>
                      <w:rFonts w:cs="Arial"/>
                      <w:color w:val="0D0D0D" w:themeColor="text1" w:themeTint="F2"/>
                      <w:spacing w:val="-2"/>
                    </w:rPr>
                    <w:t xml:space="preserve">. </w:t>
                  </w:r>
                </w:p>
              </w:tc>
            </w:tr>
            <w:tr w:rsidR="00BF765C" w:rsidRPr="006E759E" w14:paraId="27921AD4" w14:textId="77777777" w:rsidTr="00550540">
              <w:trPr>
                <w:trHeight w:val="145"/>
              </w:trPr>
              <w:tc>
                <w:tcPr>
                  <w:tcW w:w="1609" w:type="dxa"/>
                  <w:shd w:val="clear" w:color="auto" w:fill="auto"/>
                  <w:tcMar>
                    <w:left w:w="0" w:type="dxa"/>
                  </w:tcMar>
                </w:tcPr>
                <w:p w14:paraId="18E45B5F" w14:textId="77777777" w:rsidR="00BF765C" w:rsidRDefault="00BF765C" w:rsidP="00BF765C">
                  <w:pPr>
                    <w:pStyle w:val="Marginlie"/>
                  </w:pPr>
                </w:p>
              </w:tc>
              <w:tc>
                <w:tcPr>
                  <w:tcW w:w="193" w:type="dxa"/>
                  <w:shd w:val="clear" w:color="auto" w:fill="auto"/>
                  <w:tcMar>
                    <w:left w:w="0" w:type="dxa"/>
                  </w:tcMar>
                </w:tcPr>
                <w:p w14:paraId="0B91F94C" w14:textId="77777777" w:rsidR="00BF765C" w:rsidRPr="00B43216" w:rsidRDefault="00BF765C" w:rsidP="00BF765C">
                  <w:pPr>
                    <w:pStyle w:val="Textpoznpodarou"/>
                    <w:jc w:val="both"/>
                    <w:rPr>
                      <w:spacing w:val="-4"/>
                    </w:rPr>
                  </w:pPr>
                </w:p>
              </w:tc>
              <w:tc>
                <w:tcPr>
                  <w:tcW w:w="7862" w:type="dxa"/>
                  <w:shd w:val="clear" w:color="auto" w:fill="auto"/>
                  <w:tcMar>
                    <w:left w:w="0" w:type="dxa"/>
                  </w:tcMar>
                </w:tcPr>
                <w:p w14:paraId="7A158B68" w14:textId="35474E3A" w:rsidR="00BF765C" w:rsidRPr="00C2592B" w:rsidRDefault="00BF765C" w:rsidP="00BF765C">
                  <w:pPr>
                    <w:spacing w:after="0"/>
                    <w:rPr>
                      <w:rFonts w:cs="Arial"/>
                      <w:color w:val="0D0D0D" w:themeColor="text1" w:themeTint="F2"/>
                      <w:spacing w:val="-2"/>
                    </w:rPr>
                  </w:pPr>
                  <w:r w:rsidRPr="00491A43">
                    <w:rPr>
                      <w:b/>
                    </w:rPr>
                    <w:t>Graf č. </w:t>
                  </w:r>
                  <w:proofErr w:type="gramStart"/>
                  <w:r w:rsidRPr="00491A43">
                    <w:rPr>
                      <w:b/>
                    </w:rPr>
                    <w:t>7</w:t>
                  </w:r>
                  <w:r>
                    <w:rPr>
                      <w:b/>
                    </w:rPr>
                    <w:t xml:space="preserve"> </w:t>
                  </w:r>
                  <w:r w:rsidRPr="00491A43">
                    <w:rPr>
                      <w:b/>
                    </w:rPr>
                    <w:t xml:space="preserve"> Příspěvky</w:t>
                  </w:r>
                  <w:proofErr w:type="gramEnd"/>
                  <w:r w:rsidRPr="00491A43">
                    <w:rPr>
                      <w:b/>
                    </w:rPr>
                    <w:t xml:space="preserve"> dílčích odvětví k meziroční změně tržeb ve službách*</w:t>
                  </w:r>
                  <w:r w:rsidRPr="00491A43">
                    <w:rPr>
                      <w:b/>
                    </w:rPr>
                    <w:br/>
                  </w:r>
                  <w:r w:rsidRPr="00491A43">
                    <w:t>(</w:t>
                  </w:r>
                  <w:r w:rsidRPr="00491A43">
                    <w:rPr>
                      <w:bCs/>
                    </w:rPr>
                    <w:t xml:space="preserve">reálně, </w:t>
                  </w:r>
                  <w:r w:rsidRPr="00491A43">
                    <w:t>v p. b)</w:t>
                  </w:r>
                  <w:r w:rsidRPr="00491A43">
                    <w:rPr>
                      <w:b/>
                      <w:bCs/>
                    </w:rPr>
                    <w:t xml:space="preserve">, </w:t>
                  </w:r>
                  <w:r>
                    <w:rPr>
                      <w:b/>
                    </w:rPr>
                    <w:t xml:space="preserve">saldo </w:t>
                  </w:r>
                  <w:r w:rsidRPr="00491A43">
                    <w:rPr>
                      <w:b/>
                    </w:rPr>
                    <w:t xml:space="preserve">důvěry </w:t>
                  </w:r>
                  <w:r>
                    <w:rPr>
                      <w:b/>
                    </w:rPr>
                    <w:t xml:space="preserve">podnikatelů </w:t>
                  </w:r>
                  <w:r w:rsidRPr="00491A43">
                    <w:rPr>
                      <w:b/>
                    </w:rPr>
                    <w:t xml:space="preserve">ve službách** </w:t>
                  </w:r>
                  <w:r w:rsidRPr="00491A43">
                    <w:t>(v p. b., pravá osa)</w:t>
                  </w:r>
                  <w:r w:rsidRPr="00491A43">
                    <w:rPr>
                      <w:b/>
                    </w:rPr>
                    <w:t xml:space="preserve"> a vybrané bariéry růstu*</w:t>
                  </w:r>
                  <w:r w:rsidRPr="00491A43">
                    <w:t>* (v %, pravá osa)</w:t>
                  </w:r>
                </w:p>
              </w:tc>
            </w:tr>
            <w:tr w:rsidR="00BF765C" w:rsidRPr="003E01D3" w14:paraId="7AD6C37D" w14:textId="77777777" w:rsidTr="00550540">
              <w:tblPrEx>
                <w:tblCellMar>
                  <w:left w:w="70" w:type="dxa"/>
                  <w:right w:w="70" w:type="dxa"/>
                </w:tblCellMar>
              </w:tblPrEx>
              <w:trPr>
                <w:trHeight w:val="145"/>
              </w:trPr>
              <w:tc>
                <w:tcPr>
                  <w:tcW w:w="1609" w:type="dxa"/>
                  <w:shd w:val="clear" w:color="auto" w:fill="auto"/>
                </w:tcPr>
                <w:p w14:paraId="2B1C0F35" w14:textId="77777777" w:rsidR="00BF765C" w:rsidRDefault="00BF765C" w:rsidP="00BF765C">
                  <w:pPr>
                    <w:pStyle w:val="Marginlie"/>
                  </w:pPr>
                </w:p>
              </w:tc>
              <w:tc>
                <w:tcPr>
                  <w:tcW w:w="193" w:type="dxa"/>
                  <w:shd w:val="clear" w:color="auto" w:fill="auto"/>
                </w:tcPr>
                <w:p w14:paraId="6E803613" w14:textId="77777777" w:rsidR="00BF765C" w:rsidRPr="00B43216" w:rsidRDefault="00BF765C" w:rsidP="00BF765C">
                  <w:pPr>
                    <w:pStyle w:val="Textpoznpodarou"/>
                    <w:jc w:val="both"/>
                    <w:rPr>
                      <w:spacing w:val="-4"/>
                    </w:rPr>
                  </w:pPr>
                </w:p>
              </w:tc>
              <w:tc>
                <w:tcPr>
                  <w:tcW w:w="7862" w:type="dxa"/>
                  <w:shd w:val="clear" w:color="auto" w:fill="auto"/>
                </w:tcPr>
                <w:p w14:paraId="47A75E3A" w14:textId="734971E7" w:rsidR="00BF765C" w:rsidRPr="00C2592B" w:rsidRDefault="00BF765C" w:rsidP="00BF765C">
                  <w:pPr>
                    <w:spacing w:after="0"/>
                    <w:rPr>
                      <w:rFonts w:cs="Arial"/>
                      <w:color w:val="0D0D0D" w:themeColor="text1" w:themeTint="F2"/>
                      <w:spacing w:val="-2"/>
                    </w:rPr>
                  </w:pPr>
                  <w:r>
                    <w:rPr>
                      <w:noProof/>
                    </w:rPr>
                    <w:drawing>
                      <wp:inline distT="0" distB="0" distL="0" distR="0" wp14:anchorId="63A3A127" wp14:editId="61A1B727">
                        <wp:extent cx="4774222" cy="3590193"/>
                        <wp:effectExtent l="0" t="0" r="762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BF765C" w:rsidRPr="00FC6785" w14:paraId="78F0740A" w14:textId="77777777" w:rsidTr="00550540">
              <w:trPr>
                <w:trHeight w:val="145"/>
              </w:trPr>
              <w:tc>
                <w:tcPr>
                  <w:tcW w:w="1609" w:type="dxa"/>
                  <w:shd w:val="clear" w:color="auto" w:fill="auto"/>
                  <w:tcMar>
                    <w:left w:w="0" w:type="dxa"/>
                  </w:tcMar>
                </w:tcPr>
                <w:p w14:paraId="1C168C3F" w14:textId="77777777" w:rsidR="00BF765C" w:rsidRDefault="00BF765C" w:rsidP="00BF765C">
                  <w:pPr>
                    <w:pStyle w:val="Marginlie"/>
                  </w:pPr>
                </w:p>
              </w:tc>
              <w:tc>
                <w:tcPr>
                  <w:tcW w:w="193" w:type="dxa"/>
                  <w:shd w:val="clear" w:color="auto" w:fill="auto"/>
                  <w:tcMar>
                    <w:left w:w="0" w:type="dxa"/>
                  </w:tcMar>
                </w:tcPr>
                <w:p w14:paraId="280F0DDA" w14:textId="77777777" w:rsidR="00BF765C" w:rsidRPr="00B43216" w:rsidRDefault="00BF765C" w:rsidP="00BF765C">
                  <w:pPr>
                    <w:pStyle w:val="Textpoznpodarou"/>
                    <w:jc w:val="both"/>
                    <w:rPr>
                      <w:spacing w:val="-4"/>
                    </w:rPr>
                  </w:pPr>
                </w:p>
              </w:tc>
              <w:tc>
                <w:tcPr>
                  <w:tcW w:w="7862" w:type="dxa"/>
                  <w:shd w:val="clear" w:color="auto" w:fill="auto"/>
                  <w:tcMar>
                    <w:left w:w="0" w:type="dxa"/>
                  </w:tcMar>
                </w:tcPr>
                <w:p w14:paraId="0DA68CBB" w14:textId="77777777" w:rsidR="00BF765C" w:rsidRPr="00883202" w:rsidRDefault="00BF765C" w:rsidP="00BF765C">
                  <w:pPr>
                    <w:spacing w:after="0"/>
                    <w:rPr>
                      <w:rFonts w:cs="Arial"/>
                      <w:sz w:val="14"/>
                      <w:szCs w:val="14"/>
                    </w:rPr>
                  </w:pPr>
                  <w:r w:rsidRPr="00883202">
                    <w:rPr>
                      <w:rFonts w:cs="Arial"/>
                      <w:sz w:val="14"/>
                      <w:szCs w:val="14"/>
                    </w:rPr>
                    <w:t>*</w:t>
                  </w:r>
                  <w:r w:rsidRPr="00883202">
                    <w:rPr>
                      <w:color w:val="0D0D0D" w:themeColor="text1" w:themeTint="F2"/>
                      <w:sz w:val="14"/>
                      <w:szCs w:val="14"/>
                    </w:rPr>
                    <w:t>Bez odvětví obchodu, peněžnictví, pojišťovnictví, vědy, výzkumu a veřejných služeb.</w:t>
                  </w:r>
                  <w:r>
                    <w:rPr>
                      <w:color w:val="0D0D0D" w:themeColor="text1" w:themeTint="F2"/>
                      <w:sz w:val="14"/>
                      <w:szCs w:val="14"/>
                    </w:rPr>
                    <w:t xml:space="preserve"> </w:t>
                  </w:r>
                  <w:r>
                    <w:rPr>
                      <w:rFonts w:cs="Arial"/>
                      <w:sz w:val="14"/>
                      <w:szCs w:val="14"/>
                    </w:rPr>
                    <w:t xml:space="preserve">Tržby </w:t>
                  </w:r>
                  <w:r w:rsidRPr="00883202">
                    <w:rPr>
                      <w:rFonts w:cs="Arial"/>
                      <w:sz w:val="14"/>
                      <w:szCs w:val="14"/>
                    </w:rPr>
                    <w:t>jsou očištěny o kalendářní vlivy.</w:t>
                  </w:r>
                </w:p>
                <w:p w14:paraId="49719329" w14:textId="77777777" w:rsidR="00BF765C" w:rsidRDefault="00BF765C" w:rsidP="00BF765C">
                  <w:pPr>
                    <w:tabs>
                      <w:tab w:val="right" w:pos="7711"/>
                    </w:tabs>
                    <w:spacing w:after="0"/>
                    <w:rPr>
                      <w:rFonts w:cs="Arial"/>
                      <w:sz w:val="14"/>
                      <w:szCs w:val="14"/>
                    </w:rPr>
                  </w:pPr>
                  <w:r w:rsidRPr="00883202">
                    <w:rPr>
                      <w:rFonts w:cs="Arial"/>
                      <w:sz w:val="14"/>
                      <w:szCs w:val="14"/>
                    </w:rPr>
                    <w:t>**</w:t>
                  </w:r>
                  <w:r w:rsidRPr="00883202">
                    <w:rPr>
                      <w:rFonts w:cs="Arial"/>
                      <w:spacing w:val="-2"/>
                      <w:sz w:val="14"/>
                      <w:szCs w:val="14"/>
                    </w:rPr>
                    <w:t xml:space="preserve">Zahrnuje i finanční sektor. </w:t>
                  </w:r>
                  <w:r w:rsidRPr="00CF1D8C">
                    <w:rPr>
                      <w:rFonts w:cs="Arial"/>
                      <w:spacing w:val="-2"/>
                      <w:sz w:val="14"/>
                      <w:szCs w:val="14"/>
                    </w:rPr>
                    <w:t>Saldo důvěry podnikatelů i bariéry růstu jsou sezónně očištěny a vyjadřují stav v prvním (bariéry růstu), resp. ve druhém měsíci daného čtvrtletí (saldo důvěry</w:t>
                  </w:r>
                  <w:r>
                    <w:rPr>
                      <w:rFonts w:cs="Arial"/>
                      <w:spacing w:val="-2"/>
                      <w:sz w:val="14"/>
                      <w:szCs w:val="14"/>
                    </w:rPr>
                    <w:t>)</w:t>
                  </w:r>
                  <w:r w:rsidRPr="00883202">
                    <w:rPr>
                      <w:rFonts w:cs="Arial"/>
                      <w:spacing w:val="-2"/>
                      <w:sz w:val="14"/>
                      <w:szCs w:val="14"/>
                    </w:rPr>
                    <w:t>.</w:t>
                  </w:r>
                  <w:r>
                    <w:rPr>
                      <w:rFonts w:cs="Arial"/>
                      <w:spacing w:val="-2"/>
                      <w:sz w:val="14"/>
                      <w:szCs w:val="14"/>
                    </w:rPr>
                    <w:t xml:space="preserve"> </w:t>
                  </w:r>
                  <w:r>
                    <w:rPr>
                      <w:rFonts w:cs="Arial"/>
                      <w:sz w:val="14"/>
                      <w:szCs w:val="14"/>
                    </w:rPr>
                    <w:t>Podniky mohly uvést více hlavních bariér současně.</w:t>
                  </w:r>
                </w:p>
                <w:p w14:paraId="511049EA" w14:textId="12C9211E" w:rsidR="00BF765C" w:rsidRPr="00C2592B" w:rsidRDefault="00BF765C" w:rsidP="00BF765C">
                  <w:pPr>
                    <w:spacing w:after="200"/>
                    <w:rPr>
                      <w:rFonts w:cs="Arial"/>
                      <w:color w:val="0D0D0D" w:themeColor="text1" w:themeTint="F2"/>
                      <w:spacing w:val="-2"/>
                    </w:rPr>
                  </w:pPr>
                  <w:r>
                    <w:rPr>
                      <w:rFonts w:cs="Arial"/>
                      <w:sz w:val="14"/>
                      <w:szCs w:val="14"/>
                    </w:rPr>
                    <w:t xml:space="preserve">                                                                                                                                                                       Zdroj: </w:t>
                  </w:r>
                  <w:r w:rsidRPr="00883202">
                    <w:rPr>
                      <w:rFonts w:cs="Arial"/>
                      <w:sz w:val="14"/>
                      <w:szCs w:val="14"/>
                    </w:rPr>
                    <w:t>ČSÚ</w:t>
                  </w:r>
                  <w:r>
                    <w:rPr>
                      <w:rFonts w:cs="Arial"/>
                      <w:sz w:val="14"/>
                      <w:szCs w:val="14"/>
                    </w:rPr>
                    <w:t xml:space="preserve">, </w:t>
                  </w:r>
                  <w:proofErr w:type="spellStart"/>
                  <w:r>
                    <w:rPr>
                      <w:rFonts w:cs="Arial"/>
                      <w:sz w:val="14"/>
                      <w:szCs w:val="14"/>
                    </w:rPr>
                    <w:t>Eurostat</w:t>
                  </w:r>
                  <w:proofErr w:type="spellEnd"/>
                </w:p>
              </w:tc>
            </w:tr>
            <w:tr w:rsidR="00BF765C" w:rsidRPr="00FC6785" w14:paraId="3AC453F4" w14:textId="77777777" w:rsidTr="00550540">
              <w:trPr>
                <w:trHeight w:val="145"/>
              </w:trPr>
              <w:tc>
                <w:tcPr>
                  <w:tcW w:w="1609" w:type="dxa"/>
                  <w:shd w:val="clear" w:color="auto" w:fill="auto"/>
                  <w:tcMar>
                    <w:left w:w="0" w:type="dxa"/>
                  </w:tcMar>
                </w:tcPr>
                <w:p w14:paraId="7DD78C86" w14:textId="77777777" w:rsidR="00BF765C" w:rsidRDefault="00BF765C" w:rsidP="00BF765C">
                  <w:pPr>
                    <w:pStyle w:val="Marginlie"/>
                  </w:pPr>
                  <w:proofErr w:type="spellStart"/>
                  <w:r>
                    <w:t>Mezikvartální</w:t>
                  </w:r>
                  <w:proofErr w:type="spellEnd"/>
                  <w:r>
                    <w:t xml:space="preserve"> růst maloobchodních tržeb se zastavil.</w:t>
                  </w:r>
                </w:p>
                <w:p w14:paraId="5136E3EB" w14:textId="77777777" w:rsidR="00BF765C" w:rsidRDefault="00BF765C" w:rsidP="00BF765C">
                  <w:pPr>
                    <w:pStyle w:val="Marginlie"/>
                  </w:pPr>
                </w:p>
                <w:p w14:paraId="41D2964C" w14:textId="77777777" w:rsidR="00BF765C" w:rsidRDefault="00BF765C" w:rsidP="00BF765C">
                  <w:pPr>
                    <w:pStyle w:val="Marginlie"/>
                  </w:pPr>
                </w:p>
                <w:p w14:paraId="46DCB8FA" w14:textId="77777777" w:rsidR="00BF765C" w:rsidRDefault="00BF765C" w:rsidP="00BF765C">
                  <w:pPr>
                    <w:pStyle w:val="Marginlie"/>
                  </w:pPr>
                </w:p>
                <w:p w14:paraId="1CB120B8" w14:textId="77777777" w:rsidR="00BF765C" w:rsidRDefault="00BF765C" w:rsidP="00BF765C">
                  <w:pPr>
                    <w:pStyle w:val="Marginlie"/>
                  </w:pPr>
                </w:p>
                <w:p w14:paraId="5240FAC6" w14:textId="77777777" w:rsidR="00BF765C" w:rsidRDefault="00BF765C" w:rsidP="00BF765C">
                  <w:pPr>
                    <w:pStyle w:val="Marginlie"/>
                  </w:pPr>
                  <w:r>
                    <w:lastRenderedPageBreak/>
                    <w:t>Poptávka po oděvech, obuvi a koženém zboží meziročně silně ožila, za úrovní z období před propuknutím pandemie ale stále citelně zaostávala.</w:t>
                  </w:r>
                </w:p>
                <w:p w14:paraId="21E16628" w14:textId="77777777" w:rsidR="00BF765C" w:rsidRDefault="00BF765C" w:rsidP="00BF765C">
                  <w:pPr>
                    <w:pStyle w:val="Marginlie"/>
                  </w:pPr>
                </w:p>
                <w:p w14:paraId="5F18D968" w14:textId="77777777" w:rsidR="00BF765C" w:rsidRDefault="00BF765C" w:rsidP="00BF765C">
                  <w:pPr>
                    <w:pStyle w:val="Marginlie"/>
                  </w:pPr>
                </w:p>
                <w:p w14:paraId="5759528E" w14:textId="77777777" w:rsidR="00BF765C" w:rsidRDefault="00BF765C" w:rsidP="00BF765C">
                  <w:pPr>
                    <w:pStyle w:val="Marginlie"/>
                  </w:pPr>
                </w:p>
                <w:p w14:paraId="7D3969C7" w14:textId="18C10162" w:rsidR="00BF765C" w:rsidRDefault="00BF765C" w:rsidP="00BF765C">
                  <w:pPr>
                    <w:pStyle w:val="Marginlie"/>
                  </w:pPr>
                  <w:r>
                    <w:t>Pokles tržeb internetových prodejců souvisel s částečným návratem spotřebitelů k tradičním nákupním kanálům.</w:t>
                  </w:r>
                </w:p>
              </w:tc>
              <w:tc>
                <w:tcPr>
                  <w:tcW w:w="193" w:type="dxa"/>
                  <w:shd w:val="clear" w:color="auto" w:fill="auto"/>
                  <w:tcMar>
                    <w:left w:w="0" w:type="dxa"/>
                  </w:tcMar>
                </w:tcPr>
                <w:p w14:paraId="1E9BEB82" w14:textId="77777777" w:rsidR="00BF765C" w:rsidRPr="00B43216" w:rsidRDefault="00BF765C" w:rsidP="00BF765C">
                  <w:pPr>
                    <w:pStyle w:val="Textpoznpodarou"/>
                    <w:jc w:val="both"/>
                    <w:rPr>
                      <w:spacing w:val="-4"/>
                    </w:rPr>
                  </w:pPr>
                </w:p>
              </w:tc>
              <w:tc>
                <w:tcPr>
                  <w:tcW w:w="7862" w:type="dxa"/>
                  <w:shd w:val="clear" w:color="auto" w:fill="auto"/>
                  <w:tcMar>
                    <w:left w:w="0" w:type="dxa"/>
                  </w:tcMar>
                </w:tcPr>
                <w:p w14:paraId="5EA6A993" w14:textId="6DE48822" w:rsidR="00BF765C" w:rsidRPr="00883202" w:rsidRDefault="00BF765C" w:rsidP="00BF765C">
                  <w:pPr>
                    <w:spacing w:after="200"/>
                    <w:rPr>
                      <w:rFonts w:cs="Arial"/>
                      <w:sz w:val="14"/>
                      <w:szCs w:val="14"/>
                    </w:rPr>
                  </w:pPr>
                  <w:r>
                    <w:rPr>
                      <w:rFonts w:cs="Arial"/>
                      <w:color w:val="0D0D0D" w:themeColor="text1" w:themeTint="F2"/>
                      <w:spacing w:val="-3"/>
                      <w:szCs w:val="20"/>
                    </w:rPr>
                    <w:t>T</w:t>
                  </w:r>
                  <w:r w:rsidRPr="00022F9D">
                    <w:rPr>
                      <w:rFonts w:cs="Arial"/>
                      <w:color w:val="0D0D0D" w:themeColor="text1" w:themeTint="F2"/>
                      <w:spacing w:val="-3"/>
                      <w:szCs w:val="20"/>
                    </w:rPr>
                    <w:t>ržby v maloobchodu</w:t>
                  </w:r>
                  <w:r w:rsidRPr="00022F9D">
                    <w:rPr>
                      <w:rStyle w:val="Znakapoznpodarou"/>
                      <w:color w:val="0D0D0D" w:themeColor="text1" w:themeTint="F2"/>
                      <w:spacing w:val="-3"/>
                    </w:rPr>
                    <w:footnoteReference w:id="20"/>
                  </w:r>
                  <w:r>
                    <w:rPr>
                      <w:rFonts w:cs="Arial"/>
                      <w:color w:val="0D0D0D" w:themeColor="text1" w:themeTint="F2"/>
                      <w:spacing w:val="-3"/>
                      <w:szCs w:val="20"/>
                    </w:rPr>
                    <w:t xml:space="preserve"> letos ve srovnání s posledním loňským čtvrtletím nepatrně klesly (o 0,2 %), mírné snížení přitom zaznamenaly i na konci loňského roku. Projevil se zde zejména pokles tržeb u internetových prodejců a některých segmentů nepotravinářského zboží v „kamenných prodejnách“, což mohlo souviset i s prudkým letošním zhoršením spotřebitelské důvěry</w:t>
                  </w:r>
                  <w:r>
                    <w:rPr>
                      <w:rStyle w:val="Znakapoznpodarou"/>
                      <w:color w:val="0D0D0D" w:themeColor="text1" w:themeTint="F2"/>
                      <w:spacing w:val="-3"/>
                      <w:szCs w:val="20"/>
                    </w:rPr>
                    <w:footnoteReference w:id="21"/>
                  </w:r>
                  <w:r>
                    <w:rPr>
                      <w:rFonts w:cs="Arial"/>
                      <w:color w:val="0D0D0D" w:themeColor="text1" w:themeTint="F2"/>
                      <w:spacing w:val="-3"/>
                      <w:szCs w:val="20"/>
                    </w:rPr>
                    <w:t>. Na druhou stranu nálada samotných obchodníků zůstávala i přes mírné zhoršení zřetelně pozitivní</w:t>
                  </w:r>
                  <w:r>
                    <w:rPr>
                      <w:rStyle w:val="Znakapoznpodarou"/>
                      <w:color w:val="0D0D0D" w:themeColor="text1" w:themeTint="F2"/>
                      <w:spacing w:val="-3"/>
                      <w:szCs w:val="20"/>
                    </w:rPr>
                    <w:footnoteReference w:id="22"/>
                  </w:r>
                  <w:r>
                    <w:rPr>
                      <w:rFonts w:cs="Arial"/>
                      <w:color w:val="0D0D0D" w:themeColor="text1" w:themeTint="F2"/>
                      <w:spacing w:val="-3"/>
                      <w:szCs w:val="20"/>
                    </w:rPr>
                    <w:t xml:space="preserve">. V meziročním pohledu vzrostly maloobchodní tržby v 1. </w:t>
                  </w:r>
                  <w:r>
                    <w:rPr>
                      <w:rFonts w:cs="Arial"/>
                      <w:color w:val="0D0D0D" w:themeColor="text1" w:themeTint="F2"/>
                      <w:spacing w:val="-3"/>
                      <w:szCs w:val="20"/>
                    </w:rPr>
                    <w:lastRenderedPageBreak/>
                    <w:t>čtvrtletí o 6,4 %. Na počátku roku 2021, kdy pandemie kulminovala, byla ovšem část obchodů uzavřena či jinak omezena, což citelně poznamenalo tržby některých sortimentních skupin nepotravinářského zboží, ale i tržby u čerpacích stanic</w:t>
                  </w:r>
                  <w:r>
                    <w:rPr>
                      <w:rStyle w:val="Znakapoznpodarou"/>
                      <w:color w:val="0D0D0D" w:themeColor="text1" w:themeTint="F2"/>
                      <w:spacing w:val="-3"/>
                      <w:szCs w:val="20"/>
                    </w:rPr>
                    <w:footnoteReference w:id="23"/>
                  </w:r>
                  <w:r>
                    <w:rPr>
                      <w:rFonts w:cs="Arial"/>
                      <w:color w:val="0D0D0D" w:themeColor="text1" w:themeTint="F2"/>
                      <w:spacing w:val="-3"/>
                      <w:szCs w:val="20"/>
                    </w:rPr>
                    <w:t>. K letošnímu růstu celého maloobchodu přispěla hlavně silnější poptávka po nepotravinářském zboží (+10,9 %), tažená zejména vyššími tržbami za oděvy, obuv a kožené zboží</w:t>
                  </w:r>
                  <w:r w:rsidRPr="00EF0467">
                    <w:rPr>
                      <w:rFonts w:cs="Arial"/>
                      <w:color w:val="0D0D0D" w:themeColor="text1" w:themeTint="F2"/>
                      <w:spacing w:val="-3"/>
                      <w:szCs w:val="20"/>
                    </w:rPr>
                    <w:t xml:space="preserve"> ve specializovaných prodejnách</w:t>
                  </w:r>
                  <w:r>
                    <w:rPr>
                      <w:rFonts w:cs="Arial"/>
                      <w:color w:val="0D0D0D" w:themeColor="text1" w:themeTint="F2"/>
                      <w:spacing w:val="-3"/>
                      <w:szCs w:val="20"/>
                    </w:rPr>
                    <w:t xml:space="preserve"> (v 1. čtvrtletí zde sice tržby meziročně vzrostly více než 2,6krát, oproti konci roku 2019 byly ale stále skoro o čtvrtinu nižší). Za předpandemickou úrovní ale ve specializovaných (zpravidla menších) prodejnách mírně zaostaly i tržby za </w:t>
                  </w:r>
                  <w:r w:rsidRPr="00490356">
                    <w:rPr>
                      <w:rFonts w:cs="Arial"/>
                      <w:color w:val="0D0D0D" w:themeColor="text1" w:themeTint="F2"/>
                      <w:spacing w:val="-3"/>
                      <w:szCs w:val="20"/>
                    </w:rPr>
                    <w:t>výrobky pro kulturu a rekreaci</w:t>
                  </w:r>
                  <w:r>
                    <w:rPr>
                      <w:rFonts w:cs="Arial"/>
                      <w:color w:val="0D0D0D" w:themeColor="text1" w:themeTint="F2"/>
                      <w:spacing w:val="-3"/>
                      <w:szCs w:val="20"/>
                    </w:rPr>
                    <w:t xml:space="preserve"> (o 3,4 %) či za potraviny (11,0 %). Srovnatelné s touto hladinou pak byly ostatní tržby za potraviny (typicky ve velkých  řetězcích), které však letos meziročně o bezmála 2 % poklesly. Tržby internetových a zásilkových prodejců se oproti velmi vysoké loňské základně skoro o sedminu snížily</w:t>
                  </w:r>
                  <w:r>
                    <w:rPr>
                      <w:rStyle w:val="Znakapoznpodarou"/>
                      <w:color w:val="0D0D0D" w:themeColor="text1" w:themeTint="F2"/>
                      <w:spacing w:val="-3"/>
                      <w:szCs w:val="20"/>
                    </w:rPr>
                    <w:footnoteReference w:id="24"/>
                  </w:r>
                  <w:r>
                    <w:rPr>
                      <w:rFonts w:cs="Arial"/>
                      <w:color w:val="0D0D0D" w:themeColor="text1" w:themeTint="F2"/>
                      <w:spacing w:val="-3"/>
                      <w:szCs w:val="20"/>
                    </w:rPr>
                    <w:t xml:space="preserve">, avšak úroveň z konce roku 2019 převýšily o více než čtvrtinu. Naopak tržby v motoristickém segmentu obchodu za touto úrovní stále o více než desetinu zaostávaly a navíc mírně poklesly i oproti počátku roku 2021 – výhradně vlivem slabšího výkonu v obchodu </w:t>
                  </w:r>
                  <w:r w:rsidRPr="00174BA2">
                    <w:rPr>
                      <w:rFonts w:cs="Arial"/>
                      <w:color w:val="0D0D0D" w:themeColor="text1" w:themeTint="F2"/>
                      <w:spacing w:val="-3"/>
                      <w:szCs w:val="20"/>
                    </w:rPr>
                    <w:t>motorovými vozidly</w:t>
                  </w:r>
                  <w:r>
                    <w:rPr>
                      <w:rFonts w:cs="Arial"/>
                      <w:color w:val="0D0D0D" w:themeColor="text1" w:themeTint="F2"/>
                      <w:spacing w:val="-3"/>
                      <w:szCs w:val="20"/>
                    </w:rPr>
                    <w:t xml:space="preserve"> (-7,8 %), neboť tržby za jejich opravy a údržbu, obdobně jako za obchod s díly a příslušenstvím, mírně vzrostly. </w:t>
                  </w:r>
                </w:p>
              </w:tc>
            </w:tr>
            <w:tr w:rsidR="00BF765C" w:rsidRPr="00C2592B" w14:paraId="068E8DD8" w14:textId="77777777" w:rsidTr="00550540">
              <w:trPr>
                <w:trHeight w:val="145"/>
              </w:trPr>
              <w:tc>
                <w:tcPr>
                  <w:tcW w:w="1609" w:type="dxa"/>
                  <w:shd w:val="clear" w:color="auto" w:fill="auto"/>
                  <w:tcMar>
                    <w:left w:w="0" w:type="dxa"/>
                  </w:tcMar>
                </w:tcPr>
                <w:p w14:paraId="18D59288" w14:textId="77777777" w:rsidR="00BF765C" w:rsidRDefault="00BF765C" w:rsidP="00BF765C">
                  <w:pPr>
                    <w:pStyle w:val="Marginlie"/>
                  </w:pPr>
                </w:p>
              </w:tc>
              <w:tc>
                <w:tcPr>
                  <w:tcW w:w="193" w:type="dxa"/>
                  <w:shd w:val="clear" w:color="auto" w:fill="auto"/>
                  <w:tcMar>
                    <w:left w:w="0" w:type="dxa"/>
                  </w:tcMar>
                </w:tcPr>
                <w:p w14:paraId="54632B8B" w14:textId="77777777" w:rsidR="00BF765C" w:rsidRPr="00B43216" w:rsidRDefault="00BF765C" w:rsidP="00BF765C">
                  <w:pPr>
                    <w:pStyle w:val="Textpoznpodarou"/>
                    <w:jc w:val="both"/>
                    <w:rPr>
                      <w:spacing w:val="-4"/>
                    </w:rPr>
                  </w:pPr>
                </w:p>
              </w:tc>
              <w:tc>
                <w:tcPr>
                  <w:tcW w:w="7862" w:type="dxa"/>
                  <w:shd w:val="clear" w:color="auto" w:fill="auto"/>
                  <w:tcMar>
                    <w:left w:w="0" w:type="dxa"/>
                  </w:tcMar>
                </w:tcPr>
                <w:p w14:paraId="7B8A5FEA" w14:textId="1361FED0" w:rsidR="00BF765C" w:rsidRPr="00976DE9" w:rsidRDefault="00BF765C" w:rsidP="00BF765C">
                  <w:pPr>
                    <w:spacing w:after="0"/>
                    <w:rPr>
                      <w:rFonts w:cs="Arial"/>
                      <w:sz w:val="14"/>
                      <w:szCs w:val="14"/>
                    </w:rPr>
                  </w:pPr>
                  <w:r w:rsidRPr="00976DE9">
                    <w:rPr>
                      <w:rFonts w:cs="Arial"/>
                      <w:b/>
                      <w:color w:val="0D0D0D" w:themeColor="text1" w:themeTint="F2"/>
                      <w:szCs w:val="20"/>
                    </w:rPr>
                    <w:t>Graf č. </w:t>
                  </w:r>
                  <w:proofErr w:type="gramStart"/>
                  <w:r w:rsidRPr="00976DE9">
                    <w:rPr>
                      <w:rFonts w:cs="Arial"/>
                      <w:b/>
                      <w:color w:val="0D0D0D" w:themeColor="text1" w:themeTint="F2"/>
                      <w:szCs w:val="20"/>
                    </w:rPr>
                    <w:t xml:space="preserve">8 </w:t>
                  </w:r>
                  <w:r w:rsidRPr="00976DE9">
                    <w:rPr>
                      <w:rFonts w:cs="Arial"/>
                      <w:b/>
                      <w:bCs/>
                      <w:color w:val="0D0D0D" w:themeColor="text1" w:themeTint="F2"/>
                      <w:szCs w:val="20"/>
                    </w:rPr>
                    <w:t xml:space="preserve"> </w:t>
                  </w:r>
                  <w:r w:rsidRPr="00976DE9">
                    <w:rPr>
                      <w:b/>
                    </w:rPr>
                    <w:t>Příspěvky</w:t>
                  </w:r>
                  <w:proofErr w:type="gramEnd"/>
                  <w:r w:rsidRPr="00976DE9">
                    <w:rPr>
                      <w:b/>
                    </w:rPr>
                    <w:t xml:space="preserve"> dílčích odvětví k meziroční změně tržeb v maloobchodu</w:t>
                  </w:r>
                  <w:r w:rsidRPr="00976DE9">
                    <w:rPr>
                      <w:rFonts w:cs="Arial"/>
                      <w:b/>
                      <w:bCs/>
                      <w:color w:val="0D0D0D" w:themeColor="text1" w:themeTint="F2"/>
                      <w:szCs w:val="20"/>
                    </w:rPr>
                    <w:t xml:space="preserve">* </w:t>
                  </w:r>
                  <w:r w:rsidRPr="00976DE9">
                    <w:rPr>
                      <w:rFonts w:cs="Arial"/>
                      <w:color w:val="0D0D0D" w:themeColor="text1" w:themeTint="F2"/>
                      <w:szCs w:val="20"/>
                    </w:rPr>
                    <w:t xml:space="preserve">(reálně, v p. b.), </w:t>
                  </w:r>
                  <w:r w:rsidRPr="00976DE9">
                    <w:rPr>
                      <w:rFonts w:cs="Arial"/>
                      <w:b/>
                      <w:color w:val="0D0D0D" w:themeColor="text1" w:themeTint="F2"/>
                      <w:szCs w:val="20"/>
                    </w:rPr>
                    <w:t xml:space="preserve">tržby v maloobchodu a v motoristickém segmentu obchodu** </w:t>
                  </w:r>
                  <w:r w:rsidRPr="00976DE9">
                    <w:rPr>
                      <w:rFonts w:cs="Arial"/>
                      <w:color w:val="0D0D0D" w:themeColor="text1" w:themeTint="F2"/>
                      <w:szCs w:val="20"/>
                    </w:rPr>
                    <w:t xml:space="preserve">(reálně, </w:t>
                  </w:r>
                  <w:r w:rsidR="00374B96">
                    <w:rPr>
                      <w:rFonts w:cs="Arial"/>
                      <w:color w:val="0D0D0D" w:themeColor="text1" w:themeTint="F2"/>
                      <w:szCs w:val="20"/>
                    </w:rPr>
                    <w:t xml:space="preserve">úroveň roku </w:t>
                  </w:r>
                  <w:r w:rsidRPr="00976DE9">
                    <w:rPr>
                      <w:rFonts w:cs="Arial"/>
                      <w:color w:val="0D0D0D" w:themeColor="text1" w:themeTint="F2"/>
                      <w:szCs w:val="20"/>
                    </w:rPr>
                    <w:t>2015</w:t>
                  </w:r>
                  <w:r w:rsidR="00374B96">
                    <w:rPr>
                      <w:rFonts w:cs="Arial"/>
                      <w:color w:val="0D0D0D" w:themeColor="text1" w:themeTint="F2"/>
                      <w:szCs w:val="20"/>
                    </w:rPr>
                    <w:t>=</w:t>
                  </w:r>
                  <w:r w:rsidRPr="00976DE9">
                    <w:rPr>
                      <w:rFonts w:cs="Arial"/>
                      <w:color w:val="0D0D0D" w:themeColor="text1" w:themeTint="F2"/>
                      <w:szCs w:val="20"/>
                    </w:rPr>
                    <w:t xml:space="preserve">100, pravá osa) </w:t>
                  </w:r>
                  <w:r w:rsidRPr="00976DE9">
                    <w:rPr>
                      <w:rFonts w:cs="Arial"/>
                      <w:b/>
                      <w:color w:val="0D0D0D" w:themeColor="text1" w:themeTint="F2"/>
                      <w:szCs w:val="20"/>
                    </w:rPr>
                    <w:t>a </w:t>
                  </w:r>
                  <w:r w:rsidRPr="00976DE9">
                    <w:rPr>
                      <w:rFonts w:cs="Arial"/>
                      <w:b/>
                      <w:bCs/>
                      <w:color w:val="0D0D0D" w:themeColor="text1" w:themeTint="F2"/>
                      <w:szCs w:val="20"/>
                    </w:rPr>
                    <w:t xml:space="preserve">saldo indikátoru důvěry spotřebitelů*** </w:t>
                  </w:r>
                  <w:r w:rsidRPr="00976DE9">
                    <w:rPr>
                      <w:rFonts w:cs="Arial"/>
                      <w:color w:val="0D0D0D" w:themeColor="text1" w:themeTint="F2"/>
                      <w:szCs w:val="20"/>
                    </w:rPr>
                    <w:t>(</w:t>
                  </w:r>
                  <w:r w:rsidR="00B95C12">
                    <w:rPr>
                      <w:rFonts w:cs="Arial"/>
                      <w:color w:val="0D0D0D" w:themeColor="text1" w:themeTint="F2"/>
                      <w:szCs w:val="20"/>
                    </w:rPr>
                    <w:t xml:space="preserve">rok </w:t>
                  </w:r>
                  <w:r w:rsidRPr="00976DE9">
                    <w:rPr>
                      <w:rFonts w:cs="Arial"/>
                      <w:color w:val="0D0D0D" w:themeColor="text1" w:themeTint="F2"/>
                      <w:szCs w:val="20"/>
                    </w:rPr>
                    <w:t>2015=100, pravá osa)</w:t>
                  </w:r>
                </w:p>
              </w:tc>
            </w:tr>
            <w:tr w:rsidR="00BF765C" w:rsidRPr="00C2592B" w14:paraId="5D4E26D3" w14:textId="77777777" w:rsidTr="00550540">
              <w:tblPrEx>
                <w:tblCellMar>
                  <w:left w:w="70" w:type="dxa"/>
                  <w:right w:w="70" w:type="dxa"/>
                </w:tblCellMar>
              </w:tblPrEx>
              <w:trPr>
                <w:trHeight w:val="145"/>
              </w:trPr>
              <w:tc>
                <w:tcPr>
                  <w:tcW w:w="1609" w:type="dxa"/>
                  <w:shd w:val="clear" w:color="auto" w:fill="auto"/>
                </w:tcPr>
                <w:p w14:paraId="25E4586F" w14:textId="77777777" w:rsidR="00BF765C" w:rsidRDefault="00BF765C" w:rsidP="00BF765C">
                  <w:pPr>
                    <w:pStyle w:val="Marginlie"/>
                  </w:pPr>
                  <w:r>
                    <w:t xml:space="preserve"> </w:t>
                  </w:r>
                </w:p>
              </w:tc>
              <w:tc>
                <w:tcPr>
                  <w:tcW w:w="193" w:type="dxa"/>
                  <w:shd w:val="clear" w:color="auto" w:fill="auto"/>
                </w:tcPr>
                <w:p w14:paraId="4421604F" w14:textId="77777777" w:rsidR="00BF765C" w:rsidRPr="00B43216" w:rsidRDefault="00BF765C" w:rsidP="00BF765C">
                  <w:pPr>
                    <w:pStyle w:val="Textpoznpodarou"/>
                    <w:jc w:val="both"/>
                    <w:rPr>
                      <w:spacing w:val="-4"/>
                    </w:rPr>
                  </w:pPr>
                </w:p>
              </w:tc>
              <w:tc>
                <w:tcPr>
                  <w:tcW w:w="7862" w:type="dxa"/>
                  <w:shd w:val="clear" w:color="auto" w:fill="auto"/>
                </w:tcPr>
                <w:p w14:paraId="4F788333" w14:textId="3F2BD1AA" w:rsidR="00BF765C" w:rsidRPr="00360244" w:rsidRDefault="00BF765C" w:rsidP="00BF765C">
                  <w:pPr>
                    <w:spacing w:after="0"/>
                    <w:rPr>
                      <w:rFonts w:cs="Arial"/>
                      <w:b/>
                      <w:color w:val="0D0D0D" w:themeColor="text1" w:themeTint="F2"/>
                      <w:spacing w:val="-4"/>
                      <w:szCs w:val="20"/>
                    </w:rPr>
                  </w:pPr>
                  <w:r>
                    <w:rPr>
                      <w:noProof/>
                    </w:rPr>
                    <w:drawing>
                      <wp:inline distT="0" distB="0" distL="0" distR="0" wp14:anchorId="0F173BE1" wp14:editId="077FEF63">
                        <wp:extent cx="4868313" cy="3657600"/>
                        <wp:effectExtent l="0" t="0" r="889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BF765C" w:rsidRPr="00C2592B" w14:paraId="4188627D" w14:textId="77777777" w:rsidTr="00550540">
              <w:trPr>
                <w:trHeight w:val="145"/>
              </w:trPr>
              <w:tc>
                <w:tcPr>
                  <w:tcW w:w="1609" w:type="dxa"/>
                  <w:shd w:val="clear" w:color="auto" w:fill="auto"/>
                  <w:tcMar>
                    <w:left w:w="0" w:type="dxa"/>
                  </w:tcMar>
                </w:tcPr>
                <w:p w14:paraId="1A344AB1" w14:textId="77777777" w:rsidR="00BF765C" w:rsidRDefault="00BF765C" w:rsidP="00BF765C">
                  <w:pPr>
                    <w:pStyle w:val="Marginlie"/>
                  </w:pPr>
                </w:p>
              </w:tc>
              <w:tc>
                <w:tcPr>
                  <w:tcW w:w="193" w:type="dxa"/>
                  <w:shd w:val="clear" w:color="auto" w:fill="auto"/>
                  <w:tcMar>
                    <w:left w:w="0" w:type="dxa"/>
                  </w:tcMar>
                </w:tcPr>
                <w:p w14:paraId="63221A34" w14:textId="77777777" w:rsidR="00BF765C" w:rsidRPr="00B43216" w:rsidRDefault="00BF765C" w:rsidP="00BF765C">
                  <w:pPr>
                    <w:pStyle w:val="Textpoznpodarou"/>
                    <w:jc w:val="both"/>
                    <w:rPr>
                      <w:spacing w:val="-4"/>
                    </w:rPr>
                  </w:pPr>
                </w:p>
              </w:tc>
              <w:tc>
                <w:tcPr>
                  <w:tcW w:w="7862" w:type="dxa"/>
                  <w:shd w:val="clear" w:color="auto" w:fill="auto"/>
                  <w:tcMar>
                    <w:left w:w="0" w:type="dxa"/>
                  </w:tcMar>
                </w:tcPr>
                <w:p w14:paraId="344DA4CB" w14:textId="77777777" w:rsidR="00BF765C" w:rsidRDefault="00BF765C" w:rsidP="00BF765C">
                  <w:pPr>
                    <w:spacing w:after="0"/>
                    <w:rPr>
                      <w:rFonts w:cs="Arial"/>
                      <w:sz w:val="14"/>
                      <w:szCs w:val="14"/>
                    </w:rPr>
                  </w:pPr>
                  <w:r w:rsidRPr="0006697D">
                    <w:rPr>
                      <w:rFonts w:cs="Arial"/>
                      <w:color w:val="0D0D0D" w:themeColor="text1" w:themeTint="F2"/>
                      <w:spacing w:val="-4"/>
                      <w:sz w:val="14"/>
                      <w:szCs w:val="14"/>
                    </w:rPr>
                    <w:t>*</w:t>
                  </w:r>
                  <w:r>
                    <w:rPr>
                      <w:rFonts w:cs="Arial"/>
                      <w:sz w:val="14"/>
                      <w:szCs w:val="14"/>
                    </w:rPr>
                    <w:t xml:space="preserve"> Tržby </w:t>
                  </w:r>
                  <w:r w:rsidRPr="00883202">
                    <w:rPr>
                      <w:rFonts w:cs="Arial"/>
                      <w:sz w:val="14"/>
                      <w:szCs w:val="14"/>
                    </w:rPr>
                    <w:t>jsou očištěny o kalendářní vlivy</w:t>
                  </w:r>
                  <w:r>
                    <w:rPr>
                      <w:rFonts w:cs="Arial"/>
                      <w:sz w:val="14"/>
                      <w:szCs w:val="14"/>
                    </w:rPr>
                    <w:t>.</w:t>
                  </w:r>
                </w:p>
                <w:p w14:paraId="21B7D431" w14:textId="77777777" w:rsidR="00BF765C" w:rsidRPr="0006697D" w:rsidRDefault="00BF765C" w:rsidP="00BF765C">
                  <w:pPr>
                    <w:spacing w:after="0"/>
                    <w:rPr>
                      <w:rFonts w:cs="Arial"/>
                      <w:color w:val="0D0D0D" w:themeColor="text1" w:themeTint="F2"/>
                      <w:spacing w:val="-4"/>
                      <w:sz w:val="14"/>
                      <w:szCs w:val="14"/>
                    </w:rPr>
                  </w:pPr>
                  <w:r>
                    <w:rPr>
                      <w:rFonts w:cs="Arial"/>
                      <w:sz w:val="14"/>
                      <w:szCs w:val="14"/>
                    </w:rPr>
                    <w:t xml:space="preserve">** Tržby </w:t>
                  </w:r>
                  <w:r w:rsidRPr="00883202">
                    <w:rPr>
                      <w:rFonts w:cs="Arial"/>
                      <w:sz w:val="14"/>
                      <w:szCs w:val="14"/>
                    </w:rPr>
                    <w:t xml:space="preserve">jsou </w:t>
                  </w:r>
                  <w:r>
                    <w:rPr>
                      <w:rFonts w:cs="Arial"/>
                      <w:sz w:val="14"/>
                      <w:szCs w:val="14"/>
                    </w:rPr>
                    <w:t>sezónně i kalendářně očištěny.</w:t>
                  </w:r>
                </w:p>
                <w:p w14:paraId="2E5415AF" w14:textId="24542A7A" w:rsidR="00BF765C" w:rsidRPr="00360244" w:rsidRDefault="00BF765C" w:rsidP="00BF765C">
                  <w:pPr>
                    <w:spacing w:after="0"/>
                    <w:rPr>
                      <w:rFonts w:cs="Arial"/>
                      <w:b/>
                      <w:color w:val="0D0D0D" w:themeColor="text1" w:themeTint="F2"/>
                      <w:spacing w:val="-4"/>
                      <w:szCs w:val="20"/>
                    </w:rPr>
                  </w:pPr>
                  <w:r>
                    <w:rPr>
                      <w:rFonts w:cs="Arial"/>
                      <w:color w:val="0D0D0D" w:themeColor="text1" w:themeTint="F2"/>
                      <w:spacing w:val="-4"/>
                      <w:sz w:val="14"/>
                      <w:szCs w:val="14"/>
                    </w:rPr>
                    <w:t>*</w:t>
                  </w:r>
                  <w:r w:rsidRPr="0006697D">
                    <w:rPr>
                      <w:rFonts w:cs="Arial"/>
                      <w:color w:val="0D0D0D" w:themeColor="text1" w:themeTint="F2"/>
                      <w:spacing w:val="-4"/>
                      <w:sz w:val="14"/>
                      <w:szCs w:val="14"/>
                    </w:rPr>
                    <w:t xml:space="preserve">** </w:t>
                  </w:r>
                  <w:r w:rsidRPr="00836C0A">
                    <w:rPr>
                      <w:rFonts w:cs="Arial"/>
                      <w:color w:val="0D0D0D" w:themeColor="text1" w:themeTint="F2"/>
                      <w:spacing w:val="-4"/>
                      <w:sz w:val="14"/>
                      <w:szCs w:val="14"/>
                    </w:rPr>
                    <w:t>Saldo důvěry spotřebitelů</w:t>
                  </w:r>
                  <w:r>
                    <w:rPr>
                      <w:rFonts w:cs="Arial"/>
                      <w:color w:val="0D0D0D" w:themeColor="text1" w:themeTint="F2"/>
                      <w:spacing w:val="-4"/>
                      <w:sz w:val="14"/>
                      <w:szCs w:val="14"/>
                    </w:rPr>
                    <w:t xml:space="preserve"> je sezónně očištěno a vyjadřuje</w:t>
                  </w:r>
                  <w:r w:rsidRPr="0006697D">
                    <w:rPr>
                      <w:rFonts w:cs="Arial"/>
                      <w:color w:val="0D0D0D" w:themeColor="text1" w:themeTint="F2"/>
                      <w:spacing w:val="-4"/>
                      <w:sz w:val="14"/>
                      <w:szCs w:val="14"/>
                    </w:rPr>
                    <w:t xml:space="preserve"> stav ve druhém měsíci daného čtvrtletí</w:t>
                  </w:r>
                  <w:r>
                    <w:rPr>
                      <w:rFonts w:cs="Arial"/>
                      <w:color w:val="0D0D0D" w:themeColor="text1" w:themeTint="F2"/>
                      <w:spacing w:val="-4"/>
                      <w:sz w:val="14"/>
                      <w:szCs w:val="14"/>
                    </w:rPr>
                    <w:t>.</w:t>
                  </w:r>
                  <w:r>
                    <w:rPr>
                      <w:rFonts w:cs="Arial"/>
                      <w:color w:val="0D0D0D" w:themeColor="text1" w:themeTint="F2"/>
                      <w:spacing w:val="-4"/>
                      <w:sz w:val="14"/>
                      <w:szCs w:val="14"/>
                    </w:rPr>
                    <w:tab/>
                    <w:t xml:space="preserve">                   </w:t>
                  </w:r>
                  <w:r w:rsidRPr="0006697D">
                    <w:rPr>
                      <w:rFonts w:cs="Arial"/>
                      <w:color w:val="0D0D0D" w:themeColor="text1" w:themeTint="F2"/>
                      <w:spacing w:val="-4"/>
                      <w:sz w:val="14"/>
                      <w:szCs w:val="14"/>
                    </w:rPr>
                    <w:t>Zdroj: ČSÚ</w:t>
                  </w:r>
                </w:p>
                <w:p w14:paraId="5F4DAA3A" w14:textId="5F783DEF" w:rsidR="00BF765C" w:rsidRPr="00360244" w:rsidRDefault="00BF765C" w:rsidP="00BF765C">
                  <w:pPr>
                    <w:spacing w:after="0"/>
                    <w:rPr>
                      <w:rFonts w:cs="Arial"/>
                      <w:b/>
                      <w:color w:val="0D0D0D" w:themeColor="text1" w:themeTint="F2"/>
                      <w:spacing w:val="-4"/>
                      <w:szCs w:val="20"/>
                    </w:rPr>
                  </w:pPr>
                </w:p>
              </w:tc>
            </w:tr>
          </w:tbl>
          <w:p w14:paraId="2F76C21F" w14:textId="0353B641" w:rsidR="00550540" w:rsidRPr="004272BE" w:rsidRDefault="00550540" w:rsidP="00550540">
            <w:pPr>
              <w:spacing w:after="0" w:line="240" w:lineRule="auto"/>
              <w:jc w:val="left"/>
              <w:rPr>
                <w:color w:val="0D0D0D" w:themeColor="text1" w:themeTint="F2"/>
                <w:highlight w:val="yellow"/>
              </w:rPr>
            </w:pPr>
          </w:p>
        </w:tc>
        <w:tc>
          <w:tcPr>
            <w:tcW w:w="6" w:type="dxa"/>
            <w:shd w:val="clear" w:color="auto" w:fill="auto"/>
            <w:tcMar>
              <w:left w:w="0" w:type="dxa"/>
            </w:tcMar>
          </w:tcPr>
          <w:p w14:paraId="7A01F880" w14:textId="77777777" w:rsidR="00550540" w:rsidRPr="004272BE" w:rsidRDefault="00550540" w:rsidP="00550540">
            <w:pPr>
              <w:pStyle w:val="Textpoznpodarou"/>
              <w:jc w:val="both"/>
              <w:rPr>
                <w:color w:val="0D0D0D" w:themeColor="text1" w:themeTint="F2"/>
                <w:spacing w:val="-4"/>
                <w:highlight w:val="yellow"/>
              </w:rPr>
            </w:pPr>
          </w:p>
        </w:tc>
        <w:tc>
          <w:tcPr>
            <w:tcW w:w="6" w:type="dxa"/>
            <w:shd w:val="clear" w:color="auto" w:fill="auto"/>
            <w:tcMar>
              <w:left w:w="0" w:type="dxa"/>
            </w:tcMar>
          </w:tcPr>
          <w:p w14:paraId="38A72D27" w14:textId="77777777" w:rsidR="00550540" w:rsidRPr="004272BE" w:rsidRDefault="00550540" w:rsidP="00550540">
            <w:pPr>
              <w:tabs>
                <w:tab w:val="right" w:pos="7711"/>
              </w:tabs>
              <w:spacing w:after="0"/>
              <w:rPr>
                <w:rFonts w:cs="Arial"/>
                <w:color w:val="0D0D0D" w:themeColor="text1" w:themeTint="F2"/>
                <w:spacing w:val="-4"/>
                <w:sz w:val="14"/>
                <w:szCs w:val="14"/>
                <w:highlight w:val="yellow"/>
              </w:rPr>
            </w:pPr>
          </w:p>
        </w:tc>
      </w:tr>
      <w:bookmarkEnd w:id="0"/>
      <w:bookmarkEnd w:id="1"/>
      <w:bookmarkEnd w:id="2"/>
      <w:bookmarkEnd w:id="3"/>
    </w:tbl>
    <w:p w14:paraId="5BAB8EA3" w14:textId="5B3C9805" w:rsidR="000663F0" w:rsidRPr="00E42054" w:rsidRDefault="000663F0" w:rsidP="001B54FA">
      <w:pPr>
        <w:spacing w:after="0" w:line="240" w:lineRule="auto"/>
        <w:jc w:val="left"/>
        <w:rPr>
          <w:b/>
          <w:sz w:val="2"/>
          <w:szCs w:val="2"/>
        </w:rPr>
      </w:pPr>
    </w:p>
    <w:sectPr w:rsidR="000663F0" w:rsidRPr="00E42054" w:rsidSect="001B54FA">
      <w:headerReference w:type="even" r:id="rId14"/>
      <w:headerReference w:type="default" r:id="rId15"/>
      <w:footerReference w:type="even" r:id="rId16"/>
      <w:footerReference w:type="default" r:id="rId17"/>
      <w:pgSz w:w="11906" w:h="16838" w:code="9"/>
      <w:pgMar w:top="1134" w:right="1134" w:bottom="1418" w:left="1134" w:header="680" w:footer="737"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B8E2B" w14:textId="77777777" w:rsidR="003541BB" w:rsidRDefault="003541BB" w:rsidP="00E71A58">
      <w:r>
        <w:separator/>
      </w:r>
    </w:p>
  </w:endnote>
  <w:endnote w:type="continuationSeparator" w:id="0">
    <w:p w14:paraId="5A48E032" w14:textId="77777777" w:rsidR="003541BB" w:rsidRDefault="003541BB"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B6C8" w14:textId="258B9B72" w:rsidR="00825120" w:rsidRPr="00932443" w:rsidRDefault="00825120"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EB1CDC">
      <w:rPr>
        <w:szCs w:val="16"/>
      </w:rPr>
      <w:t>20</w:t>
    </w:r>
    <w:r w:rsidRPr="00932443">
      <w:rPr>
        <w:szCs w:val="16"/>
      </w:rPr>
      <w:fldChar w:fldCharType="end"/>
    </w:r>
    <w:r w:rsidRPr="00932443">
      <w:rPr>
        <w:szCs w:val="16"/>
      </w:rPr>
      <w:tab/>
    </w:r>
    <w:r>
      <w:rPr>
        <w:szCs w:val="16"/>
      </w:rPr>
      <w:t>1. čtvrtletí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AFAF" w14:textId="12A52D07" w:rsidR="00825120" w:rsidRPr="00932443" w:rsidRDefault="00825120" w:rsidP="00FA6CB6">
    <w:pPr>
      <w:pStyle w:val="Zpat"/>
      <w:rPr>
        <w:szCs w:val="16"/>
      </w:rPr>
    </w:pPr>
    <w:r w:rsidRPr="00FA6CB6">
      <w:rPr>
        <w:szCs w:val="16"/>
      </w:rPr>
      <w:tab/>
    </w:r>
    <w:r>
      <w:rPr>
        <w:szCs w:val="16"/>
      </w:rPr>
      <w:t>1. čtvrtletí 202</w:t>
    </w:r>
    <w:r>
      <w:rPr>
        <w:szCs w:val="16"/>
        <w:lang w:eastAsia="cs-CZ"/>
      </w:rPr>
      <w:drawing>
        <wp:anchor distT="0" distB="0" distL="114300" distR="114300" simplePos="0" relativeHeight="251658752" behindDoc="0" locked="0" layoutInCell="1" allowOverlap="1" wp14:anchorId="2DB053DA" wp14:editId="608D8B4A">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2</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EB1CDC">
      <w:rPr>
        <w:rStyle w:val="ZpatChar"/>
        <w:szCs w:val="16"/>
      </w:rPr>
      <w:t>21</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592A5" w14:textId="77777777" w:rsidR="003541BB" w:rsidRDefault="003541BB" w:rsidP="00A21B4D">
      <w:pPr>
        <w:spacing w:after="0"/>
      </w:pPr>
      <w:r>
        <w:separator/>
      </w:r>
    </w:p>
  </w:footnote>
  <w:footnote w:type="continuationSeparator" w:id="0">
    <w:p w14:paraId="2D99C1CC" w14:textId="77777777" w:rsidR="003541BB" w:rsidRDefault="003541BB" w:rsidP="00E71A58">
      <w:r>
        <w:continuationSeparator/>
      </w:r>
    </w:p>
  </w:footnote>
  <w:footnote w:id="1">
    <w:p w14:paraId="302376E0" w14:textId="77777777" w:rsidR="00825120" w:rsidRPr="00FB58F4" w:rsidRDefault="00825120" w:rsidP="00550540">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sidRPr="00FB58F4">
        <w:rPr>
          <w:rFonts w:cs="Arial"/>
          <w:color w:val="0D0D0D" w:themeColor="text1" w:themeTint="F2"/>
          <w:spacing w:val="-2"/>
          <w:sz w:val="16"/>
          <w:szCs w:val="16"/>
        </w:rPr>
        <w:t xml:space="preserve"> Údaje o</w:t>
      </w:r>
      <w:r>
        <w:rPr>
          <w:rFonts w:cs="Arial"/>
          <w:color w:val="0D0D0D" w:themeColor="text1" w:themeTint="F2"/>
          <w:spacing w:val="-2"/>
          <w:sz w:val="16"/>
          <w:szCs w:val="16"/>
        </w:rPr>
        <w:t> </w:t>
      </w:r>
      <w:r w:rsidRPr="00FB58F4">
        <w:rPr>
          <w:rFonts w:cs="Arial"/>
          <w:color w:val="0D0D0D" w:themeColor="text1" w:themeTint="F2"/>
          <w:spacing w:val="-2"/>
          <w:sz w:val="16"/>
          <w:szCs w:val="16"/>
        </w:rPr>
        <w:t>HPH jsou vyjádřeny ve stálých cenách a</w:t>
      </w:r>
      <w:r>
        <w:rPr>
          <w:rFonts w:cs="Arial"/>
          <w:color w:val="0D0D0D" w:themeColor="text1" w:themeTint="F2"/>
          <w:spacing w:val="-2"/>
          <w:sz w:val="16"/>
          <w:szCs w:val="16"/>
        </w:rPr>
        <w:t> </w:t>
      </w:r>
      <w:r w:rsidRPr="00FB58F4">
        <w:rPr>
          <w:rFonts w:cs="Arial"/>
          <w:color w:val="0D0D0D" w:themeColor="text1" w:themeTint="F2"/>
          <w:spacing w:val="-2"/>
          <w:sz w:val="16"/>
          <w:szCs w:val="16"/>
        </w:rPr>
        <w:t>v očištění o</w:t>
      </w:r>
      <w:r>
        <w:rPr>
          <w:rFonts w:cs="Arial"/>
          <w:color w:val="0D0D0D" w:themeColor="text1" w:themeTint="F2"/>
          <w:spacing w:val="-2"/>
          <w:sz w:val="16"/>
          <w:szCs w:val="16"/>
        </w:rPr>
        <w:t> </w:t>
      </w:r>
      <w:r w:rsidRPr="00FB58F4">
        <w:rPr>
          <w:rFonts w:cs="Arial"/>
          <w:color w:val="0D0D0D" w:themeColor="text1" w:themeTint="F2"/>
          <w:spacing w:val="-2"/>
          <w:sz w:val="16"/>
          <w:szCs w:val="16"/>
        </w:rPr>
        <w:t>sezónní a</w:t>
      </w:r>
      <w:r>
        <w:rPr>
          <w:rFonts w:cs="Arial"/>
          <w:color w:val="0D0D0D" w:themeColor="text1" w:themeTint="F2"/>
          <w:spacing w:val="-2"/>
          <w:sz w:val="16"/>
          <w:szCs w:val="16"/>
        </w:rPr>
        <w:t> </w:t>
      </w:r>
      <w:r w:rsidRPr="00FB58F4">
        <w:rPr>
          <w:rFonts w:cs="Arial"/>
          <w:color w:val="0D0D0D" w:themeColor="text1" w:themeTint="F2"/>
          <w:spacing w:val="-2"/>
          <w:sz w:val="16"/>
          <w:szCs w:val="16"/>
        </w:rPr>
        <w:t>kalendářní vlivy.</w:t>
      </w:r>
    </w:p>
  </w:footnote>
  <w:footnote w:id="2">
    <w:p w14:paraId="5B9430A3" w14:textId="77777777" w:rsidR="00825120" w:rsidRPr="00FE46D1" w:rsidRDefault="00825120" w:rsidP="00550540">
      <w:pPr>
        <w:pStyle w:val="Textpoznpodarou"/>
        <w:rPr>
          <w:sz w:val="16"/>
          <w:szCs w:val="16"/>
        </w:rPr>
      </w:pPr>
      <w:r w:rsidRPr="00FE46D1">
        <w:rPr>
          <w:rStyle w:val="Znakapoznpodarou"/>
          <w:sz w:val="16"/>
          <w:szCs w:val="16"/>
        </w:rPr>
        <w:footnoteRef/>
      </w:r>
      <w:r w:rsidRPr="00FE46D1">
        <w:rPr>
          <w:sz w:val="16"/>
          <w:szCs w:val="16"/>
        </w:rPr>
        <w:t xml:space="preserve"> Objem vytvořené HPH v těchto odvětví</w:t>
      </w:r>
      <w:r>
        <w:rPr>
          <w:sz w:val="16"/>
          <w:szCs w:val="16"/>
        </w:rPr>
        <w:t>ch</w:t>
      </w:r>
      <w:r w:rsidRPr="00FE46D1">
        <w:rPr>
          <w:sz w:val="16"/>
          <w:szCs w:val="16"/>
        </w:rPr>
        <w:t xml:space="preserve"> dosáhl ve 4. čtvrtletí 2021 svého maxima (</w:t>
      </w:r>
      <w:r>
        <w:rPr>
          <w:sz w:val="16"/>
          <w:szCs w:val="16"/>
        </w:rPr>
        <w:t xml:space="preserve">v </w:t>
      </w:r>
      <w:r w:rsidRPr="00FE46D1">
        <w:rPr>
          <w:sz w:val="16"/>
          <w:szCs w:val="16"/>
        </w:rPr>
        <w:t xml:space="preserve">historii samostatné ČR). </w:t>
      </w:r>
    </w:p>
  </w:footnote>
  <w:footnote w:id="3">
    <w:p w14:paraId="5F1ABF12" w14:textId="77777777" w:rsidR="00825120" w:rsidRPr="00764E48" w:rsidRDefault="00825120" w:rsidP="00550540">
      <w:pPr>
        <w:pStyle w:val="Textpoznpodarou"/>
        <w:rPr>
          <w:sz w:val="16"/>
          <w:szCs w:val="16"/>
        </w:rPr>
      </w:pPr>
      <w:r w:rsidRPr="00764E48">
        <w:rPr>
          <w:rStyle w:val="Znakapoznpodarou"/>
          <w:sz w:val="16"/>
          <w:szCs w:val="16"/>
        </w:rPr>
        <w:footnoteRef/>
      </w:r>
      <w:r>
        <w:rPr>
          <w:sz w:val="16"/>
          <w:szCs w:val="16"/>
        </w:rPr>
        <w:t xml:space="preserve"> J</w:t>
      </w:r>
      <w:r w:rsidRPr="00764E48">
        <w:rPr>
          <w:sz w:val="16"/>
          <w:szCs w:val="16"/>
        </w:rPr>
        <w:t xml:space="preserve">e uvažování období </w:t>
      </w:r>
      <w:r>
        <w:rPr>
          <w:sz w:val="16"/>
          <w:szCs w:val="16"/>
        </w:rPr>
        <w:t>1. čtvrtletí 2015</w:t>
      </w:r>
      <w:r w:rsidRPr="00764E48">
        <w:rPr>
          <w:sz w:val="16"/>
          <w:szCs w:val="16"/>
        </w:rPr>
        <w:t xml:space="preserve"> až </w:t>
      </w:r>
      <w:r>
        <w:rPr>
          <w:sz w:val="16"/>
          <w:szCs w:val="16"/>
        </w:rPr>
        <w:t xml:space="preserve">4. čtvrtletí </w:t>
      </w:r>
      <w:r w:rsidRPr="00764E48">
        <w:rPr>
          <w:sz w:val="16"/>
          <w:szCs w:val="16"/>
        </w:rPr>
        <w:t>2019.</w:t>
      </w:r>
    </w:p>
  </w:footnote>
  <w:footnote w:id="4">
    <w:p w14:paraId="13DB1BAB" w14:textId="77777777" w:rsidR="00825120" w:rsidRPr="00CE71E4" w:rsidRDefault="00825120" w:rsidP="00550540">
      <w:pPr>
        <w:pStyle w:val="Textpoznpodarou"/>
        <w:jc w:val="both"/>
        <w:rPr>
          <w:rFonts w:cs="Arial"/>
          <w:color w:val="0D0D0D" w:themeColor="text1" w:themeTint="F2"/>
          <w:spacing w:val="-2"/>
          <w:sz w:val="16"/>
          <w:szCs w:val="16"/>
        </w:rPr>
      </w:pPr>
      <w:r w:rsidRPr="00CE71E4">
        <w:rPr>
          <w:rStyle w:val="Znakapoznpodarou"/>
          <w:rFonts w:cs="Arial"/>
          <w:color w:val="0D0D0D" w:themeColor="text1" w:themeTint="F2"/>
          <w:spacing w:val="-2"/>
          <w:sz w:val="16"/>
          <w:szCs w:val="16"/>
        </w:rPr>
        <w:footnoteRef/>
      </w:r>
      <w:r w:rsidRPr="00CE71E4">
        <w:rPr>
          <w:rFonts w:cs="Arial"/>
          <w:color w:val="0D0D0D" w:themeColor="text1" w:themeTint="F2"/>
          <w:spacing w:val="-2"/>
          <w:sz w:val="16"/>
          <w:szCs w:val="16"/>
        </w:rPr>
        <w:t xml:space="preserve"> Zahrnuje odvětví těžby a dobývání, zpracovatelského průmyslu a také energetiky (zde pojímané jako odvětví výroby a rozvodu elektřiny, plynu, tepla a klimatizovaného vzduchu). Všechna meziroční tempa produkce (na úrovni odvětvových sekcí i oddílů) jsou očištěna o kalendářní vlivy, mezičtvrtletní i meziměsíční tempa pak také o vliv sezónnosti.</w:t>
      </w:r>
    </w:p>
  </w:footnote>
  <w:footnote w:id="5">
    <w:p w14:paraId="57C12E22" w14:textId="77777777" w:rsidR="00825120" w:rsidRPr="005C3E16" w:rsidRDefault="00825120" w:rsidP="00550540">
      <w:pPr>
        <w:pStyle w:val="Textpoznpodarou"/>
        <w:rPr>
          <w:sz w:val="16"/>
          <w:szCs w:val="16"/>
        </w:rPr>
      </w:pPr>
      <w:r w:rsidRPr="005C3E16">
        <w:rPr>
          <w:rStyle w:val="Znakapoznpodarou"/>
          <w:sz w:val="16"/>
          <w:szCs w:val="16"/>
        </w:rPr>
        <w:footnoteRef/>
      </w:r>
      <w:r w:rsidRPr="005C3E16">
        <w:rPr>
          <w:sz w:val="16"/>
          <w:szCs w:val="16"/>
        </w:rPr>
        <w:t xml:space="preserve"> Průmyslová</w:t>
      </w:r>
      <w:r>
        <w:rPr>
          <w:sz w:val="16"/>
          <w:szCs w:val="16"/>
        </w:rPr>
        <w:t xml:space="preserve"> produkce v březnu 2022 byla o 4</w:t>
      </w:r>
      <w:r w:rsidRPr="005C3E16">
        <w:rPr>
          <w:sz w:val="16"/>
          <w:szCs w:val="16"/>
        </w:rPr>
        <w:t xml:space="preserve"> % nižší než v dosud rekordním měsíci (květnu 2019). </w:t>
      </w:r>
      <w:r>
        <w:rPr>
          <w:sz w:val="16"/>
          <w:szCs w:val="16"/>
        </w:rPr>
        <w:t>Za svým vrcholem z éry předpandemické konjunktury dosud zaostávaly skoro tři čtvrtiny ze všech (bezmála třiceti) hlavních průmyslových oborů.</w:t>
      </w:r>
    </w:p>
  </w:footnote>
  <w:footnote w:id="6">
    <w:p w14:paraId="6015C7AA" w14:textId="77777777" w:rsidR="00825120" w:rsidRPr="009A23B5" w:rsidRDefault="00825120" w:rsidP="00550540">
      <w:pPr>
        <w:pStyle w:val="Textpoznpodarou"/>
        <w:rPr>
          <w:sz w:val="16"/>
          <w:szCs w:val="16"/>
        </w:rPr>
      </w:pPr>
      <w:r w:rsidRPr="009A23B5">
        <w:rPr>
          <w:rStyle w:val="Znakapoznpodarou"/>
          <w:sz w:val="16"/>
          <w:szCs w:val="16"/>
        </w:rPr>
        <w:footnoteRef/>
      </w:r>
      <w:r w:rsidRPr="009A23B5">
        <w:rPr>
          <w:sz w:val="16"/>
          <w:szCs w:val="16"/>
        </w:rPr>
        <w:t xml:space="preserve"> Pro zjednodušení uvažováno období leden 2015 až prosinec 2019.</w:t>
      </w:r>
    </w:p>
  </w:footnote>
  <w:footnote w:id="7">
    <w:p w14:paraId="78863884" w14:textId="77777777" w:rsidR="00825120" w:rsidRPr="000F45C4" w:rsidRDefault="00825120" w:rsidP="00550540">
      <w:pPr>
        <w:pStyle w:val="Textpoznpodarou"/>
        <w:rPr>
          <w:sz w:val="16"/>
          <w:szCs w:val="16"/>
        </w:rPr>
      </w:pPr>
      <w:r w:rsidRPr="000F45C4">
        <w:rPr>
          <w:rStyle w:val="Znakapoznpodarou"/>
          <w:sz w:val="16"/>
          <w:szCs w:val="16"/>
        </w:rPr>
        <w:footnoteRef/>
      </w:r>
      <w:r w:rsidRPr="000F45C4">
        <w:rPr>
          <w:sz w:val="16"/>
          <w:szCs w:val="16"/>
        </w:rPr>
        <w:t xml:space="preserve"> </w:t>
      </w:r>
      <w:r w:rsidRPr="00432925">
        <w:rPr>
          <w:spacing w:val="-2"/>
          <w:sz w:val="16"/>
          <w:szCs w:val="16"/>
        </w:rPr>
        <w:t>V papírenství či nábytkářství se zatím příliš neprojevil dopad poklesu produkce dřevozpracujícího průmyslu, jenž byl patrný od poloviny loňského roku vlivem zlepšení kůrovcové kalamity a následným poklesem živelní těžby dřeva (z rekordních hodnot z roku 2020).</w:t>
      </w:r>
    </w:p>
  </w:footnote>
  <w:footnote w:id="8">
    <w:p w14:paraId="2E685EBA" w14:textId="77777777" w:rsidR="00825120" w:rsidRPr="00033208" w:rsidRDefault="00825120" w:rsidP="00550540">
      <w:pPr>
        <w:pStyle w:val="Textpoznpodarou"/>
        <w:rPr>
          <w:sz w:val="16"/>
          <w:szCs w:val="16"/>
        </w:rPr>
      </w:pPr>
      <w:r w:rsidRPr="00033208">
        <w:rPr>
          <w:rStyle w:val="Znakapoznpodarou"/>
          <w:sz w:val="16"/>
          <w:szCs w:val="16"/>
        </w:rPr>
        <w:footnoteRef/>
      </w:r>
      <w:r w:rsidRPr="00033208">
        <w:rPr>
          <w:sz w:val="16"/>
          <w:szCs w:val="16"/>
        </w:rPr>
        <w:t xml:space="preserve"> To dokreslují i údaje o fyzické produkci. Dle Sdružení automobilového průmyslu bylo letos v 1. čtvrtletí v Česku vyrobeno 271 tis. motorových vozidel, meziročně o 19 % méně a oproti počátku roku 2017 dokonce o 30 %</w:t>
      </w:r>
      <w:r>
        <w:rPr>
          <w:sz w:val="16"/>
          <w:szCs w:val="16"/>
        </w:rPr>
        <w:t xml:space="preserve"> méně</w:t>
      </w:r>
      <w:r w:rsidRPr="00033208">
        <w:rPr>
          <w:sz w:val="16"/>
          <w:szCs w:val="16"/>
        </w:rPr>
        <w:t xml:space="preserve">. Nižší počet vozů byl v rámci 1. čtvrtletí vyroben naposledy v roce 2010 (267 tis.). Ani nejaktuálnější údaj z dubna 2022 oživení výroby nenaznačil (93 tis. vozů). </w:t>
      </w:r>
    </w:p>
  </w:footnote>
  <w:footnote w:id="9">
    <w:p w14:paraId="7506C1E2" w14:textId="77777777" w:rsidR="00825120" w:rsidRPr="00C06A64" w:rsidRDefault="00825120" w:rsidP="00550540">
      <w:pPr>
        <w:pStyle w:val="Textpoznpodarou"/>
        <w:rPr>
          <w:spacing w:val="-2"/>
          <w:sz w:val="16"/>
          <w:szCs w:val="16"/>
        </w:rPr>
      </w:pPr>
      <w:r w:rsidRPr="00C06A64">
        <w:rPr>
          <w:rStyle w:val="Znakapoznpodarou"/>
          <w:spacing w:val="-2"/>
          <w:sz w:val="16"/>
          <w:szCs w:val="16"/>
        </w:rPr>
        <w:footnoteRef/>
      </w:r>
      <w:r w:rsidRPr="00C06A64">
        <w:rPr>
          <w:spacing w:val="-2"/>
          <w:sz w:val="16"/>
          <w:szCs w:val="16"/>
        </w:rPr>
        <w:t xml:space="preserve"> V lednu 2022 dosahovalo 85 %, v dubnu následně opět kleslo na 77 %. </w:t>
      </w:r>
      <w:r>
        <w:rPr>
          <w:spacing w:val="-2"/>
          <w:sz w:val="16"/>
          <w:szCs w:val="16"/>
        </w:rPr>
        <w:t>Za poslední</w:t>
      </w:r>
      <w:r w:rsidRPr="00C06A64">
        <w:rPr>
          <w:spacing w:val="-2"/>
          <w:sz w:val="16"/>
          <w:szCs w:val="16"/>
        </w:rPr>
        <w:t xml:space="preserve"> konjunktury se obvykle pohybovalo mezi 90 a 93 %.</w:t>
      </w:r>
    </w:p>
  </w:footnote>
  <w:footnote w:id="10">
    <w:p w14:paraId="490E73DD" w14:textId="77777777" w:rsidR="00825120" w:rsidRPr="004670E0" w:rsidRDefault="00825120" w:rsidP="00550540">
      <w:pPr>
        <w:pStyle w:val="Textpoznpodarou"/>
        <w:jc w:val="both"/>
        <w:rPr>
          <w:sz w:val="16"/>
          <w:szCs w:val="16"/>
        </w:rPr>
      </w:pPr>
      <w:r w:rsidRPr="000345CC">
        <w:rPr>
          <w:rStyle w:val="Znakapoznpodarou"/>
          <w:sz w:val="16"/>
          <w:szCs w:val="16"/>
        </w:rPr>
        <w:footnoteRef/>
      </w:r>
      <w:r w:rsidRPr="000345CC">
        <w:rPr>
          <w:sz w:val="16"/>
          <w:szCs w:val="16"/>
        </w:rPr>
        <w:t xml:space="preserve"> </w:t>
      </w:r>
      <w:r w:rsidRPr="000345CC">
        <w:rPr>
          <w:rFonts w:cs="Arial"/>
          <w:color w:val="0D0D0D" w:themeColor="text1" w:themeTint="F2"/>
          <w:spacing w:val="-2"/>
          <w:sz w:val="16"/>
          <w:szCs w:val="16"/>
        </w:rPr>
        <w:t>Meziroční tempa tržeb js</w:t>
      </w:r>
      <w:r>
        <w:rPr>
          <w:rFonts w:cs="Arial"/>
          <w:color w:val="0D0D0D" w:themeColor="text1" w:themeTint="F2"/>
          <w:spacing w:val="-2"/>
          <w:sz w:val="16"/>
          <w:szCs w:val="16"/>
        </w:rPr>
        <w:t>ou očištěna o kalendářní vlivy.</w:t>
      </w:r>
    </w:p>
  </w:footnote>
  <w:footnote w:id="11">
    <w:p w14:paraId="583FEBA6" w14:textId="77777777" w:rsidR="00825120" w:rsidRPr="00FB58F4" w:rsidRDefault="00825120" w:rsidP="00550540">
      <w:pPr>
        <w:pStyle w:val="Textpoznpodarou"/>
        <w:jc w:val="both"/>
        <w:rPr>
          <w:rFonts w:cs="Arial"/>
          <w:color w:val="0D0D0D" w:themeColor="text1" w:themeTint="F2"/>
          <w:spacing w:val="-2"/>
          <w:sz w:val="16"/>
          <w:szCs w:val="16"/>
        </w:rPr>
      </w:pPr>
      <w:r w:rsidRPr="007A20EB">
        <w:rPr>
          <w:rStyle w:val="Znakapoznpodarou"/>
          <w:rFonts w:cs="Arial"/>
          <w:color w:val="0D0D0D" w:themeColor="text1" w:themeTint="F2"/>
          <w:spacing w:val="-2"/>
          <w:sz w:val="16"/>
          <w:szCs w:val="16"/>
        </w:rPr>
        <w:footnoteRef/>
      </w:r>
      <w:r w:rsidRPr="007A20EB">
        <w:rPr>
          <w:rFonts w:cs="Arial"/>
          <w:color w:val="0D0D0D" w:themeColor="text1" w:themeTint="F2"/>
          <w:spacing w:val="-2"/>
          <w:sz w:val="16"/>
          <w:szCs w:val="16"/>
        </w:rPr>
        <w:t xml:space="preserve"> </w:t>
      </w:r>
      <w:r w:rsidRPr="007A20EB">
        <w:rPr>
          <w:rFonts w:cs="Arial"/>
          <w:color w:val="0D0D0D" w:themeColor="text1" w:themeTint="F2"/>
          <w:sz w:val="16"/>
          <w:szCs w:val="16"/>
        </w:rPr>
        <w:t>Zjišťování zaká</w:t>
      </w:r>
      <w:r>
        <w:rPr>
          <w:rFonts w:cs="Arial"/>
          <w:color w:val="0D0D0D" w:themeColor="text1" w:themeTint="F2"/>
          <w:sz w:val="16"/>
          <w:szCs w:val="16"/>
        </w:rPr>
        <w:t xml:space="preserve">zek probíhá jen ve 12 zpracovatelských odvětvích </w:t>
      </w:r>
      <w:r w:rsidRPr="007A20EB">
        <w:rPr>
          <w:rFonts w:cs="Arial"/>
          <w:color w:val="0D0D0D" w:themeColor="text1" w:themeTint="F2"/>
          <w:sz w:val="16"/>
          <w:szCs w:val="16"/>
        </w:rPr>
        <w:t>vyrábějí</w:t>
      </w:r>
      <w:r>
        <w:rPr>
          <w:rFonts w:cs="Arial"/>
          <w:color w:val="0D0D0D" w:themeColor="text1" w:themeTint="F2"/>
          <w:sz w:val="16"/>
          <w:szCs w:val="16"/>
        </w:rPr>
        <w:t>cích</w:t>
      </w:r>
      <w:r w:rsidRPr="007A20EB">
        <w:rPr>
          <w:rFonts w:cs="Arial"/>
          <w:color w:val="0D0D0D" w:themeColor="text1" w:themeTint="F2"/>
          <w:sz w:val="16"/>
          <w:szCs w:val="16"/>
        </w:rPr>
        <w:t xml:space="preserve"> převážně na zakázku, s dlouhodobějším výrobním cyklem a s většími zásobami zakázek.</w:t>
      </w:r>
      <w:r>
        <w:rPr>
          <w:rFonts w:cs="Arial"/>
          <w:color w:val="0D0D0D" w:themeColor="text1" w:themeTint="F2"/>
          <w:sz w:val="16"/>
          <w:szCs w:val="16"/>
        </w:rPr>
        <w:t xml:space="preserve"> </w:t>
      </w:r>
      <w:r>
        <w:rPr>
          <w:rFonts w:cs="Arial"/>
          <w:color w:val="0D0D0D" w:themeColor="text1" w:themeTint="F2"/>
          <w:spacing w:val="-2"/>
          <w:sz w:val="16"/>
          <w:szCs w:val="16"/>
        </w:rPr>
        <w:t>M</w:t>
      </w:r>
      <w:r w:rsidRPr="00CE71E4">
        <w:rPr>
          <w:rFonts w:cs="Arial"/>
          <w:color w:val="0D0D0D" w:themeColor="text1" w:themeTint="F2"/>
          <w:spacing w:val="-2"/>
          <w:sz w:val="16"/>
          <w:szCs w:val="16"/>
        </w:rPr>
        <w:t>eziroční tempa</w:t>
      </w:r>
      <w:r>
        <w:rPr>
          <w:rFonts w:cs="Arial"/>
          <w:color w:val="0D0D0D" w:themeColor="text1" w:themeTint="F2"/>
          <w:spacing w:val="-2"/>
          <w:sz w:val="16"/>
          <w:szCs w:val="16"/>
        </w:rPr>
        <w:t xml:space="preserve"> zakázek</w:t>
      </w:r>
      <w:r w:rsidRPr="00CE71E4">
        <w:rPr>
          <w:rFonts w:cs="Arial"/>
          <w:color w:val="0D0D0D" w:themeColor="text1" w:themeTint="F2"/>
          <w:spacing w:val="-2"/>
          <w:sz w:val="16"/>
          <w:szCs w:val="16"/>
        </w:rPr>
        <w:t xml:space="preserve"> jsou očištěna o kalendářní vli</w:t>
      </w:r>
      <w:r>
        <w:rPr>
          <w:rFonts w:cs="Arial"/>
          <w:color w:val="0D0D0D" w:themeColor="text1" w:themeTint="F2"/>
          <w:spacing w:val="-2"/>
          <w:sz w:val="16"/>
          <w:szCs w:val="16"/>
        </w:rPr>
        <w:t>vy.</w:t>
      </w:r>
    </w:p>
  </w:footnote>
  <w:footnote w:id="12">
    <w:p w14:paraId="59D75C77" w14:textId="77777777" w:rsidR="00825120" w:rsidRPr="00C94BE8" w:rsidRDefault="00825120" w:rsidP="00550540">
      <w:pPr>
        <w:pStyle w:val="Textpoznpodarou"/>
        <w:jc w:val="both"/>
        <w:rPr>
          <w:spacing w:val="-2"/>
          <w:sz w:val="16"/>
          <w:szCs w:val="16"/>
        </w:rPr>
      </w:pPr>
      <w:r w:rsidRPr="00C94BE8">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Ú</w:t>
      </w:r>
      <w:r w:rsidRPr="00C94BE8">
        <w:rPr>
          <w:rFonts w:cs="Arial"/>
          <w:color w:val="0D0D0D" w:themeColor="text1" w:themeTint="F2"/>
          <w:spacing w:val="-2"/>
          <w:sz w:val="16"/>
          <w:szCs w:val="16"/>
        </w:rPr>
        <w:t xml:space="preserve">daje o stavební produkci </w:t>
      </w:r>
      <w:r>
        <w:rPr>
          <w:rFonts w:cs="Arial"/>
          <w:color w:val="0D0D0D" w:themeColor="text1" w:themeTint="F2"/>
          <w:spacing w:val="-2"/>
          <w:sz w:val="16"/>
          <w:szCs w:val="16"/>
        </w:rPr>
        <w:t xml:space="preserve">jsou ve stálých cenách, meziroční tempa </w:t>
      </w:r>
      <w:r w:rsidRPr="00C94BE8">
        <w:rPr>
          <w:rFonts w:cs="Arial"/>
          <w:color w:val="0D0D0D" w:themeColor="text1" w:themeTint="F2"/>
          <w:spacing w:val="-2"/>
          <w:sz w:val="16"/>
          <w:szCs w:val="16"/>
        </w:rPr>
        <w:t>jsou očištěn</w:t>
      </w:r>
      <w:r>
        <w:rPr>
          <w:rFonts w:cs="Arial"/>
          <w:color w:val="0D0D0D" w:themeColor="text1" w:themeTint="F2"/>
          <w:spacing w:val="-2"/>
          <w:sz w:val="16"/>
          <w:szCs w:val="16"/>
        </w:rPr>
        <w:t>a</w:t>
      </w:r>
      <w:r w:rsidRPr="00C94BE8">
        <w:rPr>
          <w:rFonts w:cs="Arial"/>
          <w:color w:val="0D0D0D" w:themeColor="text1" w:themeTint="F2"/>
          <w:spacing w:val="-2"/>
          <w:sz w:val="16"/>
          <w:szCs w:val="16"/>
        </w:rPr>
        <w:t xml:space="preserve"> o kalendá</w:t>
      </w:r>
      <w:r>
        <w:rPr>
          <w:rFonts w:cs="Arial"/>
          <w:color w:val="0D0D0D" w:themeColor="text1" w:themeTint="F2"/>
          <w:spacing w:val="-2"/>
          <w:sz w:val="16"/>
          <w:szCs w:val="16"/>
        </w:rPr>
        <w:t>řní vlivy, mezičtvrtletní též</w:t>
      </w:r>
      <w:r w:rsidRPr="00C94BE8">
        <w:rPr>
          <w:rFonts w:cs="Arial"/>
          <w:color w:val="0D0D0D" w:themeColor="text1" w:themeTint="F2"/>
          <w:spacing w:val="-2"/>
          <w:sz w:val="16"/>
          <w:szCs w:val="16"/>
        </w:rPr>
        <w:t xml:space="preserve"> o vliv sezónnosti.</w:t>
      </w:r>
    </w:p>
  </w:footnote>
  <w:footnote w:id="13">
    <w:p w14:paraId="360330A6" w14:textId="77777777" w:rsidR="00825120" w:rsidRPr="00B95C46" w:rsidRDefault="00825120" w:rsidP="00550540">
      <w:pPr>
        <w:pStyle w:val="Textpoznpodarou"/>
        <w:rPr>
          <w:sz w:val="16"/>
          <w:szCs w:val="16"/>
        </w:rPr>
      </w:pPr>
      <w:r w:rsidRPr="00B95C46">
        <w:rPr>
          <w:rStyle w:val="Znakapoznpodarou"/>
          <w:sz w:val="16"/>
          <w:szCs w:val="16"/>
        </w:rPr>
        <w:footnoteRef/>
      </w:r>
      <w:r w:rsidRPr="00B95C46">
        <w:rPr>
          <w:sz w:val="16"/>
          <w:szCs w:val="16"/>
        </w:rPr>
        <w:t xml:space="preserve"> Dle údajů Českého hydrometeorologického úřadu činila letos v 1. čtvrtletí průměrná teplota vzduchu </w:t>
      </w:r>
      <w:r>
        <w:rPr>
          <w:sz w:val="16"/>
          <w:szCs w:val="16"/>
        </w:rPr>
        <w:t>+</w:t>
      </w:r>
      <w:r w:rsidRPr="00B95C46">
        <w:rPr>
          <w:sz w:val="16"/>
          <w:szCs w:val="16"/>
        </w:rPr>
        <w:t>2,2 stupně – tedy o 1,7 stupně více než dlouhodobý průměr (z období 1991 až 2020). Ve shodném ob</w:t>
      </w:r>
      <w:r>
        <w:rPr>
          <w:sz w:val="16"/>
          <w:szCs w:val="16"/>
        </w:rPr>
        <w:t>dobí roku 2021</w:t>
      </w:r>
      <w:r w:rsidRPr="00B95C46">
        <w:rPr>
          <w:sz w:val="16"/>
          <w:szCs w:val="16"/>
        </w:rPr>
        <w:t xml:space="preserve"> se naopak teplota pohybovala nepatrně pod dlouhodobým normálem (o 0,2 stupně).</w:t>
      </w:r>
    </w:p>
  </w:footnote>
  <w:footnote w:id="14">
    <w:p w14:paraId="62DE1D58" w14:textId="77777777" w:rsidR="00825120" w:rsidRPr="002B6E5D" w:rsidRDefault="00825120" w:rsidP="00550540">
      <w:pPr>
        <w:pStyle w:val="Textpoznpodarou"/>
        <w:rPr>
          <w:sz w:val="16"/>
          <w:szCs w:val="16"/>
        </w:rPr>
      </w:pPr>
      <w:r w:rsidRPr="002B6E5D">
        <w:rPr>
          <w:rStyle w:val="Znakapoznpodarou"/>
          <w:sz w:val="16"/>
          <w:szCs w:val="16"/>
        </w:rPr>
        <w:footnoteRef/>
      </w:r>
      <w:r w:rsidRPr="002B6E5D">
        <w:rPr>
          <w:sz w:val="16"/>
          <w:szCs w:val="16"/>
        </w:rPr>
        <w:t xml:space="preserve"> Žádn</w:t>
      </w:r>
      <w:r>
        <w:rPr>
          <w:sz w:val="16"/>
          <w:szCs w:val="16"/>
        </w:rPr>
        <w:t>ými</w:t>
      </w:r>
      <w:r w:rsidRPr="002B6E5D">
        <w:rPr>
          <w:sz w:val="16"/>
          <w:szCs w:val="16"/>
        </w:rPr>
        <w:t xml:space="preserve"> význa</w:t>
      </w:r>
      <w:r>
        <w:rPr>
          <w:sz w:val="16"/>
          <w:szCs w:val="16"/>
        </w:rPr>
        <w:t>mnými růstovými bariérami</w:t>
      </w:r>
      <w:r w:rsidRPr="002B6E5D">
        <w:rPr>
          <w:sz w:val="16"/>
          <w:szCs w:val="16"/>
        </w:rPr>
        <w:t xml:space="preserve"> vlastní produkce </w:t>
      </w:r>
      <w:r>
        <w:rPr>
          <w:sz w:val="16"/>
          <w:szCs w:val="16"/>
        </w:rPr>
        <w:t xml:space="preserve">nebylo </w:t>
      </w:r>
      <w:r w:rsidRPr="002B6E5D">
        <w:rPr>
          <w:sz w:val="16"/>
          <w:szCs w:val="16"/>
        </w:rPr>
        <w:t>letos květnu</w:t>
      </w:r>
      <w:r>
        <w:rPr>
          <w:sz w:val="16"/>
          <w:szCs w:val="16"/>
        </w:rPr>
        <w:t xml:space="preserve"> sužováno jen 17</w:t>
      </w:r>
      <w:r w:rsidRPr="002B6E5D">
        <w:rPr>
          <w:sz w:val="16"/>
          <w:szCs w:val="16"/>
        </w:rPr>
        <w:t xml:space="preserve"> %</w:t>
      </w:r>
      <w:r>
        <w:rPr>
          <w:sz w:val="16"/>
          <w:szCs w:val="16"/>
        </w:rPr>
        <w:t xml:space="preserve"> firem ve stavebnictví.</w:t>
      </w:r>
      <w:r w:rsidRPr="002B6E5D">
        <w:rPr>
          <w:sz w:val="16"/>
          <w:szCs w:val="16"/>
        </w:rPr>
        <w:t xml:space="preserve"> </w:t>
      </w:r>
    </w:p>
  </w:footnote>
  <w:footnote w:id="15">
    <w:p w14:paraId="31F44839" w14:textId="77777777" w:rsidR="00825120" w:rsidRPr="00DE38E6" w:rsidRDefault="00825120" w:rsidP="00550540">
      <w:pPr>
        <w:spacing w:after="0" w:line="240" w:lineRule="auto"/>
      </w:pPr>
      <w:r w:rsidRPr="004A26AF">
        <w:rPr>
          <w:rStyle w:val="Znakapoznpodarou"/>
          <w:color w:val="0D0D0D" w:themeColor="text1" w:themeTint="F2"/>
          <w:sz w:val="16"/>
          <w:szCs w:val="16"/>
        </w:rPr>
        <w:footnoteRef/>
      </w:r>
      <w:r>
        <w:rPr>
          <w:color w:val="0D0D0D" w:themeColor="text1" w:themeTint="F2"/>
          <w:sz w:val="16"/>
          <w:szCs w:val="16"/>
        </w:rPr>
        <w:t xml:space="preserve"> </w:t>
      </w:r>
      <w:r w:rsidRPr="004A26AF">
        <w:rPr>
          <w:color w:val="0D0D0D" w:themeColor="text1" w:themeTint="F2"/>
          <w:sz w:val="16"/>
          <w:szCs w:val="16"/>
        </w:rPr>
        <w:t>Bez obchodu, peněžnictví, poji</w:t>
      </w:r>
      <w:r>
        <w:rPr>
          <w:color w:val="0D0D0D" w:themeColor="text1" w:themeTint="F2"/>
          <w:sz w:val="16"/>
          <w:szCs w:val="16"/>
        </w:rPr>
        <w:t>šťovnictví, vědy, výzkumu a veřejných</w:t>
      </w:r>
      <w:r w:rsidRPr="004A26AF">
        <w:rPr>
          <w:color w:val="0D0D0D" w:themeColor="text1" w:themeTint="F2"/>
          <w:sz w:val="16"/>
          <w:szCs w:val="16"/>
        </w:rPr>
        <w:t xml:space="preserve"> služeb. Všechny údaje za služby jsou </w:t>
      </w:r>
      <w:r>
        <w:rPr>
          <w:color w:val="0D0D0D" w:themeColor="text1" w:themeTint="F2"/>
          <w:sz w:val="16"/>
          <w:szCs w:val="16"/>
        </w:rPr>
        <w:t xml:space="preserve">ve stálých cenách, meziroční údaje jsou </w:t>
      </w:r>
      <w:r w:rsidRPr="004A26AF">
        <w:rPr>
          <w:color w:val="0D0D0D" w:themeColor="text1" w:themeTint="F2"/>
          <w:sz w:val="16"/>
          <w:szCs w:val="16"/>
        </w:rPr>
        <w:t>očištěny o</w:t>
      </w:r>
      <w:r>
        <w:rPr>
          <w:color w:val="0D0D0D" w:themeColor="text1" w:themeTint="F2"/>
          <w:sz w:val="16"/>
          <w:szCs w:val="16"/>
        </w:rPr>
        <w:t> </w:t>
      </w:r>
      <w:r w:rsidRPr="004A26AF">
        <w:rPr>
          <w:color w:val="0D0D0D" w:themeColor="text1" w:themeTint="F2"/>
          <w:sz w:val="16"/>
          <w:szCs w:val="16"/>
        </w:rPr>
        <w:t>kal</w:t>
      </w:r>
      <w:r>
        <w:rPr>
          <w:color w:val="0D0D0D" w:themeColor="text1" w:themeTint="F2"/>
          <w:sz w:val="16"/>
          <w:szCs w:val="16"/>
        </w:rPr>
        <w:t>endářní vlivy, mezičtvrtletní jsou očištěny o sezónní vlivy (včetně vlivu počtu pracovních dnů)</w:t>
      </w:r>
      <w:r w:rsidRPr="004A26AF">
        <w:rPr>
          <w:color w:val="0D0D0D" w:themeColor="text1" w:themeTint="F2"/>
          <w:sz w:val="16"/>
          <w:szCs w:val="16"/>
        </w:rPr>
        <w:t>.</w:t>
      </w:r>
    </w:p>
  </w:footnote>
  <w:footnote w:id="16">
    <w:p w14:paraId="0383709A" w14:textId="77777777" w:rsidR="00825120" w:rsidRPr="0087548D" w:rsidRDefault="00825120" w:rsidP="00550540">
      <w:pPr>
        <w:pStyle w:val="Textpoznpodarou"/>
        <w:rPr>
          <w:sz w:val="16"/>
          <w:szCs w:val="16"/>
        </w:rPr>
      </w:pPr>
      <w:r w:rsidRPr="0087548D">
        <w:rPr>
          <w:rStyle w:val="Znakapoznpodarou"/>
          <w:sz w:val="16"/>
          <w:szCs w:val="16"/>
        </w:rPr>
        <w:footnoteRef/>
      </w:r>
      <w:r w:rsidRPr="0087548D">
        <w:rPr>
          <w:sz w:val="16"/>
          <w:szCs w:val="16"/>
        </w:rPr>
        <w:t xml:space="preserve"> Např. omezení počtu návštěvníků kin na představení skončilo </w:t>
      </w:r>
      <w:r>
        <w:rPr>
          <w:sz w:val="16"/>
          <w:szCs w:val="16"/>
        </w:rPr>
        <w:t xml:space="preserve">letos </w:t>
      </w:r>
      <w:r w:rsidRPr="0087548D">
        <w:rPr>
          <w:sz w:val="16"/>
          <w:szCs w:val="16"/>
        </w:rPr>
        <w:t xml:space="preserve">k 1. březnu. </w:t>
      </w:r>
    </w:p>
  </w:footnote>
  <w:footnote w:id="17">
    <w:p w14:paraId="648378C5" w14:textId="39BE65B2" w:rsidR="00825120" w:rsidRPr="0087548D" w:rsidRDefault="00825120" w:rsidP="00550540">
      <w:pPr>
        <w:pStyle w:val="Textpoznpodarou"/>
        <w:rPr>
          <w:sz w:val="16"/>
          <w:szCs w:val="16"/>
        </w:rPr>
      </w:pPr>
      <w:r w:rsidRPr="0087548D">
        <w:rPr>
          <w:rStyle w:val="Znakapoznpodarou"/>
          <w:sz w:val="16"/>
          <w:szCs w:val="16"/>
        </w:rPr>
        <w:footnoteRef/>
      </w:r>
      <w:r>
        <w:rPr>
          <w:sz w:val="16"/>
          <w:szCs w:val="16"/>
        </w:rPr>
        <w:t xml:space="preserve"> To se ještě více projevilo</w:t>
      </w:r>
      <w:r w:rsidRPr="0087548D">
        <w:rPr>
          <w:sz w:val="16"/>
          <w:szCs w:val="16"/>
        </w:rPr>
        <w:t xml:space="preserve"> např. v některých asijských regionech, </w:t>
      </w:r>
      <w:r>
        <w:rPr>
          <w:sz w:val="16"/>
          <w:szCs w:val="16"/>
        </w:rPr>
        <w:t xml:space="preserve">kde bylo navíc opětovné zhoršení pandemické situace doprovázeno významnými restrikcemi, </w:t>
      </w:r>
      <w:r w:rsidRPr="0087548D">
        <w:rPr>
          <w:sz w:val="16"/>
          <w:szCs w:val="16"/>
        </w:rPr>
        <w:t xml:space="preserve">což mělo negativní dopad </w:t>
      </w:r>
      <w:r>
        <w:rPr>
          <w:sz w:val="16"/>
          <w:szCs w:val="16"/>
        </w:rPr>
        <w:t xml:space="preserve">např. </w:t>
      </w:r>
      <w:r w:rsidRPr="0087548D">
        <w:rPr>
          <w:sz w:val="16"/>
          <w:szCs w:val="16"/>
        </w:rPr>
        <w:t>na příjezdy turistů do Česka.</w:t>
      </w:r>
    </w:p>
  </w:footnote>
  <w:footnote w:id="18">
    <w:p w14:paraId="4EC3D53A" w14:textId="77777777" w:rsidR="00825120" w:rsidRPr="0088699A" w:rsidRDefault="00825120" w:rsidP="00550540">
      <w:pPr>
        <w:pStyle w:val="Textpoznpodarou"/>
        <w:rPr>
          <w:sz w:val="16"/>
          <w:szCs w:val="16"/>
        </w:rPr>
      </w:pPr>
      <w:r w:rsidRPr="0088699A">
        <w:rPr>
          <w:rStyle w:val="Znakapoznpodarou"/>
          <w:sz w:val="16"/>
          <w:szCs w:val="16"/>
        </w:rPr>
        <w:footnoteRef/>
      </w:r>
      <w:r w:rsidRPr="0088699A">
        <w:rPr>
          <w:sz w:val="16"/>
          <w:szCs w:val="16"/>
        </w:rPr>
        <w:t xml:space="preserve"> Relativně nejnižší útlum </w:t>
      </w:r>
      <w:r>
        <w:rPr>
          <w:sz w:val="16"/>
          <w:szCs w:val="16"/>
        </w:rPr>
        <w:t>v počtu příjezdů</w:t>
      </w:r>
      <w:r w:rsidRPr="0088699A">
        <w:rPr>
          <w:sz w:val="16"/>
          <w:szCs w:val="16"/>
        </w:rPr>
        <w:t xml:space="preserve"> nastal v tříletém srovnání v rámci významnější klientely u hostů ze středoevropských států – Slovenska (o 31 %), Rakouska (36 %), Polska (41 %) a Německa (42 %).</w:t>
      </w:r>
    </w:p>
  </w:footnote>
  <w:footnote w:id="19">
    <w:p w14:paraId="49D7FCC5" w14:textId="77777777" w:rsidR="00825120" w:rsidRPr="00185917" w:rsidRDefault="00825120" w:rsidP="00825120">
      <w:pPr>
        <w:spacing w:after="0" w:line="240" w:lineRule="auto"/>
        <w:jc w:val="left"/>
      </w:pPr>
      <w:r w:rsidRPr="00D531A0">
        <w:rPr>
          <w:rStyle w:val="Znakapoznpodarou"/>
          <w:sz w:val="16"/>
          <w:szCs w:val="16"/>
        </w:rPr>
        <w:footnoteRef/>
      </w:r>
      <w:r>
        <w:rPr>
          <w:sz w:val="16"/>
          <w:szCs w:val="16"/>
        </w:rPr>
        <w:t xml:space="preserve"> </w:t>
      </w:r>
      <w:r w:rsidRPr="00D531A0">
        <w:rPr>
          <w:sz w:val="16"/>
          <w:szCs w:val="16"/>
        </w:rPr>
        <w:t>Dle údajů Unie filmových distributorů činil v 1. čtvrtletí 2022 počet návštěvníků kin v ČR 2,55 mil. To bylo o třetinu méně než před dvěma lety a oproti rekordní poptávce z 1. čtvrtletí 2019 dokonce o polovinu (počet odehraných představení za shodné období poklesl jen o 7 %). Příznivé údaje následně přinesl počátek letošního jara, kdy bylo dosaženo nejvyšší dubnové návštěvnosti ve srovnatelné řadě od roku 2000 (1,67 mil. osob).</w:t>
      </w:r>
    </w:p>
  </w:footnote>
  <w:footnote w:id="20">
    <w:p w14:paraId="73476521" w14:textId="77777777" w:rsidR="00825120" w:rsidRPr="00BE7370" w:rsidRDefault="00825120" w:rsidP="00550540">
      <w:pPr>
        <w:spacing w:after="0" w:line="240" w:lineRule="auto"/>
        <w:rPr>
          <w:spacing w:val="-2"/>
        </w:rPr>
      </w:pPr>
      <w:r w:rsidRPr="00BE7370">
        <w:rPr>
          <w:rStyle w:val="Znakapoznpodarou"/>
          <w:color w:val="0D0D0D" w:themeColor="text1" w:themeTint="F2"/>
          <w:spacing w:val="-2"/>
          <w:sz w:val="16"/>
          <w:szCs w:val="16"/>
        </w:rPr>
        <w:footnoteRef/>
      </w:r>
      <w:r w:rsidRPr="00BE7370">
        <w:rPr>
          <w:color w:val="0D0D0D" w:themeColor="text1" w:themeTint="F2"/>
          <w:spacing w:val="-2"/>
          <w:sz w:val="16"/>
          <w:szCs w:val="16"/>
        </w:rPr>
        <w:t xml:space="preserve"> Všechna meziroční tempa tržeb za maloobchod jsou uvedena ve stálých cenách a očištěna o kale</w:t>
      </w:r>
      <w:r>
        <w:rPr>
          <w:color w:val="0D0D0D" w:themeColor="text1" w:themeTint="F2"/>
          <w:spacing w:val="-2"/>
          <w:sz w:val="16"/>
          <w:szCs w:val="16"/>
        </w:rPr>
        <w:t>ndářní vlivy, mezičtvrtletní</w:t>
      </w:r>
      <w:r w:rsidRPr="00BE7370">
        <w:rPr>
          <w:color w:val="0D0D0D" w:themeColor="text1" w:themeTint="F2"/>
          <w:spacing w:val="-2"/>
          <w:sz w:val="16"/>
          <w:szCs w:val="16"/>
        </w:rPr>
        <w:t xml:space="preserve"> tempa jsou očištěna o sezónní vlivy (včetně vlivu počtu pracovních dnů). Maloobchod zahrnuje odvětví CZ-NACE 47.</w:t>
      </w:r>
    </w:p>
  </w:footnote>
  <w:footnote w:id="21">
    <w:p w14:paraId="14FF9435" w14:textId="77777777" w:rsidR="00825120" w:rsidRPr="00037444" w:rsidRDefault="00825120" w:rsidP="00550540">
      <w:pPr>
        <w:pStyle w:val="Textpoznpodarou"/>
        <w:rPr>
          <w:sz w:val="16"/>
          <w:szCs w:val="16"/>
        </w:rPr>
      </w:pPr>
      <w:r w:rsidRPr="00037444">
        <w:rPr>
          <w:rStyle w:val="Znakapoznpodarou"/>
          <w:sz w:val="16"/>
          <w:szCs w:val="16"/>
        </w:rPr>
        <w:footnoteRef/>
      </w:r>
      <w:r w:rsidRPr="00037444">
        <w:rPr>
          <w:sz w:val="16"/>
          <w:szCs w:val="16"/>
        </w:rPr>
        <w:t xml:space="preserve"> Ta v březnu sestoupila na nejnižší úrove</w:t>
      </w:r>
      <w:r>
        <w:rPr>
          <w:sz w:val="16"/>
          <w:szCs w:val="16"/>
        </w:rPr>
        <w:t>ň od konce roku 2012, kdy Česko</w:t>
      </w:r>
      <w:r w:rsidRPr="00037444">
        <w:rPr>
          <w:sz w:val="16"/>
          <w:szCs w:val="16"/>
        </w:rPr>
        <w:t xml:space="preserve"> svírala hospodářská recese.</w:t>
      </w:r>
      <w:r>
        <w:rPr>
          <w:sz w:val="16"/>
          <w:szCs w:val="16"/>
        </w:rPr>
        <w:t xml:space="preserve"> Pesimismus spotřebitelů se dále prohluboval v dubnu a květnu 2022. Domácnosti letos vnímaly zhoršení celkové hospodářské situace i vlastní finanční kondice, což souviselo i s rekordními obavami z očekávaného růstu cen. Naproti tomu obavy lidí z vyšší nezaměstnanosti setrvávají v posledních 12 měsících na relativně nízké úrovni a rovněž plány domácností ohledně velkých nákupů (např. automobily) v následujících 12 měsících nebyly dosud výrazně korigovány.</w:t>
      </w:r>
    </w:p>
  </w:footnote>
  <w:footnote w:id="22">
    <w:p w14:paraId="2BE57A6A" w14:textId="77777777" w:rsidR="00825120" w:rsidRPr="00DB6A60" w:rsidRDefault="00825120" w:rsidP="00550540">
      <w:pPr>
        <w:pStyle w:val="Textpoznpodarou"/>
        <w:rPr>
          <w:sz w:val="16"/>
          <w:szCs w:val="16"/>
        </w:rPr>
      </w:pPr>
      <w:r w:rsidRPr="00DB6A60">
        <w:rPr>
          <w:rStyle w:val="Znakapoznpodarou"/>
          <w:sz w:val="16"/>
          <w:szCs w:val="16"/>
        </w:rPr>
        <w:footnoteRef/>
      </w:r>
      <w:r w:rsidRPr="00DB6A60">
        <w:rPr>
          <w:sz w:val="16"/>
          <w:szCs w:val="16"/>
        </w:rPr>
        <w:t xml:space="preserve"> </w:t>
      </w:r>
      <w:r>
        <w:rPr>
          <w:sz w:val="16"/>
          <w:szCs w:val="16"/>
        </w:rPr>
        <w:t xml:space="preserve">Saldo důvěry bylo srovnatelné s hladinou z druhé poloviny roku 2018. </w:t>
      </w:r>
      <w:r w:rsidRPr="00DB6A60">
        <w:rPr>
          <w:sz w:val="16"/>
          <w:szCs w:val="16"/>
        </w:rPr>
        <w:t xml:space="preserve">Podniky v odvětví ochodu hodnotily </w:t>
      </w:r>
      <w:r>
        <w:rPr>
          <w:sz w:val="16"/>
          <w:szCs w:val="16"/>
        </w:rPr>
        <w:t xml:space="preserve">letos </w:t>
      </w:r>
      <w:r w:rsidRPr="00DB6A60">
        <w:rPr>
          <w:sz w:val="16"/>
          <w:szCs w:val="16"/>
        </w:rPr>
        <w:t>svou ekonomickou situaci v 1. čtvrtletí pozitivně a dařilo se jim vypro</w:t>
      </w:r>
      <w:r>
        <w:rPr>
          <w:sz w:val="16"/>
          <w:szCs w:val="16"/>
        </w:rPr>
        <w:t>dávat zásoby zboží za skladech. Nicméně optimismus ohledně</w:t>
      </w:r>
      <w:r w:rsidRPr="00DB6A60">
        <w:rPr>
          <w:sz w:val="16"/>
          <w:szCs w:val="16"/>
        </w:rPr>
        <w:t xml:space="preserve"> vývoj</w:t>
      </w:r>
      <w:r>
        <w:rPr>
          <w:sz w:val="16"/>
          <w:szCs w:val="16"/>
        </w:rPr>
        <w:t>e vlastní ekonomické situace v příštích třech i šesti</w:t>
      </w:r>
      <w:r w:rsidRPr="00DB6A60">
        <w:rPr>
          <w:sz w:val="16"/>
          <w:szCs w:val="16"/>
        </w:rPr>
        <w:t xml:space="preserve"> měsících</w:t>
      </w:r>
      <w:r>
        <w:rPr>
          <w:sz w:val="16"/>
          <w:szCs w:val="16"/>
        </w:rPr>
        <w:t xml:space="preserve"> mírně opadl, zejména v květnu (i tak ovšem zhruba třetina podniků očekávala zlepšení, zhoršení pak desetina). Nelze vyloučit, že relativně příznivé výhledy obchodníků mohou souviset s očekávaným nárůstem poptávky díky příchodu početných skupin uprchlíků z Ukrajiny do Česka.</w:t>
      </w:r>
    </w:p>
  </w:footnote>
  <w:footnote w:id="23">
    <w:p w14:paraId="1D960116" w14:textId="77777777" w:rsidR="00825120" w:rsidRPr="00EF0467" w:rsidRDefault="00825120" w:rsidP="00550540">
      <w:pPr>
        <w:pStyle w:val="Textpoznpodarou"/>
        <w:rPr>
          <w:sz w:val="16"/>
          <w:szCs w:val="16"/>
        </w:rPr>
      </w:pPr>
      <w:r w:rsidRPr="00EF0467">
        <w:rPr>
          <w:rStyle w:val="Znakapoznpodarou"/>
          <w:sz w:val="16"/>
          <w:szCs w:val="16"/>
        </w:rPr>
        <w:footnoteRef/>
      </w:r>
      <w:r w:rsidRPr="00EF0467">
        <w:rPr>
          <w:sz w:val="16"/>
          <w:szCs w:val="16"/>
        </w:rPr>
        <w:t xml:space="preserve"> V březnu 2021 došlo k citelnému omezení mobility obyv</w:t>
      </w:r>
      <w:r>
        <w:rPr>
          <w:sz w:val="16"/>
          <w:szCs w:val="16"/>
        </w:rPr>
        <w:t>atelstva (mimo cesty do zaměstná</w:t>
      </w:r>
      <w:r w:rsidRPr="00EF0467">
        <w:rPr>
          <w:sz w:val="16"/>
          <w:szCs w:val="16"/>
        </w:rPr>
        <w:t>ní či za lékařskou péčí).</w:t>
      </w:r>
      <w:r>
        <w:rPr>
          <w:sz w:val="16"/>
          <w:szCs w:val="16"/>
        </w:rPr>
        <w:t xml:space="preserve"> Tržby prodejců PHM tak letos v březnu meziročně vzrostly o 15,6 %. Ještě většímu nárůstu spotřeby paliv patrně letos zabránily jejich vysoké ceny (pohonné hmoty byly meziročně o polovinu dražší). </w:t>
      </w:r>
      <w:r w:rsidRPr="003A2511">
        <w:rPr>
          <w:sz w:val="16"/>
          <w:szCs w:val="16"/>
        </w:rPr>
        <w:t>Natural 95 se u čerpacích stanic p</w:t>
      </w:r>
      <w:r>
        <w:rPr>
          <w:sz w:val="16"/>
          <w:szCs w:val="16"/>
        </w:rPr>
        <w:t>rodával průměrně za</w:t>
      </w:r>
      <w:r w:rsidRPr="003A2511">
        <w:rPr>
          <w:sz w:val="16"/>
          <w:szCs w:val="16"/>
        </w:rPr>
        <w:t xml:space="preserve"> 44,5 korun za li</w:t>
      </w:r>
      <w:r>
        <w:rPr>
          <w:sz w:val="16"/>
          <w:szCs w:val="16"/>
        </w:rPr>
        <w:t>tr a nafta za 47 korun za litr.</w:t>
      </w:r>
    </w:p>
  </w:footnote>
  <w:footnote w:id="24">
    <w:p w14:paraId="1EB474E6" w14:textId="77777777" w:rsidR="00825120" w:rsidRPr="00651934" w:rsidRDefault="00825120" w:rsidP="00550540">
      <w:pPr>
        <w:pStyle w:val="Textpoznpodarou"/>
        <w:rPr>
          <w:sz w:val="16"/>
          <w:szCs w:val="16"/>
        </w:rPr>
      </w:pPr>
      <w:r w:rsidRPr="00651934">
        <w:rPr>
          <w:rStyle w:val="Znakapoznpodarou"/>
          <w:sz w:val="16"/>
          <w:szCs w:val="16"/>
        </w:rPr>
        <w:footnoteRef/>
      </w:r>
      <w:r w:rsidRPr="00651934">
        <w:rPr>
          <w:sz w:val="16"/>
          <w:szCs w:val="16"/>
        </w:rPr>
        <w:t xml:space="preserve"> V 1. čtvrtletí 2021 činil meziroční růst v této kategorii 42,4 %, což představovalo druhé nejvyšší tempo v řadě od roku 2001.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4A67" w14:textId="77777777" w:rsidR="00825120" w:rsidRDefault="00825120" w:rsidP="00937AE2">
    <w:pPr>
      <w:pStyle w:val="Zhlav"/>
    </w:pPr>
    <w:r>
      <w:t>Vývoj ekonomiky České republiky</w:t>
    </w:r>
  </w:p>
  <w:p w14:paraId="3E881AB3" w14:textId="77777777" w:rsidR="00825120" w:rsidRPr="006F5416" w:rsidRDefault="00825120"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D3DB" w14:textId="77777777" w:rsidR="00825120" w:rsidRDefault="00825120" w:rsidP="00937AE2">
    <w:pPr>
      <w:pStyle w:val="Zhlav"/>
    </w:pPr>
    <w:r>
      <w:t>Vývoj ekonomiky České republiky</w:t>
    </w:r>
  </w:p>
  <w:p w14:paraId="57266714" w14:textId="77777777" w:rsidR="00825120" w:rsidRPr="006F5416" w:rsidRDefault="00825120"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4"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2"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6"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1835756821">
    <w:abstractNumId w:val="24"/>
  </w:num>
  <w:num w:numId="2" w16cid:durableId="2128891545">
    <w:abstractNumId w:val="8"/>
  </w:num>
  <w:num w:numId="3" w16cid:durableId="1689477642">
    <w:abstractNumId w:val="3"/>
  </w:num>
  <w:num w:numId="4" w16cid:durableId="1804039572">
    <w:abstractNumId w:val="2"/>
  </w:num>
  <w:num w:numId="5" w16cid:durableId="1613583959">
    <w:abstractNumId w:val="1"/>
  </w:num>
  <w:num w:numId="6" w16cid:durableId="16590817">
    <w:abstractNumId w:val="0"/>
  </w:num>
  <w:num w:numId="7" w16cid:durableId="289477326">
    <w:abstractNumId w:val="9"/>
  </w:num>
  <w:num w:numId="8" w16cid:durableId="202140121">
    <w:abstractNumId w:val="7"/>
  </w:num>
  <w:num w:numId="9" w16cid:durableId="810100706">
    <w:abstractNumId w:val="6"/>
  </w:num>
  <w:num w:numId="10" w16cid:durableId="1002195951">
    <w:abstractNumId w:val="5"/>
  </w:num>
  <w:num w:numId="11" w16cid:durableId="270630198">
    <w:abstractNumId w:val="4"/>
  </w:num>
  <w:num w:numId="12" w16cid:durableId="559706410">
    <w:abstractNumId w:val="14"/>
  </w:num>
  <w:num w:numId="13" w16cid:durableId="500782980">
    <w:abstractNumId w:val="26"/>
  </w:num>
  <w:num w:numId="14" w16cid:durableId="1388721509">
    <w:abstractNumId w:val="13"/>
  </w:num>
  <w:num w:numId="15" w16cid:durableId="583422021">
    <w:abstractNumId w:val="19"/>
  </w:num>
  <w:num w:numId="16" w16cid:durableId="1698894308">
    <w:abstractNumId w:val="15"/>
  </w:num>
  <w:num w:numId="17" w16cid:durableId="764305198">
    <w:abstractNumId w:val="27"/>
  </w:num>
  <w:num w:numId="18" w16cid:durableId="998967631">
    <w:abstractNumId w:val="20"/>
  </w:num>
  <w:num w:numId="19" w16cid:durableId="937182363">
    <w:abstractNumId w:val="28"/>
  </w:num>
  <w:num w:numId="20" w16cid:durableId="1289119499">
    <w:abstractNumId w:val="29"/>
  </w:num>
  <w:num w:numId="21" w16cid:durableId="1520119771">
    <w:abstractNumId w:val="25"/>
  </w:num>
  <w:num w:numId="22" w16cid:durableId="1785418426">
    <w:abstractNumId w:val="18"/>
  </w:num>
  <w:num w:numId="23" w16cid:durableId="1335763447">
    <w:abstractNumId w:val="16"/>
  </w:num>
  <w:num w:numId="24" w16cid:durableId="926689859">
    <w:abstractNumId w:val="17"/>
  </w:num>
  <w:num w:numId="25" w16cid:durableId="878979949">
    <w:abstractNumId w:val="12"/>
  </w:num>
  <w:num w:numId="26" w16cid:durableId="1960405582">
    <w:abstractNumId w:val="22"/>
  </w:num>
  <w:num w:numId="27" w16cid:durableId="877012024">
    <w:abstractNumId w:val="21"/>
  </w:num>
  <w:num w:numId="28" w16cid:durableId="1361276676">
    <w:abstractNumId w:val="10"/>
  </w:num>
  <w:num w:numId="29" w16cid:durableId="890993651">
    <w:abstractNumId w:val="29"/>
  </w:num>
  <w:num w:numId="30" w16cid:durableId="1708287588">
    <w:abstractNumId w:val="23"/>
  </w:num>
  <w:num w:numId="31" w16cid:durableId="910695841">
    <w:abstractNumId w:val="11"/>
  </w:num>
  <w:num w:numId="32" w16cid:durableId="47973561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828"/>
    <w:rsid w:val="000005AF"/>
    <w:rsid w:val="00000B55"/>
    <w:rsid w:val="0000209D"/>
    <w:rsid w:val="00002566"/>
    <w:rsid w:val="0000370A"/>
    <w:rsid w:val="00003849"/>
    <w:rsid w:val="00003F5C"/>
    <w:rsid w:val="00004D5A"/>
    <w:rsid w:val="000056D5"/>
    <w:rsid w:val="00005D9E"/>
    <w:rsid w:val="000063D5"/>
    <w:rsid w:val="00006625"/>
    <w:rsid w:val="00006ABD"/>
    <w:rsid w:val="00006B67"/>
    <w:rsid w:val="00006C0B"/>
    <w:rsid w:val="000073A0"/>
    <w:rsid w:val="0000767A"/>
    <w:rsid w:val="00007ABE"/>
    <w:rsid w:val="00010256"/>
    <w:rsid w:val="00010702"/>
    <w:rsid w:val="00010A2C"/>
    <w:rsid w:val="0001128E"/>
    <w:rsid w:val="00011912"/>
    <w:rsid w:val="000129B7"/>
    <w:rsid w:val="0001387D"/>
    <w:rsid w:val="00014ED0"/>
    <w:rsid w:val="00016420"/>
    <w:rsid w:val="00016BDB"/>
    <w:rsid w:val="00017B01"/>
    <w:rsid w:val="000200BE"/>
    <w:rsid w:val="000205D1"/>
    <w:rsid w:val="00020F22"/>
    <w:rsid w:val="0002195D"/>
    <w:rsid w:val="00021F9B"/>
    <w:rsid w:val="000228AE"/>
    <w:rsid w:val="000233D1"/>
    <w:rsid w:val="000234D6"/>
    <w:rsid w:val="00023D29"/>
    <w:rsid w:val="00024348"/>
    <w:rsid w:val="00026109"/>
    <w:rsid w:val="0002622B"/>
    <w:rsid w:val="00026389"/>
    <w:rsid w:val="0002669F"/>
    <w:rsid w:val="000279E5"/>
    <w:rsid w:val="000305E0"/>
    <w:rsid w:val="00031AE0"/>
    <w:rsid w:val="00031BB2"/>
    <w:rsid w:val="000322EF"/>
    <w:rsid w:val="00033FCD"/>
    <w:rsid w:val="000348AF"/>
    <w:rsid w:val="00034B70"/>
    <w:rsid w:val="00034DF7"/>
    <w:rsid w:val="00034E68"/>
    <w:rsid w:val="000350C8"/>
    <w:rsid w:val="00036195"/>
    <w:rsid w:val="000374B2"/>
    <w:rsid w:val="000376C0"/>
    <w:rsid w:val="000403A7"/>
    <w:rsid w:val="00040632"/>
    <w:rsid w:val="00041AFC"/>
    <w:rsid w:val="00041CEC"/>
    <w:rsid w:val="00041D02"/>
    <w:rsid w:val="00042596"/>
    <w:rsid w:val="00042A4A"/>
    <w:rsid w:val="00044183"/>
    <w:rsid w:val="0004431D"/>
    <w:rsid w:val="00044AAC"/>
    <w:rsid w:val="0004694F"/>
    <w:rsid w:val="00046F2F"/>
    <w:rsid w:val="00047AD4"/>
    <w:rsid w:val="00047D54"/>
    <w:rsid w:val="0005054A"/>
    <w:rsid w:val="00050A87"/>
    <w:rsid w:val="00051506"/>
    <w:rsid w:val="000522E4"/>
    <w:rsid w:val="00053713"/>
    <w:rsid w:val="0005434E"/>
    <w:rsid w:val="00055CB6"/>
    <w:rsid w:val="000572DD"/>
    <w:rsid w:val="00057B1E"/>
    <w:rsid w:val="0006033F"/>
    <w:rsid w:val="000610E1"/>
    <w:rsid w:val="000616AD"/>
    <w:rsid w:val="000622A6"/>
    <w:rsid w:val="00062D70"/>
    <w:rsid w:val="00062EC5"/>
    <w:rsid w:val="00062F22"/>
    <w:rsid w:val="00063975"/>
    <w:rsid w:val="00063CEA"/>
    <w:rsid w:val="0006444D"/>
    <w:rsid w:val="000645FC"/>
    <w:rsid w:val="0006533F"/>
    <w:rsid w:val="00065348"/>
    <w:rsid w:val="0006551C"/>
    <w:rsid w:val="0006558D"/>
    <w:rsid w:val="00065A75"/>
    <w:rsid w:val="000663F0"/>
    <w:rsid w:val="00066558"/>
    <w:rsid w:val="000671DB"/>
    <w:rsid w:val="00067982"/>
    <w:rsid w:val="00070A87"/>
    <w:rsid w:val="000712B3"/>
    <w:rsid w:val="00071A7C"/>
    <w:rsid w:val="00071E38"/>
    <w:rsid w:val="00072FF5"/>
    <w:rsid w:val="00073A5A"/>
    <w:rsid w:val="0007474E"/>
    <w:rsid w:val="00074988"/>
    <w:rsid w:val="0007512B"/>
    <w:rsid w:val="00075551"/>
    <w:rsid w:val="000767F5"/>
    <w:rsid w:val="00076D90"/>
    <w:rsid w:val="00077FF0"/>
    <w:rsid w:val="00081A55"/>
    <w:rsid w:val="0008263E"/>
    <w:rsid w:val="00082C19"/>
    <w:rsid w:val="00082F89"/>
    <w:rsid w:val="000837CD"/>
    <w:rsid w:val="00084BFF"/>
    <w:rsid w:val="00085395"/>
    <w:rsid w:val="00086896"/>
    <w:rsid w:val="00086AC1"/>
    <w:rsid w:val="00086D19"/>
    <w:rsid w:val="00087634"/>
    <w:rsid w:val="00087F2B"/>
    <w:rsid w:val="00090694"/>
    <w:rsid w:val="00090EE2"/>
    <w:rsid w:val="00090FC6"/>
    <w:rsid w:val="000913B1"/>
    <w:rsid w:val="0009290F"/>
    <w:rsid w:val="00093241"/>
    <w:rsid w:val="00093868"/>
    <w:rsid w:val="00094A84"/>
    <w:rsid w:val="00095025"/>
    <w:rsid w:val="00095135"/>
    <w:rsid w:val="0009626E"/>
    <w:rsid w:val="0009644D"/>
    <w:rsid w:val="00097191"/>
    <w:rsid w:val="000974D1"/>
    <w:rsid w:val="00097784"/>
    <w:rsid w:val="0009799E"/>
    <w:rsid w:val="000A07CB"/>
    <w:rsid w:val="000A0BC0"/>
    <w:rsid w:val="000A1183"/>
    <w:rsid w:val="000A12ED"/>
    <w:rsid w:val="000A1D49"/>
    <w:rsid w:val="000A212B"/>
    <w:rsid w:val="000A242D"/>
    <w:rsid w:val="000A256D"/>
    <w:rsid w:val="000A2643"/>
    <w:rsid w:val="000A2E5F"/>
    <w:rsid w:val="000A3A2C"/>
    <w:rsid w:val="000A3D9E"/>
    <w:rsid w:val="000A4A54"/>
    <w:rsid w:val="000A4ED9"/>
    <w:rsid w:val="000A5DB7"/>
    <w:rsid w:val="000A6753"/>
    <w:rsid w:val="000A6D94"/>
    <w:rsid w:val="000A7377"/>
    <w:rsid w:val="000A74A4"/>
    <w:rsid w:val="000A775A"/>
    <w:rsid w:val="000A7FF4"/>
    <w:rsid w:val="000B03CC"/>
    <w:rsid w:val="000B4212"/>
    <w:rsid w:val="000B67B7"/>
    <w:rsid w:val="000C0127"/>
    <w:rsid w:val="000C0CA6"/>
    <w:rsid w:val="000C0EA8"/>
    <w:rsid w:val="000C13A2"/>
    <w:rsid w:val="000C21E7"/>
    <w:rsid w:val="000C23EC"/>
    <w:rsid w:val="000C26A2"/>
    <w:rsid w:val="000C290E"/>
    <w:rsid w:val="000C30C3"/>
    <w:rsid w:val="000C3408"/>
    <w:rsid w:val="000C35AB"/>
    <w:rsid w:val="000C3F7B"/>
    <w:rsid w:val="000C4769"/>
    <w:rsid w:val="000C4D56"/>
    <w:rsid w:val="000C5DFA"/>
    <w:rsid w:val="000C6AFD"/>
    <w:rsid w:val="000C6C90"/>
    <w:rsid w:val="000C72B7"/>
    <w:rsid w:val="000D0A26"/>
    <w:rsid w:val="000D13CB"/>
    <w:rsid w:val="000D2196"/>
    <w:rsid w:val="000D2C2E"/>
    <w:rsid w:val="000D3058"/>
    <w:rsid w:val="000D310A"/>
    <w:rsid w:val="000D3EF4"/>
    <w:rsid w:val="000D4761"/>
    <w:rsid w:val="000D4DC0"/>
    <w:rsid w:val="000D55BA"/>
    <w:rsid w:val="000D5637"/>
    <w:rsid w:val="000D5A03"/>
    <w:rsid w:val="000D5ED3"/>
    <w:rsid w:val="000D6F4E"/>
    <w:rsid w:val="000D6FDA"/>
    <w:rsid w:val="000D73BB"/>
    <w:rsid w:val="000E0E96"/>
    <w:rsid w:val="000E298B"/>
    <w:rsid w:val="000E2C7D"/>
    <w:rsid w:val="000E3E56"/>
    <w:rsid w:val="000E440D"/>
    <w:rsid w:val="000E4AC5"/>
    <w:rsid w:val="000E6253"/>
    <w:rsid w:val="000E6AC4"/>
    <w:rsid w:val="000E6E4D"/>
    <w:rsid w:val="000E6FBD"/>
    <w:rsid w:val="000E6FCB"/>
    <w:rsid w:val="000F090B"/>
    <w:rsid w:val="000F15F7"/>
    <w:rsid w:val="000F1AA2"/>
    <w:rsid w:val="000F378E"/>
    <w:rsid w:val="000F3F3B"/>
    <w:rsid w:val="000F4721"/>
    <w:rsid w:val="000F47E8"/>
    <w:rsid w:val="000F70E4"/>
    <w:rsid w:val="000F76EA"/>
    <w:rsid w:val="00100A8B"/>
    <w:rsid w:val="00100F5C"/>
    <w:rsid w:val="00101CDA"/>
    <w:rsid w:val="00102037"/>
    <w:rsid w:val="00103DCB"/>
    <w:rsid w:val="00104C4C"/>
    <w:rsid w:val="00105015"/>
    <w:rsid w:val="001055D2"/>
    <w:rsid w:val="001057C2"/>
    <w:rsid w:val="00107124"/>
    <w:rsid w:val="0011038E"/>
    <w:rsid w:val="00111573"/>
    <w:rsid w:val="001125EF"/>
    <w:rsid w:val="00112CAB"/>
    <w:rsid w:val="0011440C"/>
    <w:rsid w:val="00114C33"/>
    <w:rsid w:val="00116D3F"/>
    <w:rsid w:val="00117474"/>
    <w:rsid w:val="00117623"/>
    <w:rsid w:val="00117FEA"/>
    <w:rsid w:val="001200CF"/>
    <w:rsid w:val="001208E3"/>
    <w:rsid w:val="00121609"/>
    <w:rsid w:val="0012192F"/>
    <w:rsid w:val="00122994"/>
    <w:rsid w:val="00123204"/>
    <w:rsid w:val="00124B46"/>
    <w:rsid w:val="001257BE"/>
    <w:rsid w:val="001257E0"/>
    <w:rsid w:val="00125D69"/>
    <w:rsid w:val="0012799C"/>
    <w:rsid w:val="00127BC2"/>
    <w:rsid w:val="00127E15"/>
    <w:rsid w:val="00130ADC"/>
    <w:rsid w:val="00130D9F"/>
    <w:rsid w:val="00132C4D"/>
    <w:rsid w:val="00133FC1"/>
    <w:rsid w:val="00134659"/>
    <w:rsid w:val="00135111"/>
    <w:rsid w:val="00136A6F"/>
    <w:rsid w:val="00136C1A"/>
    <w:rsid w:val="00137812"/>
    <w:rsid w:val="001405FA"/>
    <w:rsid w:val="00140D1A"/>
    <w:rsid w:val="00141184"/>
    <w:rsid w:val="00141315"/>
    <w:rsid w:val="00141AA0"/>
    <w:rsid w:val="001425C3"/>
    <w:rsid w:val="0014262D"/>
    <w:rsid w:val="00142B29"/>
    <w:rsid w:val="00144108"/>
    <w:rsid w:val="00144588"/>
    <w:rsid w:val="001447DD"/>
    <w:rsid w:val="00145358"/>
    <w:rsid w:val="001459BC"/>
    <w:rsid w:val="00150ECA"/>
    <w:rsid w:val="00151707"/>
    <w:rsid w:val="00152C86"/>
    <w:rsid w:val="00152F4F"/>
    <w:rsid w:val="0015329F"/>
    <w:rsid w:val="001544A1"/>
    <w:rsid w:val="001553B8"/>
    <w:rsid w:val="001554C2"/>
    <w:rsid w:val="001571C0"/>
    <w:rsid w:val="0015753D"/>
    <w:rsid w:val="00157984"/>
    <w:rsid w:val="00157CC9"/>
    <w:rsid w:val="00160C21"/>
    <w:rsid w:val="001612F4"/>
    <w:rsid w:val="00161553"/>
    <w:rsid w:val="0016216F"/>
    <w:rsid w:val="0016256B"/>
    <w:rsid w:val="00162F81"/>
    <w:rsid w:val="00163793"/>
    <w:rsid w:val="00164CA1"/>
    <w:rsid w:val="00165313"/>
    <w:rsid w:val="00167485"/>
    <w:rsid w:val="001679F5"/>
    <w:rsid w:val="00167B92"/>
    <w:rsid w:val="00167CB9"/>
    <w:rsid w:val="00167DD8"/>
    <w:rsid w:val="001705AD"/>
    <w:rsid w:val="001706D6"/>
    <w:rsid w:val="001714F2"/>
    <w:rsid w:val="00171FEA"/>
    <w:rsid w:val="00173622"/>
    <w:rsid w:val="00175B9F"/>
    <w:rsid w:val="001762F4"/>
    <w:rsid w:val="001777BA"/>
    <w:rsid w:val="00181029"/>
    <w:rsid w:val="00181BBC"/>
    <w:rsid w:val="0018385F"/>
    <w:rsid w:val="00183BCF"/>
    <w:rsid w:val="00184017"/>
    <w:rsid w:val="001847BB"/>
    <w:rsid w:val="00184B08"/>
    <w:rsid w:val="00185010"/>
    <w:rsid w:val="00185C22"/>
    <w:rsid w:val="00186BA9"/>
    <w:rsid w:val="00187D50"/>
    <w:rsid w:val="0019196C"/>
    <w:rsid w:val="001926A9"/>
    <w:rsid w:val="00192F05"/>
    <w:rsid w:val="00194729"/>
    <w:rsid w:val="00194850"/>
    <w:rsid w:val="00195234"/>
    <w:rsid w:val="00196016"/>
    <w:rsid w:val="00196117"/>
    <w:rsid w:val="00197A70"/>
    <w:rsid w:val="00197C0F"/>
    <w:rsid w:val="00197D0E"/>
    <w:rsid w:val="001A0487"/>
    <w:rsid w:val="001A0675"/>
    <w:rsid w:val="001A0A37"/>
    <w:rsid w:val="001A1F68"/>
    <w:rsid w:val="001A21FA"/>
    <w:rsid w:val="001A4D7C"/>
    <w:rsid w:val="001A4EF0"/>
    <w:rsid w:val="001A552F"/>
    <w:rsid w:val="001A70B1"/>
    <w:rsid w:val="001B0738"/>
    <w:rsid w:val="001B1235"/>
    <w:rsid w:val="001B158D"/>
    <w:rsid w:val="001B2CA9"/>
    <w:rsid w:val="001B3110"/>
    <w:rsid w:val="001B3E38"/>
    <w:rsid w:val="001B40F5"/>
    <w:rsid w:val="001B4729"/>
    <w:rsid w:val="001B4F0E"/>
    <w:rsid w:val="001B54FA"/>
    <w:rsid w:val="001B5F40"/>
    <w:rsid w:val="001B6310"/>
    <w:rsid w:val="001B6C09"/>
    <w:rsid w:val="001B6E12"/>
    <w:rsid w:val="001C05CD"/>
    <w:rsid w:val="001C082B"/>
    <w:rsid w:val="001C0F17"/>
    <w:rsid w:val="001C11A6"/>
    <w:rsid w:val="001C1B24"/>
    <w:rsid w:val="001C1B66"/>
    <w:rsid w:val="001C1BB5"/>
    <w:rsid w:val="001C2732"/>
    <w:rsid w:val="001C31A2"/>
    <w:rsid w:val="001C351D"/>
    <w:rsid w:val="001C3794"/>
    <w:rsid w:val="001C4B8F"/>
    <w:rsid w:val="001C4BB8"/>
    <w:rsid w:val="001C4FD0"/>
    <w:rsid w:val="001C544D"/>
    <w:rsid w:val="001C5E46"/>
    <w:rsid w:val="001C6B3B"/>
    <w:rsid w:val="001C7A26"/>
    <w:rsid w:val="001C7E3F"/>
    <w:rsid w:val="001D0EF1"/>
    <w:rsid w:val="001D1A44"/>
    <w:rsid w:val="001D22C2"/>
    <w:rsid w:val="001D2C99"/>
    <w:rsid w:val="001D3B75"/>
    <w:rsid w:val="001D452E"/>
    <w:rsid w:val="001D54C1"/>
    <w:rsid w:val="001D556E"/>
    <w:rsid w:val="001D5DF2"/>
    <w:rsid w:val="001D6175"/>
    <w:rsid w:val="001D68B2"/>
    <w:rsid w:val="001D7EFD"/>
    <w:rsid w:val="001D7F60"/>
    <w:rsid w:val="001E085B"/>
    <w:rsid w:val="001E149B"/>
    <w:rsid w:val="001E15CB"/>
    <w:rsid w:val="001E3306"/>
    <w:rsid w:val="001E504C"/>
    <w:rsid w:val="001E56AC"/>
    <w:rsid w:val="001E5A17"/>
    <w:rsid w:val="001E74C5"/>
    <w:rsid w:val="001F1236"/>
    <w:rsid w:val="001F2F90"/>
    <w:rsid w:val="001F4597"/>
    <w:rsid w:val="001F4826"/>
    <w:rsid w:val="001F4933"/>
    <w:rsid w:val="001F59C8"/>
    <w:rsid w:val="001F6CD3"/>
    <w:rsid w:val="001F75DA"/>
    <w:rsid w:val="001F7CE0"/>
    <w:rsid w:val="00200085"/>
    <w:rsid w:val="00201633"/>
    <w:rsid w:val="00203332"/>
    <w:rsid w:val="00203CD5"/>
    <w:rsid w:val="00203D8F"/>
    <w:rsid w:val="00203DA4"/>
    <w:rsid w:val="00204EA6"/>
    <w:rsid w:val="00205186"/>
    <w:rsid w:val="00206516"/>
    <w:rsid w:val="002070CF"/>
    <w:rsid w:val="002071D5"/>
    <w:rsid w:val="002111E5"/>
    <w:rsid w:val="0021149E"/>
    <w:rsid w:val="002118B9"/>
    <w:rsid w:val="00213691"/>
    <w:rsid w:val="002142C0"/>
    <w:rsid w:val="00217BED"/>
    <w:rsid w:val="00217C5B"/>
    <w:rsid w:val="00220A43"/>
    <w:rsid w:val="0022139E"/>
    <w:rsid w:val="00222729"/>
    <w:rsid w:val="0022287B"/>
    <w:rsid w:val="002228DB"/>
    <w:rsid w:val="00223185"/>
    <w:rsid w:val="00223264"/>
    <w:rsid w:val="002233D6"/>
    <w:rsid w:val="0022441D"/>
    <w:rsid w:val="00224574"/>
    <w:rsid w:val="00224E3F"/>
    <w:rsid w:val="00225000"/>
    <w:rsid w:val="002252E0"/>
    <w:rsid w:val="002255F6"/>
    <w:rsid w:val="00226032"/>
    <w:rsid w:val="0022738D"/>
    <w:rsid w:val="00227605"/>
    <w:rsid w:val="00227850"/>
    <w:rsid w:val="00227A53"/>
    <w:rsid w:val="00227C6C"/>
    <w:rsid w:val="00227E2E"/>
    <w:rsid w:val="00227F53"/>
    <w:rsid w:val="00230C6E"/>
    <w:rsid w:val="00230E21"/>
    <w:rsid w:val="00231066"/>
    <w:rsid w:val="002316A8"/>
    <w:rsid w:val="00231859"/>
    <w:rsid w:val="002320C9"/>
    <w:rsid w:val="0023288F"/>
    <w:rsid w:val="0023359B"/>
    <w:rsid w:val="00233603"/>
    <w:rsid w:val="002340EF"/>
    <w:rsid w:val="00234B82"/>
    <w:rsid w:val="00236443"/>
    <w:rsid w:val="00236700"/>
    <w:rsid w:val="00237C8B"/>
    <w:rsid w:val="00240391"/>
    <w:rsid w:val="00240AF3"/>
    <w:rsid w:val="002418D5"/>
    <w:rsid w:val="00241A9F"/>
    <w:rsid w:val="00241B06"/>
    <w:rsid w:val="0024343A"/>
    <w:rsid w:val="002436BA"/>
    <w:rsid w:val="002438DC"/>
    <w:rsid w:val="00244652"/>
    <w:rsid w:val="00244A15"/>
    <w:rsid w:val="002452D9"/>
    <w:rsid w:val="00247319"/>
    <w:rsid w:val="0024799E"/>
    <w:rsid w:val="00247E60"/>
    <w:rsid w:val="00251496"/>
    <w:rsid w:val="00251B08"/>
    <w:rsid w:val="00251C53"/>
    <w:rsid w:val="00252AB9"/>
    <w:rsid w:val="002532B1"/>
    <w:rsid w:val="00253C0F"/>
    <w:rsid w:val="002558C1"/>
    <w:rsid w:val="00256207"/>
    <w:rsid w:val="002575F3"/>
    <w:rsid w:val="002603E1"/>
    <w:rsid w:val="002605FE"/>
    <w:rsid w:val="0026120E"/>
    <w:rsid w:val="002617EE"/>
    <w:rsid w:val="00262582"/>
    <w:rsid w:val="0026291D"/>
    <w:rsid w:val="00262CF3"/>
    <w:rsid w:val="00264309"/>
    <w:rsid w:val="00264992"/>
    <w:rsid w:val="00264B4F"/>
    <w:rsid w:val="00264B85"/>
    <w:rsid w:val="0026564B"/>
    <w:rsid w:val="00265C83"/>
    <w:rsid w:val="00265E85"/>
    <w:rsid w:val="00267B49"/>
    <w:rsid w:val="00267C51"/>
    <w:rsid w:val="002700D9"/>
    <w:rsid w:val="0027025F"/>
    <w:rsid w:val="002709CC"/>
    <w:rsid w:val="00270D25"/>
    <w:rsid w:val="00271022"/>
    <w:rsid w:val="00271465"/>
    <w:rsid w:val="00271A07"/>
    <w:rsid w:val="00271E47"/>
    <w:rsid w:val="002721F5"/>
    <w:rsid w:val="00272DF4"/>
    <w:rsid w:val="00275062"/>
    <w:rsid w:val="00275758"/>
    <w:rsid w:val="0027583D"/>
    <w:rsid w:val="002759C7"/>
    <w:rsid w:val="00275DEF"/>
    <w:rsid w:val="002763A2"/>
    <w:rsid w:val="00276B33"/>
    <w:rsid w:val="00277669"/>
    <w:rsid w:val="002803A5"/>
    <w:rsid w:val="00280ACB"/>
    <w:rsid w:val="002812E3"/>
    <w:rsid w:val="00282AD4"/>
    <w:rsid w:val="0028341F"/>
    <w:rsid w:val="002837AE"/>
    <w:rsid w:val="00283C13"/>
    <w:rsid w:val="00283F7B"/>
    <w:rsid w:val="0028431A"/>
    <w:rsid w:val="002853FA"/>
    <w:rsid w:val="00285412"/>
    <w:rsid w:val="00286220"/>
    <w:rsid w:val="0029110B"/>
    <w:rsid w:val="00291640"/>
    <w:rsid w:val="0029237E"/>
    <w:rsid w:val="00292997"/>
    <w:rsid w:val="00293D24"/>
    <w:rsid w:val="0029509B"/>
    <w:rsid w:val="0029588F"/>
    <w:rsid w:val="00295E96"/>
    <w:rsid w:val="00297256"/>
    <w:rsid w:val="00297A5C"/>
    <w:rsid w:val="00297D51"/>
    <w:rsid w:val="002A0122"/>
    <w:rsid w:val="002A016B"/>
    <w:rsid w:val="002A16D4"/>
    <w:rsid w:val="002A1E4F"/>
    <w:rsid w:val="002A230C"/>
    <w:rsid w:val="002A2AF7"/>
    <w:rsid w:val="002A3209"/>
    <w:rsid w:val="002A38F3"/>
    <w:rsid w:val="002A3EA2"/>
    <w:rsid w:val="002A51AC"/>
    <w:rsid w:val="002A532A"/>
    <w:rsid w:val="002A5846"/>
    <w:rsid w:val="002A5D97"/>
    <w:rsid w:val="002A603E"/>
    <w:rsid w:val="002A63B9"/>
    <w:rsid w:val="002A7089"/>
    <w:rsid w:val="002B0692"/>
    <w:rsid w:val="002B1619"/>
    <w:rsid w:val="002B3EF4"/>
    <w:rsid w:val="002B4845"/>
    <w:rsid w:val="002B5567"/>
    <w:rsid w:val="002B5812"/>
    <w:rsid w:val="002B72AA"/>
    <w:rsid w:val="002C1110"/>
    <w:rsid w:val="002C1BC2"/>
    <w:rsid w:val="002C1F09"/>
    <w:rsid w:val="002C22A4"/>
    <w:rsid w:val="002C260B"/>
    <w:rsid w:val="002C27A6"/>
    <w:rsid w:val="002C31E4"/>
    <w:rsid w:val="002C398D"/>
    <w:rsid w:val="002C40D2"/>
    <w:rsid w:val="002C43BD"/>
    <w:rsid w:val="002C5245"/>
    <w:rsid w:val="002C564A"/>
    <w:rsid w:val="002C59D8"/>
    <w:rsid w:val="002C5FEB"/>
    <w:rsid w:val="002C6494"/>
    <w:rsid w:val="002D05CB"/>
    <w:rsid w:val="002D0E59"/>
    <w:rsid w:val="002D2C4F"/>
    <w:rsid w:val="002D3EBB"/>
    <w:rsid w:val="002D455C"/>
    <w:rsid w:val="002D6066"/>
    <w:rsid w:val="002D6A4C"/>
    <w:rsid w:val="002E02A1"/>
    <w:rsid w:val="002E196A"/>
    <w:rsid w:val="002E1F8A"/>
    <w:rsid w:val="002E20C7"/>
    <w:rsid w:val="002E20CD"/>
    <w:rsid w:val="002E222E"/>
    <w:rsid w:val="002E28D8"/>
    <w:rsid w:val="002E3638"/>
    <w:rsid w:val="002E37D1"/>
    <w:rsid w:val="002E3BEE"/>
    <w:rsid w:val="002E4E4C"/>
    <w:rsid w:val="002E4EA7"/>
    <w:rsid w:val="002E5846"/>
    <w:rsid w:val="002E792B"/>
    <w:rsid w:val="002E7AEB"/>
    <w:rsid w:val="002E7B79"/>
    <w:rsid w:val="002F1B09"/>
    <w:rsid w:val="002F1D56"/>
    <w:rsid w:val="002F1DCB"/>
    <w:rsid w:val="002F1DE4"/>
    <w:rsid w:val="002F333D"/>
    <w:rsid w:val="002F351A"/>
    <w:rsid w:val="002F46D6"/>
    <w:rsid w:val="002F498A"/>
    <w:rsid w:val="002F4AD8"/>
    <w:rsid w:val="002F5285"/>
    <w:rsid w:val="002F5820"/>
    <w:rsid w:val="002F64BB"/>
    <w:rsid w:val="002F7D9B"/>
    <w:rsid w:val="00300C31"/>
    <w:rsid w:val="003017EC"/>
    <w:rsid w:val="00302165"/>
    <w:rsid w:val="00303BB4"/>
    <w:rsid w:val="00304771"/>
    <w:rsid w:val="00304F9C"/>
    <w:rsid w:val="003052D4"/>
    <w:rsid w:val="00305863"/>
    <w:rsid w:val="003060E9"/>
    <w:rsid w:val="00306C5B"/>
    <w:rsid w:val="00307529"/>
    <w:rsid w:val="00307DB3"/>
    <w:rsid w:val="00307ED2"/>
    <w:rsid w:val="0031076D"/>
    <w:rsid w:val="0031169A"/>
    <w:rsid w:val="00311AA6"/>
    <w:rsid w:val="00311C4D"/>
    <w:rsid w:val="003121AB"/>
    <w:rsid w:val="00312A85"/>
    <w:rsid w:val="00315169"/>
    <w:rsid w:val="003153C8"/>
    <w:rsid w:val="00315524"/>
    <w:rsid w:val="00315561"/>
    <w:rsid w:val="00316B3D"/>
    <w:rsid w:val="0032058C"/>
    <w:rsid w:val="003208D0"/>
    <w:rsid w:val="003209D6"/>
    <w:rsid w:val="003217B9"/>
    <w:rsid w:val="00321924"/>
    <w:rsid w:val="00321AF1"/>
    <w:rsid w:val="00321EB6"/>
    <w:rsid w:val="003220A5"/>
    <w:rsid w:val="003238E0"/>
    <w:rsid w:val="00323A1C"/>
    <w:rsid w:val="00323A2F"/>
    <w:rsid w:val="003247E1"/>
    <w:rsid w:val="00324B59"/>
    <w:rsid w:val="00325E46"/>
    <w:rsid w:val="0032656E"/>
    <w:rsid w:val="0032788F"/>
    <w:rsid w:val="00332190"/>
    <w:rsid w:val="00332A98"/>
    <w:rsid w:val="003334BD"/>
    <w:rsid w:val="00333973"/>
    <w:rsid w:val="00333CD0"/>
    <w:rsid w:val="0033448D"/>
    <w:rsid w:val="00334AD2"/>
    <w:rsid w:val="00334CB6"/>
    <w:rsid w:val="0033709C"/>
    <w:rsid w:val="003370C5"/>
    <w:rsid w:val="003373C6"/>
    <w:rsid w:val="0033753A"/>
    <w:rsid w:val="00340BF3"/>
    <w:rsid w:val="00341D26"/>
    <w:rsid w:val="00341F05"/>
    <w:rsid w:val="0034335E"/>
    <w:rsid w:val="00344668"/>
    <w:rsid w:val="00344940"/>
    <w:rsid w:val="00346234"/>
    <w:rsid w:val="003462D9"/>
    <w:rsid w:val="0034723F"/>
    <w:rsid w:val="00347247"/>
    <w:rsid w:val="003474B6"/>
    <w:rsid w:val="00347DD4"/>
    <w:rsid w:val="00352B43"/>
    <w:rsid w:val="00352C28"/>
    <w:rsid w:val="003541BB"/>
    <w:rsid w:val="00354F89"/>
    <w:rsid w:val="0035506D"/>
    <w:rsid w:val="0036077F"/>
    <w:rsid w:val="00360C86"/>
    <w:rsid w:val="00360F7A"/>
    <w:rsid w:val="00360FBC"/>
    <w:rsid w:val="00361537"/>
    <w:rsid w:val="00361FB7"/>
    <w:rsid w:val="0036242A"/>
    <w:rsid w:val="00362C23"/>
    <w:rsid w:val="00362DCA"/>
    <w:rsid w:val="00362E90"/>
    <w:rsid w:val="00364FA0"/>
    <w:rsid w:val="003657F3"/>
    <w:rsid w:val="00365844"/>
    <w:rsid w:val="00365F61"/>
    <w:rsid w:val="0036624C"/>
    <w:rsid w:val="00367F84"/>
    <w:rsid w:val="003712BC"/>
    <w:rsid w:val="00372164"/>
    <w:rsid w:val="003738BD"/>
    <w:rsid w:val="00374263"/>
    <w:rsid w:val="003746F0"/>
    <w:rsid w:val="00374A20"/>
    <w:rsid w:val="00374B96"/>
    <w:rsid w:val="00374E21"/>
    <w:rsid w:val="0037537A"/>
    <w:rsid w:val="00377B2E"/>
    <w:rsid w:val="00380C9B"/>
    <w:rsid w:val="003810F0"/>
    <w:rsid w:val="003815D4"/>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398D"/>
    <w:rsid w:val="00393B3F"/>
    <w:rsid w:val="00396739"/>
    <w:rsid w:val="003978B1"/>
    <w:rsid w:val="003A04F6"/>
    <w:rsid w:val="003A0837"/>
    <w:rsid w:val="003A2B4D"/>
    <w:rsid w:val="003A2D12"/>
    <w:rsid w:val="003A2EBA"/>
    <w:rsid w:val="003A45E3"/>
    <w:rsid w:val="003A46B8"/>
    <w:rsid w:val="003A478C"/>
    <w:rsid w:val="003A4A38"/>
    <w:rsid w:val="003A5525"/>
    <w:rsid w:val="003A5889"/>
    <w:rsid w:val="003A5C8C"/>
    <w:rsid w:val="003A6B38"/>
    <w:rsid w:val="003A6B83"/>
    <w:rsid w:val="003A6C97"/>
    <w:rsid w:val="003A722F"/>
    <w:rsid w:val="003A7373"/>
    <w:rsid w:val="003A7D09"/>
    <w:rsid w:val="003B039F"/>
    <w:rsid w:val="003B0DF4"/>
    <w:rsid w:val="003B1F9D"/>
    <w:rsid w:val="003B2A8D"/>
    <w:rsid w:val="003B2AD1"/>
    <w:rsid w:val="003B2D2E"/>
    <w:rsid w:val="003B376A"/>
    <w:rsid w:val="003B461F"/>
    <w:rsid w:val="003B483F"/>
    <w:rsid w:val="003B4998"/>
    <w:rsid w:val="003B5A32"/>
    <w:rsid w:val="003B5B59"/>
    <w:rsid w:val="003B709D"/>
    <w:rsid w:val="003B7B50"/>
    <w:rsid w:val="003C0B07"/>
    <w:rsid w:val="003C2CE7"/>
    <w:rsid w:val="003C2DB8"/>
    <w:rsid w:val="003C3490"/>
    <w:rsid w:val="003C3608"/>
    <w:rsid w:val="003C3AE8"/>
    <w:rsid w:val="003C3D2C"/>
    <w:rsid w:val="003C4E13"/>
    <w:rsid w:val="003C58A5"/>
    <w:rsid w:val="003C6221"/>
    <w:rsid w:val="003C63D7"/>
    <w:rsid w:val="003C68CC"/>
    <w:rsid w:val="003C7E62"/>
    <w:rsid w:val="003D12B9"/>
    <w:rsid w:val="003D1E7A"/>
    <w:rsid w:val="003D242B"/>
    <w:rsid w:val="003D2492"/>
    <w:rsid w:val="003D29AA"/>
    <w:rsid w:val="003D2A99"/>
    <w:rsid w:val="003D6920"/>
    <w:rsid w:val="003E0249"/>
    <w:rsid w:val="003E08A4"/>
    <w:rsid w:val="003E1EF8"/>
    <w:rsid w:val="003E2DFB"/>
    <w:rsid w:val="003E4466"/>
    <w:rsid w:val="003E4C91"/>
    <w:rsid w:val="003E52D8"/>
    <w:rsid w:val="003E62F1"/>
    <w:rsid w:val="003E6F84"/>
    <w:rsid w:val="003F313C"/>
    <w:rsid w:val="003F33B1"/>
    <w:rsid w:val="003F33B9"/>
    <w:rsid w:val="003F37FC"/>
    <w:rsid w:val="003F3E76"/>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46BD"/>
    <w:rsid w:val="00404BAB"/>
    <w:rsid w:val="00405318"/>
    <w:rsid w:val="004059D2"/>
    <w:rsid w:val="004060C9"/>
    <w:rsid w:val="004066D0"/>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17106"/>
    <w:rsid w:val="00420880"/>
    <w:rsid w:val="00421179"/>
    <w:rsid w:val="004225D7"/>
    <w:rsid w:val="00423623"/>
    <w:rsid w:val="0042470E"/>
    <w:rsid w:val="00425352"/>
    <w:rsid w:val="00426C99"/>
    <w:rsid w:val="004272BE"/>
    <w:rsid w:val="00430C96"/>
    <w:rsid w:val="0043174F"/>
    <w:rsid w:val="00431BFF"/>
    <w:rsid w:val="00432199"/>
    <w:rsid w:val="00432A58"/>
    <w:rsid w:val="004331C3"/>
    <w:rsid w:val="00433C17"/>
    <w:rsid w:val="00434617"/>
    <w:rsid w:val="00434DE9"/>
    <w:rsid w:val="00435051"/>
    <w:rsid w:val="00435C69"/>
    <w:rsid w:val="004360FB"/>
    <w:rsid w:val="00437CED"/>
    <w:rsid w:val="004407BF"/>
    <w:rsid w:val="00440900"/>
    <w:rsid w:val="0044121D"/>
    <w:rsid w:val="00441BF6"/>
    <w:rsid w:val="00441D2B"/>
    <w:rsid w:val="00441F8B"/>
    <w:rsid w:val="00442085"/>
    <w:rsid w:val="0044279E"/>
    <w:rsid w:val="004441A0"/>
    <w:rsid w:val="00445861"/>
    <w:rsid w:val="00445A8E"/>
    <w:rsid w:val="00446D44"/>
    <w:rsid w:val="0045078A"/>
    <w:rsid w:val="0045086D"/>
    <w:rsid w:val="00450DAB"/>
    <w:rsid w:val="0045125B"/>
    <w:rsid w:val="00451E25"/>
    <w:rsid w:val="00451EF1"/>
    <w:rsid w:val="00452E60"/>
    <w:rsid w:val="0045321B"/>
    <w:rsid w:val="00456FE5"/>
    <w:rsid w:val="00457490"/>
    <w:rsid w:val="0045778B"/>
    <w:rsid w:val="0045786C"/>
    <w:rsid w:val="00457953"/>
    <w:rsid w:val="004604D8"/>
    <w:rsid w:val="00460656"/>
    <w:rsid w:val="00460FB3"/>
    <w:rsid w:val="00463D3C"/>
    <w:rsid w:val="00464851"/>
    <w:rsid w:val="00466595"/>
    <w:rsid w:val="00466B3E"/>
    <w:rsid w:val="0046746A"/>
    <w:rsid w:val="00467B14"/>
    <w:rsid w:val="004707FE"/>
    <w:rsid w:val="00470EDC"/>
    <w:rsid w:val="00472418"/>
    <w:rsid w:val="0047276D"/>
    <w:rsid w:val="00472AF6"/>
    <w:rsid w:val="00473482"/>
    <w:rsid w:val="00474646"/>
    <w:rsid w:val="00474A04"/>
    <w:rsid w:val="00476240"/>
    <w:rsid w:val="00476439"/>
    <w:rsid w:val="00476450"/>
    <w:rsid w:val="004769BF"/>
    <w:rsid w:val="004769E1"/>
    <w:rsid w:val="0047735C"/>
    <w:rsid w:val="004776BC"/>
    <w:rsid w:val="00477820"/>
    <w:rsid w:val="00477B96"/>
    <w:rsid w:val="00480802"/>
    <w:rsid w:val="00480BAE"/>
    <w:rsid w:val="00480D7F"/>
    <w:rsid w:val="0048139F"/>
    <w:rsid w:val="00481E40"/>
    <w:rsid w:val="00482405"/>
    <w:rsid w:val="004826A7"/>
    <w:rsid w:val="0048368C"/>
    <w:rsid w:val="0048372F"/>
    <w:rsid w:val="00483A0C"/>
    <w:rsid w:val="004841CC"/>
    <w:rsid w:val="00484ECE"/>
    <w:rsid w:val="00485E82"/>
    <w:rsid w:val="00486132"/>
    <w:rsid w:val="0048686D"/>
    <w:rsid w:val="00486A4D"/>
    <w:rsid w:val="004915CB"/>
    <w:rsid w:val="004924DC"/>
    <w:rsid w:val="00492879"/>
    <w:rsid w:val="00493E85"/>
    <w:rsid w:val="00495145"/>
    <w:rsid w:val="0049531F"/>
    <w:rsid w:val="004979A5"/>
    <w:rsid w:val="004A0144"/>
    <w:rsid w:val="004A036E"/>
    <w:rsid w:val="004A0498"/>
    <w:rsid w:val="004A06B0"/>
    <w:rsid w:val="004A0D0E"/>
    <w:rsid w:val="004A14E4"/>
    <w:rsid w:val="004A204E"/>
    <w:rsid w:val="004A26A5"/>
    <w:rsid w:val="004A27F0"/>
    <w:rsid w:val="004A3212"/>
    <w:rsid w:val="004A37CD"/>
    <w:rsid w:val="004A40D9"/>
    <w:rsid w:val="004A49A5"/>
    <w:rsid w:val="004A4F8A"/>
    <w:rsid w:val="004A52AB"/>
    <w:rsid w:val="004A5494"/>
    <w:rsid w:val="004A5D4E"/>
    <w:rsid w:val="004A61C5"/>
    <w:rsid w:val="004A62A0"/>
    <w:rsid w:val="004A77DF"/>
    <w:rsid w:val="004B1417"/>
    <w:rsid w:val="004B305C"/>
    <w:rsid w:val="004B31B8"/>
    <w:rsid w:val="004B339A"/>
    <w:rsid w:val="004B4C83"/>
    <w:rsid w:val="004B55B7"/>
    <w:rsid w:val="004B5BFA"/>
    <w:rsid w:val="004B619E"/>
    <w:rsid w:val="004B6468"/>
    <w:rsid w:val="004B6EF8"/>
    <w:rsid w:val="004B7125"/>
    <w:rsid w:val="004B756A"/>
    <w:rsid w:val="004B7FB1"/>
    <w:rsid w:val="004C0970"/>
    <w:rsid w:val="004C0B3F"/>
    <w:rsid w:val="004C0F87"/>
    <w:rsid w:val="004C25F9"/>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2D31"/>
    <w:rsid w:val="004D2E03"/>
    <w:rsid w:val="004D3296"/>
    <w:rsid w:val="004D4056"/>
    <w:rsid w:val="004D4CB0"/>
    <w:rsid w:val="004D5B0F"/>
    <w:rsid w:val="004D7626"/>
    <w:rsid w:val="004E12DF"/>
    <w:rsid w:val="004E186A"/>
    <w:rsid w:val="004E1A40"/>
    <w:rsid w:val="004E200A"/>
    <w:rsid w:val="004E23FC"/>
    <w:rsid w:val="004E2409"/>
    <w:rsid w:val="004E261D"/>
    <w:rsid w:val="004E3927"/>
    <w:rsid w:val="004E3B7F"/>
    <w:rsid w:val="004E57BF"/>
    <w:rsid w:val="004E5F41"/>
    <w:rsid w:val="004E6011"/>
    <w:rsid w:val="004E6DE6"/>
    <w:rsid w:val="004E765E"/>
    <w:rsid w:val="004E7815"/>
    <w:rsid w:val="004F06F5"/>
    <w:rsid w:val="004F12A4"/>
    <w:rsid w:val="004F253F"/>
    <w:rsid w:val="004F33A0"/>
    <w:rsid w:val="004F3873"/>
    <w:rsid w:val="004F3BD2"/>
    <w:rsid w:val="004F46ED"/>
    <w:rsid w:val="004F49A3"/>
    <w:rsid w:val="004F4C99"/>
    <w:rsid w:val="004F5358"/>
    <w:rsid w:val="004F6484"/>
    <w:rsid w:val="004F6539"/>
    <w:rsid w:val="00503D54"/>
    <w:rsid w:val="005048E2"/>
    <w:rsid w:val="00505FC8"/>
    <w:rsid w:val="00506603"/>
    <w:rsid w:val="0050689D"/>
    <w:rsid w:val="005077F5"/>
    <w:rsid w:val="005108C0"/>
    <w:rsid w:val="0051094F"/>
    <w:rsid w:val="00511217"/>
    <w:rsid w:val="00511873"/>
    <w:rsid w:val="00511BAF"/>
    <w:rsid w:val="00512461"/>
    <w:rsid w:val="00512585"/>
    <w:rsid w:val="00512A2F"/>
    <w:rsid w:val="00513B7E"/>
    <w:rsid w:val="00513E9D"/>
    <w:rsid w:val="0051475D"/>
    <w:rsid w:val="00514B11"/>
    <w:rsid w:val="00515485"/>
    <w:rsid w:val="00515BE9"/>
    <w:rsid w:val="00515C74"/>
    <w:rsid w:val="00515CEB"/>
    <w:rsid w:val="0051630F"/>
    <w:rsid w:val="00517113"/>
    <w:rsid w:val="0052007E"/>
    <w:rsid w:val="00521CAD"/>
    <w:rsid w:val="0052200D"/>
    <w:rsid w:val="00522425"/>
    <w:rsid w:val="00522A1B"/>
    <w:rsid w:val="00522E01"/>
    <w:rsid w:val="0052337A"/>
    <w:rsid w:val="00524385"/>
    <w:rsid w:val="005246BE"/>
    <w:rsid w:val="00525137"/>
    <w:rsid w:val="005251DD"/>
    <w:rsid w:val="0052762C"/>
    <w:rsid w:val="0053012B"/>
    <w:rsid w:val="005301A6"/>
    <w:rsid w:val="00530A68"/>
    <w:rsid w:val="00530AD4"/>
    <w:rsid w:val="0053129F"/>
    <w:rsid w:val="00531C5A"/>
    <w:rsid w:val="00532CE7"/>
    <w:rsid w:val="00532D8B"/>
    <w:rsid w:val="0053324C"/>
    <w:rsid w:val="00533A8D"/>
    <w:rsid w:val="00534A28"/>
    <w:rsid w:val="00535018"/>
    <w:rsid w:val="0053595E"/>
    <w:rsid w:val="00537571"/>
    <w:rsid w:val="00540056"/>
    <w:rsid w:val="005410E2"/>
    <w:rsid w:val="00541508"/>
    <w:rsid w:val="00541AE3"/>
    <w:rsid w:val="00543498"/>
    <w:rsid w:val="00544011"/>
    <w:rsid w:val="00544BE5"/>
    <w:rsid w:val="005453A3"/>
    <w:rsid w:val="005455F6"/>
    <w:rsid w:val="0054582F"/>
    <w:rsid w:val="00546FC7"/>
    <w:rsid w:val="005500F9"/>
    <w:rsid w:val="00550160"/>
    <w:rsid w:val="00550540"/>
    <w:rsid w:val="005519E2"/>
    <w:rsid w:val="00551E16"/>
    <w:rsid w:val="005523A8"/>
    <w:rsid w:val="00552F2C"/>
    <w:rsid w:val="00553A25"/>
    <w:rsid w:val="005547EB"/>
    <w:rsid w:val="00554863"/>
    <w:rsid w:val="005555E0"/>
    <w:rsid w:val="0055599F"/>
    <w:rsid w:val="00556D68"/>
    <w:rsid w:val="0055707B"/>
    <w:rsid w:val="005570D6"/>
    <w:rsid w:val="00557E0E"/>
    <w:rsid w:val="00557E45"/>
    <w:rsid w:val="00560C41"/>
    <w:rsid w:val="00560CAC"/>
    <w:rsid w:val="00561F44"/>
    <w:rsid w:val="00562B4D"/>
    <w:rsid w:val="00562DB1"/>
    <w:rsid w:val="00563EB8"/>
    <w:rsid w:val="005647BF"/>
    <w:rsid w:val="00564AF1"/>
    <w:rsid w:val="005655DB"/>
    <w:rsid w:val="00565E88"/>
    <w:rsid w:val="00567339"/>
    <w:rsid w:val="005678EE"/>
    <w:rsid w:val="00567910"/>
    <w:rsid w:val="00570270"/>
    <w:rsid w:val="00570464"/>
    <w:rsid w:val="00570BC3"/>
    <w:rsid w:val="0057182A"/>
    <w:rsid w:val="00571E59"/>
    <w:rsid w:val="00572079"/>
    <w:rsid w:val="00572900"/>
    <w:rsid w:val="00573602"/>
    <w:rsid w:val="0057364B"/>
    <w:rsid w:val="00574773"/>
    <w:rsid w:val="005761EC"/>
    <w:rsid w:val="00577C07"/>
    <w:rsid w:val="00577DB1"/>
    <w:rsid w:val="00580AD3"/>
    <w:rsid w:val="00580DE7"/>
    <w:rsid w:val="005810E1"/>
    <w:rsid w:val="005820CD"/>
    <w:rsid w:val="00583BDD"/>
    <w:rsid w:val="00583E52"/>
    <w:rsid w:val="00583FFD"/>
    <w:rsid w:val="00584252"/>
    <w:rsid w:val="005848DD"/>
    <w:rsid w:val="0058519A"/>
    <w:rsid w:val="005856BD"/>
    <w:rsid w:val="00585983"/>
    <w:rsid w:val="00586BCA"/>
    <w:rsid w:val="00587038"/>
    <w:rsid w:val="00590608"/>
    <w:rsid w:val="00590B28"/>
    <w:rsid w:val="005911BE"/>
    <w:rsid w:val="00591273"/>
    <w:rsid w:val="00591E9E"/>
    <w:rsid w:val="005927A4"/>
    <w:rsid w:val="00593152"/>
    <w:rsid w:val="00593389"/>
    <w:rsid w:val="00593FE6"/>
    <w:rsid w:val="005956A3"/>
    <w:rsid w:val="00595958"/>
    <w:rsid w:val="00595CAB"/>
    <w:rsid w:val="0059622E"/>
    <w:rsid w:val="00597671"/>
    <w:rsid w:val="00597BBF"/>
    <w:rsid w:val="005A040C"/>
    <w:rsid w:val="005A0463"/>
    <w:rsid w:val="005A0948"/>
    <w:rsid w:val="005A0A03"/>
    <w:rsid w:val="005A10F2"/>
    <w:rsid w:val="005A16C0"/>
    <w:rsid w:val="005A2156"/>
    <w:rsid w:val="005A21E0"/>
    <w:rsid w:val="005A28FF"/>
    <w:rsid w:val="005A2C09"/>
    <w:rsid w:val="005A3778"/>
    <w:rsid w:val="005A37B0"/>
    <w:rsid w:val="005A3DF8"/>
    <w:rsid w:val="005A5549"/>
    <w:rsid w:val="005A566A"/>
    <w:rsid w:val="005A7ABD"/>
    <w:rsid w:val="005A7CF8"/>
    <w:rsid w:val="005B0EDA"/>
    <w:rsid w:val="005B121D"/>
    <w:rsid w:val="005B26B0"/>
    <w:rsid w:val="005B41C9"/>
    <w:rsid w:val="005B44E6"/>
    <w:rsid w:val="005B4853"/>
    <w:rsid w:val="005B6CA1"/>
    <w:rsid w:val="005B770C"/>
    <w:rsid w:val="005C06ED"/>
    <w:rsid w:val="005C0CE1"/>
    <w:rsid w:val="005C11B8"/>
    <w:rsid w:val="005C216C"/>
    <w:rsid w:val="005C2609"/>
    <w:rsid w:val="005C2B30"/>
    <w:rsid w:val="005C412B"/>
    <w:rsid w:val="005C43EC"/>
    <w:rsid w:val="005C45DD"/>
    <w:rsid w:val="005C4704"/>
    <w:rsid w:val="005C4CB1"/>
    <w:rsid w:val="005D3F06"/>
    <w:rsid w:val="005D4B73"/>
    <w:rsid w:val="005D5645"/>
    <w:rsid w:val="005D5802"/>
    <w:rsid w:val="005D5AA9"/>
    <w:rsid w:val="005D66E6"/>
    <w:rsid w:val="005D7119"/>
    <w:rsid w:val="005D76C8"/>
    <w:rsid w:val="005D7890"/>
    <w:rsid w:val="005E19C1"/>
    <w:rsid w:val="005E2194"/>
    <w:rsid w:val="005E24F0"/>
    <w:rsid w:val="005E3113"/>
    <w:rsid w:val="005E36FE"/>
    <w:rsid w:val="005E3F66"/>
    <w:rsid w:val="005E490F"/>
    <w:rsid w:val="005E4BC9"/>
    <w:rsid w:val="005E5314"/>
    <w:rsid w:val="005E7C78"/>
    <w:rsid w:val="005F04A7"/>
    <w:rsid w:val="005F114F"/>
    <w:rsid w:val="005F18C5"/>
    <w:rsid w:val="005F247B"/>
    <w:rsid w:val="005F2A08"/>
    <w:rsid w:val="005F36CC"/>
    <w:rsid w:val="005F3EB1"/>
    <w:rsid w:val="005F413E"/>
    <w:rsid w:val="005F466B"/>
    <w:rsid w:val="005F46D8"/>
    <w:rsid w:val="005F480F"/>
    <w:rsid w:val="005F5271"/>
    <w:rsid w:val="005F5469"/>
    <w:rsid w:val="005F63F3"/>
    <w:rsid w:val="005F66F0"/>
    <w:rsid w:val="005F6D7F"/>
    <w:rsid w:val="005F6DFE"/>
    <w:rsid w:val="005F7174"/>
    <w:rsid w:val="0060120D"/>
    <w:rsid w:val="006017C1"/>
    <w:rsid w:val="00601ADE"/>
    <w:rsid w:val="00601EEF"/>
    <w:rsid w:val="0060255A"/>
    <w:rsid w:val="00602998"/>
    <w:rsid w:val="00602EB3"/>
    <w:rsid w:val="00604307"/>
    <w:rsid w:val="0060487F"/>
    <w:rsid w:val="00604EAD"/>
    <w:rsid w:val="0060513F"/>
    <w:rsid w:val="006065E2"/>
    <w:rsid w:val="0060694B"/>
    <w:rsid w:val="006104FB"/>
    <w:rsid w:val="0061176D"/>
    <w:rsid w:val="0061200F"/>
    <w:rsid w:val="00612756"/>
    <w:rsid w:val="00612A2F"/>
    <w:rsid w:val="00612AAE"/>
    <w:rsid w:val="00612B07"/>
    <w:rsid w:val="00612FD9"/>
    <w:rsid w:val="006139E0"/>
    <w:rsid w:val="00614D35"/>
    <w:rsid w:val="006156B4"/>
    <w:rsid w:val="00615DAF"/>
    <w:rsid w:val="00616254"/>
    <w:rsid w:val="0061672A"/>
    <w:rsid w:val="00616E05"/>
    <w:rsid w:val="00617985"/>
    <w:rsid w:val="00620B77"/>
    <w:rsid w:val="0062131B"/>
    <w:rsid w:val="00621E26"/>
    <w:rsid w:val="006224EA"/>
    <w:rsid w:val="0062263A"/>
    <w:rsid w:val="006227DF"/>
    <w:rsid w:val="006236C8"/>
    <w:rsid w:val="00624093"/>
    <w:rsid w:val="00625A84"/>
    <w:rsid w:val="00626079"/>
    <w:rsid w:val="00631698"/>
    <w:rsid w:val="00631E44"/>
    <w:rsid w:val="00634C57"/>
    <w:rsid w:val="00634CE7"/>
    <w:rsid w:val="006350D5"/>
    <w:rsid w:val="0063642C"/>
    <w:rsid w:val="006376B3"/>
    <w:rsid w:val="00637858"/>
    <w:rsid w:val="006404A7"/>
    <w:rsid w:val="00640A38"/>
    <w:rsid w:val="00640E6B"/>
    <w:rsid w:val="00641787"/>
    <w:rsid w:val="0064179B"/>
    <w:rsid w:val="00642489"/>
    <w:rsid w:val="00644055"/>
    <w:rsid w:val="00644137"/>
    <w:rsid w:val="0064478C"/>
    <w:rsid w:val="00645160"/>
    <w:rsid w:val="006451E4"/>
    <w:rsid w:val="0064574B"/>
    <w:rsid w:val="00645B33"/>
    <w:rsid w:val="006516CB"/>
    <w:rsid w:val="00652E30"/>
    <w:rsid w:val="00653BD0"/>
    <w:rsid w:val="00654110"/>
    <w:rsid w:val="00656C5D"/>
    <w:rsid w:val="00656CFB"/>
    <w:rsid w:val="00656D25"/>
    <w:rsid w:val="00657E87"/>
    <w:rsid w:val="00660D2D"/>
    <w:rsid w:val="00661C41"/>
    <w:rsid w:val="00661EC9"/>
    <w:rsid w:val="00662469"/>
    <w:rsid w:val="0066411C"/>
    <w:rsid w:val="00664205"/>
    <w:rsid w:val="00664647"/>
    <w:rsid w:val="00664803"/>
    <w:rsid w:val="0066502F"/>
    <w:rsid w:val="006653CC"/>
    <w:rsid w:val="00665982"/>
    <w:rsid w:val="00665BA4"/>
    <w:rsid w:val="00666BF3"/>
    <w:rsid w:val="00667856"/>
    <w:rsid w:val="00667AF2"/>
    <w:rsid w:val="00670489"/>
    <w:rsid w:val="006710C9"/>
    <w:rsid w:val="00671D85"/>
    <w:rsid w:val="00672586"/>
    <w:rsid w:val="006741CD"/>
    <w:rsid w:val="00674D89"/>
    <w:rsid w:val="0067514E"/>
    <w:rsid w:val="00675E37"/>
    <w:rsid w:val="0067635D"/>
    <w:rsid w:val="00676736"/>
    <w:rsid w:val="006769A4"/>
    <w:rsid w:val="006769C6"/>
    <w:rsid w:val="00676D76"/>
    <w:rsid w:val="00676F9F"/>
    <w:rsid w:val="00677519"/>
    <w:rsid w:val="00677591"/>
    <w:rsid w:val="00677594"/>
    <w:rsid w:val="00677FA3"/>
    <w:rsid w:val="0068032F"/>
    <w:rsid w:val="00680D37"/>
    <w:rsid w:val="0068174E"/>
    <w:rsid w:val="00681DCE"/>
    <w:rsid w:val="00682110"/>
    <w:rsid w:val="0068260E"/>
    <w:rsid w:val="006846B3"/>
    <w:rsid w:val="00684B9B"/>
    <w:rsid w:val="00684D59"/>
    <w:rsid w:val="00684E25"/>
    <w:rsid w:val="006858A4"/>
    <w:rsid w:val="00685C08"/>
    <w:rsid w:val="00686718"/>
    <w:rsid w:val="00686BFA"/>
    <w:rsid w:val="00686DED"/>
    <w:rsid w:val="006875A0"/>
    <w:rsid w:val="006878C6"/>
    <w:rsid w:val="00687D27"/>
    <w:rsid w:val="00691943"/>
    <w:rsid w:val="00693550"/>
    <w:rsid w:val="00694622"/>
    <w:rsid w:val="00695065"/>
    <w:rsid w:val="00695BEF"/>
    <w:rsid w:val="00696251"/>
    <w:rsid w:val="006966C7"/>
    <w:rsid w:val="006968C1"/>
    <w:rsid w:val="006977F6"/>
    <w:rsid w:val="00697A13"/>
    <w:rsid w:val="006A0DD4"/>
    <w:rsid w:val="006A109C"/>
    <w:rsid w:val="006A4E91"/>
    <w:rsid w:val="006A5F4B"/>
    <w:rsid w:val="006A6114"/>
    <w:rsid w:val="006A6565"/>
    <w:rsid w:val="006A7665"/>
    <w:rsid w:val="006A7691"/>
    <w:rsid w:val="006A7EE2"/>
    <w:rsid w:val="006B0514"/>
    <w:rsid w:val="006B0F92"/>
    <w:rsid w:val="006B2785"/>
    <w:rsid w:val="006B27C7"/>
    <w:rsid w:val="006B344A"/>
    <w:rsid w:val="006B58C9"/>
    <w:rsid w:val="006B60ED"/>
    <w:rsid w:val="006B6CC5"/>
    <w:rsid w:val="006B74AC"/>
    <w:rsid w:val="006B78D8"/>
    <w:rsid w:val="006B79EA"/>
    <w:rsid w:val="006C0C5D"/>
    <w:rsid w:val="006C113F"/>
    <w:rsid w:val="006C123E"/>
    <w:rsid w:val="006C15A1"/>
    <w:rsid w:val="006C1752"/>
    <w:rsid w:val="006C1DDC"/>
    <w:rsid w:val="006C28CA"/>
    <w:rsid w:val="006C2BBF"/>
    <w:rsid w:val="006C2FBD"/>
    <w:rsid w:val="006C3336"/>
    <w:rsid w:val="006C3495"/>
    <w:rsid w:val="006C4355"/>
    <w:rsid w:val="006C4587"/>
    <w:rsid w:val="006C469D"/>
    <w:rsid w:val="006C46B5"/>
    <w:rsid w:val="006C484F"/>
    <w:rsid w:val="006C52EC"/>
    <w:rsid w:val="006C5506"/>
    <w:rsid w:val="006C56D4"/>
    <w:rsid w:val="006C6681"/>
    <w:rsid w:val="006C683C"/>
    <w:rsid w:val="006C6924"/>
    <w:rsid w:val="006C6C1E"/>
    <w:rsid w:val="006C7076"/>
    <w:rsid w:val="006C7AEC"/>
    <w:rsid w:val="006C7CA6"/>
    <w:rsid w:val="006D18B3"/>
    <w:rsid w:val="006D1E89"/>
    <w:rsid w:val="006D26CE"/>
    <w:rsid w:val="006D317E"/>
    <w:rsid w:val="006D3E8A"/>
    <w:rsid w:val="006D47D9"/>
    <w:rsid w:val="006D61F6"/>
    <w:rsid w:val="006E1081"/>
    <w:rsid w:val="006E1332"/>
    <w:rsid w:val="006E19CB"/>
    <w:rsid w:val="006E279A"/>
    <w:rsid w:val="006E313B"/>
    <w:rsid w:val="006E34B2"/>
    <w:rsid w:val="006E3A45"/>
    <w:rsid w:val="006E4078"/>
    <w:rsid w:val="006E51C4"/>
    <w:rsid w:val="006E53AD"/>
    <w:rsid w:val="006E58CB"/>
    <w:rsid w:val="006E6A93"/>
    <w:rsid w:val="006E7227"/>
    <w:rsid w:val="006E761A"/>
    <w:rsid w:val="006F0646"/>
    <w:rsid w:val="006F0741"/>
    <w:rsid w:val="006F1C27"/>
    <w:rsid w:val="006F2A65"/>
    <w:rsid w:val="006F3DD6"/>
    <w:rsid w:val="006F40DF"/>
    <w:rsid w:val="006F42BB"/>
    <w:rsid w:val="006F438E"/>
    <w:rsid w:val="006F440B"/>
    <w:rsid w:val="006F48A3"/>
    <w:rsid w:val="006F4DA4"/>
    <w:rsid w:val="006F5416"/>
    <w:rsid w:val="006F624B"/>
    <w:rsid w:val="006F6D87"/>
    <w:rsid w:val="006F6FF2"/>
    <w:rsid w:val="006F79FB"/>
    <w:rsid w:val="007008A9"/>
    <w:rsid w:val="00700E8A"/>
    <w:rsid w:val="0070398A"/>
    <w:rsid w:val="00705242"/>
    <w:rsid w:val="007055E0"/>
    <w:rsid w:val="007056ED"/>
    <w:rsid w:val="00705F4E"/>
    <w:rsid w:val="0070658E"/>
    <w:rsid w:val="007065C5"/>
    <w:rsid w:val="007068E1"/>
    <w:rsid w:val="00706AA0"/>
    <w:rsid w:val="00706AD4"/>
    <w:rsid w:val="00707150"/>
    <w:rsid w:val="007124D7"/>
    <w:rsid w:val="00712C20"/>
    <w:rsid w:val="00713549"/>
    <w:rsid w:val="007140BE"/>
    <w:rsid w:val="007147AB"/>
    <w:rsid w:val="00715502"/>
    <w:rsid w:val="00715D01"/>
    <w:rsid w:val="00715E4D"/>
    <w:rsid w:val="00715F12"/>
    <w:rsid w:val="0071677A"/>
    <w:rsid w:val="00716F48"/>
    <w:rsid w:val="007170FB"/>
    <w:rsid w:val="00717114"/>
    <w:rsid w:val="0071779F"/>
    <w:rsid w:val="00720310"/>
    <w:rsid w:val="00720D7A"/>
    <w:rsid w:val="007211F5"/>
    <w:rsid w:val="007213C3"/>
    <w:rsid w:val="00721601"/>
    <w:rsid w:val="00722777"/>
    <w:rsid w:val="00723435"/>
    <w:rsid w:val="00723436"/>
    <w:rsid w:val="007240E2"/>
    <w:rsid w:val="0072454C"/>
    <w:rsid w:val="0072583E"/>
    <w:rsid w:val="00725BB5"/>
    <w:rsid w:val="00727C02"/>
    <w:rsid w:val="0073008E"/>
    <w:rsid w:val="00730A8B"/>
    <w:rsid w:val="00730AE8"/>
    <w:rsid w:val="00730F1B"/>
    <w:rsid w:val="0073186D"/>
    <w:rsid w:val="0073261D"/>
    <w:rsid w:val="0073333D"/>
    <w:rsid w:val="007343D9"/>
    <w:rsid w:val="00734F71"/>
    <w:rsid w:val="00735448"/>
    <w:rsid w:val="00736F07"/>
    <w:rsid w:val="007377BD"/>
    <w:rsid w:val="00737DEC"/>
    <w:rsid w:val="0074004D"/>
    <w:rsid w:val="00741493"/>
    <w:rsid w:val="007434E5"/>
    <w:rsid w:val="0074499B"/>
    <w:rsid w:val="007450BF"/>
    <w:rsid w:val="00746F45"/>
    <w:rsid w:val="007471A1"/>
    <w:rsid w:val="007477BD"/>
    <w:rsid w:val="007477DA"/>
    <w:rsid w:val="00747EE9"/>
    <w:rsid w:val="007520B6"/>
    <w:rsid w:val="00752180"/>
    <w:rsid w:val="00752323"/>
    <w:rsid w:val="007532B7"/>
    <w:rsid w:val="00753CAB"/>
    <w:rsid w:val="00754A70"/>
    <w:rsid w:val="00754BC9"/>
    <w:rsid w:val="00755202"/>
    <w:rsid w:val="00755D3A"/>
    <w:rsid w:val="00757241"/>
    <w:rsid w:val="0075751D"/>
    <w:rsid w:val="0075763E"/>
    <w:rsid w:val="007578D3"/>
    <w:rsid w:val="007602CF"/>
    <w:rsid w:val="00760391"/>
    <w:rsid w:val="007609C6"/>
    <w:rsid w:val="007615F3"/>
    <w:rsid w:val="0076175D"/>
    <w:rsid w:val="00761CB5"/>
    <w:rsid w:val="007629D5"/>
    <w:rsid w:val="007635F8"/>
    <w:rsid w:val="00763B85"/>
    <w:rsid w:val="007644A2"/>
    <w:rsid w:val="00764974"/>
    <w:rsid w:val="00764D18"/>
    <w:rsid w:val="0076521E"/>
    <w:rsid w:val="00765BCC"/>
    <w:rsid w:val="0076600D"/>
    <w:rsid w:val="007661E9"/>
    <w:rsid w:val="00766460"/>
    <w:rsid w:val="00767062"/>
    <w:rsid w:val="00767601"/>
    <w:rsid w:val="00767777"/>
    <w:rsid w:val="00767933"/>
    <w:rsid w:val="00770CFC"/>
    <w:rsid w:val="0077130E"/>
    <w:rsid w:val="007715EE"/>
    <w:rsid w:val="00771972"/>
    <w:rsid w:val="00772279"/>
    <w:rsid w:val="00772DAB"/>
    <w:rsid w:val="00772FF9"/>
    <w:rsid w:val="0077348B"/>
    <w:rsid w:val="007743DB"/>
    <w:rsid w:val="00774D2C"/>
    <w:rsid w:val="0077605B"/>
    <w:rsid w:val="00776169"/>
    <w:rsid w:val="00776527"/>
    <w:rsid w:val="00777040"/>
    <w:rsid w:val="00777CE6"/>
    <w:rsid w:val="00777D57"/>
    <w:rsid w:val="00780EF1"/>
    <w:rsid w:val="00781A91"/>
    <w:rsid w:val="00781AD3"/>
    <w:rsid w:val="00781F36"/>
    <w:rsid w:val="00783576"/>
    <w:rsid w:val="00785778"/>
    <w:rsid w:val="00786C87"/>
    <w:rsid w:val="0078755E"/>
    <w:rsid w:val="007877C9"/>
    <w:rsid w:val="00790764"/>
    <w:rsid w:val="0079085F"/>
    <w:rsid w:val="00790E96"/>
    <w:rsid w:val="00791005"/>
    <w:rsid w:val="00793D78"/>
    <w:rsid w:val="0079420B"/>
    <w:rsid w:val="0079453C"/>
    <w:rsid w:val="00794677"/>
    <w:rsid w:val="00795759"/>
    <w:rsid w:val="007A170B"/>
    <w:rsid w:val="007A20EB"/>
    <w:rsid w:val="007A282C"/>
    <w:rsid w:val="007A293C"/>
    <w:rsid w:val="007A2A3A"/>
    <w:rsid w:val="007A33E2"/>
    <w:rsid w:val="007A3CAF"/>
    <w:rsid w:val="007A4664"/>
    <w:rsid w:val="007A4782"/>
    <w:rsid w:val="007A516D"/>
    <w:rsid w:val="007A5E65"/>
    <w:rsid w:val="007A65E1"/>
    <w:rsid w:val="007A6AAA"/>
    <w:rsid w:val="007A7033"/>
    <w:rsid w:val="007A775D"/>
    <w:rsid w:val="007B04B0"/>
    <w:rsid w:val="007B0834"/>
    <w:rsid w:val="007B0E83"/>
    <w:rsid w:val="007B11FA"/>
    <w:rsid w:val="007B1396"/>
    <w:rsid w:val="007B16D6"/>
    <w:rsid w:val="007B1D1B"/>
    <w:rsid w:val="007B2011"/>
    <w:rsid w:val="007B2CFE"/>
    <w:rsid w:val="007B309B"/>
    <w:rsid w:val="007B3D5E"/>
    <w:rsid w:val="007B3DCB"/>
    <w:rsid w:val="007B5725"/>
    <w:rsid w:val="007B5C1F"/>
    <w:rsid w:val="007B6689"/>
    <w:rsid w:val="007B6747"/>
    <w:rsid w:val="007B6F72"/>
    <w:rsid w:val="007B74AA"/>
    <w:rsid w:val="007C10BD"/>
    <w:rsid w:val="007C162D"/>
    <w:rsid w:val="007C1F0C"/>
    <w:rsid w:val="007C1FFB"/>
    <w:rsid w:val="007C2D94"/>
    <w:rsid w:val="007C4A6B"/>
    <w:rsid w:val="007C5F92"/>
    <w:rsid w:val="007C6227"/>
    <w:rsid w:val="007C6BBD"/>
    <w:rsid w:val="007C6D89"/>
    <w:rsid w:val="007C6F5E"/>
    <w:rsid w:val="007D0382"/>
    <w:rsid w:val="007D0F6B"/>
    <w:rsid w:val="007D14FE"/>
    <w:rsid w:val="007D1A1F"/>
    <w:rsid w:val="007D213B"/>
    <w:rsid w:val="007D2783"/>
    <w:rsid w:val="007D2E18"/>
    <w:rsid w:val="007D3EF3"/>
    <w:rsid w:val="007D40DF"/>
    <w:rsid w:val="007D42E5"/>
    <w:rsid w:val="007D4458"/>
    <w:rsid w:val="007D6AF9"/>
    <w:rsid w:val="007D7763"/>
    <w:rsid w:val="007E0535"/>
    <w:rsid w:val="007E07F2"/>
    <w:rsid w:val="007E0D4A"/>
    <w:rsid w:val="007E1788"/>
    <w:rsid w:val="007E1EE3"/>
    <w:rsid w:val="007E29B4"/>
    <w:rsid w:val="007E2F12"/>
    <w:rsid w:val="007E435A"/>
    <w:rsid w:val="007E445C"/>
    <w:rsid w:val="007E49F7"/>
    <w:rsid w:val="007E4C70"/>
    <w:rsid w:val="007E5B5F"/>
    <w:rsid w:val="007E69C6"/>
    <w:rsid w:val="007E78B6"/>
    <w:rsid w:val="007E7E61"/>
    <w:rsid w:val="007F0845"/>
    <w:rsid w:val="007F0873"/>
    <w:rsid w:val="007F20F3"/>
    <w:rsid w:val="007F2353"/>
    <w:rsid w:val="007F2390"/>
    <w:rsid w:val="007F2CAC"/>
    <w:rsid w:val="007F4740"/>
    <w:rsid w:val="007F595A"/>
    <w:rsid w:val="007F5C38"/>
    <w:rsid w:val="007F708D"/>
    <w:rsid w:val="007F7E3F"/>
    <w:rsid w:val="008006B3"/>
    <w:rsid w:val="00800B63"/>
    <w:rsid w:val="0080158A"/>
    <w:rsid w:val="00801E13"/>
    <w:rsid w:val="00803008"/>
    <w:rsid w:val="00803069"/>
    <w:rsid w:val="0080346B"/>
    <w:rsid w:val="00804155"/>
    <w:rsid w:val="00804C9F"/>
    <w:rsid w:val="0080559E"/>
    <w:rsid w:val="00805AF3"/>
    <w:rsid w:val="00806C9C"/>
    <w:rsid w:val="0080734C"/>
    <w:rsid w:val="00807C82"/>
    <w:rsid w:val="008117CC"/>
    <w:rsid w:val="00811FF8"/>
    <w:rsid w:val="00813D58"/>
    <w:rsid w:val="00813DCA"/>
    <w:rsid w:val="008161A6"/>
    <w:rsid w:val="008165B8"/>
    <w:rsid w:val="00816905"/>
    <w:rsid w:val="00816D98"/>
    <w:rsid w:val="00816E42"/>
    <w:rsid w:val="00817040"/>
    <w:rsid w:val="00817A17"/>
    <w:rsid w:val="00817EC1"/>
    <w:rsid w:val="0082112D"/>
    <w:rsid w:val="00821624"/>
    <w:rsid w:val="00821FF6"/>
    <w:rsid w:val="00822574"/>
    <w:rsid w:val="00822980"/>
    <w:rsid w:val="00822F08"/>
    <w:rsid w:val="00824BA6"/>
    <w:rsid w:val="00825120"/>
    <w:rsid w:val="00825C4D"/>
    <w:rsid w:val="00826A08"/>
    <w:rsid w:val="00826AC0"/>
    <w:rsid w:val="00827186"/>
    <w:rsid w:val="00827C8E"/>
    <w:rsid w:val="00830569"/>
    <w:rsid w:val="00830AEA"/>
    <w:rsid w:val="00830E86"/>
    <w:rsid w:val="0083143E"/>
    <w:rsid w:val="008315B8"/>
    <w:rsid w:val="008315D5"/>
    <w:rsid w:val="00831CDE"/>
    <w:rsid w:val="00831F2B"/>
    <w:rsid w:val="008320CF"/>
    <w:rsid w:val="008324A3"/>
    <w:rsid w:val="00832F77"/>
    <w:rsid w:val="00834304"/>
    <w:rsid w:val="00834FAA"/>
    <w:rsid w:val="008354FB"/>
    <w:rsid w:val="00835FF1"/>
    <w:rsid w:val="00836086"/>
    <w:rsid w:val="0083630F"/>
    <w:rsid w:val="00836A06"/>
    <w:rsid w:val="008374BC"/>
    <w:rsid w:val="008379D6"/>
    <w:rsid w:val="00837E48"/>
    <w:rsid w:val="00840293"/>
    <w:rsid w:val="008402AD"/>
    <w:rsid w:val="008408D4"/>
    <w:rsid w:val="008417B5"/>
    <w:rsid w:val="00841901"/>
    <w:rsid w:val="008458BD"/>
    <w:rsid w:val="00846121"/>
    <w:rsid w:val="008461C2"/>
    <w:rsid w:val="008462F1"/>
    <w:rsid w:val="008466C6"/>
    <w:rsid w:val="0084708F"/>
    <w:rsid w:val="008477C8"/>
    <w:rsid w:val="008478A6"/>
    <w:rsid w:val="008502F6"/>
    <w:rsid w:val="0085036C"/>
    <w:rsid w:val="00850E83"/>
    <w:rsid w:val="0085114D"/>
    <w:rsid w:val="00851163"/>
    <w:rsid w:val="008520A8"/>
    <w:rsid w:val="00852217"/>
    <w:rsid w:val="00853282"/>
    <w:rsid w:val="0085334C"/>
    <w:rsid w:val="00854291"/>
    <w:rsid w:val="00855408"/>
    <w:rsid w:val="00855D03"/>
    <w:rsid w:val="00856D65"/>
    <w:rsid w:val="00856FA4"/>
    <w:rsid w:val="00860D79"/>
    <w:rsid w:val="00861B41"/>
    <w:rsid w:val="00861B9F"/>
    <w:rsid w:val="00861BE3"/>
    <w:rsid w:val="008625D3"/>
    <w:rsid w:val="00862C0A"/>
    <w:rsid w:val="00863434"/>
    <w:rsid w:val="0086344F"/>
    <w:rsid w:val="008641AC"/>
    <w:rsid w:val="00865E4C"/>
    <w:rsid w:val="00866074"/>
    <w:rsid w:val="00867546"/>
    <w:rsid w:val="0086796D"/>
    <w:rsid w:val="00867DAB"/>
    <w:rsid w:val="0087000B"/>
    <w:rsid w:val="008701E4"/>
    <w:rsid w:val="008704E9"/>
    <w:rsid w:val="00870ECD"/>
    <w:rsid w:val="0087347C"/>
    <w:rsid w:val="008734E7"/>
    <w:rsid w:val="0087368D"/>
    <w:rsid w:val="008740CC"/>
    <w:rsid w:val="0087442A"/>
    <w:rsid w:val="00874FE8"/>
    <w:rsid w:val="00875A32"/>
    <w:rsid w:val="00876086"/>
    <w:rsid w:val="00876651"/>
    <w:rsid w:val="00876E83"/>
    <w:rsid w:val="008772BC"/>
    <w:rsid w:val="00880A0E"/>
    <w:rsid w:val="008817FE"/>
    <w:rsid w:val="00881CD7"/>
    <w:rsid w:val="00882911"/>
    <w:rsid w:val="00882F6E"/>
    <w:rsid w:val="00883202"/>
    <w:rsid w:val="00884E02"/>
    <w:rsid w:val="0088502B"/>
    <w:rsid w:val="00885D40"/>
    <w:rsid w:val="008873D4"/>
    <w:rsid w:val="00890CB1"/>
    <w:rsid w:val="00891EDF"/>
    <w:rsid w:val="00892872"/>
    <w:rsid w:val="0089296D"/>
    <w:rsid w:val="00893E85"/>
    <w:rsid w:val="00893EBE"/>
    <w:rsid w:val="00894031"/>
    <w:rsid w:val="00894C5D"/>
    <w:rsid w:val="00895508"/>
    <w:rsid w:val="008967E9"/>
    <w:rsid w:val="00896A5C"/>
    <w:rsid w:val="008972D2"/>
    <w:rsid w:val="0089754C"/>
    <w:rsid w:val="008A0659"/>
    <w:rsid w:val="008A0ADD"/>
    <w:rsid w:val="008A0D27"/>
    <w:rsid w:val="008A1C59"/>
    <w:rsid w:val="008A37E2"/>
    <w:rsid w:val="008A388E"/>
    <w:rsid w:val="008A394E"/>
    <w:rsid w:val="008A3CBA"/>
    <w:rsid w:val="008A4B59"/>
    <w:rsid w:val="008A63E1"/>
    <w:rsid w:val="008A66B7"/>
    <w:rsid w:val="008A68BB"/>
    <w:rsid w:val="008A6AA5"/>
    <w:rsid w:val="008A7127"/>
    <w:rsid w:val="008B0CBA"/>
    <w:rsid w:val="008B2639"/>
    <w:rsid w:val="008B3537"/>
    <w:rsid w:val="008B3690"/>
    <w:rsid w:val="008B3A80"/>
    <w:rsid w:val="008B3AEC"/>
    <w:rsid w:val="008B3C07"/>
    <w:rsid w:val="008B3F7B"/>
    <w:rsid w:val="008B43CA"/>
    <w:rsid w:val="008B5324"/>
    <w:rsid w:val="008B5C99"/>
    <w:rsid w:val="008B6106"/>
    <w:rsid w:val="008B7C02"/>
    <w:rsid w:val="008B7D2B"/>
    <w:rsid w:val="008B7EF9"/>
    <w:rsid w:val="008C0049"/>
    <w:rsid w:val="008C0314"/>
    <w:rsid w:val="008C0E88"/>
    <w:rsid w:val="008C1717"/>
    <w:rsid w:val="008C17F0"/>
    <w:rsid w:val="008C3B05"/>
    <w:rsid w:val="008C4B50"/>
    <w:rsid w:val="008C5A37"/>
    <w:rsid w:val="008C7569"/>
    <w:rsid w:val="008C79C3"/>
    <w:rsid w:val="008D006F"/>
    <w:rsid w:val="008D033D"/>
    <w:rsid w:val="008D0DBD"/>
    <w:rsid w:val="008D117E"/>
    <w:rsid w:val="008D127E"/>
    <w:rsid w:val="008D1CA8"/>
    <w:rsid w:val="008D1E0A"/>
    <w:rsid w:val="008D1E6A"/>
    <w:rsid w:val="008D2407"/>
    <w:rsid w:val="008D2A16"/>
    <w:rsid w:val="008D2AEC"/>
    <w:rsid w:val="008D3295"/>
    <w:rsid w:val="008D33F5"/>
    <w:rsid w:val="008D35E4"/>
    <w:rsid w:val="008D3ACD"/>
    <w:rsid w:val="008D6C3A"/>
    <w:rsid w:val="008D70E2"/>
    <w:rsid w:val="008D7F47"/>
    <w:rsid w:val="008E0001"/>
    <w:rsid w:val="008E039E"/>
    <w:rsid w:val="008E292B"/>
    <w:rsid w:val="008E2C57"/>
    <w:rsid w:val="008E31FF"/>
    <w:rsid w:val="008E3287"/>
    <w:rsid w:val="008E38E4"/>
    <w:rsid w:val="008E3DFA"/>
    <w:rsid w:val="008E51EB"/>
    <w:rsid w:val="008E5746"/>
    <w:rsid w:val="008E64D7"/>
    <w:rsid w:val="008E6DCB"/>
    <w:rsid w:val="008E6F06"/>
    <w:rsid w:val="008E7000"/>
    <w:rsid w:val="008E723E"/>
    <w:rsid w:val="008E7B8E"/>
    <w:rsid w:val="008E7FC9"/>
    <w:rsid w:val="008F0107"/>
    <w:rsid w:val="008F029B"/>
    <w:rsid w:val="008F0589"/>
    <w:rsid w:val="008F2A5D"/>
    <w:rsid w:val="008F2BC7"/>
    <w:rsid w:val="008F3636"/>
    <w:rsid w:val="008F3FC9"/>
    <w:rsid w:val="008F509F"/>
    <w:rsid w:val="008F5383"/>
    <w:rsid w:val="008F585B"/>
    <w:rsid w:val="008F7FB0"/>
    <w:rsid w:val="009003A8"/>
    <w:rsid w:val="009005E4"/>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2E3"/>
    <w:rsid w:val="0091155E"/>
    <w:rsid w:val="00912437"/>
    <w:rsid w:val="00912A92"/>
    <w:rsid w:val="00913237"/>
    <w:rsid w:val="0091476D"/>
    <w:rsid w:val="00915D07"/>
    <w:rsid w:val="009162AE"/>
    <w:rsid w:val="00917154"/>
    <w:rsid w:val="00917251"/>
    <w:rsid w:val="0091728D"/>
    <w:rsid w:val="0092036B"/>
    <w:rsid w:val="009203CC"/>
    <w:rsid w:val="00920EC4"/>
    <w:rsid w:val="0092180B"/>
    <w:rsid w:val="00921F14"/>
    <w:rsid w:val="0092292F"/>
    <w:rsid w:val="00922D28"/>
    <w:rsid w:val="00923CB0"/>
    <w:rsid w:val="00923D8C"/>
    <w:rsid w:val="00924871"/>
    <w:rsid w:val="00924AC8"/>
    <w:rsid w:val="00925429"/>
    <w:rsid w:val="00925615"/>
    <w:rsid w:val="0092597A"/>
    <w:rsid w:val="00926520"/>
    <w:rsid w:val="00926CF0"/>
    <w:rsid w:val="009273A9"/>
    <w:rsid w:val="00930251"/>
    <w:rsid w:val="0093033E"/>
    <w:rsid w:val="009305FC"/>
    <w:rsid w:val="00930FB1"/>
    <w:rsid w:val="0093139F"/>
    <w:rsid w:val="00932443"/>
    <w:rsid w:val="00932B32"/>
    <w:rsid w:val="0093305E"/>
    <w:rsid w:val="00933F4A"/>
    <w:rsid w:val="009341F1"/>
    <w:rsid w:val="00934FF2"/>
    <w:rsid w:val="009358D7"/>
    <w:rsid w:val="00935BD4"/>
    <w:rsid w:val="00935DFE"/>
    <w:rsid w:val="00935F70"/>
    <w:rsid w:val="0093648B"/>
    <w:rsid w:val="00937017"/>
    <w:rsid w:val="009373B2"/>
    <w:rsid w:val="00937AE2"/>
    <w:rsid w:val="0094061F"/>
    <w:rsid w:val="00940F0F"/>
    <w:rsid w:val="00941912"/>
    <w:rsid w:val="0094416B"/>
    <w:rsid w:val="0094427A"/>
    <w:rsid w:val="009449C6"/>
    <w:rsid w:val="00944C7C"/>
    <w:rsid w:val="00945245"/>
    <w:rsid w:val="00945523"/>
    <w:rsid w:val="00950921"/>
    <w:rsid w:val="00951D68"/>
    <w:rsid w:val="00951E5B"/>
    <w:rsid w:val="00952050"/>
    <w:rsid w:val="00952315"/>
    <w:rsid w:val="009523D9"/>
    <w:rsid w:val="00952B7B"/>
    <w:rsid w:val="0095357B"/>
    <w:rsid w:val="009538B3"/>
    <w:rsid w:val="00954F39"/>
    <w:rsid w:val="009555FD"/>
    <w:rsid w:val="0095664B"/>
    <w:rsid w:val="009568DC"/>
    <w:rsid w:val="00957140"/>
    <w:rsid w:val="00957445"/>
    <w:rsid w:val="0095759C"/>
    <w:rsid w:val="009618EE"/>
    <w:rsid w:val="00961DDD"/>
    <w:rsid w:val="009624D2"/>
    <w:rsid w:val="009628D9"/>
    <w:rsid w:val="009637AE"/>
    <w:rsid w:val="00963A06"/>
    <w:rsid w:val="00964068"/>
    <w:rsid w:val="009640F6"/>
    <w:rsid w:val="0096469D"/>
    <w:rsid w:val="00964776"/>
    <w:rsid w:val="00964A4E"/>
    <w:rsid w:val="00964B35"/>
    <w:rsid w:val="009651C7"/>
    <w:rsid w:val="00965797"/>
    <w:rsid w:val="00965A10"/>
    <w:rsid w:val="00965AD0"/>
    <w:rsid w:val="009670A3"/>
    <w:rsid w:val="009674BE"/>
    <w:rsid w:val="00970FB5"/>
    <w:rsid w:val="00971710"/>
    <w:rsid w:val="00971B87"/>
    <w:rsid w:val="00971C77"/>
    <w:rsid w:val="0097203A"/>
    <w:rsid w:val="00972FCD"/>
    <w:rsid w:val="00973324"/>
    <w:rsid w:val="009736DF"/>
    <w:rsid w:val="009741AE"/>
    <w:rsid w:val="009741FC"/>
    <w:rsid w:val="00974782"/>
    <w:rsid w:val="00974923"/>
    <w:rsid w:val="00975909"/>
    <w:rsid w:val="00977C3D"/>
    <w:rsid w:val="00980D3D"/>
    <w:rsid w:val="0098103E"/>
    <w:rsid w:val="0098157D"/>
    <w:rsid w:val="00983101"/>
    <w:rsid w:val="00983E41"/>
    <w:rsid w:val="009845E1"/>
    <w:rsid w:val="00984D1B"/>
    <w:rsid w:val="00986246"/>
    <w:rsid w:val="00987A30"/>
    <w:rsid w:val="00990312"/>
    <w:rsid w:val="0099182E"/>
    <w:rsid w:val="00991D45"/>
    <w:rsid w:val="00992BB3"/>
    <w:rsid w:val="00992CF3"/>
    <w:rsid w:val="00993194"/>
    <w:rsid w:val="0099321E"/>
    <w:rsid w:val="00994171"/>
    <w:rsid w:val="00994868"/>
    <w:rsid w:val="00994976"/>
    <w:rsid w:val="00994D28"/>
    <w:rsid w:val="00994F2C"/>
    <w:rsid w:val="00995720"/>
    <w:rsid w:val="009957CC"/>
    <w:rsid w:val="009968D6"/>
    <w:rsid w:val="00997953"/>
    <w:rsid w:val="00997D55"/>
    <w:rsid w:val="009A0BFF"/>
    <w:rsid w:val="009A10A0"/>
    <w:rsid w:val="009A1CAB"/>
    <w:rsid w:val="009A2359"/>
    <w:rsid w:val="009A24F1"/>
    <w:rsid w:val="009A27E0"/>
    <w:rsid w:val="009A4D57"/>
    <w:rsid w:val="009A51A5"/>
    <w:rsid w:val="009A5309"/>
    <w:rsid w:val="009A5759"/>
    <w:rsid w:val="009A60D1"/>
    <w:rsid w:val="009A6225"/>
    <w:rsid w:val="009A64F5"/>
    <w:rsid w:val="009B00D2"/>
    <w:rsid w:val="009B05B3"/>
    <w:rsid w:val="009B0CAF"/>
    <w:rsid w:val="009B1324"/>
    <w:rsid w:val="009B2558"/>
    <w:rsid w:val="009B284F"/>
    <w:rsid w:val="009B3764"/>
    <w:rsid w:val="009B3840"/>
    <w:rsid w:val="009B52AC"/>
    <w:rsid w:val="009B553D"/>
    <w:rsid w:val="009B59EA"/>
    <w:rsid w:val="009B66CE"/>
    <w:rsid w:val="009B6FD3"/>
    <w:rsid w:val="009B72BE"/>
    <w:rsid w:val="009B78A4"/>
    <w:rsid w:val="009B7DB2"/>
    <w:rsid w:val="009C03DB"/>
    <w:rsid w:val="009C15AF"/>
    <w:rsid w:val="009C1750"/>
    <w:rsid w:val="009C2E29"/>
    <w:rsid w:val="009C3E8F"/>
    <w:rsid w:val="009C554B"/>
    <w:rsid w:val="009C5E83"/>
    <w:rsid w:val="009C7126"/>
    <w:rsid w:val="009C719E"/>
    <w:rsid w:val="009C7799"/>
    <w:rsid w:val="009D07A9"/>
    <w:rsid w:val="009D0AE2"/>
    <w:rsid w:val="009D0D9F"/>
    <w:rsid w:val="009D0EBB"/>
    <w:rsid w:val="009D2C46"/>
    <w:rsid w:val="009D3ACD"/>
    <w:rsid w:val="009D4254"/>
    <w:rsid w:val="009D4F21"/>
    <w:rsid w:val="009D587D"/>
    <w:rsid w:val="009D6EA6"/>
    <w:rsid w:val="009D7731"/>
    <w:rsid w:val="009E1120"/>
    <w:rsid w:val="009E1393"/>
    <w:rsid w:val="009E1922"/>
    <w:rsid w:val="009E1A3D"/>
    <w:rsid w:val="009E4715"/>
    <w:rsid w:val="009E4A58"/>
    <w:rsid w:val="009E5273"/>
    <w:rsid w:val="009E57A8"/>
    <w:rsid w:val="009E5B85"/>
    <w:rsid w:val="009E5DDB"/>
    <w:rsid w:val="009F1CA6"/>
    <w:rsid w:val="009F2921"/>
    <w:rsid w:val="009F42CF"/>
    <w:rsid w:val="009F4982"/>
    <w:rsid w:val="009F4CA7"/>
    <w:rsid w:val="009F4F6A"/>
    <w:rsid w:val="009F55BA"/>
    <w:rsid w:val="009F7D36"/>
    <w:rsid w:val="009F7D61"/>
    <w:rsid w:val="00A00E71"/>
    <w:rsid w:val="00A0187B"/>
    <w:rsid w:val="00A02E8B"/>
    <w:rsid w:val="00A0306F"/>
    <w:rsid w:val="00A03511"/>
    <w:rsid w:val="00A03B10"/>
    <w:rsid w:val="00A03E2E"/>
    <w:rsid w:val="00A04616"/>
    <w:rsid w:val="00A04717"/>
    <w:rsid w:val="00A05D8F"/>
    <w:rsid w:val="00A05EE4"/>
    <w:rsid w:val="00A06F99"/>
    <w:rsid w:val="00A1053B"/>
    <w:rsid w:val="00A10D66"/>
    <w:rsid w:val="00A113A4"/>
    <w:rsid w:val="00A133F9"/>
    <w:rsid w:val="00A14114"/>
    <w:rsid w:val="00A16413"/>
    <w:rsid w:val="00A16545"/>
    <w:rsid w:val="00A16A1A"/>
    <w:rsid w:val="00A16A9F"/>
    <w:rsid w:val="00A16AED"/>
    <w:rsid w:val="00A16BD3"/>
    <w:rsid w:val="00A16C37"/>
    <w:rsid w:val="00A16E1D"/>
    <w:rsid w:val="00A171D5"/>
    <w:rsid w:val="00A17A15"/>
    <w:rsid w:val="00A17A37"/>
    <w:rsid w:val="00A17D5B"/>
    <w:rsid w:val="00A2016A"/>
    <w:rsid w:val="00A201E1"/>
    <w:rsid w:val="00A20FE1"/>
    <w:rsid w:val="00A21B4D"/>
    <w:rsid w:val="00A22073"/>
    <w:rsid w:val="00A223E0"/>
    <w:rsid w:val="00A22959"/>
    <w:rsid w:val="00A23158"/>
    <w:rsid w:val="00A232D7"/>
    <w:rsid w:val="00A23847"/>
    <w:rsid w:val="00A23E43"/>
    <w:rsid w:val="00A24726"/>
    <w:rsid w:val="00A24DEB"/>
    <w:rsid w:val="00A24ED9"/>
    <w:rsid w:val="00A251DB"/>
    <w:rsid w:val="00A25216"/>
    <w:rsid w:val="00A2597D"/>
    <w:rsid w:val="00A2628E"/>
    <w:rsid w:val="00A266BF"/>
    <w:rsid w:val="00A26777"/>
    <w:rsid w:val="00A2731E"/>
    <w:rsid w:val="00A309AC"/>
    <w:rsid w:val="00A30F65"/>
    <w:rsid w:val="00A315D0"/>
    <w:rsid w:val="00A3279E"/>
    <w:rsid w:val="00A33DB1"/>
    <w:rsid w:val="00A33EEB"/>
    <w:rsid w:val="00A35900"/>
    <w:rsid w:val="00A40EAC"/>
    <w:rsid w:val="00A418BC"/>
    <w:rsid w:val="00A419FF"/>
    <w:rsid w:val="00A41FCF"/>
    <w:rsid w:val="00A42936"/>
    <w:rsid w:val="00A43CF8"/>
    <w:rsid w:val="00A43DF2"/>
    <w:rsid w:val="00A445A8"/>
    <w:rsid w:val="00A44B0D"/>
    <w:rsid w:val="00A44D21"/>
    <w:rsid w:val="00A45087"/>
    <w:rsid w:val="00A45489"/>
    <w:rsid w:val="00A45858"/>
    <w:rsid w:val="00A45CED"/>
    <w:rsid w:val="00A465E9"/>
    <w:rsid w:val="00A468E7"/>
    <w:rsid w:val="00A46DE0"/>
    <w:rsid w:val="00A478BA"/>
    <w:rsid w:val="00A50D73"/>
    <w:rsid w:val="00A518BB"/>
    <w:rsid w:val="00A52A88"/>
    <w:rsid w:val="00A52CAD"/>
    <w:rsid w:val="00A53FC7"/>
    <w:rsid w:val="00A55569"/>
    <w:rsid w:val="00A55C36"/>
    <w:rsid w:val="00A566A0"/>
    <w:rsid w:val="00A601E7"/>
    <w:rsid w:val="00A60AC1"/>
    <w:rsid w:val="00A626FF"/>
    <w:rsid w:val="00A62CE1"/>
    <w:rsid w:val="00A65469"/>
    <w:rsid w:val="00A65528"/>
    <w:rsid w:val="00A655D3"/>
    <w:rsid w:val="00A662D9"/>
    <w:rsid w:val="00A6630C"/>
    <w:rsid w:val="00A6741E"/>
    <w:rsid w:val="00A67E29"/>
    <w:rsid w:val="00A7016A"/>
    <w:rsid w:val="00A7018D"/>
    <w:rsid w:val="00A7191D"/>
    <w:rsid w:val="00A722F9"/>
    <w:rsid w:val="00A72D42"/>
    <w:rsid w:val="00A746C9"/>
    <w:rsid w:val="00A74C2A"/>
    <w:rsid w:val="00A75E40"/>
    <w:rsid w:val="00A76818"/>
    <w:rsid w:val="00A77D1D"/>
    <w:rsid w:val="00A77E6B"/>
    <w:rsid w:val="00A81652"/>
    <w:rsid w:val="00A82BF0"/>
    <w:rsid w:val="00A82C91"/>
    <w:rsid w:val="00A83150"/>
    <w:rsid w:val="00A83398"/>
    <w:rsid w:val="00A83D6E"/>
    <w:rsid w:val="00A83FD5"/>
    <w:rsid w:val="00A8521A"/>
    <w:rsid w:val="00A857C0"/>
    <w:rsid w:val="00A85ACB"/>
    <w:rsid w:val="00A9092B"/>
    <w:rsid w:val="00A90F2C"/>
    <w:rsid w:val="00A90FED"/>
    <w:rsid w:val="00A91482"/>
    <w:rsid w:val="00A9189D"/>
    <w:rsid w:val="00A91E71"/>
    <w:rsid w:val="00A925B1"/>
    <w:rsid w:val="00A92A3E"/>
    <w:rsid w:val="00A934F9"/>
    <w:rsid w:val="00A940E3"/>
    <w:rsid w:val="00A94983"/>
    <w:rsid w:val="00A9532C"/>
    <w:rsid w:val="00A95F1A"/>
    <w:rsid w:val="00A96116"/>
    <w:rsid w:val="00A9614E"/>
    <w:rsid w:val="00A96422"/>
    <w:rsid w:val="00A96C0F"/>
    <w:rsid w:val="00A97075"/>
    <w:rsid w:val="00AA0E80"/>
    <w:rsid w:val="00AA16F4"/>
    <w:rsid w:val="00AA17CD"/>
    <w:rsid w:val="00AA1D85"/>
    <w:rsid w:val="00AA212B"/>
    <w:rsid w:val="00AA212F"/>
    <w:rsid w:val="00AA26A9"/>
    <w:rsid w:val="00AA2996"/>
    <w:rsid w:val="00AA2AF4"/>
    <w:rsid w:val="00AA4282"/>
    <w:rsid w:val="00AA43F2"/>
    <w:rsid w:val="00AA4790"/>
    <w:rsid w:val="00AA52BF"/>
    <w:rsid w:val="00AA559A"/>
    <w:rsid w:val="00AA6C31"/>
    <w:rsid w:val="00AA7752"/>
    <w:rsid w:val="00AA7CE8"/>
    <w:rsid w:val="00AB1457"/>
    <w:rsid w:val="00AB2AF1"/>
    <w:rsid w:val="00AB32CB"/>
    <w:rsid w:val="00AB3AD7"/>
    <w:rsid w:val="00AB3BA7"/>
    <w:rsid w:val="00AB3EC7"/>
    <w:rsid w:val="00AB5A64"/>
    <w:rsid w:val="00AB5CA1"/>
    <w:rsid w:val="00AB6456"/>
    <w:rsid w:val="00AB75C5"/>
    <w:rsid w:val="00AC044E"/>
    <w:rsid w:val="00AC2118"/>
    <w:rsid w:val="00AC2395"/>
    <w:rsid w:val="00AC2960"/>
    <w:rsid w:val="00AC2AC4"/>
    <w:rsid w:val="00AC4284"/>
    <w:rsid w:val="00AC45BD"/>
    <w:rsid w:val="00AC50BB"/>
    <w:rsid w:val="00AC5256"/>
    <w:rsid w:val="00AC78F1"/>
    <w:rsid w:val="00AD0B22"/>
    <w:rsid w:val="00AD0EE7"/>
    <w:rsid w:val="00AD168E"/>
    <w:rsid w:val="00AD306C"/>
    <w:rsid w:val="00AD44CD"/>
    <w:rsid w:val="00AD47A7"/>
    <w:rsid w:val="00AD5AD2"/>
    <w:rsid w:val="00AD6462"/>
    <w:rsid w:val="00AD66C5"/>
    <w:rsid w:val="00AD68C4"/>
    <w:rsid w:val="00AD71F9"/>
    <w:rsid w:val="00AE09B3"/>
    <w:rsid w:val="00AE1A83"/>
    <w:rsid w:val="00AE30BE"/>
    <w:rsid w:val="00AE3E6A"/>
    <w:rsid w:val="00AE417E"/>
    <w:rsid w:val="00AE56EE"/>
    <w:rsid w:val="00AE6414"/>
    <w:rsid w:val="00AE7269"/>
    <w:rsid w:val="00AE797C"/>
    <w:rsid w:val="00AE7CE7"/>
    <w:rsid w:val="00AE7FAB"/>
    <w:rsid w:val="00AF0DE4"/>
    <w:rsid w:val="00AF12A0"/>
    <w:rsid w:val="00AF1E87"/>
    <w:rsid w:val="00AF436B"/>
    <w:rsid w:val="00AF5179"/>
    <w:rsid w:val="00AF5CC2"/>
    <w:rsid w:val="00AF6776"/>
    <w:rsid w:val="00AF6F98"/>
    <w:rsid w:val="00AF7277"/>
    <w:rsid w:val="00B00550"/>
    <w:rsid w:val="00B00913"/>
    <w:rsid w:val="00B01593"/>
    <w:rsid w:val="00B01D0F"/>
    <w:rsid w:val="00B01FF9"/>
    <w:rsid w:val="00B023F2"/>
    <w:rsid w:val="00B026FE"/>
    <w:rsid w:val="00B0271F"/>
    <w:rsid w:val="00B038CA"/>
    <w:rsid w:val="00B05F00"/>
    <w:rsid w:val="00B06DB4"/>
    <w:rsid w:val="00B0750D"/>
    <w:rsid w:val="00B07850"/>
    <w:rsid w:val="00B0799C"/>
    <w:rsid w:val="00B102CE"/>
    <w:rsid w:val="00B10A4D"/>
    <w:rsid w:val="00B10C90"/>
    <w:rsid w:val="00B11002"/>
    <w:rsid w:val="00B1114F"/>
    <w:rsid w:val="00B121B2"/>
    <w:rsid w:val="00B131B1"/>
    <w:rsid w:val="00B141B6"/>
    <w:rsid w:val="00B14BC1"/>
    <w:rsid w:val="00B154DE"/>
    <w:rsid w:val="00B162C3"/>
    <w:rsid w:val="00B16DD1"/>
    <w:rsid w:val="00B16EB8"/>
    <w:rsid w:val="00B1700A"/>
    <w:rsid w:val="00B17E71"/>
    <w:rsid w:val="00B17FDE"/>
    <w:rsid w:val="00B20632"/>
    <w:rsid w:val="00B2379C"/>
    <w:rsid w:val="00B23D5D"/>
    <w:rsid w:val="00B23E6E"/>
    <w:rsid w:val="00B2450C"/>
    <w:rsid w:val="00B2687D"/>
    <w:rsid w:val="00B3108D"/>
    <w:rsid w:val="00B32DDB"/>
    <w:rsid w:val="00B32F57"/>
    <w:rsid w:val="00B3345C"/>
    <w:rsid w:val="00B343C4"/>
    <w:rsid w:val="00B34528"/>
    <w:rsid w:val="00B34750"/>
    <w:rsid w:val="00B34CC9"/>
    <w:rsid w:val="00B34CDA"/>
    <w:rsid w:val="00B3563B"/>
    <w:rsid w:val="00B36BDC"/>
    <w:rsid w:val="00B37D3A"/>
    <w:rsid w:val="00B37D96"/>
    <w:rsid w:val="00B402FC"/>
    <w:rsid w:val="00B422E2"/>
    <w:rsid w:val="00B42517"/>
    <w:rsid w:val="00B42D5F"/>
    <w:rsid w:val="00B43216"/>
    <w:rsid w:val="00B439DA"/>
    <w:rsid w:val="00B4411A"/>
    <w:rsid w:val="00B45FE8"/>
    <w:rsid w:val="00B46604"/>
    <w:rsid w:val="00B47089"/>
    <w:rsid w:val="00B47587"/>
    <w:rsid w:val="00B5150A"/>
    <w:rsid w:val="00B52151"/>
    <w:rsid w:val="00B530CD"/>
    <w:rsid w:val="00B53639"/>
    <w:rsid w:val="00B53C7D"/>
    <w:rsid w:val="00B53E56"/>
    <w:rsid w:val="00B55311"/>
    <w:rsid w:val="00B55A97"/>
    <w:rsid w:val="00B55F5E"/>
    <w:rsid w:val="00B5601B"/>
    <w:rsid w:val="00B5642C"/>
    <w:rsid w:val="00B5658D"/>
    <w:rsid w:val="00B56B6F"/>
    <w:rsid w:val="00B5752E"/>
    <w:rsid w:val="00B60AC1"/>
    <w:rsid w:val="00B61FF6"/>
    <w:rsid w:val="00B62316"/>
    <w:rsid w:val="00B63A11"/>
    <w:rsid w:val="00B64425"/>
    <w:rsid w:val="00B64C24"/>
    <w:rsid w:val="00B64E72"/>
    <w:rsid w:val="00B65CEF"/>
    <w:rsid w:val="00B6608F"/>
    <w:rsid w:val="00B67749"/>
    <w:rsid w:val="00B679FB"/>
    <w:rsid w:val="00B71FBF"/>
    <w:rsid w:val="00B734A0"/>
    <w:rsid w:val="00B73A14"/>
    <w:rsid w:val="00B748BD"/>
    <w:rsid w:val="00B76100"/>
    <w:rsid w:val="00B7680F"/>
    <w:rsid w:val="00B76B48"/>
    <w:rsid w:val="00B76D1E"/>
    <w:rsid w:val="00B77543"/>
    <w:rsid w:val="00B77584"/>
    <w:rsid w:val="00B77E34"/>
    <w:rsid w:val="00B80D89"/>
    <w:rsid w:val="00B80EC6"/>
    <w:rsid w:val="00B81288"/>
    <w:rsid w:val="00B81D70"/>
    <w:rsid w:val="00B833B9"/>
    <w:rsid w:val="00B83AAF"/>
    <w:rsid w:val="00B83E07"/>
    <w:rsid w:val="00B84CF6"/>
    <w:rsid w:val="00B85016"/>
    <w:rsid w:val="00B8561A"/>
    <w:rsid w:val="00B86628"/>
    <w:rsid w:val="00B86643"/>
    <w:rsid w:val="00B868F7"/>
    <w:rsid w:val="00B86EB1"/>
    <w:rsid w:val="00B871A7"/>
    <w:rsid w:val="00B90131"/>
    <w:rsid w:val="00B92951"/>
    <w:rsid w:val="00B92D1D"/>
    <w:rsid w:val="00B92D7E"/>
    <w:rsid w:val="00B930CE"/>
    <w:rsid w:val="00B938C5"/>
    <w:rsid w:val="00B940A8"/>
    <w:rsid w:val="00B9554A"/>
    <w:rsid w:val="00B95940"/>
    <w:rsid w:val="00B95ACA"/>
    <w:rsid w:val="00B95C12"/>
    <w:rsid w:val="00B96D74"/>
    <w:rsid w:val="00B9720E"/>
    <w:rsid w:val="00B97ACC"/>
    <w:rsid w:val="00B97FE2"/>
    <w:rsid w:val="00BA0E0B"/>
    <w:rsid w:val="00BA201A"/>
    <w:rsid w:val="00BA21DF"/>
    <w:rsid w:val="00BA361D"/>
    <w:rsid w:val="00BA3787"/>
    <w:rsid w:val="00BA403A"/>
    <w:rsid w:val="00BA46E8"/>
    <w:rsid w:val="00BA49DB"/>
    <w:rsid w:val="00BA4AE9"/>
    <w:rsid w:val="00BA4E19"/>
    <w:rsid w:val="00BA6436"/>
    <w:rsid w:val="00BA64F2"/>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F98"/>
    <w:rsid w:val="00BB50C0"/>
    <w:rsid w:val="00BB5AB2"/>
    <w:rsid w:val="00BB5ABF"/>
    <w:rsid w:val="00BB6EA2"/>
    <w:rsid w:val="00BB7142"/>
    <w:rsid w:val="00BB76F3"/>
    <w:rsid w:val="00BB7B5B"/>
    <w:rsid w:val="00BB7EB1"/>
    <w:rsid w:val="00BC003F"/>
    <w:rsid w:val="00BC0930"/>
    <w:rsid w:val="00BC327F"/>
    <w:rsid w:val="00BC3512"/>
    <w:rsid w:val="00BC4B35"/>
    <w:rsid w:val="00BC50BE"/>
    <w:rsid w:val="00BC5332"/>
    <w:rsid w:val="00BC5715"/>
    <w:rsid w:val="00BC5C12"/>
    <w:rsid w:val="00BC641B"/>
    <w:rsid w:val="00BC7154"/>
    <w:rsid w:val="00BC731E"/>
    <w:rsid w:val="00BC7614"/>
    <w:rsid w:val="00BD041B"/>
    <w:rsid w:val="00BD25BB"/>
    <w:rsid w:val="00BD2AF8"/>
    <w:rsid w:val="00BD366B"/>
    <w:rsid w:val="00BD3C09"/>
    <w:rsid w:val="00BD410B"/>
    <w:rsid w:val="00BD4A73"/>
    <w:rsid w:val="00BD4EDD"/>
    <w:rsid w:val="00BD4EF4"/>
    <w:rsid w:val="00BD6659"/>
    <w:rsid w:val="00BD6C75"/>
    <w:rsid w:val="00BD6D50"/>
    <w:rsid w:val="00BD7105"/>
    <w:rsid w:val="00BD73D2"/>
    <w:rsid w:val="00BE0AD1"/>
    <w:rsid w:val="00BE0EF9"/>
    <w:rsid w:val="00BE10A1"/>
    <w:rsid w:val="00BE18B9"/>
    <w:rsid w:val="00BE190A"/>
    <w:rsid w:val="00BE2495"/>
    <w:rsid w:val="00BE24DD"/>
    <w:rsid w:val="00BE34BB"/>
    <w:rsid w:val="00BE386D"/>
    <w:rsid w:val="00BE4DA9"/>
    <w:rsid w:val="00BE54BF"/>
    <w:rsid w:val="00BE557B"/>
    <w:rsid w:val="00BE7F5F"/>
    <w:rsid w:val="00BF02C8"/>
    <w:rsid w:val="00BF1578"/>
    <w:rsid w:val="00BF15CA"/>
    <w:rsid w:val="00BF1D12"/>
    <w:rsid w:val="00BF1D3A"/>
    <w:rsid w:val="00BF2B5B"/>
    <w:rsid w:val="00BF2D41"/>
    <w:rsid w:val="00BF3274"/>
    <w:rsid w:val="00BF32DC"/>
    <w:rsid w:val="00BF35C9"/>
    <w:rsid w:val="00BF4329"/>
    <w:rsid w:val="00BF4E43"/>
    <w:rsid w:val="00BF5C4C"/>
    <w:rsid w:val="00BF765C"/>
    <w:rsid w:val="00BF77FC"/>
    <w:rsid w:val="00C006D6"/>
    <w:rsid w:val="00C00BD7"/>
    <w:rsid w:val="00C01410"/>
    <w:rsid w:val="00C02D23"/>
    <w:rsid w:val="00C03D4D"/>
    <w:rsid w:val="00C044F4"/>
    <w:rsid w:val="00C04B78"/>
    <w:rsid w:val="00C052AA"/>
    <w:rsid w:val="00C06EE3"/>
    <w:rsid w:val="00C07279"/>
    <w:rsid w:val="00C07749"/>
    <w:rsid w:val="00C07C67"/>
    <w:rsid w:val="00C11244"/>
    <w:rsid w:val="00C11D48"/>
    <w:rsid w:val="00C12304"/>
    <w:rsid w:val="00C12316"/>
    <w:rsid w:val="00C1246C"/>
    <w:rsid w:val="00C1493E"/>
    <w:rsid w:val="00C15DBD"/>
    <w:rsid w:val="00C161C5"/>
    <w:rsid w:val="00C172F7"/>
    <w:rsid w:val="00C2010D"/>
    <w:rsid w:val="00C20CB5"/>
    <w:rsid w:val="00C21430"/>
    <w:rsid w:val="00C216DF"/>
    <w:rsid w:val="00C21E61"/>
    <w:rsid w:val="00C21F94"/>
    <w:rsid w:val="00C224BD"/>
    <w:rsid w:val="00C234DB"/>
    <w:rsid w:val="00C23C5C"/>
    <w:rsid w:val="00C2479A"/>
    <w:rsid w:val="00C24903"/>
    <w:rsid w:val="00C2590D"/>
    <w:rsid w:val="00C25D9C"/>
    <w:rsid w:val="00C27913"/>
    <w:rsid w:val="00C27FA7"/>
    <w:rsid w:val="00C300E2"/>
    <w:rsid w:val="00C31F21"/>
    <w:rsid w:val="00C32631"/>
    <w:rsid w:val="00C33301"/>
    <w:rsid w:val="00C33311"/>
    <w:rsid w:val="00C33B68"/>
    <w:rsid w:val="00C34AD4"/>
    <w:rsid w:val="00C35570"/>
    <w:rsid w:val="00C35A2A"/>
    <w:rsid w:val="00C36A79"/>
    <w:rsid w:val="00C401A9"/>
    <w:rsid w:val="00C401D2"/>
    <w:rsid w:val="00C4031A"/>
    <w:rsid w:val="00C405D4"/>
    <w:rsid w:val="00C419D5"/>
    <w:rsid w:val="00C41D54"/>
    <w:rsid w:val="00C42EBB"/>
    <w:rsid w:val="00C4513B"/>
    <w:rsid w:val="00C475E8"/>
    <w:rsid w:val="00C50E79"/>
    <w:rsid w:val="00C5197D"/>
    <w:rsid w:val="00C525FB"/>
    <w:rsid w:val="00C5390B"/>
    <w:rsid w:val="00C54257"/>
    <w:rsid w:val="00C54697"/>
    <w:rsid w:val="00C550CE"/>
    <w:rsid w:val="00C553A5"/>
    <w:rsid w:val="00C55402"/>
    <w:rsid w:val="00C5603B"/>
    <w:rsid w:val="00C60AE3"/>
    <w:rsid w:val="00C61F47"/>
    <w:rsid w:val="00C62828"/>
    <w:rsid w:val="00C672C1"/>
    <w:rsid w:val="00C706D2"/>
    <w:rsid w:val="00C715CC"/>
    <w:rsid w:val="00C719A3"/>
    <w:rsid w:val="00C71D2F"/>
    <w:rsid w:val="00C72984"/>
    <w:rsid w:val="00C73885"/>
    <w:rsid w:val="00C73C93"/>
    <w:rsid w:val="00C7435A"/>
    <w:rsid w:val="00C747B1"/>
    <w:rsid w:val="00C75510"/>
    <w:rsid w:val="00C755F9"/>
    <w:rsid w:val="00C75752"/>
    <w:rsid w:val="00C75B60"/>
    <w:rsid w:val="00C761EC"/>
    <w:rsid w:val="00C770C9"/>
    <w:rsid w:val="00C81070"/>
    <w:rsid w:val="00C8174E"/>
    <w:rsid w:val="00C82191"/>
    <w:rsid w:val="00C83134"/>
    <w:rsid w:val="00C831E7"/>
    <w:rsid w:val="00C832F3"/>
    <w:rsid w:val="00C84307"/>
    <w:rsid w:val="00C845A4"/>
    <w:rsid w:val="00C85545"/>
    <w:rsid w:val="00C855B5"/>
    <w:rsid w:val="00C85F0E"/>
    <w:rsid w:val="00C867F9"/>
    <w:rsid w:val="00C872AA"/>
    <w:rsid w:val="00C87C6B"/>
    <w:rsid w:val="00C90357"/>
    <w:rsid w:val="00C90CF4"/>
    <w:rsid w:val="00C91C20"/>
    <w:rsid w:val="00C922DE"/>
    <w:rsid w:val="00C92843"/>
    <w:rsid w:val="00C92EB6"/>
    <w:rsid w:val="00C93389"/>
    <w:rsid w:val="00C948E6"/>
    <w:rsid w:val="00C94CDD"/>
    <w:rsid w:val="00C95123"/>
    <w:rsid w:val="00C97588"/>
    <w:rsid w:val="00CA0346"/>
    <w:rsid w:val="00CA0BD5"/>
    <w:rsid w:val="00CA0DA1"/>
    <w:rsid w:val="00CA1BD6"/>
    <w:rsid w:val="00CA37FF"/>
    <w:rsid w:val="00CA423A"/>
    <w:rsid w:val="00CA47BC"/>
    <w:rsid w:val="00CA5EAD"/>
    <w:rsid w:val="00CA6AB4"/>
    <w:rsid w:val="00CA7255"/>
    <w:rsid w:val="00CA79E2"/>
    <w:rsid w:val="00CB111E"/>
    <w:rsid w:val="00CB1BEE"/>
    <w:rsid w:val="00CB2351"/>
    <w:rsid w:val="00CB4022"/>
    <w:rsid w:val="00CB4930"/>
    <w:rsid w:val="00CB4BA9"/>
    <w:rsid w:val="00CB4C63"/>
    <w:rsid w:val="00CB5A48"/>
    <w:rsid w:val="00CB5E10"/>
    <w:rsid w:val="00CB613B"/>
    <w:rsid w:val="00CB6152"/>
    <w:rsid w:val="00CB64E1"/>
    <w:rsid w:val="00CB6C6F"/>
    <w:rsid w:val="00CB6E4D"/>
    <w:rsid w:val="00CC009B"/>
    <w:rsid w:val="00CC0834"/>
    <w:rsid w:val="00CC0AEA"/>
    <w:rsid w:val="00CC20FE"/>
    <w:rsid w:val="00CC225C"/>
    <w:rsid w:val="00CC2E7D"/>
    <w:rsid w:val="00CC5BE8"/>
    <w:rsid w:val="00CC612B"/>
    <w:rsid w:val="00CC655F"/>
    <w:rsid w:val="00CC66F9"/>
    <w:rsid w:val="00CC6C2A"/>
    <w:rsid w:val="00CC6FE5"/>
    <w:rsid w:val="00CC7458"/>
    <w:rsid w:val="00CC76BD"/>
    <w:rsid w:val="00CC7A87"/>
    <w:rsid w:val="00CD08BF"/>
    <w:rsid w:val="00CD0D6B"/>
    <w:rsid w:val="00CD1060"/>
    <w:rsid w:val="00CD10A5"/>
    <w:rsid w:val="00CD1129"/>
    <w:rsid w:val="00CD1A80"/>
    <w:rsid w:val="00CD1CB5"/>
    <w:rsid w:val="00CD2076"/>
    <w:rsid w:val="00CD24CE"/>
    <w:rsid w:val="00CD29B5"/>
    <w:rsid w:val="00CD2B78"/>
    <w:rsid w:val="00CD3866"/>
    <w:rsid w:val="00CD3FAB"/>
    <w:rsid w:val="00CD5456"/>
    <w:rsid w:val="00CD5C3E"/>
    <w:rsid w:val="00CD5C57"/>
    <w:rsid w:val="00CD6331"/>
    <w:rsid w:val="00CD7E9E"/>
    <w:rsid w:val="00CE14BE"/>
    <w:rsid w:val="00CE17A4"/>
    <w:rsid w:val="00CE1BA9"/>
    <w:rsid w:val="00CE2D8F"/>
    <w:rsid w:val="00CE3532"/>
    <w:rsid w:val="00CE3E48"/>
    <w:rsid w:val="00CE46C0"/>
    <w:rsid w:val="00CE47B8"/>
    <w:rsid w:val="00CE54FD"/>
    <w:rsid w:val="00CE5C92"/>
    <w:rsid w:val="00CE62FA"/>
    <w:rsid w:val="00CE670B"/>
    <w:rsid w:val="00CE6833"/>
    <w:rsid w:val="00CF020B"/>
    <w:rsid w:val="00CF15BF"/>
    <w:rsid w:val="00CF2E4D"/>
    <w:rsid w:val="00CF4205"/>
    <w:rsid w:val="00CF4908"/>
    <w:rsid w:val="00CF51EC"/>
    <w:rsid w:val="00CF545D"/>
    <w:rsid w:val="00CF5873"/>
    <w:rsid w:val="00CF6AB7"/>
    <w:rsid w:val="00CF73AE"/>
    <w:rsid w:val="00CF7777"/>
    <w:rsid w:val="00D0085A"/>
    <w:rsid w:val="00D0197F"/>
    <w:rsid w:val="00D01B31"/>
    <w:rsid w:val="00D0242D"/>
    <w:rsid w:val="00D02716"/>
    <w:rsid w:val="00D03A72"/>
    <w:rsid w:val="00D040DD"/>
    <w:rsid w:val="00D04134"/>
    <w:rsid w:val="00D05C65"/>
    <w:rsid w:val="00D06B56"/>
    <w:rsid w:val="00D06D68"/>
    <w:rsid w:val="00D075BE"/>
    <w:rsid w:val="00D07AFF"/>
    <w:rsid w:val="00D10C15"/>
    <w:rsid w:val="00D11011"/>
    <w:rsid w:val="00D11476"/>
    <w:rsid w:val="00D12C25"/>
    <w:rsid w:val="00D133B4"/>
    <w:rsid w:val="00D13986"/>
    <w:rsid w:val="00D13F3E"/>
    <w:rsid w:val="00D14C5B"/>
    <w:rsid w:val="00D15FED"/>
    <w:rsid w:val="00D16712"/>
    <w:rsid w:val="00D214EF"/>
    <w:rsid w:val="00D215B0"/>
    <w:rsid w:val="00D21D6D"/>
    <w:rsid w:val="00D21D83"/>
    <w:rsid w:val="00D22A47"/>
    <w:rsid w:val="00D235B7"/>
    <w:rsid w:val="00D23A99"/>
    <w:rsid w:val="00D23FAE"/>
    <w:rsid w:val="00D25F28"/>
    <w:rsid w:val="00D26071"/>
    <w:rsid w:val="00D260C7"/>
    <w:rsid w:val="00D269B9"/>
    <w:rsid w:val="00D27973"/>
    <w:rsid w:val="00D27F3A"/>
    <w:rsid w:val="00D31537"/>
    <w:rsid w:val="00D31E1E"/>
    <w:rsid w:val="00D322A0"/>
    <w:rsid w:val="00D32824"/>
    <w:rsid w:val="00D334E2"/>
    <w:rsid w:val="00D350B1"/>
    <w:rsid w:val="00D35AD6"/>
    <w:rsid w:val="00D35BBB"/>
    <w:rsid w:val="00D35E1A"/>
    <w:rsid w:val="00D36B0A"/>
    <w:rsid w:val="00D36DFB"/>
    <w:rsid w:val="00D36E1C"/>
    <w:rsid w:val="00D373AF"/>
    <w:rsid w:val="00D40556"/>
    <w:rsid w:val="00D41F74"/>
    <w:rsid w:val="00D428C8"/>
    <w:rsid w:val="00D43034"/>
    <w:rsid w:val="00D43ED2"/>
    <w:rsid w:val="00D50F46"/>
    <w:rsid w:val="00D533C4"/>
    <w:rsid w:val="00D5384E"/>
    <w:rsid w:val="00D544E7"/>
    <w:rsid w:val="00D5499F"/>
    <w:rsid w:val="00D5560A"/>
    <w:rsid w:val="00D56FBF"/>
    <w:rsid w:val="00D57677"/>
    <w:rsid w:val="00D5781F"/>
    <w:rsid w:val="00D60415"/>
    <w:rsid w:val="00D60E3C"/>
    <w:rsid w:val="00D60FA7"/>
    <w:rsid w:val="00D61FAB"/>
    <w:rsid w:val="00D63BE5"/>
    <w:rsid w:val="00D6475F"/>
    <w:rsid w:val="00D655D4"/>
    <w:rsid w:val="00D66223"/>
    <w:rsid w:val="00D667B8"/>
    <w:rsid w:val="00D67D55"/>
    <w:rsid w:val="00D70289"/>
    <w:rsid w:val="00D7041F"/>
    <w:rsid w:val="00D70822"/>
    <w:rsid w:val="00D72076"/>
    <w:rsid w:val="00D721B4"/>
    <w:rsid w:val="00D726A9"/>
    <w:rsid w:val="00D72DBA"/>
    <w:rsid w:val="00D743E0"/>
    <w:rsid w:val="00D7469D"/>
    <w:rsid w:val="00D7490C"/>
    <w:rsid w:val="00D75AC1"/>
    <w:rsid w:val="00D77252"/>
    <w:rsid w:val="00D8084C"/>
    <w:rsid w:val="00D81809"/>
    <w:rsid w:val="00D82EF1"/>
    <w:rsid w:val="00D84CC9"/>
    <w:rsid w:val="00D84F43"/>
    <w:rsid w:val="00D85114"/>
    <w:rsid w:val="00D85821"/>
    <w:rsid w:val="00D8598C"/>
    <w:rsid w:val="00D87C06"/>
    <w:rsid w:val="00D915EA"/>
    <w:rsid w:val="00D919ED"/>
    <w:rsid w:val="00D922A1"/>
    <w:rsid w:val="00D928BE"/>
    <w:rsid w:val="00D932B8"/>
    <w:rsid w:val="00D95302"/>
    <w:rsid w:val="00D95889"/>
    <w:rsid w:val="00D95C5D"/>
    <w:rsid w:val="00D97D00"/>
    <w:rsid w:val="00DA096C"/>
    <w:rsid w:val="00DA1AB6"/>
    <w:rsid w:val="00DA2E65"/>
    <w:rsid w:val="00DA37DE"/>
    <w:rsid w:val="00DA3ADF"/>
    <w:rsid w:val="00DA4174"/>
    <w:rsid w:val="00DA544C"/>
    <w:rsid w:val="00DA5F8E"/>
    <w:rsid w:val="00DA6364"/>
    <w:rsid w:val="00DA7114"/>
    <w:rsid w:val="00DA7C0C"/>
    <w:rsid w:val="00DA7E2F"/>
    <w:rsid w:val="00DB03DD"/>
    <w:rsid w:val="00DB08A9"/>
    <w:rsid w:val="00DB0B33"/>
    <w:rsid w:val="00DB0FD9"/>
    <w:rsid w:val="00DB2DFA"/>
    <w:rsid w:val="00DB2EC8"/>
    <w:rsid w:val="00DB321D"/>
    <w:rsid w:val="00DB459B"/>
    <w:rsid w:val="00DB47FD"/>
    <w:rsid w:val="00DB5E3A"/>
    <w:rsid w:val="00DB5E9A"/>
    <w:rsid w:val="00DB613B"/>
    <w:rsid w:val="00DB657E"/>
    <w:rsid w:val="00DB7342"/>
    <w:rsid w:val="00DB7489"/>
    <w:rsid w:val="00DC0CBB"/>
    <w:rsid w:val="00DC17D0"/>
    <w:rsid w:val="00DC1E5D"/>
    <w:rsid w:val="00DC2B41"/>
    <w:rsid w:val="00DC2EA7"/>
    <w:rsid w:val="00DC3128"/>
    <w:rsid w:val="00DC435B"/>
    <w:rsid w:val="00DC4AC4"/>
    <w:rsid w:val="00DC53D8"/>
    <w:rsid w:val="00DC56FE"/>
    <w:rsid w:val="00DC5B3B"/>
    <w:rsid w:val="00DC6C2D"/>
    <w:rsid w:val="00DC7B1A"/>
    <w:rsid w:val="00DD04B0"/>
    <w:rsid w:val="00DD129F"/>
    <w:rsid w:val="00DD13FC"/>
    <w:rsid w:val="00DD1A3F"/>
    <w:rsid w:val="00DD29B5"/>
    <w:rsid w:val="00DD32DD"/>
    <w:rsid w:val="00DD33E8"/>
    <w:rsid w:val="00DD5287"/>
    <w:rsid w:val="00DD5B36"/>
    <w:rsid w:val="00DD7849"/>
    <w:rsid w:val="00DE03DE"/>
    <w:rsid w:val="00DE0D8B"/>
    <w:rsid w:val="00DE1237"/>
    <w:rsid w:val="00DE140F"/>
    <w:rsid w:val="00DE17E9"/>
    <w:rsid w:val="00DE2491"/>
    <w:rsid w:val="00DE3E5D"/>
    <w:rsid w:val="00DE450F"/>
    <w:rsid w:val="00DE4865"/>
    <w:rsid w:val="00DE5CA6"/>
    <w:rsid w:val="00DE5E55"/>
    <w:rsid w:val="00DE7156"/>
    <w:rsid w:val="00DE7AC8"/>
    <w:rsid w:val="00DF0830"/>
    <w:rsid w:val="00DF2C5D"/>
    <w:rsid w:val="00DF3643"/>
    <w:rsid w:val="00DF42FF"/>
    <w:rsid w:val="00DF4369"/>
    <w:rsid w:val="00DF4423"/>
    <w:rsid w:val="00DF4ADF"/>
    <w:rsid w:val="00DF57D6"/>
    <w:rsid w:val="00DF5D1E"/>
    <w:rsid w:val="00DF77E4"/>
    <w:rsid w:val="00DF7F88"/>
    <w:rsid w:val="00E00B88"/>
    <w:rsid w:val="00E01C0E"/>
    <w:rsid w:val="00E0368F"/>
    <w:rsid w:val="00E03D73"/>
    <w:rsid w:val="00E03F9A"/>
    <w:rsid w:val="00E040DA"/>
    <w:rsid w:val="00E04694"/>
    <w:rsid w:val="00E1168B"/>
    <w:rsid w:val="00E12191"/>
    <w:rsid w:val="00E129E7"/>
    <w:rsid w:val="00E12ABE"/>
    <w:rsid w:val="00E12B1E"/>
    <w:rsid w:val="00E135EB"/>
    <w:rsid w:val="00E13995"/>
    <w:rsid w:val="00E1444C"/>
    <w:rsid w:val="00E17262"/>
    <w:rsid w:val="00E17F36"/>
    <w:rsid w:val="00E20016"/>
    <w:rsid w:val="00E2009B"/>
    <w:rsid w:val="00E20BB9"/>
    <w:rsid w:val="00E20BCC"/>
    <w:rsid w:val="00E2251C"/>
    <w:rsid w:val="00E2363D"/>
    <w:rsid w:val="00E23C6A"/>
    <w:rsid w:val="00E2484B"/>
    <w:rsid w:val="00E253A2"/>
    <w:rsid w:val="00E260F6"/>
    <w:rsid w:val="00E27127"/>
    <w:rsid w:val="00E27233"/>
    <w:rsid w:val="00E274BB"/>
    <w:rsid w:val="00E30F15"/>
    <w:rsid w:val="00E31771"/>
    <w:rsid w:val="00E3186D"/>
    <w:rsid w:val="00E31A3E"/>
    <w:rsid w:val="00E32080"/>
    <w:rsid w:val="00E32778"/>
    <w:rsid w:val="00E3309D"/>
    <w:rsid w:val="00E34E3F"/>
    <w:rsid w:val="00E350B1"/>
    <w:rsid w:val="00E35A53"/>
    <w:rsid w:val="00E3634A"/>
    <w:rsid w:val="00E3656B"/>
    <w:rsid w:val="00E3712B"/>
    <w:rsid w:val="00E3724A"/>
    <w:rsid w:val="00E378B1"/>
    <w:rsid w:val="00E417BE"/>
    <w:rsid w:val="00E41CD5"/>
    <w:rsid w:val="00E42054"/>
    <w:rsid w:val="00E4372D"/>
    <w:rsid w:val="00E43A9E"/>
    <w:rsid w:val="00E44243"/>
    <w:rsid w:val="00E453F9"/>
    <w:rsid w:val="00E45D7D"/>
    <w:rsid w:val="00E4623F"/>
    <w:rsid w:val="00E4665D"/>
    <w:rsid w:val="00E47854"/>
    <w:rsid w:val="00E478E2"/>
    <w:rsid w:val="00E47EBA"/>
    <w:rsid w:val="00E50156"/>
    <w:rsid w:val="00E504EB"/>
    <w:rsid w:val="00E5076C"/>
    <w:rsid w:val="00E50D2E"/>
    <w:rsid w:val="00E50D7D"/>
    <w:rsid w:val="00E51EF0"/>
    <w:rsid w:val="00E53470"/>
    <w:rsid w:val="00E5368D"/>
    <w:rsid w:val="00E539F6"/>
    <w:rsid w:val="00E54698"/>
    <w:rsid w:val="00E54BE9"/>
    <w:rsid w:val="00E54FB4"/>
    <w:rsid w:val="00E5539A"/>
    <w:rsid w:val="00E55791"/>
    <w:rsid w:val="00E55E1A"/>
    <w:rsid w:val="00E578A2"/>
    <w:rsid w:val="00E579ED"/>
    <w:rsid w:val="00E60043"/>
    <w:rsid w:val="00E61740"/>
    <w:rsid w:val="00E61EB5"/>
    <w:rsid w:val="00E6324D"/>
    <w:rsid w:val="00E65084"/>
    <w:rsid w:val="00E6519D"/>
    <w:rsid w:val="00E66062"/>
    <w:rsid w:val="00E6660E"/>
    <w:rsid w:val="00E66768"/>
    <w:rsid w:val="00E67305"/>
    <w:rsid w:val="00E67696"/>
    <w:rsid w:val="00E709AF"/>
    <w:rsid w:val="00E70C5F"/>
    <w:rsid w:val="00E71A58"/>
    <w:rsid w:val="00E728D7"/>
    <w:rsid w:val="00E72A26"/>
    <w:rsid w:val="00E72A7A"/>
    <w:rsid w:val="00E7335A"/>
    <w:rsid w:val="00E73986"/>
    <w:rsid w:val="00E7467D"/>
    <w:rsid w:val="00E747DC"/>
    <w:rsid w:val="00E74A2D"/>
    <w:rsid w:val="00E75C94"/>
    <w:rsid w:val="00E76A08"/>
    <w:rsid w:val="00E76B9B"/>
    <w:rsid w:val="00E76E61"/>
    <w:rsid w:val="00E76EE4"/>
    <w:rsid w:val="00E77CC0"/>
    <w:rsid w:val="00E80B3D"/>
    <w:rsid w:val="00E80CA3"/>
    <w:rsid w:val="00E82618"/>
    <w:rsid w:val="00E82A42"/>
    <w:rsid w:val="00E84E09"/>
    <w:rsid w:val="00E87CE2"/>
    <w:rsid w:val="00E90CA8"/>
    <w:rsid w:val="00E911C6"/>
    <w:rsid w:val="00E920DE"/>
    <w:rsid w:val="00E930A1"/>
    <w:rsid w:val="00E93820"/>
    <w:rsid w:val="00E94A86"/>
    <w:rsid w:val="00E951AB"/>
    <w:rsid w:val="00E953F6"/>
    <w:rsid w:val="00E96143"/>
    <w:rsid w:val="00E96833"/>
    <w:rsid w:val="00E97506"/>
    <w:rsid w:val="00E97BB5"/>
    <w:rsid w:val="00E97D5B"/>
    <w:rsid w:val="00E97F14"/>
    <w:rsid w:val="00EA0C68"/>
    <w:rsid w:val="00EA0E39"/>
    <w:rsid w:val="00EA1D0E"/>
    <w:rsid w:val="00EA2072"/>
    <w:rsid w:val="00EA2841"/>
    <w:rsid w:val="00EA32BC"/>
    <w:rsid w:val="00EA35A7"/>
    <w:rsid w:val="00EA3B32"/>
    <w:rsid w:val="00EA3CEB"/>
    <w:rsid w:val="00EA3D05"/>
    <w:rsid w:val="00EA4222"/>
    <w:rsid w:val="00EA4402"/>
    <w:rsid w:val="00EA4B8D"/>
    <w:rsid w:val="00EA513E"/>
    <w:rsid w:val="00EA7419"/>
    <w:rsid w:val="00EB0E32"/>
    <w:rsid w:val="00EB1CDC"/>
    <w:rsid w:val="00EB3E60"/>
    <w:rsid w:val="00EB4511"/>
    <w:rsid w:val="00EB48D7"/>
    <w:rsid w:val="00EB49F1"/>
    <w:rsid w:val="00EB4A8E"/>
    <w:rsid w:val="00EB4BC5"/>
    <w:rsid w:val="00EB5BF7"/>
    <w:rsid w:val="00EB5E79"/>
    <w:rsid w:val="00EB6FAC"/>
    <w:rsid w:val="00EB7BAC"/>
    <w:rsid w:val="00EB7CC9"/>
    <w:rsid w:val="00EC03D7"/>
    <w:rsid w:val="00EC13A7"/>
    <w:rsid w:val="00EC2EB6"/>
    <w:rsid w:val="00EC4FFF"/>
    <w:rsid w:val="00EC5517"/>
    <w:rsid w:val="00EC6E8C"/>
    <w:rsid w:val="00ED0962"/>
    <w:rsid w:val="00ED0EF0"/>
    <w:rsid w:val="00ED12B9"/>
    <w:rsid w:val="00ED16B8"/>
    <w:rsid w:val="00ED1959"/>
    <w:rsid w:val="00ED1A00"/>
    <w:rsid w:val="00ED1DF0"/>
    <w:rsid w:val="00ED2386"/>
    <w:rsid w:val="00ED2EA1"/>
    <w:rsid w:val="00ED3851"/>
    <w:rsid w:val="00ED3E51"/>
    <w:rsid w:val="00ED3F10"/>
    <w:rsid w:val="00ED3F9B"/>
    <w:rsid w:val="00ED3FB3"/>
    <w:rsid w:val="00ED4D04"/>
    <w:rsid w:val="00ED566D"/>
    <w:rsid w:val="00ED5907"/>
    <w:rsid w:val="00ED5F5B"/>
    <w:rsid w:val="00ED62C6"/>
    <w:rsid w:val="00ED64C1"/>
    <w:rsid w:val="00ED781F"/>
    <w:rsid w:val="00EE0E7E"/>
    <w:rsid w:val="00EE249F"/>
    <w:rsid w:val="00EE2EB4"/>
    <w:rsid w:val="00EE3446"/>
    <w:rsid w:val="00EE3E78"/>
    <w:rsid w:val="00EE41FD"/>
    <w:rsid w:val="00EE460E"/>
    <w:rsid w:val="00EE4B1B"/>
    <w:rsid w:val="00EE5FBA"/>
    <w:rsid w:val="00EE601C"/>
    <w:rsid w:val="00EE6E06"/>
    <w:rsid w:val="00EE7179"/>
    <w:rsid w:val="00EF0D90"/>
    <w:rsid w:val="00EF150D"/>
    <w:rsid w:val="00EF1F5A"/>
    <w:rsid w:val="00EF23B5"/>
    <w:rsid w:val="00EF326A"/>
    <w:rsid w:val="00EF3898"/>
    <w:rsid w:val="00EF47BF"/>
    <w:rsid w:val="00EF52F7"/>
    <w:rsid w:val="00EF59B1"/>
    <w:rsid w:val="00EF5A13"/>
    <w:rsid w:val="00EF5FF9"/>
    <w:rsid w:val="00EF77D4"/>
    <w:rsid w:val="00EF7CC7"/>
    <w:rsid w:val="00F00535"/>
    <w:rsid w:val="00F00853"/>
    <w:rsid w:val="00F00866"/>
    <w:rsid w:val="00F00EC8"/>
    <w:rsid w:val="00F0160B"/>
    <w:rsid w:val="00F0193E"/>
    <w:rsid w:val="00F03E2F"/>
    <w:rsid w:val="00F03F8D"/>
    <w:rsid w:val="00F04811"/>
    <w:rsid w:val="00F0488C"/>
    <w:rsid w:val="00F073ED"/>
    <w:rsid w:val="00F07C4C"/>
    <w:rsid w:val="00F07E45"/>
    <w:rsid w:val="00F10F11"/>
    <w:rsid w:val="00F11159"/>
    <w:rsid w:val="00F115E4"/>
    <w:rsid w:val="00F11AC4"/>
    <w:rsid w:val="00F120A5"/>
    <w:rsid w:val="00F12CFB"/>
    <w:rsid w:val="00F13E60"/>
    <w:rsid w:val="00F13FDB"/>
    <w:rsid w:val="00F15AAA"/>
    <w:rsid w:val="00F15BEF"/>
    <w:rsid w:val="00F17898"/>
    <w:rsid w:val="00F204BF"/>
    <w:rsid w:val="00F207C2"/>
    <w:rsid w:val="00F21337"/>
    <w:rsid w:val="00F219A1"/>
    <w:rsid w:val="00F23E20"/>
    <w:rsid w:val="00F24407"/>
    <w:rsid w:val="00F24FAA"/>
    <w:rsid w:val="00F25040"/>
    <w:rsid w:val="00F27071"/>
    <w:rsid w:val="00F27331"/>
    <w:rsid w:val="00F276D3"/>
    <w:rsid w:val="00F27EE5"/>
    <w:rsid w:val="00F27FB1"/>
    <w:rsid w:val="00F27FD6"/>
    <w:rsid w:val="00F307CB"/>
    <w:rsid w:val="00F30C0C"/>
    <w:rsid w:val="00F30C65"/>
    <w:rsid w:val="00F321D2"/>
    <w:rsid w:val="00F32649"/>
    <w:rsid w:val="00F33523"/>
    <w:rsid w:val="00F3364D"/>
    <w:rsid w:val="00F33914"/>
    <w:rsid w:val="00F349BF"/>
    <w:rsid w:val="00F34DDC"/>
    <w:rsid w:val="00F36191"/>
    <w:rsid w:val="00F3629F"/>
    <w:rsid w:val="00F36DF3"/>
    <w:rsid w:val="00F37362"/>
    <w:rsid w:val="00F37EDC"/>
    <w:rsid w:val="00F437CC"/>
    <w:rsid w:val="00F44537"/>
    <w:rsid w:val="00F46185"/>
    <w:rsid w:val="00F46423"/>
    <w:rsid w:val="00F4696A"/>
    <w:rsid w:val="00F47067"/>
    <w:rsid w:val="00F47234"/>
    <w:rsid w:val="00F51ADD"/>
    <w:rsid w:val="00F525AB"/>
    <w:rsid w:val="00F525EB"/>
    <w:rsid w:val="00F52CB5"/>
    <w:rsid w:val="00F53378"/>
    <w:rsid w:val="00F53A68"/>
    <w:rsid w:val="00F54934"/>
    <w:rsid w:val="00F55A92"/>
    <w:rsid w:val="00F5615B"/>
    <w:rsid w:val="00F575D3"/>
    <w:rsid w:val="00F57983"/>
    <w:rsid w:val="00F57A76"/>
    <w:rsid w:val="00F57D57"/>
    <w:rsid w:val="00F6178B"/>
    <w:rsid w:val="00F62BFF"/>
    <w:rsid w:val="00F62CCE"/>
    <w:rsid w:val="00F63092"/>
    <w:rsid w:val="00F63AAE"/>
    <w:rsid w:val="00F63DDE"/>
    <w:rsid w:val="00F63FB7"/>
    <w:rsid w:val="00F6421B"/>
    <w:rsid w:val="00F647F1"/>
    <w:rsid w:val="00F649D2"/>
    <w:rsid w:val="00F64D5A"/>
    <w:rsid w:val="00F6602B"/>
    <w:rsid w:val="00F6799D"/>
    <w:rsid w:val="00F7150B"/>
    <w:rsid w:val="00F717E4"/>
    <w:rsid w:val="00F71DE6"/>
    <w:rsid w:val="00F72D71"/>
    <w:rsid w:val="00F7381C"/>
    <w:rsid w:val="00F73A0C"/>
    <w:rsid w:val="00F752DC"/>
    <w:rsid w:val="00F7549F"/>
    <w:rsid w:val="00F756DB"/>
    <w:rsid w:val="00F766BE"/>
    <w:rsid w:val="00F767A8"/>
    <w:rsid w:val="00F77590"/>
    <w:rsid w:val="00F77A50"/>
    <w:rsid w:val="00F82D14"/>
    <w:rsid w:val="00F84E7D"/>
    <w:rsid w:val="00F85066"/>
    <w:rsid w:val="00F87A4D"/>
    <w:rsid w:val="00F91B66"/>
    <w:rsid w:val="00F93688"/>
    <w:rsid w:val="00F939F3"/>
    <w:rsid w:val="00F93C6E"/>
    <w:rsid w:val="00F93F2C"/>
    <w:rsid w:val="00F962AD"/>
    <w:rsid w:val="00F9644E"/>
    <w:rsid w:val="00FA0105"/>
    <w:rsid w:val="00FA05A0"/>
    <w:rsid w:val="00FA0AEF"/>
    <w:rsid w:val="00FA17CC"/>
    <w:rsid w:val="00FA1CFE"/>
    <w:rsid w:val="00FA1F01"/>
    <w:rsid w:val="00FA26DF"/>
    <w:rsid w:val="00FA32BC"/>
    <w:rsid w:val="00FA3FA8"/>
    <w:rsid w:val="00FA4059"/>
    <w:rsid w:val="00FA4574"/>
    <w:rsid w:val="00FA48A4"/>
    <w:rsid w:val="00FA4CB7"/>
    <w:rsid w:val="00FA5112"/>
    <w:rsid w:val="00FA5526"/>
    <w:rsid w:val="00FA5D4D"/>
    <w:rsid w:val="00FA6CB6"/>
    <w:rsid w:val="00FA70D3"/>
    <w:rsid w:val="00FA7AEC"/>
    <w:rsid w:val="00FB0AEA"/>
    <w:rsid w:val="00FB0EE2"/>
    <w:rsid w:val="00FB1A79"/>
    <w:rsid w:val="00FB208B"/>
    <w:rsid w:val="00FB2B2D"/>
    <w:rsid w:val="00FB542E"/>
    <w:rsid w:val="00FB5580"/>
    <w:rsid w:val="00FB564F"/>
    <w:rsid w:val="00FB7DBB"/>
    <w:rsid w:val="00FC05F8"/>
    <w:rsid w:val="00FC077B"/>
    <w:rsid w:val="00FC0E5F"/>
    <w:rsid w:val="00FC1070"/>
    <w:rsid w:val="00FC1266"/>
    <w:rsid w:val="00FC1A95"/>
    <w:rsid w:val="00FC1ED4"/>
    <w:rsid w:val="00FC3BEC"/>
    <w:rsid w:val="00FC42C5"/>
    <w:rsid w:val="00FC440B"/>
    <w:rsid w:val="00FC56DE"/>
    <w:rsid w:val="00FC63D9"/>
    <w:rsid w:val="00FC64DE"/>
    <w:rsid w:val="00FC6785"/>
    <w:rsid w:val="00FC684B"/>
    <w:rsid w:val="00FC7D98"/>
    <w:rsid w:val="00FD1135"/>
    <w:rsid w:val="00FD3265"/>
    <w:rsid w:val="00FD3CF7"/>
    <w:rsid w:val="00FD4124"/>
    <w:rsid w:val="00FD4916"/>
    <w:rsid w:val="00FD4D12"/>
    <w:rsid w:val="00FD4F73"/>
    <w:rsid w:val="00FD595E"/>
    <w:rsid w:val="00FD7802"/>
    <w:rsid w:val="00FD7D3B"/>
    <w:rsid w:val="00FE27C7"/>
    <w:rsid w:val="00FE2C7E"/>
    <w:rsid w:val="00FE2F78"/>
    <w:rsid w:val="00FE3137"/>
    <w:rsid w:val="00FE346B"/>
    <w:rsid w:val="00FE346F"/>
    <w:rsid w:val="00FE431E"/>
    <w:rsid w:val="00FE460E"/>
    <w:rsid w:val="00FE48E4"/>
    <w:rsid w:val="00FE5466"/>
    <w:rsid w:val="00FE634C"/>
    <w:rsid w:val="00FE6E69"/>
    <w:rsid w:val="00FE6F59"/>
    <w:rsid w:val="00FF01B6"/>
    <w:rsid w:val="00FF0989"/>
    <w:rsid w:val="00FF0F79"/>
    <w:rsid w:val="00FF1136"/>
    <w:rsid w:val="00FF3D76"/>
    <w:rsid w:val="00FF5B8C"/>
    <w:rsid w:val="00FF63E6"/>
    <w:rsid w:val="00FF72DC"/>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9753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59646263">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094795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9438197">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kamenicky3604\Documents\JKAM%20CSU\PUBLIKACE\PUBLIKACE\2022\Q-Makro\Odv&#283;tv&#237;\Odv&#283;tv&#237;%20grafy-1q-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kamenicky3604\Documents\JKAM%20CSU\PUBLIKACE\PUBLIKACE\2022\Q-Makro\Odv&#283;tv&#237;\Odv&#283;tv&#237;%20grafy-1q-20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kamenicky3604\Documents\JKAM%20CSU\PUBLIKACE\PUBLIKACE\2022\Q-Makro\Odv&#283;tv&#237;\Odv&#283;tv&#237;%20grafy-1q-202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kamenicky3604\Documents\JKAM%20CSU\PUBLIKACE\PUBLIKACE\2022\Q-Makro\Odv&#283;tv&#237;\Odv&#283;tv&#237;%20grafy-1q-202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kamenicky3604\Documents\JKAM%20CSU\PUBLIKACE\PUBLIKACE\2022\Q-Makro\Odv&#283;tv&#237;\Odv&#283;tv&#237;%20grafy-1q-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41623297994974E-2"/>
          <c:y val="1.6203544707895996E-2"/>
          <c:w val="0.85238566092029178"/>
          <c:h val="0.70160207211475611"/>
        </c:manualLayout>
      </c:layout>
      <c:barChart>
        <c:barDir val="col"/>
        <c:grouping val="stacked"/>
        <c:varyColors val="0"/>
        <c:ser>
          <c:idx val="0"/>
          <c:order val="0"/>
          <c:tx>
            <c:strRef>
              <c:f>'GRAF příspěvky IPP'!$A$27</c:f>
              <c:strCache>
                <c:ptCount val="1"/>
                <c:pt idx="0">
                  <c:v>Výroba dopravních prostředků (29, 30)</c:v>
                </c:pt>
              </c:strCache>
            </c:strRef>
          </c:tx>
          <c:spPr>
            <a:solidFill>
              <a:srgbClr val="E8AFB2"/>
            </a:solidFill>
          </c:spPr>
          <c:invertIfNegative val="0"/>
          <c:cat>
            <c:multiLvlStrRef>
              <c:f>'GRAF příspěvky IPP'!$R$25:$AT$26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'GRAF příspěvky IPP'!$R$27:$AT$27</c:f>
              <c:numCache>
                <c:formatCode>0.0</c:formatCode>
                <c:ptCount val="29"/>
                <c:pt idx="0">
                  <c:v>1.5428898176392496</c:v>
                </c:pt>
                <c:pt idx="1">
                  <c:v>2.1743718256924107</c:v>
                </c:pt>
                <c:pt idx="2">
                  <c:v>2.3590492908960439</c:v>
                </c:pt>
                <c:pt idx="3">
                  <c:v>2.8772486090638396</c:v>
                </c:pt>
                <c:pt idx="4">
                  <c:v>3.3183568360577667</c:v>
                </c:pt>
                <c:pt idx="5">
                  <c:v>2.726135980015763</c:v>
                </c:pt>
                <c:pt idx="6">
                  <c:v>1.4737639394577176</c:v>
                </c:pt>
                <c:pt idx="7">
                  <c:v>1.0298153192049733</c:v>
                </c:pt>
                <c:pt idx="8">
                  <c:v>1.7609137024842152</c:v>
                </c:pt>
                <c:pt idx="9">
                  <c:v>2.1167862077962001</c:v>
                </c:pt>
                <c:pt idx="10">
                  <c:v>1.5869964664235507</c:v>
                </c:pt>
                <c:pt idx="11">
                  <c:v>1.681411454669806</c:v>
                </c:pt>
                <c:pt idx="12">
                  <c:v>0.74237714955218947</c:v>
                </c:pt>
                <c:pt idx="13">
                  <c:v>0.54613557309892891</c:v>
                </c:pt>
                <c:pt idx="14">
                  <c:v>0.23904640916369443</c:v>
                </c:pt>
                <c:pt idx="15">
                  <c:v>0.98490029941942658</c:v>
                </c:pt>
                <c:pt idx="16">
                  <c:v>-0.22712700654221288</c:v>
                </c:pt>
                <c:pt idx="17">
                  <c:v>0.47876328427856657</c:v>
                </c:pt>
                <c:pt idx="18">
                  <c:v>0.83775598681488828</c:v>
                </c:pt>
                <c:pt idx="19">
                  <c:v>-1.1010749377233835</c:v>
                </c:pt>
                <c:pt idx="20">
                  <c:v>-1.5402455662309271</c:v>
                </c:pt>
                <c:pt idx="21">
                  <c:v>-9.3904500983178529</c:v>
                </c:pt>
                <c:pt idx="22">
                  <c:v>-0.18484894361250637</c:v>
                </c:pt>
                <c:pt idx="23">
                  <c:v>2.0392469803827944</c:v>
                </c:pt>
                <c:pt idx="24">
                  <c:v>1.8923744068071238</c:v>
                </c:pt>
                <c:pt idx="25">
                  <c:v>11.006829808040177</c:v>
                </c:pt>
                <c:pt idx="26">
                  <c:v>-3.7872911177955908</c:v>
                </c:pt>
                <c:pt idx="27">
                  <c:v>-3.2627422479740988</c:v>
                </c:pt>
                <c:pt idx="28">
                  <c:v>-1.9662554121026976</c:v>
                </c:pt>
              </c:numCache>
            </c:numRef>
          </c:val>
          <c:extLst>
            <c:ext xmlns:c16="http://schemas.microsoft.com/office/drawing/2014/chart" uri="{C3380CC4-5D6E-409C-BE32-E72D297353CC}">
              <c16:uniqueId val="{00000000-3C36-4834-A06D-79A6D4992C27}"/>
            </c:ext>
          </c:extLst>
        </c:ser>
        <c:ser>
          <c:idx val="1"/>
          <c:order val="1"/>
          <c:tx>
            <c:strRef>
              <c:f>'GRAF příspěvky IPP'!$A$28</c:f>
              <c:strCache>
                <c:ptCount val="1"/>
                <c:pt idx="0">
                  <c:v>Gumárenství, elektrotechnický pr. (22, 27)</c:v>
                </c:pt>
              </c:strCache>
            </c:strRef>
          </c:tx>
          <c:spPr>
            <a:solidFill>
              <a:srgbClr val="BD1B21"/>
            </a:solidFill>
          </c:spPr>
          <c:invertIfNegative val="0"/>
          <c:cat>
            <c:multiLvlStrRef>
              <c:f>'GRAF příspěvky IPP'!$R$25:$AT$26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'GRAF příspěvky IPP'!$R$28:$AT$28</c:f>
              <c:numCache>
                <c:formatCode>0.0</c:formatCode>
                <c:ptCount val="29"/>
                <c:pt idx="0">
                  <c:v>1.034672951175343</c:v>
                </c:pt>
                <c:pt idx="1">
                  <c:v>1.2402872249055439</c:v>
                </c:pt>
                <c:pt idx="2">
                  <c:v>1.3942884794721908</c:v>
                </c:pt>
                <c:pt idx="3">
                  <c:v>0.63756976588884984</c:v>
                </c:pt>
                <c:pt idx="4">
                  <c:v>0.7944903405734538</c:v>
                </c:pt>
                <c:pt idx="5">
                  <c:v>0.20047553290148593</c:v>
                </c:pt>
                <c:pt idx="6">
                  <c:v>0.26203247933087592</c:v>
                </c:pt>
                <c:pt idx="7">
                  <c:v>0.42925022381945577</c:v>
                </c:pt>
                <c:pt idx="8">
                  <c:v>0.85509469319178899</c:v>
                </c:pt>
                <c:pt idx="9">
                  <c:v>1.4003096522077234</c:v>
                </c:pt>
                <c:pt idx="10">
                  <c:v>0.85542183955477147</c:v>
                </c:pt>
                <c:pt idx="11">
                  <c:v>1.6527257176884005</c:v>
                </c:pt>
                <c:pt idx="12">
                  <c:v>0.96912614591005941</c:v>
                </c:pt>
                <c:pt idx="13">
                  <c:v>0.34015391143850388</c:v>
                </c:pt>
                <c:pt idx="14">
                  <c:v>0.42914077951440655</c:v>
                </c:pt>
                <c:pt idx="15">
                  <c:v>-4.0280326098931243E-2</c:v>
                </c:pt>
                <c:pt idx="16">
                  <c:v>0.52468036745672719</c:v>
                </c:pt>
                <c:pt idx="17">
                  <c:v>0.40727721709233999</c:v>
                </c:pt>
                <c:pt idx="18">
                  <c:v>0.23777798772963615</c:v>
                </c:pt>
                <c:pt idx="19">
                  <c:v>0.39315489791744185</c:v>
                </c:pt>
                <c:pt idx="20">
                  <c:v>-0.53386769400704515</c:v>
                </c:pt>
                <c:pt idx="21">
                  <c:v>-4.0551444930052307</c:v>
                </c:pt>
                <c:pt idx="22">
                  <c:v>-0.43167140643618573</c:v>
                </c:pt>
                <c:pt idx="23">
                  <c:v>0.57148883598763711</c:v>
                </c:pt>
                <c:pt idx="24">
                  <c:v>0.71769230327060185</c:v>
                </c:pt>
                <c:pt idx="25">
                  <c:v>5.5216338551037989</c:v>
                </c:pt>
                <c:pt idx="26">
                  <c:v>0.62781697334647013</c:v>
                </c:pt>
                <c:pt idx="27">
                  <c:v>-0.40298831614692804</c:v>
                </c:pt>
                <c:pt idx="28">
                  <c:v>5.6706007410435133E-2</c:v>
                </c:pt>
              </c:numCache>
            </c:numRef>
          </c:val>
          <c:extLst>
            <c:ext xmlns:c16="http://schemas.microsoft.com/office/drawing/2014/chart" uri="{C3380CC4-5D6E-409C-BE32-E72D297353CC}">
              <c16:uniqueId val="{00000001-3C36-4834-A06D-79A6D4992C27}"/>
            </c:ext>
          </c:extLst>
        </c:ser>
        <c:ser>
          <c:idx val="2"/>
          <c:order val="2"/>
          <c:tx>
            <c:strRef>
              <c:f>'GRAF příspěvky IPP'!$A$29</c:f>
              <c:strCache>
                <c:ptCount val="1"/>
                <c:pt idx="0">
                  <c:v>Strojírenství (28)</c:v>
                </c:pt>
              </c:strCache>
            </c:strRef>
          </c:tx>
          <c:spPr>
            <a:solidFill>
              <a:srgbClr val="BFE3F7"/>
            </a:solidFill>
          </c:spPr>
          <c:invertIfNegative val="0"/>
          <c:cat>
            <c:multiLvlStrRef>
              <c:f>'GRAF příspěvky IPP'!$R$25:$AT$26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'GRAF příspěvky IPP'!$R$29:$AT$29</c:f>
              <c:numCache>
                <c:formatCode>0.0</c:formatCode>
                <c:ptCount val="29"/>
                <c:pt idx="0">
                  <c:v>0.27254464463314693</c:v>
                </c:pt>
                <c:pt idx="1">
                  <c:v>0.29396963786095853</c:v>
                </c:pt>
                <c:pt idx="2">
                  <c:v>0.39152523509606818</c:v>
                </c:pt>
                <c:pt idx="3">
                  <c:v>1.6200417736821196E-2</c:v>
                </c:pt>
                <c:pt idx="4">
                  <c:v>0.36694942006841863</c:v>
                </c:pt>
                <c:pt idx="5">
                  <c:v>-7.7911792574484814E-2</c:v>
                </c:pt>
                <c:pt idx="6">
                  <c:v>0.1987099016441323</c:v>
                </c:pt>
                <c:pt idx="7">
                  <c:v>0.31990708238357735</c:v>
                </c:pt>
                <c:pt idx="8">
                  <c:v>0.34959411680822744</c:v>
                </c:pt>
                <c:pt idx="9">
                  <c:v>1.0827590636445108</c:v>
                </c:pt>
                <c:pt idx="10">
                  <c:v>0.85295353330611445</c:v>
                </c:pt>
                <c:pt idx="11">
                  <c:v>0.80087396958540291</c:v>
                </c:pt>
                <c:pt idx="12">
                  <c:v>0.479471307913379</c:v>
                </c:pt>
                <c:pt idx="13">
                  <c:v>0.1423157226032094</c:v>
                </c:pt>
                <c:pt idx="14">
                  <c:v>0.18574582107238052</c:v>
                </c:pt>
                <c:pt idx="15">
                  <c:v>-0.19599700087649827</c:v>
                </c:pt>
                <c:pt idx="16">
                  <c:v>0.14262071470057108</c:v>
                </c:pt>
                <c:pt idx="17">
                  <c:v>-1.7720632744717035E-2</c:v>
                </c:pt>
                <c:pt idx="18">
                  <c:v>-0.26820737830766378</c:v>
                </c:pt>
                <c:pt idx="19">
                  <c:v>-0.13470183553131065</c:v>
                </c:pt>
                <c:pt idx="20">
                  <c:v>-0.70070857290029465</c:v>
                </c:pt>
                <c:pt idx="21">
                  <c:v>-2.1439518127357715</c:v>
                </c:pt>
                <c:pt idx="22">
                  <c:v>-0.79742744226132456</c:v>
                </c:pt>
                <c:pt idx="23">
                  <c:v>-0.53363467705880407</c:v>
                </c:pt>
                <c:pt idx="24">
                  <c:v>7.442127362308941E-2</c:v>
                </c:pt>
                <c:pt idx="25">
                  <c:v>2.0959861732102105</c:v>
                </c:pt>
                <c:pt idx="26">
                  <c:v>0.54559281081028443</c:v>
                </c:pt>
                <c:pt idx="27">
                  <c:v>0.28200612243238526</c:v>
                </c:pt>
                <c:pt idx="28">
                  <c:v>0.35971401205898146</c:v>
                </c:pt>
              </c:numCache>
            </c:numRef>
          </c:val>
          <c:extLst>
            <c:ext xmlns:c16="http://schemas.microsoft.com/office/drawing/2014/chart" uri="{C3380CC4-5D6E-409C-BE32-E72D297353CC}">
              <c16:uniqueId val="{00000002-3C36-4834-A06D-79A6D4992C27}"/>
            </c:ext>
          </c:extLst>
        </c:ser>
        <c:ser>
          <c:idx val="3"/>
          <c:order val="3"/>
          <c:tx>
            <c:strRef>
              <c:f>'GRAF příspěvky IPP'!$A$30</c:f>
              <c:strCache>
                <c:ptCount val="1"/>
                <c:pt idx="0">
                  <c:v>Kovodělný průmysl (25)</c:v>
                </c:pt>
              </c:strCache>
            </c:strRef>
          </c:tx>
          <c:spPr>
            <a:solidFill>
              <a:srgbClr val="48AEE7"/>
            </a:solidFill>
          </c:spPr>
          <c:invertIfNegative val="0"/>
          <c:cat>
            <c:multiLvlStrRef>
              <c:f>'GRAF příspěvky IPP'!$R$25:$AT$26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IPP'!$R$30:$AT$30</c:f>
              <c:numCache>
                <c:formatCode>0.0</c:formatCode>
                <c:ptCount val="29"/>
                <c:pt idx="0">
                  <c:v>0.69598466412593474</c:v>
                </c:pt>
                <c:pt idx="1">
                  <c:v>0.78523209830157625</c:v>
                </c:pt>
                <c:pt idx="2">
                  <c:v>0.97812808698582676</c:v>
                </c:pt>
                <c:pt idx="3">
                  <c:v>0.60585855548016065</c:v>
                </c:pt>
                <c:pt idx="4">
                  <c:v>0.7974142567928203</c:v>
                </c:pt>
                <c:pt idx="5">
                  <c:v>0.39435941300086852</c:v>
                </c:pt>
                <c:pt idx="6">
                  <c:v>0.22320292471013239</c:v>
                </c:pt>
                <c:pt idx="7">
                  <c:v>0.25093421694411544</c:v>
                </c:pt>
                <c:pt idx="8">
                  <c:v>0.420593323359785</c:v>
                </c:pt>
                <c:pt idx="9">
                  <c:v>0.91449350181259326</c:v>
                </c:pt>
                <c:pt idx="10">
                  <c:v>0.85069745323039048</c:v>
                </c:pt>
                <c:pt idx="11">
                  <c:v>0.96475784711286927</c:v>
                </c:pt>
                <c:pt idx="12">
                  <c:v>0.6496282287639249</c:v>
                </c:pt>
                <c:pt idx="13">
                  <c:v>0.47190400503104318</c:v>
                </c:pt>
                <c:pt idx="14">
                  <c:v>0.40332248383604502</c:v>
                </c:pt>
                <c:pt idx="15">
                  <c:v>0.15276873851363962</c:v>
                </c:pt>
                <c:pt idx="16">
                  <c:v>0.25794025853962294</c:v>
                </c:pt>
                <c:pt idx="17">
                  <c:v>8.1804977725853222E-3</c:v>
                </c:pt>
                <c:pt idx="18">
                  <c:v>-0.23678308583363922</c:v>
                </c:pt>
                <c:pt idx="19">
                  <c:v>-0.3569761365718796</c:v>
                </c:pt>
                <c:pt idx="20">
                  <c:v>-0.60281049456131075</c:v>
                </c:pt>
                <c:pt idx="21">
                  <c:v>-2.0861954788425607</c:v>
                </c:pt>
                <c:pt idx="22">
                  <c:v>-0.54448462883764237</c:v>
                </c:pt>
                <c:pt idx="23">
                  <c:v>0.14163094411535945</c:v>
                </c:pt>
                <c:pt idx="24">
                  <c:v>0.49125024176554588</c:v>
                </c:pt>
                <c:pt idx="25">
                  <c:v>3.026363167220711</c:v>
                </c:pt>
                <c:pt idx="26">
                  <c:v>0.73139868269573216</c:v>
                </c:pt>
                <c:pt idx="27">
                  <c:v>-5.1854331896487978E-2</c:v>
                </c:pt>
                <c:pt idx="28">
                  <c:v>-1.7125855649442637E-3</c:v>
                </c:pt>
              </c:numCache>
            </c:numRef>
          </c:val>
          <c:extLst>
            <c:ext xmlns:c16="http://schemas.microsoft.com/office/drawing/2014/chart" uri="{C3380CC4-5D6E-409C-BE32-E72D297353CC}">
              <c16:uniqueId val="{00000003-3C36-4834-A06D-79A6D4992C27}"/>
            </c:ext>
          </c:extLst>
        </c:ser>
        <c:ser>
          <c:idx val="4"/>
          <c:order val="4"/>
          <c:tx>
            <c:strRef>
              <c:f>'GRAF příspěvky IPP'!$A$31</c:f>
              <c:strCache>
                <c:ptCount val="1"/>
                <c:pt idx="0">
                  <c:v>Výroba PC, elektronic. a optic. přístr. (26)</c:v>
                </c:pt>
              </c:strCache>
            </c:strRef>
          </c:tx>
          <c:spPr>
            <a:solidFill>
              <a:srgbClr val="FDDEB3"/>
            </a:solidFill>
          </c:spPr>
          <c:invertIfNegative val="0"/>
          <c:cat>
            <c:multiLvlStrRef>
              <c:f>'GRAF příspěvky IPP'!$R$25:$AT$26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IPP'!$R$31:$AT$31</c:f>
              <c:numCache>
                <c:formatCode>0.0</c:formatCode>
                <c:ptCount val="29"/>
                <c:pt idx="0">
                  <c:v>0.10174478910853679</c:v>
                </c:pt>
                <c:pt idx="1">
                  <c:v>1.5828953523061507E-2</c:v>
                </c:pt>
                <c:pt idx="2">
                  <c:v>4.099582748163963E-2</c:v>
                </c:pt>
                <c:pt idx="3">
                  <c:v>-7.2764071813088554E-2</c:v>
                </c:pt>
                <c:pt idx="4">
                  <c:v>-5.3199772200864092E-3</c:v>
                </c:pt>
                <c:pt idx="5">
                  <c:v>6.0334021815885465E-2</c:v>
                </c:pt>
                <c:pt idx="6">
                  <c:v>5.0638983184188399E-2</c:v>
                </c:pt>
                <c:pt idx="7">
                  <c:v>0.16208161104378524</c:v>
                </c:pt>
                <c:pt idx="8">
                  <c:v>0.14164406764460333</c:v>
                </c:pt>
                <c:pt idx="9">
                  <c:v>0.36084600241723092</c:v>
                </c:pt>
                <c:pt idx="10">
                  <c:v>0.23025191154693395</c:v>
                </c:pt>
                <c:pt idx="11">
                  <c:v>0.23490510719047802</c:v>
                </c:pt>
                <c:pt idx="12">
                  <c:v>0.39487785017355559</c:v>
                </c:pt>
                <c:pt idx="13">
                  <c:v>0.15525543720367532</c:v>
                </c:pt>
                <c:pt idx="14">
                  <c:v>0.63668466142391178</c:v>
                </c:pt>
                <c:pt idx="15">
                  <c:v>0.31239835694712781</c:v>
                </c:pt>
                <c:pt idx="16">
                  <c:v>-0.11382932295885198</c:v>
                </c:pt>
                <c:pt idx="17">
                  <c:v>-4.341493446561568E-2</c:v>
                </c:pt>
                <c:pt idx="18">
                  <c:v>-0.61087240850785662</c:v>
                </c:pt>
                <c:pt idx="19">
                  <c:v>-0.34647971068415334</c:v>
                </c:pt>
                <c:pt idx="20">
                  <c:v>-9.3038606014309314E-2</c:v>
                </c:pt>
                <c:pt idx="21">
                  <c:v>-0.28123947830113627</c:v>
                </c:pt>
                <c:pt idx="22">
                  <c:v>4.928216360451528E-3</c:v>
                </c:pt>
                <c:pt idx="23">
                  <c:v>-6.4929215180494207E-3</c:v>
                </c:pt>
                <c:pt idx="24">
                  <c:v>0.12384333164341847</c:v>
                </c:pt>
                <c:pt idx="25">
                  <c:v>0.16455180686397045</c:v>
                </c:pt>
                <c:pt idx="26">
                  <c:v>0.21902854790930451</c:v>
                </c:pt>
                <c:pt idx="27">
                  <c:v>-0.21805052998236016</c:v>
                </c:pt>
                <c:pt idx="28">
                  <c:v>1.274275853750728E-2</c:v>
                </c:pt>
              </c:numCache>
            </c:numRef>
          </c:val>
          <c:extLst>
            <c:ext xmlns:c16="http://schemas.microsoft.com/office/drawing/2014/chart" uri="{C3380CC4-5D6E-409C-BE32-E72D297353CC}">
              <c16:uniqueId val="{00000004-3C36-4834-A06D-79A6D4992C27}"/>
            </c:ext>
          </c:extLst>
        </c:ser>
        <c:ser>
          <c:idx val="5"/>
          <c:order val="5"/>
          <c:tx>
            <c:strRef>
              <c:f>'GRAF příspěvky IPP'!$A$32</c:f>
              <c:strCache>
                <c:ptCount val="1"/>
                <c:pt idx="0">
                  <c:v>Chemický a farmaceutický pr. (20, 21)</c:v>
                </c:pt>
              </c:strCache>
            </c:strRef>
          </c:tx>
          <c:spPr>
            <a:solidFill>
              <a:srgbClr val="F8A124"/>
            </a:solidFill>
            <a:ln>
              <a:noFill/>
            </a:ln>
          </c:spPr>
          <c:invertIfNegative val="0"/>
          <c:cat>
            <c:multiLvlStrRef>
              <c:f>'GRAF příspěvky IPP'!$R$25:$AT$26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IPP'!$R$32:$AT$32</c:f>
              <c:numCache>
                <c:formatCode>0.0</c:formatCode>
                <c:ptCount val="29"/>
                <c:pt idx="0">
                  <c:v>7.7143378794105238E-2</c:v>
                </c:pt>
                <c:pt idx="1">
                  <c:v>0.23593739633638305</c:v>
                </c:pt>
                <c:pt idx="2">
                  <c:v>-0.1618035309720528</c:v>
                </c:pt>
                <c:pt idx="3">
                  <c:v>-0.33496224531375707</c:v>
                </c:pt>
                <c:pt idx="4">
                  <c:v>-0.41674583594172754</c:v>
                </c:pt>
                <c:pt idx="5">
                  <c:v>-0.4282443957917389</c:v>
                </c:pt>
                <c:pt idx="6">
                  <c:v>-0.10705569687500868</c:v>
                </c:pt>
                <c:pt idx="7">
                  <c:v>0.23734613396913962</c:v>
                </c:pt>
                <c:pt idx="8">
                  <c:v>0.52004631375398047</c:v>
                </c:pt>
                <c:pt idx="9">
                  <c:v>0.82674096187567125</c:v>
                </c:pt>
                <c:pt idx="10">
                  <c:v>0.6516009273870198</c:v>
                </c:pt>
                <c:pt idx="11">
                  <c:v>0.50475413241681488</c:v>
                </c:pt>
                <c:pt idx="12">
                  <c:v>0.40512406777705501</c:v>
                </c:pt>
                <c:pt idx="13">
                  <c:v>7.9522592595157926E-2</c:v>
                </c:pt>
                <c:pt idx="14">
                  <c:v>-5.31759637412869E-2</c:v>
                </c:pt>
                <c:pt idx="15">
                  <c:v>-6.9085533222069381E-2</c:v>
                </c:pt>
                <c:pt idx="16">
                  <c:v>0.10389114606048008</c:v>
                </c:pt>
                <c:pt idx="17">
                  <c:v>4.8518655211085254E-2</c:v>
                </c:pt>
                <c:pt idx="18">
                  <c:v>0.22788597854650419</c:v>
                </c:pt>
                <c:pt idx="19">
                  <c:v>3.146341110732534E-2</c:v>
                </c:pt>
                <c:pt idx="20">
                  <c:v>-3.2282293071107387E-2</c:v>
                </c:pt>
                <c:pt idx="21">
                  <c:v>-0.54854126720456842</c:v>
                </c:pt>
                <c:pt idx="22">
                  <c:v>-0.213470084635413</c:v>
                </c:pt>
                <c:pt idx="23">
                  <c:v>0.43258721577895853</c:v>
                </c:pt>
                <c:pt idx="24">
                  <c:v>0.2893088160243944</c:v>
                </c:pt>
                <c:pt idx="25">
                  <c:v>0.79625354375595792</c:v>
                </c:pt>
                <c:pt idx="26">
                  <c:v>0.31324857421694718</c:v>
                </c:pt>
                <c:pt idx="27">
                  <c:v>7.1533400758851368E-2</c:v>
                </c:pt>
                <c:pt idx="28">
                  <c:v>0.2624012472034154</c:v>
                </c:pt>
              </c:numCache>
            </c:numRef>
          </c:val>
          <c:extLst>
            <c:ext xmlns:c16="http://schemas.microsoft.com/office/drawing/2014/chart" uri="{C3380CC4-5D6E-409C-BE32-E72D297353CC}">
              <c16:uniqueId val="{00000005-3C36-4834-A06D-79A6D4992C27}"/>
            </c:ext>
          </c:extLst>
        </c:ser>
        <c:ser>
          <c:idx val="6"/>
          <c:order val="6"/>
          <c:tx>
            <c:strRef>
              <c:f>'GRAF příspěvky IPP'!$A$33</c:f>
              <c:strCache>
                <c:ptCount val="1"/>
                <c:pt idx="0">
                  <c:v>Zbývající zpracovatelský průmysl</c:v>
                </c:pt>
              </c:strCache>
            </c:strRef>
          </c:tx>
          <c:spPr>
            <a:solidFill>
              <a:schemeClr val="bg1">
                <a:lumMod val="85000"/>
              </a:schemeClr>
            </a:solidFill>
          </c:spPr>
          <c:invertIfNegative val="0"/>
          <c:cat>
            <c:multiLvlStrRef>
              <c:f>'GRAF příspěvky IPP'!$R$25:$AT$26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IPP'!$R$33:$AT$33</c:f>
              <c:numCache>
                <c:formatCode>0.0</c:formatCode>
                <c:ptCount val="29"/>
                <c:pt idx="0">
                  <c:v>0.99790191745106926</c:v>
                </c:pt>
                <c:pt idx="1">
                  <c:v>0.89869551924785085</c:v>
                </c:pt>
                <c:pt idx="2">
                  <c:v>1.0140985408551135</c:v>
                </c:pt>
                <c:pt idx="3">
                  <c:v>-0.23144536420896189</c:v>
                </c:pt>
                <c:pt idx="4">
                  <c:v>0.26284587339298521</c:v>
                </c:pt>
                <c:pt idx="5">
                  <c:v>-0.36379862472242158</c:v>
                </c:pt>
                <c:pt idx="6">
                  <c:v>6.0778320295188704E-2</c:v>
                </c:pt>
                <c:pt idx="7">
                  <c:v>0.57462664260793739</c:v>
                </c:pt>
                <c:pt idx="8">
                  <c:v>7.0021742223497829E-2</c:v>
                </c:pt>
                <c:pt idx="9">
                  <c:v>1.4968765381346332</c:v>
                </c:pt>
                <c:pt idx="10">
                  <c:v>0.75563441850938817</c:v>
                </c:pt>
                <c:pt idx="11">
                  <c:v>0.97414760712501969</c:v>
                </c:pt>
                <c:pt idx="12">
                  <c:v>1.1572391799219797</c:v>
                </c:pt>
                <c:pt idx="13">
                  <c:v>0.6725057701913375</c:v>
                </c:pt>
                <c:pt idx="14">
                  <c:v>1.1043020585420495</c:v>
                </c:pt>
                <c:pt idx="15">
                  <c:v>0.49003903449396968</c:v>
                </c:pt>
                <c:pt idx="16">
                  <c:v>-4.5073361183030347E-2</c:v>
                </c:pt>
                <c:pt idx="17">
                  <c:v>4.2642071767505327E-2</c:v>
                </c:pt>
                <c:pt idx="18">
                  <c:v>-0.66202289851528051</c:v>
                </c:pt>
                <c:pt idx="19">
                  <c:v>-0.22564017800563624</c:v>
                </c:pt>
                <c:pt idx="20">
                  <c:v>7.6609618916825523E-2</c:v>
                </c:pt>
                <c:pt idx="21">
                  <c:v>-2.8303696478855001</c:v>
                </c:pt>
                <c:pt idx="22">
                  <c:v>8.2080517943730724E-2</c:v>
                </c:pt>
                <c:pt idx="23">
                  <c:v>9.7914848543596444E-2</c:v>
                </c:pt>
                <c:pt idx="24">
                  <c:v>0.23842276191980138</c:v>
                </c:pt>
                <c:pt idx="25">
                  <c:v>5.2107069245802284</c:v>
                </c:pt>
                <c:pt idx="26">
                  <c:v>1.0223862233049477</c:v>
                </c:pt>
                <c:pt idx="27">
                  <c:v>0.89366291530034814</c:v>
                </c:pt>
                <c:pt idx="28">
                  <c:v>1.1008379837103521</c:v>
                </c:pt>
              </c:numCache>
            </c:numRef>
          </c:val>
          <c:extLst>
            <c:ext xmlns:c16="http://schemas.microsoft.com/office/drawing/2014/chart" uri="{C3380CC4-5D6E-409C-BE32-E72D297353CC}">
              <c16:uniqueId val="{00000006-3C36-4834-A06D-79A6D4992C27}"/>
            </c:ext>
          </c:extLst>
        </c:ser>
        <c:ser>
          <c:idx val="7"/>
          <c:order val="7"/>
          <c:tx>
            <c:strRef>
              <c:f>'GRAF příspěvky IPP'!$A$34</c:f>
              <c:strCache>
                <c:ptCount val="1"/>
                <c:pt idx="0">
                  <c:v>Těžba a energetika (B, D)</c:v>
                </c:pt>
              </c:strCache>
            </c:strRef>
          </c:tx>
          <c:spPr>
            <a:solidFill>
              <a:srgbClr val="808080"/>
            </a:solidFill>
          </c:spPr>
          <c:invertIfNegative val="0"/>
          <c:cat>
            <c:multiLvlStrRef>
              <c:f>'GRAF příspěvky IPP'!$R$25:$AT$26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IPP'!$R$34:$AT$34</c:f>
              <c:numCache>
                <c:formatCode>0.0</c:formatCode>
                <c:ptCount val="29"/>
                <c:pt idx="0">
                  <c:v>0.14536369337262112</c:v>
                </c:pt>
                <c:pt idx="1">
                  <c:v>-0.33984851886778389</c:v>
                </c:pt>
                <c:pt idx="2">
                  <c:v>-0.39719330301482159</c:v>
                </c:pt>
                <c:pt idx="3">
                  <c:v>-1.1146161627338653</c:v>
                </c:pt>
                <c:pt idx="4">
                  <c:v>-0.64581780602362893</c:v>
                </c:pt>
                <c:pt idx="5">
                  <c:v>9.8757674154636987E-2</c:v>
                </c:pt>
                <c:pt idx="6">
                  <c:v>-0.47678822664722548</c:v>
                </c:pt>
                <c:pt idx="7">
                  <c:v>0.5038061309270212</c:v>
                </c:pt>
                <c:pt idx="8">
                  <c:v>0.66217224583389844</c:v>
                </c:pt>
                <c:pt idx="9">
                  <c:v>-0.18248944438855802</c:v>
                </c:pt>
                <c:pt idx="10">
                  <c:v>0.77178193644183435</c:v>
                </c:pt>
                <c:pt idx="11">
                  <c:v>0.73275070181120505</c:v>
                </c:pt>
                <c:pt idx="12">
                  <c:v>-0.53887865891214681</c:v>
                </c:pt>
                <c:pt idx="13">
                  <c:v>4.2205690381435096E-3</c:v>
                </c:pt>
                <c:pt idx="14">
                  <c:v>0.78780707738879552</c:v>
                </c:pt>
                <c:pt idx="15">
                  <c:v>0.33124326032333173</c:v>
                </c:pt>
                <c:pt idx="16">
                  <c:v>0.21326016962669453</c:v>
                </c:pt>
                <c:pt idx="17">
                  <c:v>4.593311018825097E-2</c:v>
                </c:pt>
                <c:pt idx="18">
                  <c:v>-0.66562135602659178</c:v>
                </c:pt>
                <c:pt idx="19">
                  <c:v>-0.33090067760840614</c:v>
                </c:pt>
                <c:pt idx="20">
                  <c:v>-0.97349792913183197</c:v>
                </c:pt>
                <c:pt idx="21">
                  <c:v>-1.5874257911073824</c:v>
                </c:pt>
                <c:pt idx="22">
                  <c:v>-0.71569130332110786</c:v>
                </c:pt>
                <c:pt idx="23">
                  <c:v>-0.69509435773149675</c:v>
                </c:pt>
                <c:pt idx="24">
                  <c:v>0.48072783684602372</c:v>
                </c:pt>
                <c:pt idx="25">
                  <c:v>0.46389382662493939</c:v>
                </c:pt>
                <c:pt idx="26">
                  <c:v>0.221724777511905</c:v>
                </c:pt>
                <c:pt idx="27">
                  <c:v>0.81354532710828453</c:v>
                </c:pt>
                <c:pt idx="28">
                  <c:v>-0.23968288335304344</c:v>
                </c:pt>
              </c:numCache>
            </c:numRef>
          </c:val>
          <c:extLst>
            <c:ext xmlns:c16="http://schemas.microsoft.com/office/drawing/2014/chart" uri="{C3380CC4-5D6E-409C-BE32-E72D297353CC}">
              <c16:uniqueId val="{00000007-3C36-4834-A06D-79A6D4992C27}"/>
            </c:ext>
          </c:extLst>
        </c:ser>
        <c:dLbls>
          <c:showLegendKey val="0"/>
          <c:showVal val="0"/>
          <c:showCatName val="0"/>
          <c:showSerName val="0"/>
          <c:showPercent val="0"/>
          <c:showBubbleSize val="0"/>
        </c:dLbls>
        <c:gapWidth val="15"/>
        <c:overlap val="100"/>
        <c:axId val="112768128"/>
        <c:axId val="112769664"/>
      </c:barChart>
      <c:lineChart>
        <c:grouping val="standard"/>
        <c:varyColors val="0"/>
        <c:ser>
          <c:idx val="8"/>
          <c:order val="8"/>
          <c:tx>
            <c:strRef>
              <c:f>'GRAF příspěvky IPP'!$A$35</c:f>
              <c:strCache>
                <c:ptCount val="1"/>
                <c:pt idx="0">
                  <c:v>Průmysl celkem (NACE B až D)</c:v>
                </c:pt>
              </c:strCache>
            </c:strRef>
          </c:tx>
          <c:spPr>
            <a:ln w="19050">
              <a:noFill/>
            </a:ln>
          </c:spPr>
          <c:marker>
            <c:symbol val="circle"/>
            <c:size val="4"/>
            <c:spPr>
              <a:solidFill>
                <a:schemeClr val="bg1"/>
              </a:solidFill>
              <a:ln>
                <a:solidFill>
                  <a:schemeClr val="tx1">
                    <a:lumMod val="95000"/>
                    <a:lumOff val="5000"/>
                  </a:schemeClr>
                </a:solidFill>
              </a:ln>
            </c:spPr>
          </c:marker>
          <c:cat>
            <c:multiLvlStrRef>
              <c:f>'GRAF příspěvky IPP'!$R$25:$AT$26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IPP'!$R$35:$AT$35</c:f>
              <c:numCache>
                <c:formatCode>0.0</c:formatCode>
                <c:ptCount val="29"/>
                <c:pt idx="0">
                  <c:v>4.8680422143000044</c:v>
                </c:pt>
                <c:pt idx="1">
                  <c:v>5.3061961757999967</c:v>
                </c:pt>
                <c:pt idx="2">
                  <c:v>5.6206823339000067</c:v>
                </c:pt>
                <c:pt idx="3">
                  <c:v>2.3853754886000047</c:v>
                </c:pt>
                <c:pt idx="4">
                  <c:v>4.4725174610999971</c:v>
                </c:pt>
                <c:pt idx="5">
                  <c:v>2.6060872329999967</c:v>
                </c:pt>
                <c:pt idx="6">
                  <c:v>1.6853621782999966</c:v>
                </c:pt>
                <c:pt idx="7">
                  <c:v>3.5082011612000059</c:v>
                </c:pt>
                <c:pt idx="8">
                  <c:v>4.7795069544999933</c:v>
                </c:pt>
                <c:pt idx="9">
                  <c:v>8.0197279076000001</c:v>
                </c:pt>
                <c:pt idx="10">
                  <c:v>6.5554667266000024</c:v>
                </c:pt>
                <c:pt idx="11">
                  <c:v>7.5425890917999965</c:v>
                </c:pt>
                <c:pt idx="12">
                  <c:v>4.2592401254999999</c:v>
                </c:pt>
                <c:pt idx="13">
                  <c:v>2.4107410409999943</c:v>
                </c:pt>
                <c:pt idx="14">
                  <c:v>3.7310032274999969</c:v>
                </c:pt>
                <c:pt idx="15">
                  <c:v>1.964924632000006</c:v>
                </c:pt>
                <c:pt idx="16">
                  <c:v>0.8561743111999931</c:v>
                </c:pt>
                <c:pt idx="17">
                  <c:v>0.96967285750000087</c:v>
                </c:pt>
                <c:pt idx="18">
                  <c:v>-1.1387464505999958</c:v>
                </c:pt>
                <c:pt idx="19">
                  <c:v>-2.0704594092999997</c:v>
                </c:pt>
                <c:pt idx="20">
                  <c:v>-4.3895227027000061</c:v>
                </c:pt>
                <c:pt idx="21">
                  <c:v>-22.944354622899994</c:v>
                </c:pt>
                <c:pt idx="22">
                  <c:v>-2.8132525742999945</c:v>
                </c:pt>
                <c:pt idx="23">
                  <c:v>2.0498311354999998</c:v>
                </c:pt>
                <c:pt idx="24">
                  <c:v>4.3072188157999989</c:v>
                </c:pt>
                <c:pt idx="25">
                  <c:v>28.285538922799986</c:v>
                </c:pt>
                <c:pt idx="26">
                  <c:v>-0.10599609850000036</c:v>
                </c:pt>
                <c:pt idx="27">
                  <c:v>-1.8763016524000022</c:v>
                </c:pt>
                <c:pt idx="28">
                  <c:v>-0.41524887209999406</c:v>
                </c:pt>
              </c:numCache>
            </c:numRef>
          </c:val>
          <c:smooth val="0"/>
          <c:extLst>
            <c:ext xmlns:c16="http://schemas.microsoft.com/office/drawing/2014/chart" uri="{C3380CC4-5D6E-409C-BE32-E72D297353CC}">
              <c16:uniqueId val="{00000008-3C36-4834-A06D-79A6D4992C27}"/>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9"/>
          <c:order val="9"/>
          <c:tx>
            <c:strRef>
              <c:f>'GRAF příspěvky IPP'!$A$36</c:f>
              <c:strCache>
                <c:ptCount val="1"/>
              </c:strCache>
            </c:strRef>
          </c:tx>
          <c:spPr>
            <a:ln w="15875">
              <a:noFill/>
              <a:prstDash val="sysDot"/>
            </a:ln>
          </c:spPr>
          <c:marker>
            <c:symbol val="none"/>
          </c:marker>
          <c:cat>
            <c:multiLvlStrRef>
              <c:f>'GRAF příspěvky IPP'!$R$25:$AT$26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IPP'!$R$36:$AT$36</c:f>
              <c:numCache>
                <c:formatCode>General</c:formatCode>
                <c:ptCount val="29"/>
              </c:numCache>
            </c:numRef>
          </c:val>
          <c:smooth val="0"/>
          <c:extLst>
            <c:ext xmlns:c16="http://schemas.microsoft.com/office/drawing/2014/chart" uri="{C3380CC4-5D6E-409C-BE32-E72D297353CC}">
              <c16:uniqueId val="{00000009-3C36-4834-A06D-79A6D4992C27}"/>
            </c:ext>
          </c:extLst>
        </c:ser>
        <c:ser>
          <c:idx val="10"/>
          <c:order val="10"/>
          <c:tx>
            <c:strRef>
              <c:f>'GRAF příspěvky IPP'!$A$37</c:f>
              <c:strCache>
                <c:ptCount val="1"/>
                <c:pt idx="0">
                  <c:v>Produkce, prům. celkem (báze 2015=100)</c:v>
                </c:pt>
              </c:strCache>
            </c:strRef>
          </c:tx>
          <c:spPr>
            <a:ln w="19050">
              <a:solidFill>
                <a:schemeClr val="tx1">
                  <a:lumMod val="95000"/>
                  <a:lumOff val="5000"/>
                </a:schemeClr>
              </a:solidFill>
            </a:ln>
          </c:spPr>
          <c:marker>
            <c:symbol val="none"/>
          </c:marker>
          <c:cat>
            <c:multiLvlStrRef>
              <c:f>'GRAF příspěvky IPP'!$R$25:$AT$26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IPP'!$R$37:$AT$37</c:f>
              <c:numCache>
                <c:formatCode>##0.0</c:formatCode>
                <c:ptCount val="29"/>
                <c:pt idx="0">
                  <c:v>98.574612999999999</c:v>
                </c:pt>
                <c:pt idx="1">
                  <c:v>100.2847516667</c:v>
                </c:pt>
                <c:pt idx="2">
                  <c:v>101.35576500000001</c:v>
                </c:pt>
                <c:pt idx="3">
                  <c:v>100.49027700000001</c:v>
                </c:pt>
                <c:pt idx="4">
                  <c:v>102.93201833329999</c:v>
                </c:pt>
                <c:pt idx="5">
                  <c:v>102.6976626667</c:v>
                </c:pt>
                <c:pt idx="6">
                  <c:v>102.9735696667</c:v>
                </c:pt>
                <c:pt idx="7">
                  <c:v>104.036576</c:v>
                </c:pt>
                <c:pt idx="8">
                  <c:v>107.47989200000001</c:v>
                </c:pt>
                <c:pt idx="9">
                  <c:v>110.71636599999999</c:v>
                </c:pt>
                <c:pt idx="10">
                  <c:v>110.16904433329999</c:v>
                </c:pt>
                <c:pt idx="11">
                  <c:v>112.0549596667</c:v>
                </c:pt>
                <c:pt idx="12">
                  <c:v>112.30386300000001</c:v>
                </c:pt>
                <c:pt idx="13">
                  <c:v>113.5290806667</c:v>
                </c:pt>
                <c:pt idx="14">
                  <c:v>114.5448653333</c:v>
                </c:pt>
                <c:pt idx="15">
                  <c:v>113.75430799999999</c:v>
                </c:pt>
                <c:pt idx="16">
                  <c:v>113.2837286667</c:v>
                </c:pt>
                <c:pt idx="17">
                  <c:v>115.0417716667</c:v>
                </c:pt>
                <c:pt idx="18">
                  <c:v>112.92627733330001</c:v>
                </c:pt>
                <c:pt idx="19">
                  <c:v>111.2318066667</c:v>
                </c:pt>
                <c:pt idx="20">
                  <c:v>108.62233999999999</c:v>
                </c:pt>
                <c:pt idx="21">
                  <c:v>89.012085333300007</c:v>
                </c:pt>
                <c:pt idx="22">
                  <c:v>109.83611233329999</c:v>
                </c:pt>
                <c:pt idx="23">
                  <c:v>113.58640990329999</c:v>
                </c:pt>
                <c:pt idx="24">
                  <c:v>112.36400469</c:v>
                </c:pt>
                <c:pt idx="25">
                  <c:v>113.3708931833</c:v>
                </c:pt>
                <c:pt idx="26">
                  <c:v>110.70222703</c:v>
                </c:pt>
                <c:pt idx="27">
                  <c:v>110.76850595000001</c:v>
                </c:pt>
                <c:pt idx="28">
                  <c:v>112.59570187999999</c:v>
                </c:pt>
              </c:numCache>
            </c:numRef>
          </c:val>
          <c:smooth val="0"/>
          <c:extLst>
            <c:ext xmlns:c16="http://schemas.microsoft.com/office/drawing/2014/chart" uri="{C3380CC4-5D6E-409C-BE32-E72D297353CC}">
              <c16:uniqueId val="{0000000A-3C36-4834-A06D-79A6D4992C27}"/>
            </c:ext>
          </c:extLst>
        </c:ser>
        <c:ser>
          <c:idx val="11"/>
          <c:order val="11"/>
          <c:tx>
            <c:strRef>
              <c:f>'GRAF příspěvky IPP'!$A$38</c:f>
              <c:strCache>
                <c:ptCount val="1"/>
                <c:pt idx="0">
                  <c:v>Tržby, prům. celkem (báze 2015=100)</c:v>
                </c:pt>
              </c:strCache>
            </c:strRef>
          </c:tx>
          <c:spPr>
            <a:ln w="19050">
              <a:solidFill>
                <a:schemeClr val="tx1">
                  <a:lumMod val="50000"/>
                  <a:lumOff val="50000"/>
                </a:schemeClr>
              </a:solidFill>
              <a:prstDash val="sysDash"/>
            </a:ln>
          </c:spPr>
          <c:marker>
            <c:symbol val="none"/>
          </c:marker>
          <c:cat>
            <c:multiLvlStrRef>
              <c:f>'GRAF příspěvky IPP'!$R$25:$AT$26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IPP'!$R$38:$AT$38</c:f>
              <c:numCache>
                <c:formatCode>##0.0</c:formatCode>
                <c:ptCount val="29"/>
                <c:pt idx="0">
                  <c:v>98.907043999999999</c:v>
                </c:pt>
                <c:pt idx="1">
                  <c:v>100.54670466669999</c:v>
                </c:pt>
                <c:pt idx="2">
                  <c:v>100.773518</c:v>
                </c:pt>
                <c:pt idx="3">
                  <c:v>99.772733333299996</c:v>
                </c:pt>
                <c:pt idx="4">
                  <c:v>100.10357233329999</c:v>
                </c:pt>
                <c:pt idx="5">
                  <c:v>99.118572666700004</c:v>
                </c:pt>
                <c:pt idx="6">
                  <c:v>100.72800933329999</c:v>
                </c:pt>
                <c:pt idx="7">
                  <c:v>103.334605</c:v>
                </c:pt>
                <c:pt idx="8">
                  <c:v>106.6903113333</c:v>
                </c:pt>
                <c:pt idx="9">
                  <c:v>109.487612</c:v>
                </c:pt>
                <c:pt idx="10">
                  <c:v>107.757486</c:v>
                </c:pt>
                <c:pt idx="11">
                  <c:v>109.0894736667</c:v>
                </c:pt>
                <c:pt idx="12">
                  <c:v>109.80780633329999</c:v>
                </c:pt>
                <c:pt idx="13">
                  <c:v>110.94641900000001</c:v>
                </c:pt>
                <c:pt idx="14">
                  <c:v>113.397482</c:v>
                </c:pt>
                <c:pt idx="15">
                  <c:v>114.4444003333</c:v>
                </c:pt>
                <c:pt idx="16">
                  <c:v>113.07990866670001</c:v>
                </c:pt>
                <c:pt idx="17">
                  <c:v>115.1605773333</c:v>
                </c:pt>
                <c:pt idx="18">
                  <c:v>112.71459033329999</c:v>
                </c:pt>
                <c:pt idx="19">
                  <c:v>111.6593636667</c:v>
                </c:pt>
                <c:pt idx="20">
                  <c:v>108.8700823333</c:v>
                </c:pt>
                <c:pt idx="21">
                  <c:v>88.635897666700004</c:v>
                </c:pt>
                <c:pt idx="22">
                  <c:v>111.65176</c:v>
                </c:pt>
                <c:pt idx="23">
                  <c:v>116.71428941000001</c:v>
                </c:pt>
                <c:pt idx="24">
                  <c:v>115.47894435000001</c:v>
                </c:pt>
                <c:pt idx="25">
                  <c:v>118.1496966733</c:v>
                </c:pt>
                <c:pt idx="26">
                  <c:v>116.48412637</c:v>
                </c:pt>
                <c:pt idx="27">
                  <c:v>120.4491467533</c:v>
                </c:pt>
                <c:pt idx="28">
                  <c:v>125.77807344999999</c:v>
                </c:pt>
              </c:numCache>
            </c:numRef>
          </c:val>
          <c:smooth val="0"/>
          <c:extLst>
            <c:ext xmlns:c16="http://schemas.microsoft.com/office/drawing/2014/chart" uri="{C3380CC4-5D6E-409C-BE32-E72D297353CC}">
              <c16:uniqueId val="{0000000B-3C36-4834-A06D-79A6D4992C27}"/>
            </c:ext>
          </c:extLst>
        </c:ser>
        <c:dLbls>
          <c:showLegendKey val="0"/>
          <c:showVal val="0"/>
          <c:showCatName val="0"/>
          <c:showSerName val="0"/>
          <c:showPercent val="0"/>
          <c:showBubbleSize val="0"/>
        </c:dLbls>
        <c:marker val="1"/>
        <c:smooth val="0"/>
        <c:axId val="1513731104"/>
        <c:axId val="1513729024"/>
      </c:lineChart>
      <c:catAx>
        <c:axId val="112768128"/>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112769664"/>
        <c:crosses val="autoZero"/>
        <c:auto val="1"/>
        <c:lblAlgn val="ctr"/>
        <c:lblOffset val="0"/>
        <c:noMultiLvlLbl val="0"/>
      </c:catAx>
      <c:valAx>
        <c:axId val="112769664"/>
        <c:scaling>
          <c:orientation val="minMax"/>
          <c:max val="30"/>
          <c:min val="-25"/>
        </c:scaling>
        <c:delete val="0"/>
        <c:axPos val="l"/>
        <c:majorGridlines>
          <c:spPr>
            <a:ln>
              <a:solidFill>
                <a:srgbClr val="BEBEBE"/>
              </a:solidFill>
            </a:ln>
          </c:spPr>
        </c:majorGridlines>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Prům.</a:t>
                </a:r>
                <a:r>
                  <a:rPr lang="cs-CZ" sz="700" b="0" i="1" baseline="0">
                    <a:latin typeface="Arial" panose="020B0604020202020204" pitchFamily="34" charset="0"/>
                    <a:cs typeface="Arial" panose="020B0604020202020204" pitchFamily="34" charset="0"/>
                  </a:rPr>
                  <a:t> produkce v dílčích odvětvích</a:t>
                </a:r>
                <a:endParaRPr lang="cs-CZ" sz="700" b="0" i="1">
                  <a:latin typeface="Arial" panose="020B0604020202020204" pitchFamily="34" charset="0"/>
                  <a:cs typeface="Arial" panose="020B0604020202020204" pitchFamily="34" charset="0"/>
                </a:endParaRPr>
              </a:p>
            </c:rich>
          </c:tx>
          <c:layout>
            <c:manualLayout>
              <c:xMode val="edge"/>
              <c:yMode val="edge"/>
              <c:x val="0"/>
              <c:y val="0.18493326354213147"/>
            </c:manualLayout>
          </c:layout>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12768128"/>
        <c:crosses val="autoZero"/>
        <c:crossBetween val="between"/>
        <c:majorUnit val="5"/>
      </c:valAx>
      <c:valAx>
        <c:axId val="1513729024"/>
        <c:scaling>
          <c:orientation val="minMax"/>
          <c:max val="130"/>
          <c:min val="75"/>
        </c:scaling>
        <c:delete val="0"/>
        <c:axPos val="r"/>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Produkce,</a:t>
                </a:r>
                <a:r>
                  <a:rPr lang="cs-CZ" sz="700" b="0" i="1" baseline="0">
                    <a:latin typeface="Arial" panose="020B0604020202020204" pitchFamily="34" charset="0"/>
                    <a:cs typeface="Arial" panose="020B0604020202020204" pitchFamily="34" charset="0"/>
                  </a:rPr>
                  <a:t> tržby v celém průmyslu (báze 2015=100)</a:t>
                </a:r>
                <a:endParaRPr lang="cs-CZ" sz="700" b="0" i="1">
                  <a:latin typeface="Arial" panose="020B0604020202020204" pitchFamily="34" charset="0"/>
                  <a:cs typeface="Arial" panose="020B0604020202020204" pitchFamily="34" charset="0"/>
                </a:endParaRPr>
              </a:p>
            </c:rich>
          </c:tx>
          <c:layout>
            <c:manualLayout>
              <c:xMode val="edge"/>
              <c:yMode val="edge"/>
              <c:x val="0.97073906692287293"/>
              <c:y val="0.10785719131595946"/>
            </c:manualLayout>
          </c:layout>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513731104"/>
        <c:crosses val="max"/>
        <c:crossBetween val="between"/>
        <c:majorUnit val="5"/>
      </c:valAx>
      <c:catAx>
        <c:axId val="1513731104"/>
        <c:scaling>
          <c:orientation val="minMax"/>
        </c:scaling>
        <c:delete val="1"/>
        <c:axPos val="b"/>
        <c:numFmt formatCode="General" sourceLinked="1"/>
        <c:majorTickMark val="out"/>
        <c:minorTickMark val="none"/>
        <c:tickLblPos val="nextTo"/>
        <c:crossAx val="1513729024"/>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5.2799982731402319E-3"/>
          <c:y val="0.80683051052190613"/>
          <c:w val="0.98867972853432362"/>
          <c:h val="0.1861646296497515"/>
        </c:manualLayout>
      </c:layout>
      <c:overlay val="0"/>
      <c:spPr>
        <a:ln w="6350">
          <a:solidFill>
            <a:prstClr val="black">
              <a:lumMod val="95000"/>
              <a:lumOff val="5000"/>
            </a:prstClr>
          </a:solidFill>
        </a:ln>
      </c:spPr>
      <c:txPr>
        <a:bodyPr/>
        <a:lstStyle/>
        <a:p>
          <a:pPr>
            <a:defRPr sz="80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88042665536843E-2"/>
          <c:y val="1.5647041011259352E-2"/>
          <c:w val="0.84974974879787502"/>
          <c:h val="0.750636022143085"/>
        </c:manualLayout>
      </c:layout>
      <c:barChart>
        <c:barDir val="col"/>
        <c:grouping val="clustered"/>
        <c:varyColors val="0"/>
        <c:ser>
          <c:idx val="0"/>
          <c:order val="0"/>
          <c:tx>
            <c:strRef>
              <c:f>'výkonnost odvětví 2'!$A$32</c:f>
              <c:strCache>
                <c:ptCount val="1"/>
                <c:pt idx="0">
                  <c:v>Průmyslové zakázky celkem</c:v>
                </c:pt>
              </c:strCache>
            </c:strRef>
          </c:tx>
          <c:spPr>
            <a:solidFill>
              <a:schemeClr val="bg1">
                <a:lumMod val="65000"/>
              </a:schemeClr>
            </a:solidFill>
            <a:ln>
              <a:noFill/>
            </a:ln>
          </c:spPr>
          <c:invertIfNegative val="0"/>
          <c:cat>
            <c:multiLvlStrRef>
              <c:f>'výkonnost odvětví 2'!$R$30:$AU$31</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2'!$R$32:$AU$32</c:f>
              <c:numCache>
                <c:formatCode>##0.0</c:formatCode>
                <c:ptCount val="30"/>
                <c:pt idx="0">
                  <c:v>8.5341066790000042</c:v>
                </c:pt>
                <c:pt idx="1">
                  <c:v>6.3751337507000017</c:v>
                </c:pt>
                <c:pt idx="2">
                  <c:v>6.0389152520999971</c:v>
                </c:pt>
                <c:pt idx="3">
                  <c:v>5.2688806407000044</c:v>
                </c:pt>
                <c:pt idx="4">
                  <c:v>2.6303368083000009</c:v>
                </c:pt>
                <c:pt idx="5">
                  <c:v>7.5468571480000008</c:v>
                </c:pt>
                <c:pt idx="6">
                  <c:v>2.3582562295000002</c:v>
                </c:pt>
                <c:pt idx="7">
                  <c:v>6.6387502374000036</c:v>
                </c:pt>
                <c:pt idx="8">
                  <c:v>7.2930461770999955</c:v>
                </c:pt>
                <c:pt idx="9">
                  <c:v>8.1858416139999974</c:v>
                </c:pt>
                <c:pt idx="10">
                  <c:v>7.9475457356000021</c:v>
                </c:pt>
                <c:pt idx="11">
                  <c:v>7.3525292791999988</c:v>
                </c:pt>
                <c:pt idx="12">
                  <c:v>3.4332835439000036</c:v>
                </c:pt>
                <c:pt idx="13">
                  <c:v>3.7186041536999994</c:v>
                </c:pt>
                <c:pt idx="14">
                  <c:v>3.8026421203999945</c:v>
                </c:pt>
                <c:pt idx="15">
                  <c:v>3.106459229500004</c:v>
                </c:pt>
                <c:pt idx="16">
                  <c:v>3.2183595436000019</c:v>
                </c:pt>
                <c:pt idx="17">
                  <c:v>1.4149495925999958</c:v>
                </c:pt>
                <c:pt idx="18">
                  <c:v>-0.22815532609999423</c:v>
                </c:pt>
                <c:pt idx="19">
                  <c:v>-3.810834207100001</c:v>
                </c:pt>
                <c:pt idx="20">
                  <c:v>-2.0840873764000065</c:v>
                </c:pt>
                <c:pt idx="21">
                  <c:v>-27.668452791999997</c:v>
                </c:pt>
                <c:pt idx="22">
                  <c:v>-1.3192166399000058</c:v>
                </c:pt>
                <c:pt idx="23">
                  <c:v>7.153462935099995</c:v>
                </c:pt>
                <c:pt idx="24">
                  <c:v>8.3906803476999983</c:v>
                </c:pt>
                <c:pt idx="25">
                  <c:v>47.9283547892</c:v>
                </c:pt>
                <c:pt idx="26">
                  <c:v>7.3025351134999994</c:v>
                </c:pt>
                <c:pt idx="27">
                  <c:v>3.5973624261000055</c:v>
                </c:pt>
                <c:pt idx="28">
                  <c:v>5.5867497710000009</c:v>
                </c:pt>
              </c:numCache>
            </c:numRef>
          </c:val>
          <c:extLst>
            <c:ext xmlns:c16="http://schemas.microsoft.com/office/drawing/2014/chart" uri="{C3380CC4-5D6E-409C-BE32-E72D297353CC}">
              <c16:uniqueId val="{00000000-733D-43A4-9CD4-1D28DF59D0F3}"/>
            </c:ext>
          </c:extLst>
        </c:ser>
        <c:dLbls>
          <c:showLegendKey val="0"/>
          <c:showVal val="0"/>
          <c:showCatName val="0"/>
          <c:showSerName val="0"/>
          <c:showPercent val="0"/>
          <c:showBubbleSize val="0"/>
        </c:dLbls>
        <c:gapWidth val="30"/>
        <c:axId val="112768128"/>
        <c:axId val="112769664"/>
      </c:barChart>
      <c:lineChart>
        <c:grouping val="standard"/>
        <c:varyColors val="0"/>
        <c:ser>
          <c:idx val="1"/>
          <c:order val="1"/>
          <c:tx>
            <c:strRef>
              <c:f>'výkonnost odvětví 2'!$A$33</c:f>
              <c:strCache>
                <c:ptCount val="1"/>
                <c:pt idx="0">
                  <c:v>z toho: zakázky z tuzemska</c:v>
                </c:pt>
              </c:strCache>
            </c:strRef>
          </c:tx>
          <c:spPr>
            <a:ln w="15875">
              <a:noFill/>
              <a:prstDash val="sysDot"/>
            </a:ln>
          </c:spPr>
          <c:marker>
            <c:symbol val="diamond"/>
            <c:size val="5"/>
            <c:spPr>
              <a:solidFill>
                <a:srgbClr val="984807"/>
              </a:solidFill>
              <a:ln>
                <a:noFill/>
              </a:ln>
            </c:spPr>
          </c:marker>
          <c:cat>
            <c:multiLvlStrRef>
              <c:f>'výkonnost odvětví 2'!$R$30:$AU$31</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2'!$R$33:$AU$33</c:f>
              <c:numCache>
                <c:formatCode>##0.0</c:formatCode>
                <c:ptCount val="30"/>
                <c:pt idx="0">
                  <c:v>4.3678555678000066</c:v>
                </c:pt>
                <c:pt idx="1">
                  <c:v>9.9380074582000049</c:v>
                </c:pt>
                <c:pt idx="2">
                  <c:v>-2.8625917786000059</c:v>
                </c:pt>
                <c:pt idx="3">
                  <c:v>-0.24449638430000675</c:v>
                </c:pt>
                <c:pt idx="4">
                  <c:v>1.5608556055999969</c:v>
                </c:pt>
                <c:pt idx="5">
                  <c:v>1.4530189575000065</c:v>
                </c:pt>
                <c:pt idx="6">
                  <c:v>0.19507191760000353</c:v>
                </c:pt>
                <c:pt idx="7">
                  <c:v>2.810568046100002</c:v>
                </c:pt>
                <c:pt idx="8">
                  <c:v>12.6195755233</c:v>
                </c:pt>
                <c:pt idx="9">
                  <c:v>15.740843176200002</c:v>
                </c:pt>
                <c:pt idx="10">
                  <c:v>15.881411785300003</c:v>
                </c:pt>
                <c:pt idx="11">
                  <c:v>15.4396235432</c:v>
                </c:pt>
                <c:pt idx="12">
                  <c:v>1.4059943362999974</c:v>
                </c:pt>
                <c:pt idx="13">
                  <c:v>2.5119296337000065</c:v>
                </c:pt>
                <c:pt idx="14">
                  <c:v>4.7248831052000071</c:v>
                </c:pt>
                <c:pt idx="15">
                  <c:v>3.5273288478999945</c:v>
                </c:pt>
                <c:pt idx="16">
                  <c:v>8.0476176921000047</c:v>
                </c:pt>
                <c:pt idx="17">
                  <c:v>5.293639082599995</c:v>
                </c:pt>
                <c:pt idx="18">
                  <c:v>0.41940306940000482</c:v>
                </c:pt>
                <c:pt idx="19">
                  <c:v>-1.3456257084999947</c:v>
                </c:pt>
                <c:pt idx="20">
                  <c:v>5.5521264895999991</c:v>
                </c:pt>
                <c:pt idx="21">
                  <c:v>-25.896794335699994</c:v>
                </c:pt>
                <c:pt idx="22">
                  <c:v>-3.0500801793999983</c:v>
                </c:pt>
                <c:pt idx="23">
                  <c:v>6.9104797819999959</c:v>
                </c:pt>
                <c:pt idx="24">
                  <c:v>-2.8164977733000001</c:v>
                </c:pt>
                <c:pt idx="25">
                  <c:v>43.485933409900014</c:v>
                </c:pt>
                <c:pt idx="26">
                  <c:v>9.2743641502000003</c:v>
                </c:pt>
                <c:pt idx="27">
                  <c:v>5.400878517600006</c:v>
                </c:pt>
                <c:pt idx="28">
                  <c:v>7.1281190379999941</c:v>
                </c:pt>
              </c:numCache>
            </c:numRef>
          </c:val>
          <c:smooth val="0"/>
          <c:extLst>
            <c:ext xmlns:c16="http://schemas.microsoft.com/office/drawing/2014/chart" uri="{C3380CC4-5D6E-409C-BE32-E72D297353CC}">
              <c16:uniqueId val="{00000001-733D-43A4-9CD4-1D28DF59D0F3}"/>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2"/>
          <c:order val="2"/>
          <c:tx>
            <c:strRef>
              <c:f>'výkonnost odvětví 2'!$A$34</c:f>
              <c:strCache>
                <c:ptCount val="1"/>
                <c:pt idx="0">
                  <c:v>Využití výrob. kapacit v průmyslu celkem</c:v>
                </c:pt>
              </c:strCache>
            </c:strRef>
          </c:tx>
          <c:spPr>
            <a:ln w="15875">
              <a:solidFill>
                <a:schemeClr val="accent6">
                  <a:lumMod val="75000"/>
                </a:schemeClr>
              </a:solidFill>
            </a:ln>
          </c:spPr>
          <c:marker>
            <c:symbol val="none"/>
          </c:marker>
          <c:cat>
            <c:multiLvlStrRef>
              <c:f>'výkonnost odvětví 2'!$R$30:$AU$31</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2'!$R$34:$AU$34</c:f>
              <c:numCache>
                <c:formatCode>##0.0</c:formatCode>
                <c:ptCount val="30"/>
                <c:pt idx="0">
                  <c:v>85.4</c:v>
                </c:pt>
                <c:pt idx="1">
                  <c:v>85.1</c:v>
                </c:pt>
                <c:pt idx="2">
                  <c:v>85</c:v>
                </c:pt>
                <c:pt idx="3">
                  <c:v>84.1</c:v>
                </c:pt>
                <c:pt idx="4">
                  <c:v>83.7</c:v>
                </c:pt>
                <c:pt idx="5">
                  <c:v>85.2</c:v>
                </c:pt>
                <c:pt idx="6">
                  <c:v>84.4</c:v>
                </c:pt>
                <c:pt idx="7">
                  <c:v>84.7</c:v>
                </c:pt>
                <c:pt idx="8">
                  <c:v>84.4</c:v>
                </c:pt>
                <c:pt idx="9">
                  <c:v>83.4</c:v>
                </c:pt>
                <c:pt idx="10">
                  <c:v>84.2</c:v>
                </c:pt>
                <c:pt idx="11">
                  <c:v>84.7</c:v>
                </c:pt>
                <c:pt idx="12">
                  <c:v>85.8</c:v>
                </c:pt>
                <c:pt idx="13">
                  <c:v>85.4</c:v>
                </c:pt>
                <c:pt idx="14">
                  <c:v>86.2</c:v>
                </c:pt>
                <c:pt idx="15">
                  <c:v>85.7</c:v>
                </c:pt>
                <c:pt idx="16">
                  <c:v>85.7</c:v>
                </c:pt>
                <c:pt idx="17">
                  <c:v>85.7</c:v>
                </c:pt>
                <c:pt idx="18">
                  <c:v>84.8</c:v>
                </c:pt>
                <c:pt idx="19">
                  <c:v>84</c:v>
                </c:pt>
                <c:pt idx="20">
                  <c:v>84.3</c:v>
                </c:pt>
                <c:pt idx="21">
                  <c:v>69.400000000000006</c:v>
                </c:pt>
                <c:pt idx="22">
                  <c:v>76.2</c:v>
                </c:pt>
                <c:pt idx="23">
                  <c:v>83</c:v>
                </c:pt>
                <c:pt idx="24">
                  <c:v>85.7</c:v>
                </c:pt>
                <c:pt idx="25">
                  <c:v>85</c:v>
                </c:pt>
                <c:pt idx="26">
                  <c:v>88.1</c:v>
                </c:pt>
                <c:pt idx="27">
                  <c:v>76.5</c:v>
                </c:pt>
                <c:pt idx="28">
                  <c:v>83.3</c:v>
                </c:pt>
                <c:pt idx="29">
                  <c:v>81.599999999999994</c:v>
                </c:pt>
              </c:numCache>
            </c:numRef>
          </c:val>
          <c:smooth val="0"/>
          <c:extLst>
            <c:ext xmlns:c16="http://schemas.microsoft.com/office/drawing/2014/chart" uri="{C3380CC4-5D6E-409C-BE32-E72D297353CC}">
              <c16:uniqueId val="{00000002-733D-43A4-9CD4-1D28DF59D0F3}"/>
            </c:ext>
          </c:extLst>
        </c:ser>
        <c:ser>
          <c:idx val="3"/>
          <c:order val="3"/>
          <c:tx>
            <c:strRef>
              <c:f>'výkonnost odvětví 2'!$A$35</c:f>
              <c:strCache>
                <c:ptCount val="1"/>
                <c:pt idx="0">
                  <c:v>Využití výrob. kapacit v automobil. prům.</c:v>
                </c:pt>
              </c:strCache>
            </c:strRef>
          </c:tx>
          <c:spPr>
            <a:ln w="15875">
              <a:solidFill>
                <a:schemeClr val="accent6">
                  <a:lumMod val="75000"/>
                </a:schemeClr>
              </a:solidFill>
              <a:prstDash val="sysDash"/>
            </a:ln>
          </c:spPr>
          <c:marker>
            <c:symbol val="none"/>
          </c:marker>
          <c:cat>
            <c:multiLvlStrRef>
              <c:f>'výkonnost odvětví 2'!$R$30:$AU$31</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2'!$R$35:$AU$35</c:f>
              <c:numCache>
                <c:formatCode>##0.0</c:formatCode>
                <c:ptCount val="30"/>
                <c:pt idx="0">
                  <c:v>91.4</c:v>
                </c:pt>
                <c:pt idx="1">
                  <c:v>91.4</c:v>
                </c:pt>
                <c:pt idx="2">
                  <c:v>91.5</c:v>
                </c:pt>
                <c:pt idx="3">
                  <c:v>88.8</c:v>
                </c:pt>
                <c:pt idx="4">
                  <c:v>90.2</c:v>
                </c:pt>
                <c:pt idx="5">
                  <c:v>91.8</c:v>
                </c:pt>
                <c:pt idx="6">
                  <c:v>92.2</c:v>
                </c:pt>
                <c:pt idx="7">
                  <c:v>91.5</c:v>
                </c:pt>
                <c:pt idx="8">
                  <c:v>92.4</c:v>
                </c:pt>
                <c:pt idx="9">
                  <c:v>87.9</c:v>
                </c:pt>
                <c:pt idx="10">
                  <c:v>90.8</c:v>
                </c:pt>
                <c:pt idx="11">
                  <c:v>90.5</c:v>
                </c:pt>
                <c:pt idx="12">
                  <c:v>91.4</c:v>
                </c:pt>
                <c:pt idx="13">
                  <c:v>91.3</c:v>
                </c:pt>
                <c:pt idx="14">
                  <c:v>92.9</c:v>
                </c:pt>
                <c:pt idx="15">
                  <c:v>92.5</c:v>
                </c:pt>
                <c:pt idx="16">
                  <c:v>92.9</c:v>
                </c:pt>
                <c:pt idx="17">
                  <c:v>92.7</c:v>
                </c:pt>
                <c:pt idx="18">
                  <c:v>92.8</c:v>
                </c:pt>
                <c:pt idx="19">
                  <c:v>93</c:v>
                </c:pt>
                <c:pt idx="20">
                  <c:v>90.6</c:v>
                </c:pt>
                <c:pt idx="21">
                  <c:v>45</c:v>
                </c:pt>
                <c:pt idx="22">
                  <c:v>79.099999999999994</c:v>
                </c:pt>
                <c:pt idx="23">
                  <c:v>96.9</c:v>
                </c:pt>
                <c:pt idx="24">
                  <c:v>94.9</c:v>
                </c:pt>
                <c:pt idx="25">
                  <c:v>89.6</c:v>
                </c:pt>
                <c:pt idx="26">
                  <c:v>95.3</c:v>
                </c:pt>
                <c:pt idx="27">
                  <c:v>55.8</c:v>
                </c:pt>
                <c:pt idx="28">
                  <c:v>84.5</c:v>
                </c:pt>
                <c:pt idx="29">
                  <c:v>76.7</c:v>
                </c:pt>
              </c:numCache>
            </c:numRef>
          </c:val>
          <c:smooth val="0"/>
          <c:extLst>
            <c:ext xmlns:c16="http://schemas.microsoft.com/office/drawing/2014/chart" uri="{C3380CC4-5D6E-409C-BE32-E72D297353CC}">
              <c16:uniqueId val="{00000003-733D-43A4-9CD4-1D28DF59D0F3}"/>
            </c:ext>
          </c:extLst>
        </c:ser>
        <c:ser>
          <c:idx val="4"/>
          <c:order val="4"/>
          <c:tx>
            <c:strRef>
              <c:f>'výkonnost odvětví 2'!$A$36</c:f>
              <c:strCache>
                <c:ptCount val="1"/>
                <c:pt idx="0">
                  <c:v>Bariéra růstu: nedostatečná poptávka</c:v>
                </c:pt>
              </c:strCache>
            </c:strRef>
          </c:tx>
          <c:spPr>
            <a:ln w="15875">
              <a:solidFill>
                <a:srgbClr val="00B050"/>
              </a:solidFill>
              <a:prstDash val="dash"/>
            </a:ln>
          </c:spPr>
          <c:marker>
            <c:symbol val="none"/>
          </c:marker>
          <c:cat>
            <c:multiLvlStrRef>
              <c:f>'výkonnost odvětví 2'!$R$30:$AU$31</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2'!$R$36:$AU$36</c:f>
              <c:numCache>
                <c:formatCode>#\ ##0.0</c:formatCode>
                <c:ptCount val="30"/>
                <c:pt idx="0">
                  <c:v>45.3</c:v>
                </c:pt>
                <c:pt idx="1">
                  <c:v>49.6</c:v>
                </c:pt>
                <c:pt idx="2">
                  <c:v>49.7</c:v>
                </c:pt>
                <c:pt idx="3">
                  <c:v>46.4</c:v>
                </c:pt>
                <c:pt idx="4">
                  <c:v>45.9</c:v>
                </c:pt>
                <c:pt idx="5">
                  <c:v>44.6</c:v>
                </c:pt>
                <c:pt idx="6">
                  <c:v>43.8</c:v>
                </c:pt>
                <c:pt idx="7">
                  <c:v>42.9</c:v>
                </c:pt>
                <c:pt idx="8">
                  <c:v>42.7</c:v>
                </c:pt>
                <c:pt idx="9">
                  <c:v>41</c:v>
                </c:pt>
                <c:pt idx="10">
                  <c:v>41.2</c:v>
                </c:pt>
                <c:pt idx="11">
                  <c:v>35.799999999999997</c:v>
                </c:pt>
                <c:pt idx="12">
                  <c:v>35.4</c:v>
                </c:pt>
                <c:pt idx="13">
                  <c:v>36.299999999999997</c:v>
                </c:pt>
                <c:pt idx="14">
                  <c:v>32.4</c:v>
                </c:pt>
                <c:pt idx="15">
                  <c:v>32.9</c:v>
                </c:pt>
                <c:pt idx="16">
                  <c:v>33.799999999999997</c:v>
                </c:pt>
                <c:pt idx="17">
                  <c:v>36.200000000000003</c:v>
                </c:pt>
                <c:pt idx="18">
                  <c:v>41</c:v>
                </c:pt>
                <c:pt idx="19">
                  <c:v>47.1</c:v>
                </c:pt>
                <c:pt idx="20">
                  <c:v>49.8</c:v>
                </c:pt>
                <c:pt idx="21">
                  <c:v>58.8</c:v>
                </c:pt>
                <c:pt idx="22">
                  <c:v>63</c:v>
                </c:pt>
                <c:pt idx="23">
                  <c:v>44.4</c:v>
                </c:pt>
                <c:pt idx="24">
                  <c:v>46.9</c:v>
                </c:pt>
                <c:pt idx="25">
                  <c:v>38.700000000000003</c:v>
                </c:pt>
                <c:pt idx="26">
                  <c:v>25.4</c:v>
                </c:pt>
                <c:pt idx="27">
                  <c:v>27.9</c:v>
                </c:pt>
                <c:pt idx="28">
                  <c:v>29.9</c:v>
                </c:pt>
                <c:pt idx="29">
                  <c:v>21.3</c:v>
                </c:pt>
              </c:numCache>
            </c:numRef>
          </c:val>
          <c:smooth val="0"/>
          <c:extLst>
            <c:ext xmlns:c16="http://schemas.microsoft.com/office/drawing/2014/chart" uri="{C3380CC4-5D6E-409C-BE32-E72D297353CC}">
              <c16:uniqueId val="{00000004-733D-43A4-9CD4-1D28DF59D0F3}"/>
            </c:ext>
          </c:extLst>
        </c:ser>
        <c:ser>
          <c:idx val="5"/>
          <c:order val="5"/>
          <c:tx>
            <c:strRef>
              <c:f>'výkonnost odvětví 2'!$A$37</c:f>
              <c:strCache>
                <c:ptCount val="1"/>
                <c:pt idx="0">
                  <c:v>Bariéra růstu: nedostatek pracovníků</c:v>
                </c:pt>
              </c:strCache>
            </c:strRef>
          </c:tx>
          <c:spPr>
            <a:ln w="15875">
              <a:solidFill>
                <a:srgbClr val="92D050"/>
              </a:solidFill>
              <a:prstDash val="lgDash"/>
            </a:ln>
          </c:spPr>
          <c:marker>
            <c:symbol val="none"/>
          </c:marker>
          <c:cat>
            <c:multiLvlStrRef>
              <c:f>'výkonnost odvětví 2'!$R$30:$AU$31</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2'!$R$37:$AU$37</c:f>
              <c:numCache>
                <c:formatCode>#\ ##0.0</c:formatCode>
                <c:ptCount val="30"/>
                <c:pt idx="0">
                  <c:v>6.1</c:v>
                </c:pt>
                <c:pt idx="1">
                  <c:v>6.9</c:v>
                </c:pt>
                <c:pt idx="2">
                  <c:v>8.6999999999999993</c:v>
                </c:pt>
                <c:pt idx="3">
                  <c:v>14</c:v>
                </c:pt>
                <c:pt idx="4">
                  <c:v>14.8</c:v>
                </c:pt>
                <c:pt idx="5">
                  <c:v>16.5</c:v>
                </c:pt>
                <c:pt idx="6">
                  <c:v>18.899999999999999</c:v>
                </c:pt>
                <c:pt idx="7">
                  <c:v>30.1</c:v>
                </c:pt>
                <c:pt idx="8">
                  <c:v>32.700000000000003</c:v>
                </c:pt>
                <c:pt idx="9">
                  <c:v>33.5</c:v>
                </c:pt>
                <c:pt idx="10">
                  <c:v>40.5</c:v>
                </c:pt>
                <c:pt idx="11">
                  <c:v>38.700000000000003</c:v>
                </c:pt>
                <c:pt idx="12">
                  <c:v>43.5</c:v>
                </c:pt>
                <c:pt idx="13">
                  <c:v>42.3</c:v>
                </c:pt>
                <c:pt idx="14">
                  <c:v>43.2</c:v>
                </c:pt>
                <c:pt idx="15">
                  <c:v>46.3</c:v>
                </c:pt>
                <c:pt idx="16">
                  <c:v>39</c:v>
                </c:pt>
                <c:pt idx="17">
                  <c:v>35.1</c:v>
                </c:pt>
                <c:pt idx="18">
                  <c:v>40.200000000000003</c:v>
                </c:pt>
                <c:pt idx="19">
                  <c:v>39.200000000000003</c:v>
                </c:pt>
                <c:pt idx="20">
                  <c:v>27.7</c:v>
                </c:pt>
                <c:pt idx="21">
                  <c:v>13.5</c:v>
                </c:pt>
                <c:pt idx="22">
                  <c:v>16.7</c:v>
                </c:pt>
                <c:pt idx="23">
                  <c:v>17.600000000000001</c:v>
                </c:pt>
                <c:pt idx="24">
                  <c:v>22</c:v>
                </c:pt>
                <c:pt idx="25">
                  <c:v>18.399999999999999</c:v>
                </c:pt>
                <c:pt idx="26">
                  <c:v>27.6</c:v>
                </c:pt>
                <c:pt idx="27">
                  <c:v>22.6</c:v>
                </c:pt>
                <c:pt idx="28">
                  <c:v>24.9</c:v>
                </c:pt>
                <c:pt idx="29">
                  <c:v>18.600000000000001</c:v>
                </c:pt>
              </c:numCache>
            </c:numRef>
          </c:val>
          <c:smooth val="0"/>
          <c:extLst>
            <c:ext xmlns:c16="http://schemas.microsoft.com/office/drawing/2014/chart" uri="{C3380CC4-5D6E-409C-BE32-E72D297353CC}">
              <c16:uniqueId val="{00000005-733D-43A4-9CD4-1D28DF59D0F3}"/>
            </c:ext>
          </c:extLst>
        </c:ser>
        <c:ser>
          <c:idx val="6"/>
          <c:order val="6"/>
          <c:tx>
            <c:strRef>
              <c:f>'výkonnost odvětví 2'!$A$38</c:f>
              <c:strCache>
                <c:ptCount val="1"/>
                <c:pt idx="0">
                  <c:v>Bariéra růstu: nedost. materiálu a zařízení</c:v>
                </c:pt>
              </c:strCache>
            </c:strRef>
          </c:tx>
          <c:spPr>
            <a:ln w="15875">
              <a:solidFill>
                <a:srgbClr val="00B050"/>
              </a:solidFill>
              <a:prstDash val="solid"/>
            </a:ln>
          </c:spPr>
          <c:marker>
            <c:symbol val="none"/>
          </c:marker>
          <c:cat>
            <c:multiLvlStrRef>
              <c:f>'výkonnost odvětví 2'!$R$30:$AU$31</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2'!$R$38:$AU$38</c:f>
              <c:numCache>
                <c:formatCode>#\ ##0.0</c:formatCode>
                <c:ptCount val="30"/>
                <c:pt idx="0">
                  <c:v>5.9</c:v>
                </c:pt>
                <c:pt idx="1">
                  <c:v>11.3</c:v>
                </c:pt>
                <c:pt idx="2">
                  <c:v>10</c:v>
                </c:pt>
                <c:pt idx="3">
                  <c:v>9.9</c:v>
                </c:pt>
                <c:pt idx="4">
                  <c:v>8.9</c:v>
                </c:pt>
                <c:pt idx="5">
                  <c:v>7.7</c:v>
                </c:pt>
                <c:pt idx="6">
                  <c:v>8.9</c:v>
                </c:pt>
                <c:pt idx="7">
                  <c:v>8.5</c:v>
                </c:pt>
                <c:pt idx="8">
                  <c:v>8.8000000000000007</c:v>
                </c:pt>
                <c:pt idx="9">
                  <c:v>8.3000000000000007</c:v>
                </c:pt>
                <c:pt idx="10">
                  <c:v>10.9</c:v>
                </c:pt>
                <c:pt idx="11">
                  <c:v>22.7</c:v>
                </c:pt>
                <c:pt idx="12">
                  <c:v>11.9</c:v>
                </c:pt>
                <c:pt idx="13">
                  <c:v>11.7</c:v>
                </c:pt>
                <c:pt idx="14">
                  <c:v>13.9</c:v>
                </c:pt>
                <c:pt idx="15">
                  <c:v>23.5</c:v>
                </c:pt>
                <c:pt idx="16">
                  <c:v>26.4</c:v>
                </c:pt>
                <c:pt idx="17">
                  <c:v>24.7</c:v>
                </c:pt>
                <c:pt idx="18">
                  <c:v>22</c:v>
                </c:pt>
                <c:pt idx="19">
                  <c:v>10.5</c:v>
                </c:pt>
                <c:pt idx="20">
                  <c:v>17.899999999999999</c:v>
                </c:pt>
                <c:pt idx="21">
                  <c:v>10.199999999999999</c:v>
                </c:pt>
                <c:pt idx="22">
                  <c:v>6.7</c:v>
                </c:pt>
                <c:pt idx="23">
                  <c:v>10.9</c:v>
                </c:pt>
                <c:pt idx="24">
                  <c:v>23.1</c:v>
                </c:pt>
                <c:pt idx="25">
                  <c:v>32.1</c:v>
                </c:pt>
                <c:pt idx="26">
                  <c:v>45.9</c:v>
                </c:pt>
                <c:pt idx="27">
                  <c:v>41.2</c:v>
                </c:pt>
                <c:pt idx="28">
                  <c:v>39.299999999999997</c:v>
                </c:pt>
                <c:pt idx="29">
                  <c:v>47.8</c:v>
                </c:pt>
              </c:numCache>
            </c:numRef>
          </c:val>
          <c:smooth val="0"/>
          <c:extLst>
            <c:ext xmlns:c16="http://schemas.microsoft.com/office/drawing/2014/chart" uri="{C3380CC4-5D6E-409C-BE32-E72D297353CC}">
              <c16:uniqueId val="{00000006-733D-43A4-9CD4-1D28DF59D0F3}"/>
            </c:ext>
          </c:extLst>
        </c:ser>
        <c:ser>
          <c:idx val="7"/>
          <c:order val="7"/>
          <c:tx>
            <c:strRef>
              <c:f>'výkonnost odvětví 2'!$A$39</c:f>
              <c:strCache>
                <c:ptCount val="1"/>
                <c:pt idx="0">
                  <c:v>Saldo souhrn. indik. důvěry v průmyslu</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'výkonnost odvětví 2'!$R$30:$AU$31</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2'!$R$39:$AU$39</c:f>
              <c:numCache>
                <c:formatCode>#\ ##0.0</c:formatCode>
                <c:ptCount val="30"/>
                <c:pt idx="0">
                  <c:v>2.2999999999999998</c:v>
                </c:pt>
                <c:pt idx="1">
                  <c:v>3.3</c:v>
                </c:pt>
                <c:pt idx="2">
                  <c:v>3</c:v>
                </c:pt>
                <c:pt idx="3">
                  <c:v>1</c:v>
                </c:pt>
                <c:pt idx="4">
                  <c:v>3.7</c:v>
                </c:pt>
                <c:pt idx="5">
                  <c:v>2.7</c:v>
                </c:pt>
                <c:pt idx="6">
                  <c:v>5</c:v>
                </c:pt>
                <c:pt idx="7">
                  <c:v>6.3</c:v>
                </c:pt>
                <c:pt idx="8">
                  <c:v>3.7</c:v>
                </c:pt>
                <c:pt idx="9">
                  <c:v>0.5</c:v>
                </c:pt>
                <c:pt idx="10">
                  <c:v>4</c:v>
                </c:pt>
                <c:pt idx="11">
                  <c:v>4.7</c:v>
                </c:pt>
                <c:pt idx="12">
                  <c:v>3.7</c:v>
                </c:pt>
                <c:pt idx="13">
                  <c:v>2</c:v>
                </c:pt>
                <c:pt idx="14">
                  <c:v>2.2999999999999998</c:v>
                </c:pt>
                <c:pt idx="15">
                  <c:v>2.2999999999999998</c:v>
                </c:pt>
                <c:pt idx="16">
                  <c:v>0.3</c:v>
                </c:pt>
                <c:pt idx="17">
                  <c:v>-2</c:v>
                </c:pt>
                <c:pt idx="18">
                  <c:v>-3</c:v>
                </c:pt>
                <c:pt idx="19">
                  <c:v>-6.7</c:v>
                </c:pt>
                <c:pt idx="20">
                  <c:v>-5</c:v>
                </c:pt>
                <c:pt idx="21">
                  <c:v>-25</c:v>
                </c:pt>
                <c:pt idx="22">
                  <c:v>-6.3</c:v>
                </c:pt>
                <c:pt idx="23">
                  <c:v>-10</c:v>
                </c:pt>
                <c:pt idx="24">
                  <c:v>-1.3</c:v>
                </c:pt>
                <c:pt idx="25">
                  <c:v>5.3</c:v>
                </c:pt>
                <c:pt idx="26">
                  <c:v>-1.3</c:v>
                </c:pt>
                <c:pt idx="27">
                  <c:v>-5.3</c:v>
                </c:pt>
                <c:pt idx="28">
                  <c:v>-0.3</c:v>
                </c:pt>
                <c:pt idx="29">
                  <c:v>8.3000000000000007</c:v>
                </c:pt>
              </c:numCache>
            </c:numRef>
          </c:val>
          <c:smooth val="0"/>
          <c:extLst>
            <c:ext xmlns:c16="http://schemas.microsoft.com/office/drawing/2014/chart" uri="{C3380CC4-5D6E-409C-BE32-E72D297353CC}">
              <c16:uniqueId val="{00000007-733D-43A4-9CD4-1D28DF59D0F3}"/>
            </c:ext>
          </c:extLst>
        </c:ser>
        <c:dLbls>
          <c:showLegendKey val="0"/>
          <c:showVal val="0"/>
          <c:showCatName val="0"/>
          <c:showSerName val="0"/>
          <c:showPercent val="0"/>
          <c:showBubbleSize val="0"/>
        </c:dLbls>
        <c:marker val="1"/>
        <c:smooth val="0"/>
        <c:axId val="1239819375"/>
        <c:axId val="1239826863"/>
      </c:lineChart>
      <c:catAx>
        <c:axId val="112768128"/>
        <c:scaling>
          <c:orientation val="minMax"/>
        </c:scaling>
        <c:delete val="0"/>
        <c:axPos val="b"/>
        <c:numFmt formatCode="General" sourceLinked="1"/>
        <c:majorTickMark val="out"/>
        <c:minorTickMark val="none"/>
        <c:tickLblPos val="low"/>
        <c:crossAx val="112769664"/>
        <c:crosses val="autoZero"/>
        <c:auto val="1"/>
        <c:lblAlgn val="ctr"/>
        <c:lblOffset val="0"/>
        <c:noMultiLvlLbl val="0"/>
      </c:catAx>
      <c:valAx>
        <c:axId val="112769664"/>
        <c:scaling>
          <c:orientation val="minMax"/>
          <c:max val="60"/>
          <c:min val="-40"/>
        </c:scaling>
        <c:delete val="0"/>
        <c:axPos val="l"/>
        <c:majorGridlines>
          <c:spPr>
            <a:ln>
              <a:solidFill>
                <a:srgbClr val="BEBEBE"/>
              </a:solidFill>
            </a:ln>
          </c:spPr>
        </c:majorGridlines>
        <c:title>
          <c:tx>
            <c:rich>
              <a:bodyPr/>
              <a:lstStyle/>
              <a:p>
                <a:pPr>
                  <a:defRPr sz="700" b="0" i="1"/>
                </a:pPr>
                <a:r>
                  <a:rPr lang="cs-CZ" sz="700" b="0" i="1"/>
                  <a:t>Zakázky</a:t>
                </a:r>
              </a:p>
            </c:rich>
          </c:tx>
          <c:overlay val="0"/>
        </c:title>
        <c:numFmt formatCode="0" sourceLinked="0"/>
        <c:majorTickMark val="out"/>
        <c:minorTickMark val="none"/>
        <c:tickLblPos val="nextTo"/>
        <c:crossAx val="112768128"/>
        <c:crosses val="autoZero"/>
        <c:crossBetween val="between"/>
        <c:majorUnit val="10"/>
      </c:valAx>
      <c:valAx>
        <c:axId val="1239826863"/>
        <c:scaling>
          <c:orientation val="minMax"/>
          <c:max val="100"/>
          <c:min val="-3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sz="700" b="0" i="1"/>
                  <a:t>Využití výrob.</a:t>
                </a:r>
                <a:r>
                  <a:rPr lang="cs-CZ" sz="700" b="0" i="1" baseline="0"/>
                  <a:t> </a:t>
                </a:r>
                <a:r>
                  <a:rPr lang="cs-CZ" sz="700" b="0" i="1"/>
                  <a:t>kapacit, bariéry růstu, </a:t>
                </a:r>
                <a:r>
                  <a:rPr lang="cs-CZ" sz="700" b="0" i="1" baseline="0">
                    <a:effectLst/>
                  </a:rPr>
                  <a:t>saldo důvěry</a:t>
                </a:r>
                <a:endParaRPr lang="cs-CZ" sz="700" i="1">
                  <a:effectLst/>
                </a:endParaRPr>
              </a:p>
            </c:rich>
          </c:tx>
          <c:overlay val="0"/>
        </c:title>
        <c:numFmt formatCode="#,##0" sourceLinked="0"/>
        <c:majorTickMark val="out"/>
        <c:minorTickMark val="none"/>
        <c:tickLblPos val="nextTo"/>
        <c:crossAx val="1239819375"/>
        <c:crosses val="max"/>
        <c:crossBetween val="between"/>
        <c:majorUnit val="10"/>
      </c:valAx>
      <c:catAx>
        <c:axId val="1239819375"/>
        <c:scaling>
          <c:orientation val="minMax"/>
        </c:scaling>
        <c:delete val="1"/>
        <c:axPos val="b"/>
        <c:numFmt formatCode="General" sourceLinked="1"/>
        <c:majorTickMark val="out"/>
        <c:minorTickMark val="none"/>
        <c:tickLblPos val="nextTo"/>
        <c:crossAx val="1239826863"/>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1.0639282655810696E-2"/>
          <c:y val="0.85586448957034"/>
          <c:w val="0.98340782491634482"/>
          <c:h val="0.14063307954958187"/>
        </c:manualLayout>
      </c:layout>
      <c:overlay val="0"/>
      <c:spPr>
        <a:ln w="6350">
          <a:solidFill>
            <a:prstClr val="black">
              <a:lumMod val="95000"/>
              <a:lumOff val="5000"/>
            </a:prstClr>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41623297994974E-2"/>
          <c:y val="2.1373653391166647E-2"/>
          <c:w val="0.85765756453827047"/>
          <c:h val="0.74711966440217237"/>
        </c:manualLayout>
      </c:layout>
      <c:barChart>
        <c:barDir val="col"/>
        <c:grouping val="stacked"/>
        <c:varyColors val="0"/>
        <c:ser>
          <c:idx val="1"/>
          <c:order val="1"/>
          <c:tx>
            <c:strRef>
              <c:f>'výkonnost odvětví 3'!$Y$10</c:f>
              <c:strCache>
                <c:ptCount val="1"/>
                <c:pt idx="0">
                  <c:v>Pozemní stavitelství (příspěvek v p. b.)</c:v>
                </c:pt>
              </c:strCache>
            </c:strRef>
          </c:tx>
          <c:spPr>
            <a:solidFill>
              <a:srgbClr val="A6CDE9"/>
            </a:solidFill>
            <a:ln>
              <a:noFill/>
            </a:ln>
          </c:spPr>
          <c:invertIfNegative val="0"/>
          <c:cat>
            <c:multiLvlStrRef>
              <c:f>'výkonnost odvětví 3'!$V$31:$W$60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'výkonnost odvětví 3'!$Y$31:$Y$60</c:f>
              <c:numCache>
                <c:formatCode>0.0</c:formatCode>
                <c:ptCount val="30"/>
                <c:pt idx="0">
                  <c:v>6.1332628878020472</c:v>
                </c:pt>
                <c:pt idx="1">
                  <c:v>5.1611029387020881</c:v>
                </c:pt>
                <c:pt idx="2">
                  <c:v>0.82789337777956651</c:v>
                </c:pt>
                <c:pt idx="3">
                  <c:v>-1.792443206462254</c:v>
                </c:pt>
                <c:pt idx="4">
                  <c:v>-5.0624228474210264</c:v>
                </c:pt>
                <c:pt idx="5">
                  <c:v>-5.0837956877529207</c:v>
                </c:pt>
                <c:pt idx="6">
                  <c:v>0.80068413098652258</c:v>
                </c:pt>
                <c:pt idx="7">
                  <c:v>4.0229578720745067</c:v>
                </c:pt>
                <c:pt idx="8">
                  <c:v>2.3707415602985482</c:v>
                </c:pt>
                <c:pt idx="9">
                  <c:v>10.127474072202558</c:v>
                </c:pt>
                <c:pt idx="10">
                  <c:v>3.4985302779650396</c:v>
                </c:pt>
                <c:pt idx="11">
                  <c:v>2.7010793303841334</c:v>
                </c:pt>
                <c:pt idx="12">
                  <c:v>13.58981677167807</c:v>
                </c:pt>
                <c:pt idx="13">
                  <c:v>6.2954664988362632</c:v>
                </c:pt>
                <c:pt idx="14">
                  <c:v>7.7040894172433472</c:v>
                </c:pt>
                <c:pt idx="15">
                  <c:v>2.6018478445540052</c:v>
                </c:pt>
                <c:pt idx="16">
                  <c:v>2.902580138628347</c:v>
                </c:pt>
                <c:pt idx="17">
                  <c:v>2.4244946978317015</c:v>
                </c:pt>
                <c:pt idx="18">
                  <c:v>-0.69452357804114084</c:v>
                </c:pt>
                <c:pt idx="19">
                  <c:v>2.4262746292667692</c:v>
                </c:pt>
                <c:pt idx="20">
                  <c:v>-0.3509850836675944</c:v>
                </c:pt>
                <c:pt idx="21">
                  <c:v>-7.4196046801003988</c:v>
                </c:pt>
                <c:pt idx="22">
                  <c:v>-7.1685933920563025</c:v>
                </c:pt>
                <c:pt idx="23">
                  <c:v>-8.6185225202649214</c:v>
                </c:pt>
                <c:pt idx="24">
                  <c:v>-5.1411661804072324</c:v>
                </c:pt>
                <c:pt idx="25">
                  <c:v>3.2684432641148571</c:v>
                </c:pt>
                <c:pt idx="26">
                  <c:v>2.982124117225045</c:v>
                </c:pt>
                <c:pt idx="27">
                  <c:v>6.0632264260203561</c:v>
                </c:pt>
                <c:pt idx="28">
                  <c:v>6.6292763421785619</c:v>
                </c:pt>
              </c:numCache>
            </c:numRef>
          </c:val>
          <c:extLst>
            <c:ext xmlns:c16="http://schemas.microsoft.com/office/drawing/2014/chart" uri="{C3380CC4-5D6E-409C-BE32-E72D297353CC}">
              <c16:uniqueId val="{00000000-22F5-4F63-A0DF-0A876DF349A0}"/>
            </c:ext>
          </c:extLst>
        </c:ser>
        <c:ser>
          <c:idx val="2"/>
          <c:order val="2"/>
          <c:tx>
            <c:strRef>
              <c:f>'výkonnost odvětví 3'!$Z$10</c:f>
              <c:strCache>
                <c:ptCount val="1"/>
                <c:pt idx="0">
                  <c:v>Inženýrské stavitelství (příspěvek v p. b.)</c:v>
                </c:pt>
              </c:strCache>
            </c:strRef>
          </c:tx>
          <c:spPr>
            <a:solidFill>
              <a:srgbClr val="E8AFB2"/>
            </a:solidFill>
            <a:ln>
              <a:noFill/>
            </a:ln>
          </c:spPr>
          <c:invertIfNegative val="0"/>
          <c:cat>
            <c:multiLvlStrRef>
              <c:f>'výkonnost odvětví 3'!$V$31:$W$60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'výkonnost odvětví 3'!$Z$31:$Z$60</c:f>
              <c:numCache>
                <c:formatCode>0.0</c:formatCode>
                <c:ptCount val="30"/>
                <c:pt idx="0">
                  <c:v>3.0644338505720308</c:v>
                </c:pt>
                <c:pt idx="1">
                  <c:v>6.8180179259183973</c:v>
                </c:pt>
                <c:pt idx="2">
                  <c:v>7.0179431775016399</c:v>
                </c:pt>
                <c:pt idx="3">
                  <c:v>2.730611648088177</c:v>
                </c:pt>
                <c:pt idx="4">
                  <c:v>-1.2082218219742173</c:v>
                </c:pt>
                <c:pt idx="5">
                  <c:v>-5.1375373424938786</c:v>
                </c:pt>
                <c:pt idx="6">
                  <c:v>-6.7128245144582364</c:v>
                </c:pt>
                <c:pt idx="7">
                  <c:v>-5.672093550500878</c:v>
                </c:pt>
                <c:pt idx="8">
                  <c:v>-3.2052093816174203</c:v>
                </c:pt>
                <c:pt idx="9">
                  <c:v>-1.1403993727014583</c:v>
                </c:pt>
                <c:pt idx="10">
                  <c:v>-1.4444952024671565</c:v>
                </c:pt>
                <c:pt idx="11">
                  <c:v>0.23728682710972981</c:v>
                </c:pt>
                <c:pt idx="12">
                  <c:v>1.7538255902919127</c:v>
                </c:pt>
                <c:pt idx="13">
                  <c:v>1.2042218152710626</c:v>
                </c:pt>
                <c:pt idx="14">
                  <c:v>4.7031010298825633</c:v>
                </c:pt>
                <c:pt idx="15">
                  <c:v>1.7060394592294705</c:v>
                </c:pt>
                <c:pt idx="16">
                  <c:v>0.73329395346685111</c:v>
                </c:pt>
                <c:pt idx="17">
                  <c:v>1.8741086038878019</c:v>
                </c:pt>
                <c:pt idx="18">
                  <c:v>0.7564974358767329</c:v>
                </c:pt>
                <c:pt idx="19">
                  <c:v>0.84455333356029649</c:v>
                </c:pt>
                <c:pt idx="20">
                  <c:v>3.2039225261120103</c:v>
                </c:pt>
                <c:pt idx="21">
                  <c:v>1.2159283677885731</c:v>
                </c:pt>
                <c:pt idx="22">
                  <c:v>-1.8702967995115634</c:v>
                </c:pt>
                <c:pt idx="23">
                  <c:v>0.34456386356438634</c:v>
                </c:pt>
                <c:pt idx="24">
                  <c:v>-4.149342813092647E-2</c:v>
                </c:pt>
                <c:pt idx="25">
                  <c:v>1.0291755083189913</c:v>
                </c:pt>
                <c:pt idx="26">
                  <c:v>-0.24413521365457616</c:v>
                </c:pt>
                <c:pt idx="27">
                  <c:v>-0.88219102636033031</c:v>
                </c:pt>
                <c:pt idx="28">
                  <c:v>3.2279937292668248</c:v>
                </c:pt>
              </c:numCache>
            </c:numRef>
          </c:val>
          <c:extLst>
            <c:ext xmlns:c16="http://schemas.microsoft.com/office/drawing/2014/chart" uri="{C3380CC4-5D6E-409C-BE32-E72D297353CC}">
              <c16:uniqueId val="{00000001-22F5-4F63-A0DF-0A876DF349A0}"/>
            </c:ext>
          </c:extLst>
        </c:ser>
        <c:dLbls>
          <c:showLegendKey val="0"/>
          <c:showVal val="0"/>
          <c:showCatName val="0"/>
          <c:showSerName val="0"/>
          <c:showPercent val="0"/>
          <c:showBubbleSize val="0"/>
        </c:dLbls>
        <c:gapWidth val="30"/>
        <c:overlap val="100"/>
        <c:axId val="112768128"/>
        <c:axId val="112769664"/>
      </c:barChart>
      <c:lineChart>
        <c:grouping val="standard"/>
        <c:varyColors val="0"/>
        <c:ser>
          <c:idx val="0"/>
          <c:order val="0"/>
          <c:tx>
            <c:strRef>
              <c:f>'výkonnost odvětví 3'!$X$10</c:f>
              <c:strCache>
                <c:ptCount val="1"/>
                <c:pt idx="0">
                  <c:v>Celková stavební produkce</c:v>
                </c:pt>
              </c:strCache>
            </c:strRef>
          </c:tx>
          <c:spPr>
            <a:ln>
              <a:noFill/>
            </a:ln>
          </c:spPr>
          <c:marker>
            <c:symbol val="diamond"/>
            <c:size val="5"/>
            <c:spPr>
              <a:solidFill>
                <a:schemeClr val="bg1"/>
              </a:solidFill>
              <a:ln>
                <a:solidFill>
                  <a:schemeClr val="tx1">
                    <a:lumMod val="95000"/>
                    <a:lumOff val="5000"/>
                  </a:schemeClr>
                </a:solidFill>
              </a:ln>
            </c:spPr>
          </c:marker>
          <c:cat>
            <c:multiLvlStrRef>
              <c:f>'výkonnost odvětví 3'!$V$31:$W$60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'výkonnost odvětví 3'!$X$31:$X$60</c:f>
              <c:numCache>
                <c:formatCode>0.0</c:formatCode>
                <c:ptCount val="30"/>
                <c:pt idx="0">
                  <c:v>9.1976967383740771</c:v>
                </c:pt>
                <c:pt idx="1">
                  <c:v>11.979120864620469</c:v>
                </c:pt>
                <c:pt idx="2">
                  <c:v>7.8458365552812097</c:v>
                </c:pt>
                <c:pt idx="3">
                  <c:v>0.93816844162589064</c:v>
                </c:pt>
                <c:pt idx="4">
                  <c:v>-6.2706446693952387</c:v>
                </c:pt>
                <c:pt idx="5">
                  <c:v>-10.221333030246782</c:v>
                </c:pt>
                <c:pt idx="6">
                  <c:v>-5.9121403834717228</c:v>
                </c:pt>
                <c:pt idx="7">
                  <c:v>-1.6491356784263616</c:v>
                </c:pt>
                <c:pt idx="8">
                  <c:v>-0.83446782131888142</c:v>
                </c:pt>
                <c:pt idx="9">
                  <c:v>8.9870746995010791</c:v>
                </c:pt>
                <c:pt idx="10">
                  <c:v>2.0540350754978789</c:v>
                </c:pt>
                <c:pt idx="11">
                  <c:v>2.93836615749386</c:v>
                </c:pt>
                <c:pt idx="12">
                  <c:v>15.343642361969984</c:v>
                </c:pt>
                <c:pt idx="13">
                  <c:v>7.4996883141073454</c:v>
                </c:pt>
                <c:pt idx="14">
                  <c:v>12.407190447125899</c:v>
                </c:pt>
                <c:pt idx="15">
                  <c:v>4.3078873037834882</c:v>
                </c:pt>
                <c:pt idx="16">
                  <c:v>3.6358740920951789</c:v>
                </c:pt>
                <c:pt idx="17">
                  <c:v>4.2986033017194956</c:v>
                </c:pt>
                <c:pt idx="18">
                  <c:v>6.1973857835596391E-2</c:v>
                </c:pt>
                <c:pt idx="19">
                  <c:v>3.2708279628270702</c:v>
                </c:pt>
                <c:pt idx="20">
                  <c:v>2.8529374424444143</c:v>
                </c:pt>
                <c:pt idx="21">
                  <c:v>-6.2036763123118277</c:v>
                </c:pt>
                <c:pt idx="22">
                  <c:v>-9.0388901915678588</c:v>
                </c:pt>
                <c:pt idx="23">
                  <c:v>-8.2739586567005432</c:v>
                </c:pt>
                <c:pt idx="24">
                  <c:v>-5.1826596085381595</c:v>
                </c:pt>
                <c:pt idx="25">
                  <c:v>4.2976187724338644</c:v>
                </c:pt>
                <c:pt idx="26">
                  <c:v>2.7379889035704394</c:v>
                </c:pt>
                <c:pt idx="27">
                  <c:v>5.1810353996600185</c:v>
                </c:pt>
                <c:pt idx="28">
                  <c:v>9.8582122659973948</c:v>
                </c:pt>
              </c:numCache>
            </c:numRef>
          </c:val>
          <c:smooth val="0"/>
          <c:extLst>
            <c:ext xmlns:c16="http://schemas.microsoft.com/office/drawing/2014/chart" uri="{C3380CC4-5D6E-409C-BE32-E72D297353CC}">
              <c16:uniqueId val="{00000002-22F5-4F63-A0DF-0A876DF349A0}"/>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3"/>
          <c:order val="3"/>
          <c:tx>
            <c:strRef>
              <c:f>'výkonnost odvětví 3'!$AA$10</c:f>
              <c:strCache>
                <c:ptCount val="1"/>
                <c:pt idx="0">
                  <c:v>Nové stavební zakázky v tuzemsku</c:v>
                </c:pt>
              </c:strCache>
            </c:strRef>
          </c:tx>
          <c:spPr>
            <a:ln w="15875">
              <a:solidFill>
                <a:srgbClr val="984807"/>
              </a:solidFill>
            </a:ln>
          </c:spPr>
          <c:marker>
            <c:symbol val="none"/>
          </c:marker>
          <c:cat>
            <c:multiLvlStrRef>
              <c:f>'výkonnost odvětví 3'!$V$31:$W$60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'výkonnost odvětví 3'!$AA$31:$AA$60</c:f>
              <c:numCache>
                <c:formatCode>0.0</c:formatCode>
                <c:ptCount val="30"/>
                <c:pt idx="0">
                  <c:v>-3.1547956675580053</c:v>
                </c:pt>
                <c:pt idx="1">
                  <c:v>9.7504961091663205</c:v>
                </c:pt>
                <c:pt idx="2">
                  <c:v>-1.097606022761255</c:v>
                </c:pt>
                <c:pt idx="3">
                  <c:v>-2.3987783410040464</c:v>
                </c:pt>
                <c:pt idx="4">
                  <c:v>-6.6406358945753823</c:v>
                </c:pt>
                <c:pt idx="5">
                  <c:v>-0.49977652269311079</c:v>
                </c:pt>
                <c:pt idx="6">
                  <c:v>-7.0322087253454839</c:v>
                </c:pt>
                <c:pt idx="7">
                  <c:v>10.122126124559955</c:v>
                </c:pt>
                <c:pt idx="8">
                  <c:v>16.177217458847437</c:v>
                </c:pt>
                <c:pt idx="9">
                  <c:v>9.5350878984013008</c:v>
                </c:pt>
                <c:pt idx="10">
                  <c:v>-1.2817324431350698</c:v>
                </c:pt>
                <c:pt idx="11">
                  <c:v>15.620806693503823</c:v>
                </c:pt>
                <c:pt idx="12">
                  <c:v>30.10697387368856</c:v>
                </c:pt>
                <c:pt idx="13">
                  <c:v>32.836878110611963</c:v>
                </c:pt>
                <c:pt idx="14">
                  <c:v>5.2768249907951201</c:v>
                </c:pt>
                <c:pt idx="15">
                  <c:v>1.8944565811032277</c:v>
                </c:pt>
                <c:pt idx="16">
                  <c:v>14.157245632065781</c:v>
                </c:pt>
                <c:pt idx="17">
                  <c:v>-9.3849543241233135</c:v>
                </c:pt>
                <c:pt idx="18">
                  <c:v>17.407871000993993</c:v>
                </c:pt>
                <c:pt idx="19">
                  <c:v>5.8323004254463768</c:v>
                </c:pt>
                <c:pt idx="20">
                  <c:v>-12.441635069859245</c:v>
                </c:pt>
                <c:pt idx="21">
                  <c:v>7.497345722028669</c:v>
                </c:pt>
                <c:pt idx="22">
                  <c:v>2.0599736606932879</c:v>
                </c:pt>
                <c:pt idx="23">
                  <c:v>7.5507850088630164</c:v>
                </c:pt>
                <c:pt idx="24">
                  <c:v>28.856340981154403</c:v>
                </c:pt>
                <c:pt idx="25">
                  <c:v>22.047871359987184</c:v>
                </c:pt>
                <c:pt idx="26">
                  <c:v>10.015015612184257</c:v>
                </c:pt>
                <c:pt idx="27">
                  <c:v>1.0053213537781147</c:v>
                </c:pt>
                <c:pt idx="28">
                  <c:v>13.060554636931997</c:v>
                </c:pt>
              </c:numCache>
            </c:numRef>
          </c:val>
          <c:smooth val="0"/>
          <c:extLst>
            <c:ext xmlns:c16="http://schemas.microsoft.com/office/drawing/2014/chart" uri="{C3380CC4-5D6E-409C-BE32-E72D297353CC}">
              <c16:uniqueId val="{00000003-22F5-4F63-A0DF-0A876DF349A0}"/>
            </c:ext>
          </c:extLst>
        </c:ser>
        <c:ser>
          <c:idx val="4"/>
          <c:order val="4"/>
          <c:tx>
            <c:strRef>
              <c:f>'výkonnost odvětví 3'!$AB$10</c:f>
              <c:strCache>
                <c:ptCount val="1"/>
                <c:pt idx="0">
                  <c:v>Bariéra růstu: nedostatečná poptávka</c:v>
                </c:pt>
              </c:strCache>
            </c:strRef>
          </c:tx>
          <c:spPr>
            <a:ln w="15875">
              <a:solidFill>
                <a:srgbClr val="92D050"/>
              </a:solidFill>
              <a:prstDash val="dash"/>
            </a:ln>
          </c:spPr>
          <c:marker>
            <c:symbol val="none"/>
          </c:marker>
          <c:cat>
            <c:multiLvlStrRef>
              <c:f>'výkonnost odvětví 3'!$V$31:$W$60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'výkonnost odvětví 3'!$AB$31:$AB$60</c:f>
              <c:numCache>
                <c:formatCode>#\ ##0.0</c:formatCode>
                <c:ptCount val="30"/>
                <c:pt idx="0">
                  <c:v>67.3</c:v>
                </c:pt>
                <c:pt idx="1">
                  <c:v>60.7</c:v>
                </c:pt>
                <c:pt idx="2">
                  <c:v>58.6</c:v>
                </c:pt>
                <c:pt idx="3">
                  <c:v>58.2</c:v>
                </c:pt>
                <c:pt idx="4">
                  <c:v>58.5</c:v>
                </c:pt>
                <c:pt idx="5">
                  <c:v>62.6</c:v>
                </c:pt>
                <c:pt idx="6">
                  <c:v>60.3</c:v>
                </c:pt>
                <c:pt idx="7">
                  <c:v>55.7</c:v>
                </c:pt>
                <c:pt idx="8">
                  <c:v>55.7</c:v>
                </c:pt>
                <c:pt idx="9">
                  <c:v>54.8</c:v>
                </c:pt>
                <c:pt idx="10">
                  <c:v>49.1</c:v>
                </c:pt>
                <c:pt idx="11">
                  <c:v>47.1</c:v>
                </c:pt>
                <c:pt idx="12">
                  <c:v>40.1</c:v>
                </c:pt>
                <c:pt idx="13">
                  <c:v>39.4</c:v>
                </c:pt>
                <c:pt idx="14">
                  <c:v>33</c:v>
                </c:pt>
                <c:pt idx="15">
                  <c:v>23.3</c:v>
                </c:pt>
                <c:pt idx="16">
                  <c:v>26.5</c:v>
                </c:pt>
                <c:pt idx="17">
                  <c:v>26.7</c:v>
                </c:pt>
                <c:pt idx="18">
                  <c:v>18.899999999999999</c:v>
                </c:pt>
                <c:pt idx="19">
                  <c:v>19.600000000000001</c:v>
                </c:pt>
                <c:pt idx="20">
                  <c:v>31.6</c:v>
                </c:pt>
                <c:pt idx="21">
                  <c:v>31.3</c:v>
                </c:pt>
                <c:pt idx="22">
                  <c:v>38.6</c:v>
                </c:pt>
                <c:pt idx="23" formatCode="General">
                  <c:v>39.200000000000003</c:v>
                </c:pt>
                <c:pt idx="24">
                  <c:v>30.8</c:v>
                </c:pt>
                <c:pt idx="25">
                  <c:v>35.9</c:v>
                </c:pt>
                <c:pt idx="26">
                  <c:v>23.2</c:v>
                </c:pt>
                <c:pt idx="27">
                  <c:v>19.5</c:v>
                </c:pt>
                <c:pt idx="28">
                  <c:v>21.3</c:v>
                </c:pt>
                <c:pt idx="29">
                  <c:v>17.600000000000001</c:v>
                </c:pt>
              </c:numCache>
            </c:numRef>
          </c:val>
          <c:smooth val="0"/>
          <c:extLst>
            <c:ext xmlns:c16="http://schemas.microsoft.com/office/drawing/2014/chart" uri="{C3380CC4-5D6E-409C-BE32-E72D297353CC}">
              <c16:uniqueId val="{00000004-22F5-4F63-A0DF-0A876DF349A0}"/>
            </c:ext>
          </c:extLst>
        </c:ser>
        <c:ser>
          <c:idx val="5"/>
          <c:order val="5"/>
          <c:tx>
            <c:strRef>
              <c:f>'výkonnost odvětví 3'!$AC$10</c:f>
              <c:strCache>
                <c:ptCount val="1"/>
                <c:pt idx="0">
                  <c:v>Bariéra růstu: nedostatek pracovníků</c:v>
                </c:pt>
              </c:strCache>
            </c:strRef>
          </c:tx>
          <c:spPr>
            <a:ln w="15875">
              <a:solidFill>
                <a:srgbClr val="00B050"/>
              </a:solidFill>
              <a:prstDash val="solid"/>
            </a:ln>
          </c:spPr>
          <c:marker>
            <c:symbol val="none"/>
          </c:marker>
          <c:cat>
            <c:multiLvlStrRef>
              <c:f>'výkonnost odvětví 3'!$V$31:$W$60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'výkonnost odvětví 3'!$AC$31:$AC$60</c:f>
              <c:numCache>
                <c:formatCode>#\ ##0.0</c:formatCode>
                <c:ptCount val="30"/>
                <c:pt idx="0">
                  <c:v>8.3000000000000007</c:v>
                </c:pt>
                <c:pt idx="1">
                  <c:v>8.1</c:v>
                </c:pt>
                <c:pt idx="2">
                  <c:v>6.1</c:v>
                </c:pt>
                <c:pt idx="3">
                  <c:v>6</c:v>
                </c:pt>
                <c:pt idx="4">
                  <c:v>6.5</c:v>
                </c:pt>
                <c:pt idx="5">
                  <c:v>7.2</c:v>
                </c:pt>
                <c:pt idx="6">
                  <c:v>7</c:v>
                </c:pt>
                <c:pt idx="7">
                  <c:v>10.4</c:v>
                </c:pt>
                <c:pt idx="8">
                  <c:v>14</c:v>
                </c:pt>
                <c:pt idx="9">
                  <c:v>14.8</c:v>
                </c:pt>
                <c:pt idx="10">
                  <c:v>21.4</c:v>
                </c:pt>
                <c:pt idx="11">
                  <c:v>21.1</c:v>
                </c:pt>
                <c:pt idx="12">
                  <c:v>27.3</c:v>
                </c:pt>
                <c:pt idx="13">
                  <c:v>30.1</c:v>
                </c:pt>
                <c:pt idx="14">
                  <c:v>28.1</c:v>
                </c:pt>
                <c:pt idx="15">
                  <c:v>38.200000000000003</c:v>
                </c:pt>
                <c:pt idx="16">
                  <c:v>36.9</c:v>
                </c:pt>
                <c:pt idx="17">
                  <c:v>43.4</c:v>
                </c:pt>
                <c:pt idx="18">
                  <c:v>49.6</c:v>
                </c:pt>
                <c:pt idx="19">
                  <c:v>46.2</c:v>
                </c:pt>
                <c:pt idx="20">
                  <c:v>52.5</c:v>
                </c:pt>
                <c:pt idx="21">
                  <c:v>46</c:v>
                </c:pt>
                <c:pt idx="22">
                  <c:v>35.299999999999997</c:v>
                </c:pt>
                <c:pt idx="23" formatCode="0.0">
                  <c:v>31.9</c:v>
                </c:pt>
                <c:pt idx="24">
                  <c:v>48.6</c:v>
                </c:pt>
                <c:pt idx="25">
                  <c:v>31.6</c:v>
                </c:pt>
                <c:pt idx="26">
                  <c:v>40.700000000000003</c:v>
                </c:pt>
                <c:pt idx="27">
                  <c:v>42.2</c:v>
                </c:pt>
                <c:pt idx="28">
                  <c:v>58</c:v>
                </c:pt>
                <c:pt idx="29">
                  <c:v>51.6</c:v>
                </c:pt>
              </c:numCache>
            </c:numRef>
          </c:val>
          <c:smooth val="0"/>
          <c:extLst>
            <c:ext xmlns:c16="http://schemas.microsoft.com/office/drawing/2014/chart" uri="{C3380CC4-5D6E-409C-BE32-E72D297353CC}">
              <c16:uniqueId val="{00000005-22F5-4F63-A0DF-0A876DF349A0}"/>
            </c:ext>
          </c:extLst>
        </c:ser>
        <c:ser>
          <c:idx val="6"/>
          <c:order val="6"/>
          <c:tx>
            <c:strRef>
              <c:f>'výkonnost odvětví 3'!$AD$10</c:f>
              <c:strCache>
                <c:ptCount val="1"/>
                <c:pt idx="0">
                  <c:v>Bariéra růstu: nedost. materiálu a vybavení</c:v>
                </c:pt>
              </c:strCache>
            </c:strRef>
          </c:tx>
          <c:spPr>
            <a:ln w="15875">
              <a:solidFill>
                <a:srgbClr val="00B050"/>
              </a:solidFill>
              <a:prstDash val="sysDash"/>
            </a:ln>
          </c:spPr>
          <c:marker>
            <c:symbol val="none"/>
          </c:marker>
          <c:cat>
            <c:multiLvlStrRef>
              <c:f>'výkonnost odvětví 3'!$V$31:$W$60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'výkonnost odvětví 3'!$AD$31:$AD$60</c:f>
              <c:numCache>
                <c:formatCode>#\ ##0.0</c:formatCode>
                <c:ptCount val="30"/>
                <c:pt idx="0">
                  <c:v>0.1</c:v>
                </c:pt>
                <c:pt idx="1">
                  <c:v>0.4</c:v>
                </c:pt>
                <c:pt idx="2">
                  <c:v>4</c:v>
                </c:pt>
                <c:pt idx="3">
                  <c:v>0.5</c:v>
                </c:pt>
                <c:pt idx="4">
                  <c:v>0.4</c:v>
                </c:pt>
                <c:pt idx="5">
                  <c:v>0.5</c:v>
                </c:pt>
                <c:pt idx="6">
                  <c:v>0.5</c:v>
                </c:pt>
                <c:pt idx="7">
                  <c:v>1.5</c:v>
                </c:pt>
                <c:pt idx="8">
                  <c:v>0.3</c:v>
                </c:pt>
                <c:pt idx="9">
                  <c:v>0.3</c:v>
                </c:pt>
                <c:pt idx="10">
                  <c:v>3.3</c:v>
                </c:pt>
                <c:pt idx="11">
                  <c:v>4.2</c:v>
                </c:pt>
                <c:pt idx="12">
                  <c:v>5.5</c:v>
                </c:pt>
                <c:pt idx="13">
                  <c:v>1.2</c:v>
                </c:pt>
                <c:pt idx="14">
                  <c:v>6.8</c:v>
                </c:pt>
                <c:pt idx="15">
                  <c:v>3.5</c:v>
                </c:pt>
                <c:pt idx="16">
                  <c:v>4.3</c:v>
                </c:pt>
                <c:pt idx="17">
                  <c:v>5.7</c:v>
                </c:pt>
                <c:pt idx="18">
                  <c:v>5.3</c:v>
                </c:pt>
                <c:pt idx="19">
                  <c:v>4</c:v>
                </c:pt>
                <c:pt idx="20">
                  <c:v>1.9</c:v>
                </c:pt>
                <c:pt idx="21">
                  <c:v>3.4</c:v>
                </c:pt>
                <c:pt idx="22">
                  <c:v>1.3</c:v>
                </c:pt>
                <c:pt idx="23">
                  <c:v>0.8</c:v>
                </c:pt>
                <c:pt idx="24">
                  <c:v>1.3</c:v>
                </c:pt>
                <c:pt idx="25">
                  <c:v>4.3</c:v>
                </c:pt>
                <c:pt idx="26">
                  <c:v>16.3</c:v>
                </c:pt>
                <c:pt idx="27">
                  <c:v>22.8</c:v>
                </c:pt>
                <c:pt idx="28">
                  <c:v>24.7</c:v>
                </c:pt>
                <c:pt idx="29">
                  <c:v>38.799999999999997</c:v>
                </c:pt>
              </c:numCache>
            </c:numRef>
          </c:val>
          <c:smooth val="0"/>
          <c:extLst>
            <c:ext xmlns:c16="http://schemas.microsoft.com/office/drawing/2014/chart" uri="{C3380CC4-5D6E-409C-BE32-E72D297353CC}">
              <c16:uniqueId val="{00000006-22F5-4F63-A0DF-0A876DF349A0}"/>
            </c:ext>
          </c:extLst>
        </c:ser>
        <c:ser>
          <c:idx val="7"/>
          <c:order val="7"/>
          <c:tx>
            <c:strRef>
              <c:f>'výkonnost odvětví 3'!$AE$10</c:f>
              <c:strCache>
                <c:ptCount val="1"/>
                <c:pt idx="0">
                  <c:v>Saldo indikátoru důvěry ve stavebnictví</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'výkonnost odvětví 3'!$V$31:$W$60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'výkonnost odvětví 3'!$AE$31:$AE$60</c:f>
              <c:numCache>
                <c:formatCode>0.0</c:formatCode>
                <c:ptCount val="30"/>
                <c:pt idx="0">
                  <c:v>-21</c:v>
                </c:pt>
                <c:pt idx="1">
                  <c:v>-16</c:v>
                </c:pt>
                <c:pt idx="2">
                  <c:v>-20</c:v>
                </c:pt>
                <c:pt idx="3">
                  <c:v>-14.5</c:v>
                </c:pt>
                <c:pt idx="4">
                  <c:v>-14.5</c:v>
                </c:pt>
                <c:pt idx="5">
                  <c:v>-25.5</c:v>
                </c:pt>
                <c:pt idx="6">
                  <c:v>-24.5</c:v>
                </c:pt>
                <c:pt idx="7">
                  <c:v>-23</c:v>
                </c:pt>
                <c:pt idx="8">
                  <c:v>-22.5</c:v>
                </c:pt>
                <c:pt idx="9">
                  <c:v>-24.5</c:v>
                </c:pt>
                <c:pt idx="10">
                  <c:v>-18.5</c:v>
                </c:pt>
                <c:pt idx="11">
                  <c:v>-15</c:v>
                </c:pt>
                <c:pt idx="12">
                  <c:v>-9</c:v>
                </c:pt>
                <c:pt idx="13">
                  <c:v>-6</c:v>
                </c:pt>
                <c:pt idx="14">
                  <c:v>-2</c:v>
                </c:pt>
                <c:pt idx="15">
                  <c:v>1</c:v>
                </c:pt>
                <c:pt idx="16">
                  <c:v>3.5</c:v>
                </c:pt>
                <c:pt idx="17">
                  <c:v>4</c:v>
                </c:pt>
                <c:pt idx="18">
                  <c:v>-1</c:v>
                </c:pt>
                <c:pt idx="19">
                  <c:v>1</c:v>
                </c:pt>
                <c:pt idx="20">
                  <c:v>-3</c:v>
                </c:pt>
                <c:pt idx="21">
                  <c:v>-15</c:v>
                </c:pt>
                <c:pt idx="22">
                  <c:v>-13</c:v>
                </c:pt>
                <c:pt idx="23">
                  <c:v>-11.5</c:v>
                </c:pt>
                <c:pt idx="24">
                  <c:v>-6</c:v>
                </c:pt>
                <c:pt idx="25">
                  <c:v>-5.5</c:v>
                </c:pt>
                <c:pt idx="26">
                  <c:v>-4.5</c:v>
                </c:pt>
                <c:pt idx="27">
                  <c:v>-6.5</c:v>
                </c:pt>
                <c:pt idx="28">
                  <c:v>6.5</c:v>
                </c:pt>
                <c:pt idx="29">
                  <c:v>-2</c:v>
                </c:pt>
              </c:numCache>
            </c:numRef>
          </c:val>
          <c:smooth val="0"/>
          <c:extLst>
            <c:ext xmlns:c16="http://schemas.microsoft.com/office/drawing/2014/chart" uri="{C3380CC4-5D6E-409C-BE32-E72D297353CC}">
              <c16:uniqueId val="{00000007-22F5-4F63-A0DF-0A876DF349A0}"/>
            </c:ext>
          </c:extLst>
        </c:ser>
        <c:dLbls>
          <c:showLegendKey val="0"/>
          <c:showVal val="0"/>
          <c:showCatName val="0"/>
          <c:showSerName val="0"/>
          <c:showPercent val="0"/>
          <c:showBubbleSize val="0"/>
        </c:dLbls>
        <c:marker val="1"/>
        <c:smooth val="0"/>
        <c:axId val="1118074639"/>
        <c:axId val="1118080463"/>
      </c:lineChart>
      <c:catAx>
        <c:axId val="112768128"/>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112769664"/>
        <c:crosses val="autoZero"/>
        <c:auto val="1"/>
        <c:lblAlgn val="ctr"/>
        <c:lblOffset val="0"/>
        <c:noMultiLvlLbl val="0"/>
      </c:catAx>
      <c:valAx>
        <c:axId val="112769664"/>
        <c:scaling>
          <c:orientation val="minMax"/>
          <c:max val="30"/>
          <c:min val="-20"/>
        </c:scaling>
        <c:delete val="0"/>
        <c:axPos val="l"/>
        <c:majorGridlines>
          <c:spPr>
            <a:ln>
              <a:solidFill>
                <a:srgbClr val="BEBEBE"/>
              </a:solidFill>
            </a:ln>
          </c:spPr>
        </c:majorGridlines>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Příspěvky ke změně stavební produkce</a:t>
                </a:r>
              </a:p>
            </c:rich>
          </c:tx>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12768128"/>
        <c:crosses val="autoZero"/>
        <c:crossBetween val="between"/>
        <c:majorUnit val="5"/>
      </c:valAx>
      <c:valAx>
        <c:axId val="1118080463"/>
        <c:scaling>
          <c:orientation val="minMax"/>
          <c:max val="90"/>
          <c:min val="-60"/>
        </c:scaling>
        <c:delete val="0"/>
        <c:axPos val="r"/>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Zakázky, saldo důvěry, bariéry růstu</a:t>
                </a:r>
              </a:p>
            </c:rich>
          </c:tx>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118074639"/>
        <c:crosses val="max"/>
        <c:crossBetween val="between"/>
        <c:majorUnit val="15"/>
      </c:valAx>
      <c:catAx>
        <c:axId val="1118074639"/>
        <c:scaling>
          <c:orientation val="minMax"/>
        </c:scaling>
        <c:delete val="1"/>
        <c:axPos val="b"/>
        <c:numFmt formatCode="General" sourceLinked="1"/>
        <c:majorTickMark val="out"/>
        <c:minorTickMark val="none"/>
        <c:tickLblPos val="nextTo"/>
        <c:crossAx val="1118080463"/>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9.2069300125758653E-5"/>
          <c:y val="0.85936692045041818"/>
          <c:w val="0.99540838138221588"/>
          <c:h val="0.13362821778942557"/>
        </c:manualLayout>
      </c:layout>
      <c:overlay val="0"/>
      <c:spPr>
        <a:ln w="6350">
          <a:solidFill>
            <a:prstClr val="black">
              <a:lumMod val="95000"/>
              <a:lumOff val="5000"/>
            </a:prstClr>
          </a:solidFill>
        </a:ln>
      </c:spPr>
      <c:txPr>
        <a:bodyPr/>
        <a:lstStyle/>
        <a:p>
          <a:pPr>
            <a:defRPr sz="80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121841398004213E-2"/>
          <c:y val="1.5803328678987455E-2"/>
          <c:w val="0.86647319020345381"/>
          <c:h val="0.7103501120970378"/>
        </c:manualLayout>
      </c:layout>
      <c:barChart>
        <c:barDir val="col"/>
        <c:grouping val="stacked"/>
        <c:varyColors val="0"/>
        <c:ser>
          <c:idx val="0"/>
          <c:order val="1"/>
          <c:tx>
            <c:strRef>
              <c:f>'Služby-příspěvkyk růstu-4'!$D$25</c:f>
              <c:strCache>
                <c:ptCount val="1"/>
                <c:pt idx="0">
                  <c:v>Doprava a skladování</c:v>
                </c:pt>
              </c:strCache>
            </c:strRef>
          </c:tx>
          <c:spPr>
            <a:solidFill>
              <a:srgbClr val="92D050"/>
            </a:solidFill>
            <a:ln>
              <a:noFill/>
            </a:ln>
          </c:spPr>
          <c:invertIfNegative val="0"/>
          <c:cat>
            <c:multiLvlStrRef>
              <c:f>'Služby-příspěvkyk růstu-4'!$A$38:$B$67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růstu-4'!$D$38:$D$67</c:f>
              <c:numCache>
                <c:formatCode>0.0</c:formatCode>
                <c:ptCount val="30"/>
                <c:pt idx="0">
                  <c:v>0.17627373165999941</c:v>
                </c:pt>
                <c:pt idx="1">
                  <c:v>-4.1398260783598456E-2</c:v>
                </c:pt>
                <c:pt idx="2">
                  <c:v>0.20127676583260182</c:v>
                </c:pt>
                <c:pt idx="3">
                  <c:v>4.2331882175001848E-2</c:v>
                </c:pt>
                <c:pt idx="4">
                  <c:v>0.2604828945619988</c:v>
                </c:pt>
                <c:pt idx="5">
                  <c:v>0.2004471947790982</c:v>
                </c:pt>
                <c:pt idx="6">
                  <c:v>0.14004615678000035</c:v>
                </c:pt>
                <c:pt idx="7">
                  <c:v>0.860592831148001</c:v>
                </c:pt>
                <c:pt idx="8">
                  <c:v>1.6559965627289983</c:v>
                </c:pt>
                <c:pt idx="9">
                  <c:v>1.093454887462999</c:v>
                </c:pt>
                <c:pt idx="10">
                  <c:v>1.1374484601479997</c:v>
                </c:pt>
                <c:pt idx="11">
                  <c:v>0.60470809717899932</c:v>
                </c:pt>
                <c:pt idx="12">
                  <c:v>1.7518533558900011</c:v>
                </c:pt>
                <c:pt idx="13">
                  <c:v>1.9191714775479998</c:v>
                </c:pt>
                <c:pt idx="14">
                  <c:v>1.4689069805629986</c:v>
                </c:pt>
                <c:pt idx="15">
                  <c:v>0.49822211685500045</c:v>
                </c:pt>
                <c:pt idx="16">
                  <c:v>0.75210969494300106</c:v>
                </c:pt>
                <c:pt idx="17">
                  <c:v>-7.8943058121998602E-2</c:v>
                </c:pt>
                <c:pt idx="18">
                  <c:v>-0.67615596099700137</c:v>
                </c:pt>
                <c:pt idx="19">
                  <c:v>-0.53883087511919869</c:v>
                </c:pt>
                <c:pt idx="20">
                  <c:v>-1.7873099078691994</c:v>
                </c:pt>
                <c:pt idx="21">
                  <c:v>-6.8790162520431002</c:v>
                </c:pt>
                <c:pt idx="22">
                  <c:v>-4.2156758486250006</c:v>
                </c:pt>
                <c:pt idx="23">
                  <c:v>-1.7596921701599992</c:v>
                </c:pt>
                <c:pt idx="24">
                  <c:v>-0.1569416952537</c:v>
                </c:pt>
                <c:pt idx="25">
                  <c:v>6.9452061820127984</c:v>
                </c:pt>
                <c:pt idx="26">
                  <c:v>4.1021141164383979</c:v>
                </c:pt>
                <c:pt idx="27">
                  <c:v>4.5411081672439781</c:v>
                </c:pt>
                <c:pt idx="28">
                  <c:v>4.7644195859015745</c:v>
                </c:pt>
              </c:numCache>
            </c:numRef>
          </c:val>
          <c:extLst>
            <c:ext xmlns:c16="http://schemas.microsoft.com/office/drawing/2014/chart" uri="{C3380CC4-5D6E-409C-BE32-E72D297353CC}">
              <c16:uniqueId val="{00000000-FA7B-4014-BA51-7080ED7FA088}"/>
            </c:ext>
          </c:extLst>
        </c:ser>
        <c:ser>
          <c:idx val="1"/>
          <c:order val="2"/>
          <c:tx>
            <c:strRef>
              <c:f>'Služby-příspěvkyk růstu-4'!$E$25</c:f>
              <c:strCache>
                <c:ptCount val="1"/>
                <c:pt idx="0">
                  <c:v>Ubytování, stravování a pohostinství</c:v>
                </c:pt>
              </c:strCache>
            </c:strRef>
          </c:tx>
          <c:spPr>
            <a:solidFill>
              <a:srgbClr val="00B0F0"/>
            </a:solidFill>
            <a:ln>
              <a:noFill/>
            </a:ln>
          </c:spPr>
          <c:invertIfNegative val="0"/>
          <c:cat>
            <c:multiLvlStrRef>
              <c:f>'Služby-příspěvkyk růstu-4'!$A$38:$B$67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růstu-4'!$E$38:$E$67</c:f>
              <c:numCache>
                <c:formatCode>0.0</c:formatCode>
                <c:ptCount val="30"/>
                <c:pt idx="0">
                  <c:v>0.23064326026020021</c:v>
                </c:pt>
                <c:pt idx="1">
                  <c:v>0.65490030172000013</c:v>
                </c:pt>
                <c:pt idx="2">
                  <c:v>0.65615704203699965</c:v>
                </c:pt>
                <c:pt idx="3">
                  <c:v>0.40198126828160025</c:v>
                </c:pt>
                <c:pt idx="4">
                  <c:v>0.47264498177679992</c:v>
                </c:pt>
                <c:pt idx="5">
                  <c:v>0.16809598308499973</c:v>
                </c:pt>
                <c:pt idx="6">
                  <c:v>0.56785028038259988</c:v>
                </c:pt>
                <c:pt idx="7">
                  <c:v>0.60026021753880032</c:v>
                </c:pt>
                <c:pt idx="8">
                  <c:v>0.9071617575674995</c:v>
                </c:pt>
                <c:pt idx="9">
                  <c:v>1.2351843183736004</c:v>
                </c:pt>
                <c:pt idx="10">
                  <c:v>0.55372633890920031</c:v>
                </c:pt>
                <c:pt idx="11">
                  <c:v>0.45414701226059961</c:v>
                </c:pt>
                <c:pt idx="12">
                  <c:v>0.20562277238639989</c:v>
                </c:pt>
                <c:pt idx="13">
                  <c:v>4.6481198053399883E-2</c:v>
                </c:pt>
                <c:pt idx="14">
                  <c:v>5.8790755202600166E-2</c:v>
                </c:pt>
                <c:pt idx="15">
                  <c:v>-3.8611122396599744E-2</c:v>
                </c:pt>
                <c:pt idx="16">
                  <c:v>0.19877668230760023</c:v>
                </c:pt>
                <c:pt idx="17">
                  <c:v>0.19106550885020049</c:v>
                </c:pt>
                <c:pt idx="18">
                  <c:v>-2.1031638824599897E-2</c:v>
                </c:pt>
                <c:pt idx="19">
                  <c:v>-1.8881872245599823E-2</c:v>
                </c:pt>
                <c:pt idx="20">
                  <c:v>-1.157864857912162</c:v>
                </c:pt>
                <c:pt idx="21">
                  <c:v>-4.9674966649835008</c:v>
                </c:pt>
                <c:pt idx="22">
                  <c:v>-1.9520417393251031</c:v>
                </c:pt>
                <c:pt idx="23">
                  <c:v>-4.5017067627894241</c:v>
                </c:pt>
                <c:pt idx="24">
                  <c:v>-3.6938923324187498</c:v>
                </c:pt>
                <c:pt idx="25">
                  <c:v>1.3740162264831814</c:v>
                </c:pt>
                <c:pt idx="26">
                  <c:v>0.63496524511919994</c:v>
                </c:pt>
                <c:pt idx="27">
                  <c:v>2.8400409946004515</c:v>
                </c:pt>
                <c:pt idx="28">
                  <c:v>2.9304756297654868</c:v>
                </c:pt>
              </c:numCache>
            </c:numRef>
          </c:val>
          <c:extLst>
            <c:ext xmlns:c16="http://schemas.microsoft.com/office/drawing/2014/chart" uri="{C3380CC4-5D6E-409C-BE32-E72D297353CC}">
              <c16:uniqueId val="{00000001-FA7B-4014-BA51-7080ED7FA088}"/>
            </c:ext>
          </c:extLst>
        </c:ser>
        <c:ser>
          <c:idx val="2"/>
          <c:order val="3"/>
          <c:tx>
            <c:strRef>
              <c:f>'Služby-příspěvkyk růstu-4'!$F$25</c:f>
              <c:strCache>
                <c:ptCount val="1"/>
                <c:pt idx="0">
                  <c:v>Informační a komunikační činnosti</c:v>
                </c:pt>
              </c:strCache>
            </c:strRef>
          </c:tx>
          <c:spPr>
            <a:solidFill>
              <a:srgbClr val="E6E100"/>
            </a:solidFill>
            <a:ln>
              <a:noFill/>
            </a:ln>
          </c:spPr>
          <c:invertIfNegative val="0"/>
          <c:cat>
            <c:multiLvlStrRef>
              <c:f>'Služby-příspěvkyk růstu-4'!$A$38:$B$67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růstu-4'!$F$38:$F$67</c:f>
              <c:numCache>
                <c:formatCode>0.0</c:formatCode>
                <c:ptCount val="30"/>
                <c:pt idx="0">
                  <c:v>1.4083798915137009</c:v>
                </c:pt>
                <c:pt idx="1">
                  <c:v>0.82540650715499964</c:v>
                </c:pt>
                <c:pt idx="2">
                  <c:v>0.80424272675400077</c:v>
                </c:pt>
                <c:pt idx="3">
                  <c:v>1.3174140502479994</c:v>
                </c:pt>
                <c:pt idx="4">
                  <c:v>0.35985664064800121</c:v>
                </c:pt>
                <c:pt idx="5">
                  <c:v>0.1575138368199987</c:v>
                </c:pt>
                <c:pt idx="6">
                  <c:v>0.32598498922399954</c:v>
                </c:pt>
                <c:pt idx="7">
                  <c:v>0.17761340848900062</c:v>
                </c:pt>
                <c:pt idx="8">
                  <c:v>0.76438636704000096</c:v>
                </c:pt>
                <c:pt idx="9">
                  <c:v>0.98207704425299935</c:v>
                </c:pt>
                <c:pt idx="10">
                  <c:v>0.7709388166100013</c:v>
                </c:pt>
                <c:pt idx="11">
                  <c:v>0.58294315828299903</c:v>
                </c:pt>
                <c:pt idx="12">
                  <c:v>1.4398200028309998</c:v>
                </c:pt>
                <c:pt idx="13">
                  <c:v>0.76531943813199921</c:v>
                </c:pt>
                <c:pt idx="14">
                  <c:v>1.415831001736001</c:v>
                </c:pt>
                <c:pt idx="15">
                  <c:v>0.98684323348800107</c:v>
                </c:pt>
                <c:pt idx="16">
                  <c:v>1.2348474246799988</c:v>
                </c:pt>
                <c:pt idx="17">
                  <c:v>1.1603884990619995</c:v>
                </c:pt>
                <c:pt idx="18">
                  <c:v>0.91591834325400012</c:v>
                </c:pt>
                <c:pt idx="19">
                  <c:v>1.1621880049516005</c:v>
                </c:pt>
                <c:pt idx="20">
                  <c:v>0.8191341781949999</c:v>
                </c:pt>
                <c:pt idx="21">
                  <c:v>1.3223529237600361E-2</c:v>
                </c:pt>
                <c:pt idx="22">
                  <c:v>-0.20840783961799986</c:v>
                </c:pt>
                <c:pt idx="23">
                  <c:v>-0.54142483054800161</c:v>
                </c:pt>
                <c:pt idx="24">
                  <c:v>0.71345327861799956</c:v>
                </c:pt>
                <c:pt idx="25">
                  <c:v>1.5468236089918046</c:v>
                </c:pt>
                <c:pt idx="26">
                  <c:v>1.4415115757943988</c:v>
                </c:pt>
                <c:pt idx="27">
                  <c:v>1.9056402188684927</c:v>
                </c:pt>
                <c:pt idx="28">
                  <c:v>1.0161120213997294</c:v>
                </c:pt>
              </c:numCache>
            </c:numRef>
          </c:val>
          <c:extLst>
            <c:ext xmlns:c16="http://schemas.microsoft.com/office/drawing/2014/chart" uri="{C3380CC4-5D6E-409C-BE32-E72D297353CC}">
              <c16:uniqueId val="{00000002-FA7B-4014-BA51-7080ED7FA088}"/>
            </c:ext>
          </c:extLst>
        </c:ser>
        <c:ser>
          <c:idx val="4"/>
          <c:order val="4"/>
          <c:tx>
            <c:strRef>
              <c:f>'Služby-příspěvkyk růstu-4'!$G$25</c:f>
              <c:strCache>
                <c:ptCount val="1"/>
                <c:pt idx="0">
                  <c:v>Činnosti v oblasti nemovitostí</c:v>
                </c:pt>
              </c:strCache>
            </c:strRef>
          </c:tx>
          <c:spPr>
            <a:solidFill>
              <a:schemeClr val="accent5">
                <a:lumMod val="60000"/>
                <a:lumOff val="40000"/>
              </a:schemeClr>
            </a:solidFill>
            <a:ln>
              <a:noFill/>
              <a:prstDash val="sysDash"/>
            </a:ln>
          </c:spPr>
          <c:invertIfNegative val="0"/>
          <c:cat>
            <c:multiLvlStrRef>
              <c:f>'Služby-příspěvkyk růstu-4'!$A$38:$B$67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růstu-4'!$G$38:$G$67</c:f>
              <c:numCache>
                <c:formatCode>0.0</c:formatCode>
                <c:ptCount val="30"/>
                <c:pt idx="0">
                  <c:v>4.7588818498199993E-2</c:v>
                </c:pt>
                <c:pt idx="1">
                  <c:v>-7.3007550905993803E-3</c:v>
                </c:pt>
                <c:pt idx="2">
                  <c:v>0.12810762983039936</c:v>
                </c:pt>
                <c:pt idx="3">
                  <c:v>2.4617916117599462E-2</c:v>
                </c:pt>
                <c:pt idx="4">
                  <c:v>0.25752090895739993</c:v>
                </c:pt>
                <c:pt idx="5">
                  <c:v>-4.2228184845005496E-3</c:v>
                </c:pt>
                <c:pt idx="6">
                  <c:v>0.1499318310138007</c:v>
                </c:pt>
                <c:pt idx="7">
                  <c:v>-6.6530028186599532E-2</c:v>
                </c:pt>
                <c:pt idx="8">
                  <c:v>0.20977398058900024</c:v>
                </c:pt>
                <c:pt idx="9">
                  <c:v>0.44953617213779962</c:v>
                </c:pt>
                <c:pt idx="10">
                  <c:v>-2.2338348474500478E-2</c:v>
                </c:pt>
                <c:pt idx="11">
                  <c:v>0.13984723093739981</c:v>
                </c:pt>
                <c:pt idx="12">
                  <c:v>2.6966101253399585E-2</c:v>
                </c:pt>
                <c:pt idx="13">
                  <c:v>-0.24884766500039976</c:v>
                </c:pt>
                <c:pt idx="14">
                  <c:v>-0.12645184379759991</c:v>
                </c:pt>
                <c:pt idx="15">
                  <c:v>-0.22378801642200052</c:v>
                </c:pt>
                <c:pt idx="16">
                  <c:v>0.14753986907940025</c:v>
                </c:pt>
                <c:pt idx="17">
                  <c:v>-7.379708629200365E-3</c:v>
                </c:pt>
                <c:pt idx="18">
                  <c:v>-0.23287434101939938</c:v>
                </c:pt>
                <c:pt idx="19">
                  <c:v>-0.10147037326200034</c:v>
                </c:pt>
                <c:pt idx="20">
                  <c:v>0.42431890762080055</c:v>
                </c:pt>
                <c:pt idx="21">
                  <c:v>-0.29919163957060046</c:v>
                </c:pt>
                <c:pt idx="22">
                  <c:v>-0.26426338474666694</c:v>
                </c:pt>
                <c:pt idx="23">
                  <c:v>-0.23118426949069976</c:v>
                </c:pt>
                <c:pt idx="24">
                  <c:v>-0.20088632198500025</c:v>
                </c:pt>
                <c:pt idx="25">
                  <c:v>0.43472502460904949</c:v>
                </c:pt>
                <c:pt idx="26">
                  <c:v>2.7135230949999569E-3</c:v>
                </c:pt>
                <c:pt idx="27">
                  <c:v>0.23850631303799988</c:v>
                </c:pt>
                <c:pt idx="28">
                  <c:v>0.31632818692015208</c:v>
                </c:pt>
              </c:numCache>
            </c:numRef>
          </c:val>
          <c:extLst>
            <c:ext xmlns:c16="http://schemas.microsoft.com/office/drawing/2014/chart" uri="{C3380CC4-5D6E-409C-BE32-E72D297353CC}">
              <c16:uniqueId val="{00000003-FA7B-4014-BA51-7080ED7FA088}"/>
            </c:ext>
          </c:extLst>
        </c:ser>
        <c:ser>
          <c:idx val="5"/>
          <c:order val="5"/>
          <c:tx>
            <c:strRef>
              <c:f>'Služby-příspěvkyk růstu-4'!$H$25</c:f>
              <c:strCache>
                <c:ptCount val="1"/>
                <c:pt idx="0">
                  <c:v>Profesní, vědecké a technické činnosti</c:v>
                </c:pt>
              </c:strCache>
            </c:strRef>
          </c:tx>
          <c:spPr>
            <a:solidFill>
              <a:schemeClr val="accent6">
                <a:lumMod val="60000"/>
                <a:lumOff val="40000"/>
              </a:schemeClr>
            </a:solidFill>
            <a:ln>
              <a:noFill/>
            </a:ln>
          </c:spPr>
          <c:invertIfNegative val="0"/>
          <c:cat>
            <c:multiLvlStrRef>
              <c:f>'Služby-příspěvkyk růstu-4'!$A$38:$B$67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růstu-4'!$H$38:$H$67</c:f>
              <c:numCache>
                <c:formatCode>0.0</c:formatCode>
                <c:ptCount val="30"/>
                <c:pt idx="0">
                  <c:v>1.0468505532869989</c:v>
                </c:pt>
                <c:pt idx="1">
                  <c:v>0.72007462619999962</c:v>
                </c:pt>
                <c:pt idx="2">
                  <c:v>1.0906393004400001</c:v>
                </c:pt>
                <c:pt idx="3">
                  <c:v>-4.2990021238901367E-2</c:v>
                </c:pt>
                <c:pt idx="4">
                  <c:v>-0.43098075353700094</c:v>
                </c:pt>
                <c:pt idx="5">
                  <c:v>-1.3389465804999987</c:v>
                </c:pt>
                <c:pt idx="6">
                  <c:v>3.0728374200130306E-4</c:v>
                </c:pt>
                <c:pt idx="7">
                  <c:v>-0.3121071665494991</c:v>
                </c:pt>
                <c:pt idx="8">
                  <c:v>0.95807798756000018</c:v>
                </c:pt>
                <c:pt idx="9">
                  <c:v>0.59447839488779997</c:v>
                </c:pt>
                <c:pt idx="10">
                  <c:v>0.30863690562089996</c:v>
                </c:pt>
                <c:pt idx="11">
                  <c:v>0.42814590144940085</c:v>
                </c:pt>
                <c:pt idx="12">
                  <c:v>1.0521629274264988</c:v>
                </c:pt>
                <c:pt idx="13">
                  <c:v>0.5501113250554992</c:v>
                </c:pt>
                <c:pt idx="14">
                  <c:v>0.3596254694963989</c:v>
                </c:pt>
                <c:pt idx="15">
                  <c:v>-0.26680052765060136</c:v>
                </c:pt>
                <c:pt idx="16">
                  <c:v>0.70988848618690059</c:v>
                </c:pt>
                <c:pt idx="17">
                  <c:v>0.59156625867140045</c:v>
                </c:pt>
                <c:pt idx="18">
                  <c:v>-0.77754044718210014</c:v>
                </c:pt>
                <c:pt idx="19">
                  <c:v>-0.56889162351999967</c:v>
                </c:pt>
                <c:pt idx="20">
                  <c:v>-0.8629875625277994</c:v>
                </c:pt>
                <c:pt idx="21">
                  <c:v>-3.1826786933129991</c:v>
                </c:pt>
                <c:pt idx="22">
                  <c:v>-1.495126859429508</c:v>
                </c:pt>
                <c:pt idx="23">
                  <c:v>-1.5495215129057995</c:v>
                </c:pt>
                <c:pt idx="24">
                  <c:v>-1.5895367811931036</c:v>
                </c:pt>
                <c:pt idx="25">
                  <c:v>2.7169285281228999</c:v>
                </c:pt>
                <c:pt idx="26">
                  <c:v>1.7632854739205988</c:v>
                </c:pt>
                <c:pt idx="27">
                  <c:v>2.0934710358268047</c:v>
                </c:pt>
                <c:pt idx="28">
                  <c:v>2.4156122741333581</c:v>
                </c:pt>
              </c:numCache>
            </c:numRef>
          </c:val>
          <c:extLst>
            <c:ext xmlns:c16="http://schemas.microsoft.com/office/drawing/2014/chart" uri="{C3380CC4-5D6E-409C-BE32-E72D297353CC}">
              <c16:uniqueId val="{00000004-FA7B-4014-BA51-7080ED7FA088}"/>
            </c:ext>
          </c:extLst>
        </c:ser>
        <c:ser>
          <c:idx val="6"/>
          <c:order val="6"/>
          <c:tx>
            <c:strRef>
              <c:f>'Služby-příspěvkyk růstu-4'!$I$25</c:f>
              <c:strCache>
                <c:ptCount val="1"/>
                <c:pt idx="0">
                  <c:v>Administrativní a podpůrné činnosti</c:v>
                </c:pt>
              </c:strCache>
            </c:strRef>
          </c:tx>
          <c:spPr>
            <a:solidFill>
              <a:schemeClr val="accent1">
                <a:lumMod val="20000"/>
                <a:lumOff val="80000"/>
              </a:schemeClr>
            </a:solidFill>
            <a:ln>
              <a:noFill/>
            </a:ln>
          </c:spPr>
          <c:invertIfNegative val="0"/>
          <c:cat>
            <c:multiLvlStrRef>
              <c:f>'Služby-příspěvkyk růstu-4'!$A$38:$B$67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růstu-4'!$I$38:$I$67</c:f>
              <c:numCache>
                <c:formatCode>0.0</c:formatCode>
                <c:ptCount val="30"/>
                <c:pt idx="0">
                  <c:v>0.51550370389650024</c:v>
                </c:pt>
                <c:pt idx="1">
                  <c:v>0.62101310773750029</c:v>
                </c:pt>
                <c:pt idx="2">
                  <c:v>0.43506961802500044</c:v>
                </c:pt>
                <c:pt idx="3">
                  <c:v>0.50168865387909933</c:v>
                </c:pt>
                <c:pt idx="4">
                  <c:v>0.4550707532813994</c:v>
                </c:pt>
                <c:pt idx="5">
                  <c:v>0.16398578688570073</c:v>
                </c:pt>
                <c:pt idx="6">
                  <c:v>0.26977885261849965</c:v>
                </c:pt>
                <c:pt idx="7">
                  <c:v>0.51378188366290034</c:v>
                </c:pt>
                <c:pt idx="8">
                  <c:v>1.3201331730339996</c:v>
                </c:pt>
                <c:pt idx="9">
                  <c:v>1.0879288678141008</c:v>
                </c:pt>
                <c:pt idx="10">
                  <c:v>0.6413410787324999</c:v>
                </c:pt>
                <c:pt idx="11">
                  <c:v>0.30531118010650066</c:v>
                </c:pt>
                <c:pt idx="12">
                  <c:v>0.53332072309840028</c:v>
                </c:pt>
                <c:pt idx="13">
                  <c:v>0.3784029238782004</c:v>
                </c:pt>
                <c:pt idx="14">
                  <c:v>0.43569101400389965</c:v>
                </c:pt>
                <c:pt idx="15">
                  <c:v>-1.3079338160200678E-2</c:v>
                </c:pt>
                <c:pt idx="16">
                  <c:v>0.47288540072630031</c:v>
                </c:pt>
                <c:pt idx="17">
                  <c:v>0.12968213694649977</c:v>
                </c:pt>
                <c:pt idx="18">
                  <c:v>-0.12322397481159968</c:v>
                </c:pt>
                <c:pt idx="19">
                  <c:v>-0.21537552647130032</c:v>
                </c:pt>
                <c:pt idx="20">
                  <c:v>-1.1051686942920007</c:v>
                </c:pt>
                <c:pt idx="21">
                  <c:v>-4.3129281059486004</c:v>
                </c:pt>
                <c:pt idx="22">
                  <c:v>-4.446067523157895</c:v>
                </c:pt>
                <c:pt idx="23">
                  <c:v>-2.3716048373778</c:v>
                </c:pt>
                <c:pt idx="24">
                  <c:v>-1.4736020338190001</c:v>
                </c:pt>
                <c:pt idx="25">
                  <c:v>1.7704532307217178</c:v>
                </c:pt>
                <c:pt idx="26">
                  <c:v>1.8501751321200004</c:v>
                </c:pt>
                <c:pt idx="27">
                  <c:v>1.0500907454198474</c:v>
                </c:pt>
                <c:pt idx="28">
                  <c:v>1.6931114455002154</c:v>
                </c:pt>
              </c:numCache>
            </c:numRef>
          </c:val>
          <c:extLst>
            <c:ext xmlns:c16="http://schemas.microsoft.com/office/drawing/2014/chart" uri="{C3380CC4-5D6E-409C-BE32-E72D297353CC}">
              <c16:uniqueId val="{00000005-FA7B-4014-BA51-7080ED7FA088}"/>
            </c:ext>
          </c:extLst>
        </c:ser>
        <c:dLbls>
          <c:showLegendKey val="0"/>
          <c:showVal val="0"/>
          <c:showCatName val="0"/>
          <c:showSerName val="0"/>
          <c:showPercent val="0"/>
          <c:showBubbleSize val="0"/>
        </c:dLbls>
        <c:gapWidth val="20"/>
        <c:overlap val="100"/>
        <c:axId val="156100864"/>
        <c:axId val="156573696"/>
      </c:barChart>
      <c:lineChart>
        <c:grouping val="standard"/>
        <c:varyColors val="0"/>
        <c:ser>
          <c:idx val="3"/>
          <c:order val="0"/>
          <c:tx>
            <c:strRef>
              <c:f>'Služby-příspěvkyk růstu-4'!$C$25</c:f>
              <c:strCache>
                <c:ptCount val="1"/>
                <c:pt idx="0">
                  <c:v>Služby celkem</c:v>
                </c:pt>
              </c:strCache>
            </c:strRef>
          </c:tx>
          <c:spPr>
            <a:ln>
              <a:noFill/>
            </a:ln>
          </c:spPr>
          <c:marker>
            <c:symbol val="dash"/>
            <c:size val="9"/>
            <c:spPr>
              <a:solidFill>
                <a:schemeClr val="tx1">
                  <a:lumMod val="95000"/>
                  <a:lumOff val="5000"/>
                </a:schemeClr>
              </a:solidFill>
              <a:ln>
                <a:noFill/>
              </a:ln>
            </c:spPr>
          </c:marker>
          <c:cat>
            <c:multiLvlStrRef>
              <c:f>'Služby-příspěvkyk růstu-4'!$A$38:$B$67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růstu-4'!$C$38:$C$67</c:f>
              <c:numCache>
                <c:formatCode>0.0</c:formatCode>
                <c:ptCount val="30"/>
                <c:pt idx="0">
                  <c:v>3.3387856580999937</c:v>
                </c:pt>
                <c:pt idx="1">
                  <c:v>2.7067375338999966</c:v>
                </c:pt>
                <c:pt idx="2">
                  <c:v>3.2734904207</c:v>
                </c:pt>
                <c:pt idx="3">
                  <c:v>2.2083913160000037</c:v>
                </c:pt>
                <c:pt idx="4">
                  <c:v>1.3295921479000015</c:v>
                </c:pt>
                <c:pt idx="5">
                  <c:v>-0.87633228709999855</c:v>
                </c:pt>
                <c:pt idx="6">
                  <c:v>1.4335470749000052</c:v>
                </c:pt>
                <c:pt idx="7">
                  <c:v>1.6242102724999938</c:v>
                </c:pt>
                <c:pt idx="8">
                  <c:v>5.6462151451000011</c:v>
                </c:pt>
                <c:pt idx="9">
                  <c:v>5.4476828922000067</c:v>
                </c:pt>
                <c:pt idx="10">
                  <c:v>3.4016118395999939</c:v>
                </c:pt>
                <c:pt idx="11">
                  <c:v>2.5063195031000021</c:v>
                </c:pt>
                <c:pt idx="12">
                  <c:v>5.071288603499994</c:v>
                </c:pt>
                <c:pt idx="13">
                  <c:v>3.4823349595999957</c:v>
                </c:pt>
                <c:pt idx="14">
                  <c:v>3.6926675579999966</c:v>
                </c:pt>
                <c:pt idx="15">
                  <c:v>1.0671514554999959</c:v>
                </c:pt>
                <c:pt idx="16">
                  <c:v>3.5777212416000026</c:v>
                </c:pt>
                <c:pt idx="17">
                  <c:v>1.9765133558999963</c:v>
                </c:pt>
                <c:pt idx="18">
                  <c:v>-0.81695782319999921</c:v>
                </c:pt>
                <c:pt idx="19">
                  <c:v>-0.15568719549999344</c:v>
                </c:pt>
                <c:pt idx="20">
                  <c:v>-3.6980250129000041</c:v>
                </c:pt>
                <c:pt idx="21">
                  <c:v>-19.645345248799998</c:v>
                </c:pt>
                <c:pt idx="22">
                  <c:v>-12.600965308100001</c:v>
                </c:pt>
                <c:pt idx="23">
                  <c:v>-10.912584080000002</c:v>
                </c:pt>
                <c:pt idx="24">
                  <c:v>-6.4084553470000003</c:v>
                </c:pt>
                <c:pt idx="25">
                  <c:v>14.780549300900006</c:v>
                </c:pt>
                <c:pt idx="26">
                  <c:v>9.8381160276999964</c:v>
                </c:pt>
                <c:pt idx="27">
                  <c:v>12.662339231000004</c:v>
                </c:pt>
                <c:pt idx="28" formatCode="##0.0">
                  <c:v>13.140737031900002</c:v>
                </c:pt>
              </c:numCache>
            </c:numRef>
          </c:val>
          <c:smooth val="0"/>
          <c:extLst>
            <c:ext xmlns:c16="http://schemas.microsoft.com/office/drawing/2014/chart" uri="{C3380CC4-5D6E-409C-BE32-E72D297353CC}">
              <c16:uniqueId val="{00000006-FA7B-4014-BA51-7080ED7FA088}"/>
            </c:ext>
          </c:extLst>
        </c:ser>
        <c:dLbls>
          <c:showLegendKey val="0"/>
          <c:showVal val="0"/>
          <c:showCatName val="0"/>
          <c:showSerName val="0"/>
          <c:showPercent val="0"/>
          <c:showBubbleSize val="0"/>
        </c:dLbls>
        <c:marker val="1"/>
        <c:smooth val="0"/>
        <c:axId val="156100864"/>
        <c:axId val="156573696"/>
      </c:lineChart>
      <c:lineChart>
        <c:grouping val="standard"/>
        <c:varyColors val="0"/>
        <c:ser>
          <c:idx val="7"/>
          <c:order val="7"/>
          <c:tx>
            <c:strRef>
              <c:f>'Služby-příspěvkyk růstu-4'!$J$25</c:f>
              <c:strCache>
                <c:ptCount val="1"/>
                <c:pt idx="0">
                  <c:v>Saldo indikátoru důvěry ve službách</c:v>
                </c:pt>
              </c:strCache>
            </c:strRef>
          </c:tx>
          <c:spPr>
            <a:ln w="3175">
              <a:solidFill>
                <a:schemeClr val="bg1">
                  <a:lumMod val="50000"/>
                </a:schemeClr>
              </a:solidFill>
              <a:prstDash val="sysDash"/>
            </a:ln>
          </c:spPr>
          <c:marker>
            <c:symbol val="diamond"/>
            <c:size val="5"/>
            <c:spPr>
              <a:solidFill>
                <a:srgbClr val="FFFF00"/>
              </a:solidFill>
              <a:ln w="6350">
                <a:solidFill>
                  <a:schemeClr val="tx1">
                    <a:lumMod val="95000"/>
                    <a:lumOff val="5000"/>
                  </a:schemeClr>
                </a:solidFill>
              </a:ln>
            </c:spPr>
          </c:marker>
          <c:cat>
            <c:multiLvlStrRef>
              <c:f>'Služby-příspěvkyk růstu-4'!$A$38:$B$67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růstu-4'!$J$38:$J$67</c:f>
              <c:numCache>
                <c:formatCode>0.0</c:formatCode>
                <c:ptCount val="30"/>
                <c:pt idx="0">
                  <c:v>29.7</c:v>
                </c:pt>
                <c:pt idx="1">
                  <c:v>28.7</c:v>
                </c:pt>
                <c:pt idx="2">
                  <c:v>31.3</c:v>
                </c:pt>
                <c:pt idx="3">
                  <c:v>32.700000000000003</c:v>
                </c:pt>
                <c:pt idx="4">
                  <c:v>32.299999999999997</c:v>
                </c:pt>
                <c:pt idx="5">
                  <c:v>33</c:v>
                </c:pt>
                <c:pt idx="6">
                  <c:v>33</c:v>
                </c:pt>
                <c:pt idx="7">
                  <c:v>37.700000000000003</c:v>
                </c:pt>
                <c:pt idx="8">
                  <c:v>35.299999999999997</c:v>
                </c:pt>
                <c:pt idx="9">
                  <c:v>37.700000000000003</c:v>
                </c:pt>
                <c:pt idx="10">
                  <c:v>37.299999999999997</c:v>
                </c:pt>
                <c:pt idx="11">
                  <c:v>35.700000000000003</c:v>
                </c:pt>
                <c:pt idx="12">
                  <c:v>38.299999999999997</c:v>
                </c:pt>
                <c:pt idx="13">
                  <c:v>37</c:v>
                </c:pt>
                <c:pt idx="14">
                  <c:v>38.299999999999997</c:v>
                </c:pt>
                <c:pt idx="15">
                  <c:v>40.700000000000003</c:v>
                </c:pt>
                <c:pt idx="16">
                  <c:v>39.299999999999997</c:v>
                </c:pt>
                <c:pt idx="17">
                  <c:v>33.700000000000003</c:v>
                </c:pt>
                <c:pt idx="18">
                  <c:v>35</c:v>
                </c:pt>
                <c:pt idx="19">
                  <c:v>32.700000000000003</c:v>
                </c:pt>
                <c:pt idx="20">
                  <c:v>29</c:v>
                </c:pt>
                <c:pt idx="21">
                  <c:v>-13.3</c:v>
                </c:pt>
                <c:pt idx="22">
                  <c:v>1</c:v>
                </c:pt>
                <c:pt idx="23">
                  <c:v>-5</c:v>
                </c:pt>
                <c:pt idx="24">
                  <c:v>8</c:v>
                </c:pt>
                <c:pt idx="25">
                  <c:v>22.3</c:v>
                </c:pt>
                <c:pt idx="26">
                  <c:v>24.3</c:v>
                </c:pt>
                <c:pt idx="27">
                  <c:v>27</c:v>
                </c:pt>
                <c:pt idx="28">
                  <c:v>31</c:v>
                </c:pt>
                <c:pt idx="29">
                  <c:v>40</c:v>
                </c:pt>
              </c:numCache>
            </c:numRef>
          </c:val>
          <c:smooth val="0"/>
          <c:extLst>
            <c:ext xmlns:c16="http://schemas.microsoft.com/office/drawing/2014/chart" uri="{C3380CC4-5D6E-409C-BE32-E72D297353CC}">
              <c16:uniqueId val="{00000007-FA7B-4014-BA51-7080ED7FA088}"/>
            </c:ext>
          </c:extLst>
        </c:ser>
        <c:ser>
          <c:idx val="8"/>
          <c:order val="8"/>
          <c:tx>
            <c:strRef>
              <c:f>'Služby-příspěvkyk růstu-4'!$K$25</c:f>
              <c:strCache>
                <c:ptCount val="1"/>
                <c:pt idx="0">
                  <c:v>Bariéra růstu: nedostatečná poptávka</c:v>
                </c:pt>
              </c:strCache>
            </c:strRef>
          </c:tx>
          <c:spPr>
            <a:ln w="15875">
              <a:solidFill>
                <a:schemeClr val="bg2">
                  <a:lumMod val="25000"/>
                </a:schemeClr>
              </a:solidFill>
            </a:ln>
          </c:spPr>
          <c:marker>
            <c:symbol val="none"/>
          </c:marker>
          <c:cat>
            <c:multiLvlStrRef>
              <c:f>'Služby-příspěvkyk růstu-4'!$A$38:$B$67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růstu-4'!$K$38:$K$67</c:f>
              <c:numCache>
                <c:formatCode>#\ ##0.0</c:formatCode>
                <c:ptCount val="30"/>
                <c:pt idx="0">
                  <c:v>26</c:v>
                </c:pt>
                <c:pt idx="1">
                  <c:v>29.3</c:v>
                </c:pt>
                <c:pt idx="2">
                  <c:v>26.1</c:v>
                </c:pt>
                <c:pt idx="3">
                  <c:v>24.7</c:v>
                </c:pt>
                <c:pt idx="4">
                  <c:v>23.3</c:v>
                </c:pt>
                <c:pt idx="5">
                  <c:v>25.1</c:v>
                </c:pt>
                <c:pt idx="6">
                  <c:v>20.2</c:v>
                </c:pt>
                <c:pt idx="7">
                  <c:v>24.4</c:v>
                </c:pt>
                <c:pt idx="8">
                  <c:v>25.8</c:v>
                </c:pt>
                <c:pt idx="9">
                  <c:v>20.5</c:v>
                </c:pt>
                <c:pt idx="10">
                  <c:v>18.399999999999999</c:v>
                </c:pt>
                <c:pt idx="11">
                  <c:v>21.6</c:v>
                </c:pt>
                <c:pt idx="12">
                  <c:v>16.899999999999999</c:v>
                </c:pt>
                <c:pt idx="13">
                  <c:v>19.399999999999999</c:v>
                </c:pt>
                <c:pt idx="14">
                  <c:v>17.899999999999999</c:v>
                </c:pt>
                <c:pt idx="15">
                  <c:v>20.7</c:v>
                </c:pt>
                <c:pt idx="16">
                  <c:v>20.6</c:v>
                </c:pt>
                <c:pt idx="17">
                  <c:v>16.899999999999999</c:v>
                </c:pt>
                <c:pt idx="18">
                  <c:v>20.5</c:v>
                </c:pt>
                <c:pt idx="19">
                  <c:v>14.4</c:v>
                </c:pt>
                <c:pt idx="20">
                  <c:v>21.3</c:v>
                </c:pt>
                <c:pt idx="21">
                  <c:v>30.2</c:v>
                </c:pt>
                <c:pt idx="22">
                  <c:v>30.4</c:v>
                </c:pt>
                <c:pt idx="23">
                  <c:v>39.200000000000003</c:v>
                </c:pt>
                <c:pt idx="24">
                  <c:v>34.799999999999997</c:v>
                </c:pt>
                <c:pt idx="25">
                  <c:v>36.799999999999997</c:v>
                </c:pt>
                <c:pt idx="26">
                  <c:v>28.9</c:v>
                </c:pt>
                <c:pt idx="27">
                  <c:v>26.3</c:v>
                </c:pt>
                <c:pt idx="28">
                  <c:v>31.6</c:v>
                </c:pt>
                <c:pt idx="29">
                  <c:v>15</c:v>
                </c:pt>
              </c:numCache>
            </c:numRef>
          </c:val>
          <c:smooth val="0"/>
          <c:extLst>
            <c:ext xmlns:c16="http://schemas.microsoft.com/office/drawing/2014/chart" uri="{C3380CC4-5D6E-409C-BE32-E72D297353CC}">
              <c16:uniqueId val="{00000008-FA7B-4014-BA51-7080ED7FA088}"/>
            </c:ext>
          </c:extLst>
        </c:ser>
        <c:ser>
          <c:idx val="9"/>
          <c:order val="9"/>
          <c:tx>
            <c:strRef>
              <c:f>'Služby-příspěvkyk růstu-4'!$L$25</c:f>
              <c:strCache>
                <c:ptCount val="1"/>
                <c:pt idx="0">
                  <c:v>Bariéra růstu: nedostatek pracovníků</c:v>
                </c:pt>
              </c:strCache>
            </c:strRef>
          </c:tx>
          <c:spPr>
            <a:ln w="15875">
              <a:solidFill>
                <a:schemeClr val="bg2">
                  <a:lumMod val="25000"/>
                </a:schemeClr>
              </a:solidFill>
              <a:prstDash val="sysDash"/>
            </a:ln>
          </c:spPr>
          <c:marker>
            <c:symbol val="none"/>
          </c:marker>
          <c:cat>
            <c:multiLvlStrRef>
              <c:f>'Služby-příspěvkyk růstu-4'!$A$38:$B$67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růstu-4'!$L$38:$L$67</c:f>
              <c:numCache>
                <c:formatCode>#\ ##0.0</c:formatCode>
                <c:ptCount val="30"/>
                <c:pt idx="0">
                  <c:v>1.3</c:v>
                </c:pt>
                <c:pt idx="1">
                  <c:v>6</c:v>
                </c:pt>
                <c:pt idx="2">
                  <c:v>7.2</c:v>
                </c:pt>
                <c:pt idx="3">
                  <c:v>5.6</c:v>
                </c:pt>
                <c:pt idx="4">
                  <c:v>7.5</c:v>
                </c:pt>
                <c:pt idx="5">
                  <c:v>4.5</c:v>
                </c:pt>
                <c:pt idx="6">
                  <c:v>7.9</c:v>
                </c:pt>
                <c:pt idx="7">
                  <c:v>9.5</c:v>
                </c:pt>
                <c:pt idx="8">
                  <c:v>9.4</c:v>
                </c:pt>
                <c:pt idx="9">
                  <c:v>9.6999999999999993</c:v>
                </c:pt>
                <c:pt idx="10">
                  <c:v>9.8000000000000007</c:v>
                </c:pt>
                <c:pt idx="11">
                  <c:v>12.8</c:v>
                </c:pt>
                <c:pt idx="12">
                  <c:v>13.9</c:v>
                </c:pt>
                <c:pt idx="13">
                  <c:v>16.3</c:v>
                </c:pt>
                <c:pt idx="14">
                  <c:v>17.5</c:v>
                </c:pt>
                <c:pt idx="15">
                  <c:v>18.899999999999999</c:v>
                </c:pt>
                <c:pt idx="16">
                  <c:v>19.3</c:v>
                </c:pt>
                <c:pt idx="17">
                  <c:v>15</c:v>
                </c:pt>
                <c:pt idx="18">
                  <c:v>21.5</c:v>
                </c:pt>
                <c:pt idx="19">
                  <c:v>19.8</c:v>
                </c:pt>
                <c:pt idx="20">
                  <c:v>19.5</c:v>
                </c:pt>
                <c:pt idx="21">
                  <c:v>10</c:v>
                </c:pt>
                <c:pt idx="22">
                  <c:v>10</c:v>
                </c:pt>
                <c:pt idx="23">
                  <c:v>12.6</c:v>
                </c:pt>
                <c:pt idx="24">
                  <c:v>12.7</c:v>
                </c:pt>
                <c:pt idx="25">
                  <c:v>8.5</c:v>
                </c:pt>
                <c:pt idx="26">
                  <c:v>17.399999999999999</c:v>
                </c:pt>
                <c:pt idx="27">
                  <c:v>20.6</c:v>
                </c:pt>
                <c:pt idx="28">
                  <c:v>20.2</c:v>
                </c:pt>
                <c:pt idx="29">
                  <c:v>10.9</c:v>
                </c:pt>
              </c:numCache>
            </c:numRef>
          </c:val>
          <c:smooth val="0"/>
          <c:extLst>
            <c:ext xmlns:c16="http://schemas.microsoft.com/office/drawing/2014/chart" uri="{C3380CC4-5D6E-409C-BE32-E72D297353CC}">
              <c16:uniqueId val="{00000009-FA7B-4014-BA51-7080ED7FA088}"/>
            </c:ext>
          </c:extLst>
        </c:ser>
        <c:dLbls>
          <c:showLegendKey val="0"/>
          <c:showVal val="0"/>
          <c:showCatName val="0"/>
          <c:showSerName val="0"/>
          <c:showPercent val="0"/>
          <c:showBubbleSize val="0"/>
        </c:dLbls>
        <c:marker val="1"/>
        <c:smooth val="0"/>
        <c:axId val="156576768"/>
        <c:axId val="156575232"/>
      </c:lineChart>
      <c:catAx>
        <c:axId val="156100864"/>
        <c:scaling>
          <c:orientation val="minMax"/>
        </c:scaling>
        <c:delete val="0"/>
        <c:axPos val="b"/>
        <c:numFmt formatCode="General" sourceLinked="0"/>
        <c:majorTickMark val="out"/>
        <c:minorTickMark val="none"/>
        <c:tickLblPos val="low"/>
        <c:txPr>
          <a:bodyPr/>
          <a:lstStyle/>
          <a:p>
            <a:pPr>
              <a:defRPr sz="800"/>
            </a:pPr>
            <a:endParaRPr lang="cs-CZ"/>
          </a:p>
        </c:txPr>
        <c:crossAx val="156573696"/>
        <c:crosses val="autoZero"/>
        <c:auto val="1"/>
        <c:lblAlgn val="ctr"/>
        <c:lblOffset val="0"/>
        <c:noMultiLvlLbl val="0"/>
      </c:catAx>
      <c:valAx>
        <c:axId val="156573696"/>
        <c:scaling>
          <c:orientation val="minMax"/>
          <c:max val="15"/>
          <c:min val="-21"/>
        </c:scaling>
        <c:delete val="0"/>
        <c:axPos val="l"/>
        <c:majorGridlines>
          <c:spPr>
            <a:ln w="6350">
              <a:solidFill>
                <a:schemeClr val="bg1">
                  <a:lumMod val="75000"/>
                </a:schemeClr>
              </a:solidFill>
            </a:ln>
          </c:spPr>
        </c:majorGridlines>
        <c:title>
          <c:tx>
            <c:rich>
              <a:bodyPr/>
              <a:lstStyle/>
              <a:p>
                <a:pPr>
                  <a:defRPr sz="700" b="0" i="1"/>
                </a:pPr>
                <a:r>
                  <a:rPr lang="cs-CZ" sz="700" b="0" i="1"/>
                  <a:t>Příspěvky ke změně tržeb ve službách</a:t>
                </a:r>
              </a:p>
            </c:rich>
          </c:tx>
          <c:overlay val="0"/>
        </c:title>
        <c:numFmt formatCode="0" sourceLinked="0"/>
        <c:majorTickMark val="out"/>
        <c:minorTickMark val="none"/>
        <c:tickLblPos val="nextTo"/>
        <c:txPr>
          <a:bodyPr/>
          <a:lstStyle/>
          <a:p>
            <a:pPr>
              <a:defRPr sz="800"/>
            </a:pPr>
            <a:endParaRPr lang="cs-CZ"/>
          </a:p>
        </c:txPr>
        <c:crossAx val="156100864"/>
        <c:crosses val="autoZero"/>
        <c:crossBetween val="between"/>
        <c:majorUnit val="3"/>
      </c:valAx>
      <c:valAx>
        <c:axId val="156575232"/>
        <c:scaling>
          <c:orientation val="minMax"/>
          <c:max val="100"/>
          <c:min val="-20"/>
        </c:scaling>
        <c:delete val="0"/>
        <c:axPos val="r"/>
        <c:title>
          <c:tx>
            <c:rich>
              <a:bodyPr/>
              <a:lstStyle/>
              <a:p>
                <a:pPr>
                  <a:defRPr sz="700" b="0" i="1"/>
                </a:pPr>
                <a:r>
                  <a:rPr lang="cs-CZ" sz="700" b="0" i="1"/>
                  <a:t>Saldo důvěry, bariéry růstu</a:t>
                </a:r>
              </a:p>
            </c:rich>
          </c:tx>
          <c:layout>
            <c:manualLayout>
              <c:xMode val="edge"/>
              <c:yMode val="edge"/>
              <c:x val="0.97060568193100361"/>
              <c:y val="0.20830133644625787"/>
            </c:manualLayout>
          </c:layout>
          <c:overlay val="0"/>
        </c:title>
        <c:numFmt formatCode="0" sourceLinked="0"/>
        <c:majorTickMark val="out"/>
        <c:minorTickMark val="none"/>
        <c:tickLblPos val="nextTo"/>
        <c:txPr>
          <a:bodyPr/>
          <a:lstStyle/>
          <a:p>
            <a:pPr>
              <a:defRPr sz="800"/>
            </a:pPr>
            <a:endParaRPr lang="cs-CZ"/>
          </a:p>
        </c:txPr>
        <c:crossAx val="156576768"/>
        <c:crosses val="max"/>
        <c:crossBetween val="between"/>
        <c:majorUnit val="10"/>
      </c:valAx>
      <c:catAx>
        <c:axId val="156576768"/>
        <c:scaling>
          <c:orientation val="minMax"/>
        </c:scaling>
        <c:delete val="1"/>
        <c:axPos val="b"/>
        <c:numFmt formatCode="General" sourceLinked="1"/>
        <c:majorTickMark val="out"/>
        <c:minorTickMark val="none"/>
        <c:tickLblPos val="none"/>
        <c:crossAx val="156575232"/>
        <c:crosses val="autoZero"/>
        <c:auto val="1"/>
        <c:lblAlgn val="ctr"/>
        <c:lblOffset val="100"/>
        <c:noMultiLvlLbl val="0"/>
      </c:catAx>
      <c:spPr>
        <a:ln>
          <a:solidFill>
            <a:schemeClr val="tx1"/>
          </a:solidFill>
        </a:ln>
      </c:spPr>
    </c:plotArea>
    <c:legend>
      <c:legendPos val="r"/>
      <c:layout>
        <c:manualLayout>
          <c:xMode val="edge"/>
          <c:yMode val="edge"/>
          <c:x val="6.4054887921738678E-5"/>
          <c:y val="0.81821506531821531"/>
          <c:w val="0.98649823440865303"/>
          <c:h val="0.17117269183021638"/>
        </c:manualLayout>
      </c:layout>
      <c:overlay val="0"/>
      <c:spPr>
        <a:ln w="6350">
          <a:solidFill>
            <a:schemeClr val="tx1"/>
          </a:solidFill>
        </a:ln>
      </c:spPr>
      <c:txPr>
        <a:bodyPr/>
        <a:lstStyle/>
        <a:p>
          <a:pPr>
            <a:defRPr sz="80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121841398004213E-2"/>
          <c:y val="1.5803328678987455E-2"/>
          <c:w val="0.85082101335719373"/>
          <c:h val="0.72763409148892888"/>
        </c:manualLayout>
      </c:layout>
      <c:barChart>
        <c:barDir val="col"/>
        <c:grouping val="stacked"/>
        <c:varyColors val="0"/>
        <c:ser>
          <c:idx val="0"/>
          <c:order val="1"/>
          <c:tx>
            <c:strRef>
              <c:f>'výkonnost odvětví 5a'!$E$5</c:f>
              <c:strCache>
                <c:ptCount val="1"/>
                <c:pt idx="0">
                  <c:v>Maloobchod s potravinami (příspěvek)</c:v>
                </c:pt>
              </c:strCache>
            </c:strRef>
          </c:tx>
          <c:spPr>
            <a:solidFill>
              <a:srgbClr val="92D050"/>
            </a:solidFill>
            <a:ln w="15875">
              <a:noFill/>
            </a:ln>
          </c:spPr>
          <c:invertIfNegative val="0"/>
          <c:cat>
            <c:multiLvlStrRef>
              <c:f>'výkonnost odvětví 5a'!$B$66:$C$95</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5a'!$E$66:$E$95</c:f>
              <c:numCache>
                <c:formatCode>#\ ##0.0</c:formatCode>
                <c:ptCount val="30"/>
                <c:pt idx="0">
                  <c:v>1.7954327905527792</c:v>
                </c:pt>
                <c:pt idx="1">
                  <c:v>1.1808546019719848</c:v>
                </c:pt>
                <c:pt idx="2">
                  <c:v>1.8980626361950699</c:v>
                </c:pt>
                <c:pt idx="3">
                  <c:v>1.4512639246986698</c:v>
                </c:pt>
                <c:pt idx="4">
                  <c:v>1.7579883859404466</c:v>
                </c:pt>
                <c:pt idx="5">
                  <c:v>1.4597731408051364</c:v>
                </c:pt>
                <c:pt idx="6">
                  <c:v>0.98265625342777962</c:v>
                </c:pt>
                <c:pt idx="7">
                  <c:v>-8.3656474326988126E-2</c:v>
                </c:pt>
                <c:pt idx="8">
                  <c:v>0.72062441913635855</c:v>
                </c:pt>
                <c:pt idx="9">
                  <c:v>1.3316246689651579</c:v>
                </c:pt>
                <c:pt idx="10">
                  <c:v>1.1433353439469673</c:v>
                </c:pt>
                <c:pt idx="11">
                  <c:v>0.89977373461403121</c:v>
                </c:pt>
                <c:pt idx="12">
                  <c:v>1.5115509798562692</c:v>
                </c:pt>
                <c:pt idx="13">
                  <c:v>0.54228532610479807</c:v>
                </c:pt>
                <c:pt idx="14">
                  <c:v>0.9848486498674448</c:v>
                </c:pt>
                <c:pt idx="15">
                  <c:v>0.4620082520491276</c:v>
                </c:pt>
                <c:pt idx="16">
                  <c:v>0.67301078642127354</c:v>
                </c:pt>
                <c:pt idx="17">
                  <c:v>1.197574945306275</c:v>
                </c:pt>
                <c:pt idx="18">
                  <c:v>0.63652202044636175</c:v>
                </c:pt>
                <c:pt idx="19">
                  <c:v>0.62331153305833609</c:v>
                </c:pt>
                <c:pt idx="20">
                  <c:v>0.96372431228354527</c:v>
                </c:pt>
                <c:pt idx="21">
                  <c:v>-1.1892501717063559</c:v>
                </c:pt>
                <c:pt idx="22">
                  <c:v>-0.41434295303021201</c:v>
                </c:pt>
                <c:pt idx="23">
                  <c:v>0.25231590998316533</c:v>
                </c:pt>
                <c:pt idx="24">
                  <c:v>-0.46029259261204264</c:v>
                </c:pt>
                <c:pt idx="25">
                  <c:v>0.43815667431682553</c:v>
                </c:pt>
                <c:pt idx="26">
                  <c:v>-0.29857278249894137</c:v>
                </c:pt>
                <c:pt idx="27">
                  <c:v>-0.18898421559510256</c:v>
                </c:pt>
                <c:pt idx="28">
                  <c:v>-0.55534518348928907</c:v>
                </c:pt>
              </c:numCache>
            </c:numRef>
          </c:val>
          <c:extLst>
            <c:ext xmlns:c16="http://schemas.microsoft.com/office/drawing/2014/chart" uri="{C3380CC4-5D6E-409C-BE32-E72D297353CC}">
              <c16:uniqueId val="{00000000-CE3B-473A-A56F-E05A5A24E308}"/>
            </c:ext>
          </c:extLst>
        </c:ser>
        <c:ser>
          <c:idx val="1"/>
          <c:order val="2"/>
          <c:tx>
            <c:strRef>
              <c:f>'výkonnost odvětví 5a'!$F$5</c:f>
              <c:strCache>
                <c:ptCount val="1"/>
                <c:pt idx="0">
                  <c:v>Mal. s nepotravinářským zbož. (příspěvek)</c:v>
                </c:pt>
              </c:strCache>
            </c:strRef>
          </c:tx>
          <c:spPr>
            <a:solidFill>
              <a:schemeClr val="accent1">
                <a:lumMod val="40000"/>
                <a:lumOff val="60000"/>
              </a:schemeClr>
            </a:solidFill>
            <a:ln w="15875">
              <a:noFill/>
            </a:ln>
          </c:spPr>
          <c:invertIfNegative val="0"/>
          <c:cat>
            <c:multiLvlStrRef>
              <c:f>'výkonnost odvětví 5a'!$B$66:$C$95</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5a'!$F$66:$F$95</c:f>
              <c:numCache>
                <c:formatCode>#\ ##0.0</c:formatCode>
                <c:ptCount val="30"/>
                <c:pt idx="0">
                  <c:v>3.5348176440085202</c:v>
                </c:pt>
                <c:pt idx="1">
                  <c:v>4.0403927957890904</c:v>
                </c:pt>
                <c:pt idx="2">
                  <c:v>2.8491583908636735</c:v>
                </c:pt>
                <c:pt idx="3">
                  <c:v>3.7649034189564579</c:v>
                </c:pt>
                <c:pt idx="4">
                  <c:v>2.9159862756005075</c:v>
                </c:pt>
                <c:pt idx="5">
                  <c:v>2.6692840179601967</c:v>
                </c:pt>
                <c:pt idx="6">
                  <c:v>3.351758458558816</c:v>
                </c:pt>
                <c:pt idx="7">
                  <c:v>3.6403131961317063</c:v>
                </c:pt>
                <c:pt idx="8">
                  <c:v>4.2755993300345949</c:v>
                </c:pt>
                <c:pt idx="9">
                  <c:v>4.6181656067499972</c:v>
                </c:pt>
                <c:pt idx="10">
                  <c:v>4.1974804776960797</c:v>
                </c:pt>
                <c:pt idx="11">
                  <c:v>4.8260964478037458</c:v>
                </c:pt>
                <c:pt idx="12">
                  <c:v>4.1871547212750038</c:v>
                </c:pt>
                <c:pt idx="13">
                  <c:v>3.5059801620938762</c:v>
                </c:pt>
                <c:pt idx="14">
                  <c:v>2.8195561267975422</c:v>
                </c:pt>
                <c:pt idx="15">
                  <c:v>3.9521324238297022</c:v>
                </c:pt>
                <c:pt idx="16">
                  <c:v>4.4423302425101463</c:v>
                </c:pt>
                <c:pt idx="17">
                  <c:v>3.3722130230140674</c:v>
                </c:pt>
                <c:pt idx="18">
                  <c:v>3.7144530757170515</c:v>
                </c:pt>
                <c:pt idx="19">
                  <c:v>3.4471029244431421</c:v>
                </c:pt>
                <c:pt idx="20">
                  <c:v>4.0056202134999976E-2</c:v>
                </c:pt>
                <c:pt idx="21">
                  <c:v>0.37119654560078302</c:v>
                </c:pt>
                <c:pt idx="22">
                  <c:v>1.7563841704982455</c:v>
                </c:pt>
                <c:pt idx="23">
                  <c:v>-1.063599515621104</c:v>
                </c:pt>
                <c:pt idx="24">
                  <c:v>1.0548245743778293</c:v>
                </c:pt>
                <c:pt idx="25">
                  <c:v>5.7172797743838517</c:v>
                </c:pt>
                <c:pt idx="26">
                  <c:v>3.8090295600505146</c:v>
                </c:pt>
                <c:pt idx="27">
                  <c:v>5.2450081246721751</c:v>
                </c:pt>
                <c:pt idx="28">
                  <c:v>5.2757973940020086</c:v>
                </c:pt>
              </c:numCache>
            </c:numRef>
          </c:val>
          <c:extLst>
            <c:ext xmlns:c16="http://schemas.microsoft.com/office/drawing/2014/chart" uri="{C3380CC4-5D6E-409C-BE32-E72D297353CC}">
              <c16:uniqueId val="{00000001-CE3B-473A-A56F-E05A5A24E308}"/>
            </c:ext>
          </c:extLst>
        </c:ser>
        <c:ser>
          <c:idx val="4"/>
          <c:order val="3"/>
          <c:tx>
            <c:strRef>
              <c:f>'výkonnost odvětví 5a'!$G$5</c:f>
              <c:strCache>
                <c:ptCount val="1"/>
                <c:pt idx="0">
                  <c:v>Maloobchodní prodej PHM (příspěvek)</c:v>
                </c:pt>
              </c:strCache>
            </c:strRef>
          </c:tx>
          <c:spPr>
            <a:solidFill>
              <a:schemeClr val="accent6">
                <a:lumMod val="40000"/>
                <a:lumOff val="60000"/>
              </a:schemeClr>
            </a:solidFill>
            <a:ln w="15875">
              <a:noFill/>
            </a:ln>
          </c:spPr>
          <c:invertIfNegative val="0"/>
          <c:cat>
            <c:multiLvlStrRef>
              <c:f>'výkonnost odvětví 5a'!$B$66:$C$95</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5a'!$G$66:$G$95</c:f>
              <c:numCache>
                <c:formatCode>#\ ##0.0</c:formatCode>
                <c:ptCount val="30"/>
                <c:pt idx="0">
                  <c:v>0.75373799686577747</c:v>
                </c:pt>
                <c:pt idx="1">
                  <c:v>0.58821059894444772</c:v>
                </c:pt>
                <c:pt idx="2">
                  <c:v>0.79387895299348521</c:v>
                </c:pt>
                <c:pt idx="3">
                  <c:v>0.93965372963044991</c:v>
                </c:pt>
                <c:pt idx="4">
                  <c:v>0.67343888771248017</c:v>
                </c:pt>
                <c:pt idx="5">
                  <c:v>0.7046260190280581</c:v>
                </c:pt>
                <c:pt idx="6">
                  <c:v>0.62808372581017557</c:v>
                </c:pt>
                <c:pt idx="7">
                  <c:v>0.62560948668929184</c:v>
                </c:pt>
                <c:pt idx="8">
                  <c:v>0.53739987511050791</c:v>
                </c:pt>
                <c:pt idx="9">
                  <c:v>0.77313131276884206</c:v>
                </c:pt>
                <c:pt idx="10">
                  <c:v>0.84835732550660725</c:v>
                </c:pt>
                <c:pt idx="11">
                  <c:v>0.68455496519870973</c:v>
                </c:pt>
                <c:pt idx="12">
                  <c:v>0.67556451520783956</c:v>
                </c:pt>
                <c:pt idx="13">
                  <c:v>0.59080209268699757</c:v>
                </c:pt>
                <c:pt idx="14">
                  <c:v>0.37399638976140798</c:v>
                </c:pt>
                <c:pt idx="15">
                  <c:v>0.42680859486818856</c:v>
                </c:pt>
                <c:pt idx="16">
                  <c:v>0.55628133832534898</c:v>
                </c:pt>
                <c:pt idx="17">
                  <c:v>0.2629025576100007</c:v>
                </c:pt>
                <c:pt idx="18">
                  <c:v>0.19439517076933396</c:v>
                </c:pt>
                <c:pt idx="19">
                  <c:v>5.585559339908714E-2</c:v>
                </c:pt>
                <c:pt idx="20">
                  <c:v>-0.76759105911378023</c:v>
                </c:pt>
                <c:pt idx="21">
                  <c:v>-2.052563665806848</c:v>
                </c:pt>
                <c:pt idx="22">
                  <c:v>-4.8190566908999956E-2</c:v>
                </c:pt>
                <c:pt idx="23">
                  <c:v>-1.2030433768320992</c:v>
                </c:pt>
                <c:pt idx="24">
                  <c:v>-0.80173294024312114</c:v>
                </c:pt>
                <c:pt idx="25">
                  <c:v>1.0365202081257165</c:v>
                </c:pt>
                <c:pt idx="26">
                  <c:v>0.38874836650999922</c:v>
                </c:pt>
                <c:pt idx="27">
                  <c:v>0.99453062190738506</c:v>
                </c:pt>
                <c:pt idx="28">
                  <c:v>1.5358763055994782</c:v>
                </c:pt>
              </c:numCache>
            </c:numRef>
          </c:val>
          <c:extLst>
            <c:ext xmlns:c16="http://schemas.microsoft.com/office/drawing/2014/chart" uri="{C3380CC4-5D6E-409C-BE32-E72D297353CC}">
              <c16:uniqueId val="{00000002-CE3B-473A-A56F-E05A5A24E308}"/>
            </c:ext>
          </c:extLst>
        </c:ser>
        <c:dLbls>
          <c:showLegendKey val="0"/>
          <c:showVal val="0"/>
          <c:showCatName val="0"/>
          <c:showSerName val="0"/>
          <c:showPercent val="0"/>
          <c:showBubbleSize val="0"/>
        </c:dLbls>
        <c:gapWidth val="31"/>
        <c:overlap val="100"/>
        <c:axId val="156100864"/>
        <c:axId val="156573696"/>
      </c:barChart>
      <c:lineChart>
        <c:grouping val="standard"/>
        <c:varyColors val="0"/>
        <c:ser>
          <c:idx val="3"/>
          <c:order val="0"/>
          <c:tx>
            <c:strRef>
              <c:f>'výkonnost odvětví 5a'!$D$5</c:f>
              <c:strCache>
                <c:ptCount val="1"/>
                <c:pt idx="0">
                  <c:v>Maloobchod celkem (meziroční růst)</c:v>
                </c:pt>
              </c:strCache>
            </c:strRef>
          </c:tx>
          <c:spPr>
            <a:ln>
              <a:noFill/>
            </a:ln>
          </c:spPr>
          <c:marker>
            <c:symbol val="dash"/>
            <c:size val="7"/>
            <c:spPr>
              <a:solidFill>
                <a:schemeClr val="tx1">
                  <a:lumMod val="85000"/>
                  <a:lumOff val="15000"/>
                </a:schemeClr>
              </a:solidFill>
              <a:ln w="6350">
                <a:noFill/>
              </a:ln>
            </c:spPr>
          </c:marker>
          <c:cat>
            <c:multiLvlStrRef>
              <c:f>'výkonnost odvětví 5a'!$B$66:$C$95</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5a'!$D$66:$D$95</c:f>
              <c:numCache>
                <c:formatCode>#\ ##0.0</c:formatCode>
                <c:ptCount val="30"/>
                <c:pt idx="0">
                  <c:v>5.9629437730999939</c:v>
                </c:pt>
                <c:pt idx="1">
                  <c:v>5.5942049784000005</c:v>
                </c:pt>
                <c:pt idx="2">
                  <c:v>5.5012484798999992</c:v>
                </c:pt>
                <c:pt idx="3">
                  <c:v>6.0276233044999969</c:v>
                </c:pt>
                <c:pt idx="4">
                  <c:v>5.2867215003000041</c:v>
                </c:pt>
                <c:pt idx="5">
                  <c:v>4.7635779651999997</c:v>
                </c:pt>
                <c:pt idx="6">
                  <c:v>4.7795776032999981</c:v>
                </c:pt>
                <c:pt idx="7">
                  <c:v>3.8964899322999997</c:v>
                </c:pt>
                <c:pt idx="8">
                  <c:v>5.2310555753000045</c:v>
                </c:pt>
                <c:pt idx="9">
                  <c:v>6.4725508764000068</c:v>
                </c:pt>
                <c:pt idx="10">
                  <c:v>5.9734111239999947</c:v>
                </c:pt>
                <c:pt idx="11">
                  <c:v>6.1682850682000065</c:v>
                </c:pt>
                <c:pt idx="12">
                  <c:v>6.3413097881000056</c:v>
                </c:pt>
                <c:pt idx="13">
                  <c:v>4.6706928929999947</c:v>
                </c:pt>
                <c:pt idx="14">
                  <c:v>4.2011641704000056</c:v>
                </c:pt>
                <c:pt idx="15">
                  <c:v>4.8161828603000032</c:v>
                </c:pt>
                <c:pt idx="16">
                  <c:v>5.6584053785000066</c:v>
                </c:pt>
                <c:pt idx="17">
                  <c:v>4.8300705571000009</c:v>
                </c:pt>
                <c:pt idx="18">
                  <c:v>4.5406581594999977</c:v>
                </c:pt>
                <c:pt idx="19">
                  <c:v>4.196988668399996</c:v>
                </c:pt>
                <c:pt idx="20">
                  <c:v>0.12908217749999551</c:v>
                </c:pt>
                <c:pt idx="21">
                  <c:v>-2.8976566630000065</c:v>
                </c:pt>
                <c:pt idx="22">
                  <c:v>1.3167079119999983</c:v>
                </c:pt>
                <c:pt idx="23">
                  <c:v>-2.0203436960999994</c:v>
                </c:pt>
                <c:pt idx="24">
                  <c:v>-0.23070147399999996</c:v>
                </c:pt>
                <c:pt idx="25">
                  <c:v>7.2774247283000051</c:v>
                </c:pt>
                <c:pt idx="26">
                  <c:v>3.9166877130000017</c:v>
                </c:pt>
                <c:pt idx="27">
                  <c:v>6.1640900635999998</c:v>
                </c:pt>
                <c:pt idx="28">
                  <c:v>6.3775831449000009</c:v>
                </c:pt>
              </c:numCache>
            </c:numRef>
          </c:val>
          <c:smooth val="0"/>
          <c:extLst>
            <c:ext xmlns:c16="http://schemas.microsoft.com/office/drawing/2014/chart" uri="{C3380CC4-5D6E-409C-BE32-E72D297353CC}">
              <c16:uniqueId val="{00000003-CE3B-473A-A56F-E05A5A24E308}"/>
            </c:ext>
          </c:extLst>
        </c:ser>
        <c:dLbls>
          <c:showLegendKey val="0"/>
          <c:showVal val="0"/>
          <c:showCatName val="0"/>
          <c:showSerName val="0"/>
          <c:showPercent val="0"/>
          <c:showBubbleSize val="0"/>
        </c:dLbls>
        <c:marker val="1"/>
        <c:smooth val="0"/>
        <c:axId val="156100864"/>
        <c:axId val="156573696"/>
      </c:lineChart>
      <c:lineChart>
        <c:grouping val="standard"/>
        <c:varyColors val="0"/>
        <c:ser>
          <c:idx val="5"/>
          <c:order val="4"/>
          <c:tx>
            <c:strRef>
              <c:f>'výkonnost odvětví 5a'!$H$5</c:f>
              <c:strCache>
                <c:ptCount val="1"/>
                <c:pt idx="0">
                  <c:v>Maloobchod, bez motor. segm. (2015=100)</c:v>
                </c:pt>
              </c:strCache>
            </c:strRef>
          </c:tx>
          <c:spPr>
            <a:ln w="19050">
              <a:solidFill>
                <a:schemeClr val="tx1">
                  <a:lumMod val="95000"/>
                  <a:lumOff val="5000"/>
                </a:schemeClr>
              </a:solidFill>
              <a:prstDash val="solid"/>
            </a:ln>
          </c:spPr>
          <c:marker>
            <c:symbol val="none"/>
          </c:marker>
          <c:cat>
            <c:multiLvlStrRef>
              <c:f>'výkonnost odvětví 5a'!$B$66:$C$95</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5a'!$H$66:$H$95</c:f>
              <c:numCache>
                <c:formatCode>#\ ##0.0</c:formatCode>
                <c:ptCount val="30"/>
                <c:pt idx="0">
                  <c:v>98.2</c:v>
                </c:pt>
                <c:pt idx="1">
                  <c:v>99.1</c:v>
                </c:pt>
                <c:pt idx="2">
                  <c:v>100.2</c:v>
                </c:pt>
                <c:pt idx="3">
                  <c:v>102.5</c:v>
                </c:pt>
                <c:pt idx="4">
                  <c:v>103.1</c:v>
                </c:pt>
                <c:pt idx="5">
                  <c:v>103.9</c:v>
                </c:pt>
                <c:pt idx="6">
                  <c:v>105.2</c:v>
                </c:pt>
                <c:pt idx="7">
                  <c:v>106.6</c:v>
                </c:pt>
                <c:pt idx="8">
                  <c:v>108.3</c:v>
                </c:pt>
                <c:pt idx="9">
                  <c:v>110.6</c:v>
                </c:pt>
                <c:pt idx="10">
                  <c:v>111.7</c:v>
                </c:pt>
                <c:pt idx="11">
                  <c:v>113.1</c:v>
                </c:pt>
                <c:pt idx="12">
                  <c:v>114.8</c:v>
                </c:pt>
                <c:pt idx="13">
                  <c:v>115.9</c:v>
                </c:pt>
                <c:pt idx="14">
                  <c:v>116.8</c:v>
                </c:pt>
                <c:pt idx="15">
                  <c:v>118.4</c:v>
                </c:pt>
                <c:pt idx="16">
                  <c:v>120.9</c:v>
                </c:pt>
                <c:pt idx="17">
                  <c:v>121.8</c:v>
                </c:pt>
                <c:pt idx="18">
                  <c:v>122.4</c:v>
                </c:pt>
                <c:pt idx="19">
                  <c:v>123.3</c:v>
                </c:pt>
                <c:pt idx="20">
                  <c:v>120.7</c:v>
                </c:pt>
                <c:pt idx="21">
                  <c:v>118.8</c:v>
                </c:pt>
                <c:pt idx="22">
                  <c:v>124.5</c:v>
                </c:pt>
                <c:pt idx="23">
                  <c:v>120.4</c:v>
                </c:pt>
                <c:pt idx="24">
                  <c:v>119</c:v>
                </c:pt>
                <c:pt idx="25">
                  <c:v>127.4</c:v>
                </c:pt>
                <c:pt idx="26">
                  <c:v>129.5</c:v>
                </c:pt>
                <c:pt idx="27">
                  <c:v>128</c:v>
                </c:pt>
                <c:pt idx="28">
                  <c:v>127.7</c:v>
                </c:pt>
              </c:numCache>
            </c:numRef>
          </c:val>
          <c:smooth val="0"/>
          <c:extLst>
            <c:ext xmlns:c16="http://schemas.microsoft.com/office/drawing/2014/chart" uri="{C3380CC4-5D6E-409C-BE32-E72D297353CC}">
              <c16:uniqueId val="{00000004-CE3B-473A-A56F-E05A5A24E308}"/>
            </c:ext>
          </c:extLst>
        </c:ser>
        <c:ser>
          <c:idx val="2"/>
          <c:order val="5"/>
          <c:tx>
            <c:strRef>
              <c:f>'výkonnost odvětví 5a'!$I$5</c:f>
              <c:strCache>
                <c:ptCount val="1"/>
                <c:pt idx="0">
                  <c:v>Obchod a opravy motor. voz. (2015=100)</c:v>
                </c:pt>
              </c:strCache>
            </c:strRef>
          </c:tx>
          <c:spPr>
            <a:ln w="19050">
              <a:solidFill>
                <a:schemeClr val="bg2">
                  <a:lumMod val="50000"/>
                </a:schemeClr>
              </a:solidFill>
              <a:prstDash val="dash"/>
            </a:ln>
          </c:spPr>
          <c:marker>
            <c:symbol val="none"/>
          </c:marker>
          <c:cat>
            <c:multiLvlStrRef>
              <c:f>'výkonnost odvětví 5a'!$B$66:$C$95</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5a'!$I$66:$I$95</c:f>
              <c:numCache>
                <c:formatCode>#\ ##0.0</c:formatCode>
                <c:ptCount val="30"/>
                <c:pt idx="0">
                  <c:v>95.7</c:v>
                </c:pt>
                <c:pt idx="1">
                  <c:v>98.5</c:v>
                </c:pt>
                <c:pt idx="2">
                  <c:v>101.3</c:v>
                </c:pt>
                <c:pt idx="3">
                  <c:v>104.4</c:v>
                </c:pt>
                <c:pt idx="4">
                  <c:v>105.2</c:v>
                </c:pt>
                <c:pt idx="5">
                  <c:v>106.8</c:v>
                </c:pt>
                <c:pt idx="6">
                  <c:v>108.9</c:v>
                </c:pt>
                <c:pt idx="7">
                  <c:v>109.8</c:v>
                </c:pt>
                <c:pt idx="8">
                  <c:v>111.1</c:v>
                </c:pt>
                <c:pt idx="9">
                  <c:v>111.4</c:v>
                </c:pt>
                <c:pt idx="10">
                  <c:v>109.6</c:v>
                </c:pt>
                <c:pt idx="11">
                  <c:v>112</c:v>
                </c:pt>
                <c:pt idx="12">
                  <c:v>110.6</c:v>
                </c:pt>
                <c:pt idx="13">
                  <c:v>109.9</c:v>
                </c:pt>
                <c:pt idx="14">
                  <c:v>108.9</c:v>
                </c:pt>
                <c:pt idx="15">
                  <c:v>106.4</c:v>
                </c:pt>
                <c:pt idx="16">
                  <c:v>109.5</c:v>
                </c:pt>
                <c:pt idx="17">
                  <c:v>110.8</c:v>
                </c:pt>
                <c:pt idx="18">
                  <c:v>109.6</c:v>
                </c:pt>
                <c:pt idx="19">
                  <c:v>110.1</c:v>
                </c:pt>
                <c:pt idx="20">
                  <c:v>96.5</c:v>
                </c:pt>
                <c:pt idx="21">
                  <c:v>77.5</c:v>
                </c:pt>
                <c:pt idx="22">
                  <c:v>100.5</c:v>
                </c:pt>
                <c:pt idx="23">
                  <c:v>102.2</c:v>
                </c:pt>
                <c:pt idx="24">
                  <c:v>102.7</c:v>
                </c:pt>
                <c:pt idx="25">
                  <c:v>104.9</c:v>
                </c:pt>
                <c:pt idx="26">
                  <c:v>99.2</c:v>
                </c:pt>
                <c:pt idx="27">
                  <c:v>98.1</c:v>
                </c:pt>
                <c:pt idx="28">
                  <c:v>99.3</c:v>
                </c:pt>
              </c:numCache>
            </c:numRef>
          </c:val>
          <c:smooth val="0"/>
          <c:extLst>
            <c:ext xmlns:c16="http://schemas.microsoft.com/office/drawing/2014/chart" uri="{C3380CC4-5D6E-409C-BE32-E72D297353CC}">
              <c16:uniqueId val="{00000005-CE3B-473A-A56F-E05A5A24E308}"/>
            </c:ext>
          </c:extLst>
        </c:ser>
        <c:ser>
          <c:idx val="6"/>
          <c:order val="6"/>
          <c:tx>
            <c:strRef>
              <c:f>'výkonnost odvětví 5a'!$J$5</c:f>
              <c:strCache>
                <c:ptCount val="1"/>
                <c:pt idx="0">
                  <c:v>Saldo důvěry spotřebitelů (2015=100)</c:v>
                </c:pt>
              </c:strCache>
            </c:strRef>
          </c:tx>
          <c:spPr>
            <a:ln w="3175">
              <a:solidFill>
                <a:schemeClr val="bg1">
                  <a:lumMod val="50000"/>
                </a:schemeClr>
              </a:solidFill>
              <a:prstDash val="sysDash"/>
            </a:ln>
          </c:spPr>
          <c:marker>
            <c:symbol val="diamond"/>
            <c:size val="6"/>
            <c:spPr>
              <a:solidFill>
                <a:srgbClr val="FFFF00"/>
              </a:solidFill>
              <a:ln w="3175">
                <a:solidFill>
                  <a:schemeClr val="bg1">
                    <a:lumMod val="50000"/>
                  </a:schemeClr>
                </a:solidFill>
              </a:ln>
            </c:spPr>
          </c:marker>
          <c:cat>
            <c:multiLvlStrRef>
              <c:f>'výkonnost odvětví 5a'!$B$66:$C$95</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5a'!$J$66:$J$95</c:f>
              <c:numCache>
                <c:formatCode>0.0</c:formatCode>
                <c:ptCount val="30"/>
                <c:pt idx="0">
                  <c:v>99.353999999999999</c:v>
                </c:pt>
                <c:pt idx="1">
                  <c:v>101.354</c:v>
                </c:pt>
                <c:pt idx="2">
                  <c:v>97.353999999999999</c:v>
                </c:pt>
                <c:pt idx="3">
                  <c:v>100.854</c:v>
                </c:pt>
                <c:pt idx="4">
                  <c:v>99.603999999999999</c:v>
                </c:pt>
                <c:pt idx="5">
                  <c:v>101.104</c:v>
                </c:pt>
                <c:pt idx="6">
                  <c:v>98.853999999999999</c:v>
                </c:pt>
                <c:pt idx="7">
                  <c:v>101.854</c:v>
                </c:pt>
                <c:pt idx="8">
                  <c:v>102.354</c:v>
                </c:pt>
                <c:pt idx="9">
                  <c:v>100.604</c:v>
                </c:pt>
                <c:pt idx="10">
                  <c:v>101.604</c:v>
                </c:pt>
                <c:pt idx="11">
                  <c:v>106.104</c:v>
                </c:pt>
                <c:pt idx="12">
                  <c:v>104.854</c:v>
                </c:pt>
                <c:pt idx="13">
                  <c:v>107.104</c:v>
                </c:pt>
                <c:pt idx="14">
                  <c:v>105.104</c:v>
                </c:pt>
                <c:pt idx="15">
                  <c:v>102.104</c:v>
                </c:pt>
                <c:pt idx="16">
                  <c:v>104.354</c:v>
                </c:pt>
                <c:pt idx="17">
                  <c:v>101.104</c:v>
                </c:pt>
                <c:pt idx="18">
                  <c:v>103.354</c:v>
                </c:pt>
                <c:pt idx="19">
                  <c:v>100.604</c:v>
                </c:pt>
                <c:pt idx="20">
                  <c:v>99.353999999999999</c:v>
                </c:pt>
                <c:pt idx="21">
                  <c:v>91.853999999999999</c:v>
                </c:pt>
                <c:pt idx="22">
                  <c:v>92.353999999999999</c:v>
                </c:pt>
                <c:pt idx="23">
                  <c:v>82.603999999999999</c:v>
                </c:pt>
                <c:pt idx="24">
                  <c:v>84.853999999999999</c:v>
                </c:pt>
                <c:pt idx="25">
                  <c:v>94.353999999999999</c:v>
                </c:pt>
                <c:pt idx="26">
                  <c:v>96.603999999999999</c:v>
                </c:pt>
                <c:pt idx="27">
                  <c:v>84.103999999999999</c:v>
                </c:pt>
                <c:pt idx="28">
                  <c:v>84.603999999999999</c:v>
                </c:pt>
                <c:pt idx="29">
                  <c:v>70.103999999999999</c:v>
                </c:pt>
              </c:numCache>
            </c:numRef>
          </c:val>
          <c:smooth val="0"/>
          <c:extLst>
            <c:ext xmlns:c16="http://schemas.microsoft.com/office/drawing/2014/chart" uri="{C3380CC4-5D6E-409C-BE32-E72D297353CC}">
              <c16:uniqueId val="{00000006-CE3B-473A-A56F-E05A5A24E308}"/>
            </c:ext>
          </c:extLst>
        </c:ser>
        <c:dLbls>
          <c:showLegendKey val="0"/>
          <c:showVal val="0"/>
          <c:showCatName val="0"/>
          <c:showSerName val="0"/>
          <c:showPercent val="0"/>
          <c:showBubbleSize val="0"/>
        </c:dLbls>
        <c:marker val="1"/>
        <c:smooth val="0"/>
        <c:axId val="1875570767"/>
        <c:axId val="1875563695"/>
      </c:lineChart>
      <c:catAx>
        <c:axId val="156100864"/>
        <c:scaling>
          <c:orientation val="minMax"/>
        </c:scaling>
        <c:delete val="0"/>
        <c:axPos val="b"/>
        <c:numFmt formatCode="General" sourceLinked="0"/>
        <c:majorTickMark val="out"/>
        <c:minorTickMark val="none"/>
        <c:tickLblPos val="low"/>
        <c:txPr>
          <a:bodyPr/>
          <a:lstStyle/>
          <a:p>
            <a:pPr>
              <a:defRPr sz="800"/>
            </a:pPr>
            <a:endParaRPr lang="cs-CZ"/>
          </a:p>
        </c:txPr>
        <c:crossAx val="156573696"/>
        <c:crosses val="autoZero"/>
        <c:auto val="1"/>
        <c:lblAlgn val="ctr"/>
        <c:lblOffset val="0"/>
        <c:noMultiLvlLbl val="0"/>
      </c:catAx>
      <c:valAx>
        <c:axId val="156573696"/>
        <c:scaling>
          <c:orientation val="minMax"/>
          <c:max val="15"/>
          <c:min val="-6"/>
        </c:scaling>
        <c:delete val="0"/>
        <c:axPos val="l"/>
        <c:majorGridlines>
          <c:spPr>
            <a:ln w="6350">
              <a:solidFill>
                <a:schemeClr val="bg1">
                  <a:lumMod val="75000"/>
                </a:schemeClr>
              </a:solidFill>
            </a:ln>
          </c:spPr>
        </c:majorGridlines>
        <c:title>
          <c:tx>
            <c:rich>
              <a:bodyPr/>
              <a:lstStyle/>
              <a:p>
                <a:pPr>
                  <a:defRPr sz="750" b="0" i="1"/>
                </a:pPr>
                <a:r>
                  <a:rPr lang="cs-CZ" sz="750" b="0" i="1"/>
                  <a:t>Tržby</a:t>
                </a:r>
                <a:r>
                  <a:rPr lang="cs-CZ" sz="750" b="0" i="1" baseline="0"/>
                  <a:t> (příspěvěk k meziroč. růstu)</a:t>
                </a:r>
                <a:endParaRPr lang="cs-CZ" sz="750" b="0" i="1"/>
              </a:p>
            </c:rich>
          </c:tx>
          <c:overlay val="0"/>
        </c:title>
        <c:numFmt formatCode="0" sourceLinked="0"/>
        <c:majorTickMark val="out"/>
        <c:minorTickMark val="none"/>
        <c:tickLblPos val="nextTo"/>
        <c:txPr>
          <a:bodyPr/>
          <a:lstStyle/>
          <a:p>
            <a:pPr>
              <a:defRPr sz="800"/>
            </a:pPr>
            <a:endParaRPr lang="cs-CZ"/>
          </a:p>
        </c:txPr>
        <c:crossAx val="156100864"/>
        <c:crosses val="autoZero"/>
        <c:crossBetween val="between"/>
        <c:majorUnit val="3"/>
      </c:valAx>
      <c:valAx>
        <c:axId val="1875563695"/>
        <c:scaling>
          <c:orientation val="minMax"/>
        </c:scaling>
        <c:delete val="0"/>
        <c:axPos val="r"/>
        <c:title>
          <c:tx>
            <c:rich>
              <a:bodyPr/>
              <a:lstStyle/>
              <a:p>
                <a:pPr>
                  <a:defRPr sz="750" b="0" i="1"/>
                </a:pPr>
                <a:r>
                  <a:rPr lang="cs-CZ" sz="750" b="0" i="1"/>
                  <a:t>Tržby,</a:t>
                </a:r>
                <a:r>
                  <a:rPr lang="cs-CZ" sz="750" b="0" i="1" baseline="0"/>
                  <a:t> důvěra domácností (rok 2015=100)</a:t>
                </a:r>
                <a:endParaRPr lang="cs-CZ" sz="750" b="0" i="1"/>
              </a:p>
            </c:rich>
          </c:tx>
          <c:overlay val="0"/>
        </c:title>
        <c:numFmt formatCode="#,##0" sourceLinked="0"/>
        <c:majorTickMark val="out"/>
        <c:minorTickMark val="none"/>
        <c:tickLblPos val="nextTo"/>
        <c:txPr>
          <a:bodyPr/>
          <a:lstStyle/>
          <a:p>
            <a:pPr>
              <a:defRPr sz="800"/>
            </a:pPr>
            <a:endParaRPr lang="cs-CZ"/>
          </a:p>
        </c:txPr>
        <c:crossAx val="1875570767"/>
        <c:crosses val="max"/>
        <c:crossBetween val="between"/>
      </c:valAx>
      <c:catAx>
        <c:axId val="1875570767"/>
        <c:scaling>
          <c:orientation val="minMax"/>
        </c:scaling>
        <c:delete val="1"/>
        <c:axPos val="b"/>
        <c:numFmt formatCode="General" sourceLinked="1"/>
        <c:majorTickMark val="out"/>
        <c:minorTickMark val="none"/>
        <c:tickLblPos val="nextTo"/>
        <c:crossAx val="1875563695"/>
        <c:crosses val="autoZero"/>
        <c:auto val="1"/>
        <c:lblAlgn val="ctr"/>
        <c:lblOffset val="100"/>
        <c:noMultiLvlLbl val="0"/>
      </c:catAx>
      <c:spPr>
        <a:ln>
          <a:solidFill>
            <a:schemeClr val="tx1"/>
          </a:solidFill>
        </a:ln>
      </c:spPr>
    </c:plotArea>
    <c:legend>
      <c:legendPos val="r"/>
      <c:layout>
        <c:manualLayout>
          <c:xMode val="edge"/>
          <c:yMode val="edge"/>
          <c:x val="2.6727944567245363E-3"/>
          <c:y val="0.83392073754873919"/>
          <c:w val="0.98772161937821168"/>
          <c:h val="0.15492657607434102"/>
        </c:manualLayout>
      </c:layout>
      <c:overlay val="0"/>
      <c:spPr>
        <a:ln w="6350">
          <a:solidFill>
            <a:schemeClr val="tx1"/>
          </a:solidFill>
        </a:ln>
      </c:spPr>
      <c:txPr>
        <a:bodyPr/>
        <a:lstStyle/>
        <a:p>
          <a:pPr>
            <a:defRPr sz="75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A7592-90E9-43CD-8442-E35C6D50E02D}">
  <ds:schemaRefs>
    <ds:schemaRef ds:uri="http://schemas.openxmlformats.org/officeDocument/2006/bibliography"/>
  </ds:schemaRefs>
</ds:datastoreItem>
</file>

<file path=customXml/itemProps2.xml><?xml version="1.0" encoding="utf-8"?>
<ds:datastoreItem xmlns:ds="http://schemas.openxmlformats.org/officeDocument/2006/customXml" ds:itemID="{FF40F67F-4687-48EB-B9B8-C4A0B0DC2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Template>
  <TotalTime>2</TotalTime>
  <Pages>8</Pages>
  <Words>3767</Words>
  <Characters>22228</Characters>
  <Application>Microsoft Office Word</Application>
  <DocSecurity>0</DocSecurity>
  <Lines>185</Lines>
  <Paragraphs>51</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25944</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Karolína Zábojníková</cp:lastModifiedBy>
  <cp:revision>3</cp:revision>
  <cp:lastPrinted>2019-04-08T10:52:00Z</cp:lastPrinted>
  <dcterms:created xsi:type="dcterms:W3CDTF">2022-06-15T08:05:00Z</dcterms:created>
  <dcterms:modified xsi:type="dcterms:W3CDTF">2022-06-15T08:47:00Z</dcterms:modified>
</cp:coreProperties>
</file>