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0CE8" w14:textId="50B65513" w:rsidR="00BB7142" w:rsidRPr="009110F7" w:rsidRDefault="00BB7142" w:rsidP="00BB7142">
      <w:pPr>
        <w:pStyle w:val="Nadpis1"/>
      </w:pPr>
      <w:bookmarkStart w:id="0" w:name="_Toc90395910"/>
      <w:bookmarkStart w:id="1" w:name="_Toc98245441"/>
      <w:bookmarkStart w:id="2" w:name="_Toc82508186"/>
      <w:bookmarkStart w:id="3" w:name="_Toc58605374"/>
      <w:bookmarkStart w:id="4" w:name="_Toc66719930"/>
      <w:bookmarkStart w:id="5" w:name="_Toc532558287"/>
      <w:bookmarkStart w:id="6" w:name="_Toc58605375"/>
      <w:bookmarkStart w:id="7" w:name="_Toc106176403"/>
      <w:r w:rsidRPr="0077605B">
        <w:t>2</w:t>
      </w:r>
      <w:r>
        <w:t>. </w:t>
      </w:r>
      <w:r w:rsidRPr="0077605B">
        <w:t>Souhrnná výkonnost</w:t>
      </w:r>
      <w:bookmarkEnd w:id="0"/>
      <w:bookmarkEnd w:id="1"/>
      <w:bookmarkEnd w:id="7"/>
    </w:p>
    <w:tbl>
      <w:tblPr>
        <w:tblW w:w="963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6"/>
        <w:gridCol w:w="223"/>
        <w:gridCol w:w="7610"/>
      </w:tblGrid>
      <w:tr w:rsidR="00BB7142" w:rsidRPr="009110F7" w14:paraId="1C40E74C" w14:textId="77777777" w:rsidTr="00550540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2C16122C" w14:textId="77777777" w:rsidR="00BB7142" w:rsidRDefault="00BB7142" w:rsidP="00550540">
            <w:pPr>
              <w:pStyle w:val="Marginlie"/>
            </w:pPr>
            <w:r>
              <w:t>Hrubý domácí produkt dál rostl.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5C3FF6B" w14:textId="77777777" w:rsidR="00BB7142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B2A991E" w14:textId="7FE91908" w:rsidR="00BB7142" w:rsidRPr="00014ED0" w:rsidRDefault="00BB7142" w:rsidP="00550540">
            <w:pPr>
              <w:rPr>
                <w:spacing w:val="-2"/>
              </w:rPr>
            </w:pPr>
            <w:r>
              <w:rPr>
                <w:spacing w:val="-2"/>
              </w:rPr>
              <w:t>Hrubý domácí produkt (HDP) v 1. čtvrtletí 2022 meziročně vzrostl o 4,8 %</w:t>
            </w:r>
            <w:r w:rsidRPr="00014ED0">
              <w:rPr>
                <w:rStyle w:val="Znakapoznpodarou"/>
                <w:rFonts w:cs="Arial"/>
                <w:spacing w:val="-2"/>
              </w:rPr>
              <w:footnoteReference w:id="1"/>
            </w:r>
            <w:r>
              <w:rPr>
                <w:spacing w:val="-2"/>
              </w:rPr>
              <w:t xml:space="preserve">. Tempo tak posílilo ve srovnání s druhým pololetím loňského roku. Z velké části byl ale přírůstek ovlivněn srovnáním s 1. kvartálem 2021, kdy platila poměrně přísná omezení pohybu osob i provozu ve službách a maloobchodě. K meziročnímu růstu HDP přispívala výhradně domácí poptávka. Vyšší byla spotřeba i kapitálové výdaje. Mezičtvrtletně se HDP zvýšil o 0,9 %, přírůstek tak mírně zrychlil. Přispěly k tomu investice a také bilance zahraničního obchodu. Naopak spotřeba mezičtvrtletně klesala. Podle údajů vyjádřených ve stálých cenách HDP v 1. čtvrtletí 2022 překonal úroveň stejného </w:t>
            </w:r>
            <w:r w:rsidR="00374B96">
              <w:rPr>
                <w:spacing w:val="-2"/>
              </w:rPr>
              <w:t>období roku 2019 o</w:t>
            </w:r>
            <w:r w:rsidR="00374B96">
              <w:t> </w:t>
            </w:r>
            <w:r>
              <w:rPr>
                <w:spacing w:val="-2"/>
              </w:rPr>
              <w:t>0,9 %.</w:t>
            </w:r>
          </w:p>
        </w:tc>
      </w:tr>
      <w:tr w:rsidR="00BB7142" w:rsidRPr="009110F7" w14:paraId="651522CD" w14:textId="77777777" w:rsidTr="00550540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00F60875" w14:textId="77777777" w:rsidR="00BB7142" w:rsidRDefault="00BB7142" w:rsidP="00550540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79AF2CAB" w14:textId="77777777" w:rsidR="00BB7142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05196DB" w14:textId="77777777" w:rsidR="00BB7142" w:rsidRPr="00D721B4" w:rsidRDefault="00BB7142" w:rsidP="00550540">
            <w:pPr>
              <w:spacing w:after="0"/>
              <w:rPr>
                <w:b/>
                <w:szCs w:val="20"/>
              </w:rPr>
            </w:pPr>
            <w:r w:rsidRPr="00D721B4">
              <w:rPr>
                <w:rFonts w:cs="Arial"/>
                <w:b/>
                <w:bCs/>
                <w:color w:val="000000"/>
                <w:szCs w:val="20"/>
              </w:rPr>
              <w:t>Graf č. 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21B4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HDP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očištěno o sezónní a kalendářní vlivy, v %)</w:t>
            </w:r>
          </w:p>
        </w:tc>
      </w:tr>
      <w:tr w:rsidR="00BB7142" w:rsidRPr="009110F7" w14:paraId="52BBFC5F" w14:textId="77777777" w:rsidTr="0055054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76E50B1B" w14:textId="77777777" w:rsidR="00BB7142" w:rsidRPr="009110F7" w:rsidRDefault="00BB7142" w:rsidP="00550540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4BE7F595" w14:textId="77777777" w:rsidR="00BB7142" w:rsidRPr="009110F7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1CC528D4" w14:textId="77777777" w:rsidR="00BB7142" w:rsidRPr="009110F7" w:rsidRDefault="00BB7142" w:rsidP="0055054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A556640" wp14:editId="09405548">
                  <wp:extent cx="4737600" cy="3553200"/>
                  <wp:effectExtent l="0" t="0" r="6350" b="0"/>
                  <wp:docPr id="4" name="Graf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BB7142" w:rsidRPr="009110F7" w14:paraId="02352246" w14:textId="77777777" w:rsidTr="00550540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10CD9A90" w14:textId="77777777" w:rsidR="00BB7142" w:rsidRPr="009110F7" w:rsidRDefault="00BB7142" w:rsidP="00550540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3AAF35D1" w14:textId="77777777" w:rsidR="00BB7142" w:rsidRPr="009110F7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EB072E8" w14:textId="77777777" w:rsidR="00BB7142" w:rsidRPr="009110F7" w:rsidRDefault="00BB7142" w:rsidP="00550540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Zdroj: ČSÚ, </w:t>
            </w:r>
            <w:proofErr w:type="spellStart"/>
            <w:r>
              <w:rPr>
                <w:sz w:val="14"/>
                <w:szCs w:val="14"/>
              </w:rPr>
              <w:t>Eurostat</w:t>
            </w:r>
            <w:proofErr w:type="spellEnd"/>
          </w:p>
        </w:tc>
      </w:tr>
      <w:tr w:rsidR="00BB7142" w:rsidRPr="009110F7" w14:paraId="4BFC7D15" w14:textId="77777777" w:rsidTr="00550540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4B7091CC" w14:textId="77777777" w:rsidR="00BB7142" w:rsidRDefault="00BB7142" w:rsidP="00550540">
            <w:pPr>
              <w:pStyle w:val="Marginlie"/>
            </w:pPr>
            <w:r>
              <w:t>Většina ekonomik EU mezičtvrtletně rostla.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8962C0F" w14:textId="77777777" w:rsidR="00BB7142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42509F9" w14:textId="2D15D27A" w:rsidR="00BB7142" w:rsidRDefault="00BB7142" w:rsidP="00550540">
            <w:r>
              <w:t>Meziroční růst HDP v Evropské unii dosáhl 5,</w:t>
            </w:r>
            <w:r w:rsidR="00CA0BD5">
              <w:t>6</w:t>
            </w:r>
            <w:r>
              <w:t xml:space="preserve"> %</w:t>
            </w:r>
            <w:r>
              <w:rPr>
                <w:rStyle w:val="Znakapoznpodarou"/>
              </w:rPr>
              <w:footnoteReference w:id="2"/>
            </w:r>
            <w:r>
              <w:t xml:space="preserve">. Podobně jako v ČR i ve zbytku EU napomohlo meziročnímu přírůstku srovnání se slabším 1. kvartálem 2021. Meziročně silně rostla spotřeba i kapitálové výdaje. Nejvýrazněji se meziročně zvýšil HDP v Portugalsku (11,9 %), </w:t>
            </w:r>
            <w:r w:rsidR="00CA0BD5">
              <w:t xml:space="preserve">Irsku (11,3 %), </w:t>
            </w:r>
            <w:r>
              <w:t xml:space="preserve">Slovinsku (9,6 %) a </w:t>
            </w:r>
            <w:r w:rsidR="00CA0BD5">
              <w:t xml:space="preserve">v </w:t>
            </w:r>
            <w:r>
              <w:t xml:space="preserve">Polsku (9,2 %). Naopak mírný byl ekonomický růst na Slovensku (3,0 %), </w:t>
            </w:r>
            <w:r w:rsidR="00CA0BD5">
              <w:t xml:space="preserve">ve </w:t>
            </w:r>
            <w:r>
              <w:t>Švédsku (3,1 %)</w:t>
            </w:r>
            <w:r w:rsidR="00CA0BD5">
              <w:t>, ve Finsku (3,7 %) a v</w:t>
            </w:r>
            <w:r>
              <w:t xml:space="preserve"> Německu (3,8 %). Mezičtvrtletně se HDP v EU zvýšil o 0,</w:t>
            </w:r>
            <w:r w:rsidR="00CA0BD5">
              <w:t>7</w:t>
            </w:r>
            <w:r>
              <w:t xml:space="preserve"> %. Kapitálové výdaje ve většině zemí EU rostly, zatímco spotřeba </w:t>
            </w:r>
            <w:r w:rsidR="009D6EA6">
              <w:t xml:space="preserve">u mnoha z nich </w:t>
            </w:r>
            <w:r>
              <w:t>oslabovala. Nejvýrazněji se mezičtvrtletně zvýšil HDP v</w:t>
            </w:r>
            <w:r w:rsidR="00CA0BD5">
              <w:t> Irsku (10,8 %),</w:t>
            </w:r>
            <w:r>
              <w:t> Rumun</w:t>
            </w:r>
            <w:r w:rsidR="00374B96">
              <w:t>sku (5,2 %), Lotyšsku (3,6 %) a </w:t>
            </w:r>
            <w:r w:rsidR="00CA0BD5">
              <w:t>Chorvatsku (</w:t>
            </w:r>
            <w:r>
              <w:t>2,</w:t>
            </w:r>
            <w:r w:rsidR="00CA0BD5">
              <w:t>7 </w:t>
            </w:r>
            <w:r>
              <w:t xml:space="preserve">%). Naopak HDP mezičtvrtletně klesl ve Švédsku (-0,8 %), </w:t>
            </w:r>
            <w:r w:rsidR="00CA0BD5">
              <w:t>ve</w:t>
            </w:r>
            <w:r>
              <w:t xml:space="preserve"> Francii (-0,2 %) a </w:t>
            </w:r>
            <w:r w:rsidR="00CA0BD5">
              <w:t>v </w:t>
            </w:r>
            <w:r>
              <w:t>Dánsku (-0,1 %). Už na konci roku 2021 se HDP v EU vrátil nad předpandemickou úroveň</w:t>
            </w:r>
            <w:r>
              <w:rPr>
                <w:rStyle w:val="Znakapoznpodarou"/>
              </w:rPr>
              <w:footnoteReference w:id="3"/>
            </w:r>
            <w:r>
              <w:t xml:space="preserve"> a s výjimkou Německa, Španělska a Itálie překonal HDP v zemích EU úroveň 1. čtvrtletí 2019. </w:t>
            </w:r>
          </w:p>
        </w:tc>
      </w:tr>
      <w:tr w:rsidR="00BB7142" w:rsidRPr="009110F7" w14:paraId="3099DBD8" w14:textId="77777777" w:rsidTr="00550540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30577090" w14:textId="77777777" w:rsidR="00BB7142" w:rsidRDefault="00BB7142" w:rsidP="00550540">
            <w:pPr>
              <w:pStyle w:val="Marginlie"/>
            </w:pPr>
            <w:r>
              <w:lastRenderedPageBreak/>
              <w:t>Cenový růst silně podrýval navýšení mezd a platů.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586074D" w14:textId="77777777" w:rsidR="00BB7142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1D2D749" w14:textId="1E262017" w:rsidR="00BB7142" w:rsidRPr="00014ED0" w:rsidRDefault="00BB7142" w:rsidP="00550540">
            <w:pPr>
              <w:rPr>
                <w:spacing w:val="-2"/>
              </w:rPr>
            </w:pPr>
            <w:r>
              <w:rPr>
                <w:spacing w:val="-2"/>
              </w:rPr>
              <w:t>Objem mezd a platů se v 1. čtvrtletí meziročně zvýšil o 11,6 % při celkovém růstu zaměstnanosti o 1,5 %</w:t>
            </w:r>
            <w:r w:rsidRPr="00014ED0">
              <w:rPr>
                <w:rStyle w:val="Znakapoznpodarou"/>
                <w:spacing w:val="-2"/>
              </w:rPr>
              <w:footnoteReference w:id="4"/>
            </w:r>
            <w:r>
              <w:rPr>
                <w:spacing w:val="-2"/>
              </w:rPr>
              <w:t>. Výrazný přírůstek byl ovlivněn srovnáním se slabším 1. kvartálem 2021. Mezičtvrtletně objem mezd a platů narostl o 1,0 %, což je tempo srovnatelné s 2. pololetím 2019, kdy se mzdová dynamika ještě před příchodem pandemie ochlazovala. Mezičtvrtletní přírůstek ale zaostal za obdobím od 3. čtvrtletí 201</w:t>
            </w:r>
            <w:r w:rsidR="00137812">
              <w:rPr>
                <w:spacing w:val="-2"/>
              </w:rPr>
              <w:t>6</w:t>
            </w:r>
            <w:r>
              <w:rPr>
                <w:spacing w:val="-2"/>
              </w:rPr>
              <w:t xml:space="preserve"> do 2. čtvrtletí 2019, které bylo charakteristické prudkým mzdovým růstem. Zaměstnanost se oproti 4. čtvrtletí 2021 zvýšila o 0,4 %. Silný mzdový růst se v 1. čtvrtletí potkal s mimořádným přírůstkem cenové hladiny a po očištění objem mezd a platů reálně meziročně klesl o 0,3 %</w:t>
            </w:r>
            <w:r>
              <w:rPr>
                <w:rStyle w:val="Znakapoznpodarou"/>
                <w:spacing w:val="-2"/>
              </w:rPr>
              <w:footnoteReference w:id="5"/>
            </w:r>
            <w:r>
              <w:rPr>
                <w:spacing w:val="-2"/>
              </w:rPr>
              <w:t>. Nejvíce se meziročně zvyšoval objem mezd a platů vyplacených v oborech silně zasažených pandemickými restrikcemi – v ostatních činnostech (31,0 % při růstu zaměstnanosti o 2,0 %) a v uskupení obchod, doprava, ubytování a pohostinství (23,5 %, růst zaměstnanosti o 1</w:t>
            </w:r>
            <w:r w:rsidR="00374B96">
              <w:rPr>
                <w:spacing w:val="-2"/>
              </w:rPr>
              <w:t>,9 %). Výrazný přírůstek měly i</w:t>
            </w:r>
            <w:r w:rsidR="00374B96">
              <w:t> </w:t>
            </w:r>
            <w:r>
              <w:rPr>
                <w:spacing w:val="-2"/>
              </w:rPr>
              <w:t xml:space="preserve">činnosti v oblasti nemovitostí (25,8 %), které pravděpodobně profitovaly z rostoucích cen bytů promítajících se do provizí. Zároveň zde i prudce </w:t>
            </w:r>
            <w:r w:rsidR="00374B96">
              <w:rPr>
                <w:spacing w:val="-2"/>
              </w:rPr>
              <w:t>narostla zaměstnanost (4,1</w:t>
            </w:r>
            <w:r w:rsidR="00374B96">
              <w:t> </w:t>
            </w:r>
            <w:r>
              <w:rPr>
                <w:spacing w:val="-2"/>
              </w:rPr>
              <w:t>%). Silně rostly mzdy a platy také v peněžnictví a pojišťovnictví (15,5 %, pokles zaměstnanosti o 0,7 %), profesních, vědeckých a administrativních činnostech (12,5 %, růst zaměstnanosti o 0,8 %), informačních a komunikačních činnostech (12,3 %, růst zaměstnanosti o 3,4 %), stavebnictví (11,3 %, růst zaměstnanosti o 3,3 %), ve zpracovatelském průmyslu (8,3 %, růst zaměstnanosti o 0,4 %) a v zemědělství, lesnictví a rybářství (8,0 %, pokles zaměstnanosti o 0,9 %). Nejmírnější meziroční přírůstek měl objem mezd a platů v odvětvích s převahou vládního sektoru</w:t>
            </w:r>
            <w:r>
              <w:rPr>
                <w:rStyle w:val="Znakapoznpodarou"/>
                <w:spacing w:val="-2"/>
              </w:rPr>
              <w:footnoteReference w:id="6"/>
            </w:r>
            <w:r>
              <w:rPr>
                <w:spacing w:val="-2"/>
              </w:rPr>
              <w:t xml:space="preserve"> (5,1 %), kde zaměstnanost byla vyšší o 2,5 %.</w:t>
            </w:r>
          </w:p>
        </w:tc>
      </w:tr>
      <w:tr w:rsidR="00BB7142" w:rsidRPr="009110F7" w14:paraId="68F5BAF1" w14:textId="77777777" w:rsidTr="00550540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1993BC85" w14:textId="77777777" w:rsidR="00BB7142" w:rsidRDefault="00BB7142" w:rsidP="00550540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53B405FE" w14:textId="77777777" w:rsidR="00BB7142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C56CCA5" w14:textId="77777777" w:rsidR="00BB7142" w:rsidRPr="00D721B4" w:rsidRDefault="00BB7142" w:rsidP="00550540">
            <w:pPr>
              <w:spacing w:after="0"/>
              <w:rPr>
                <w:szCs w:val="20"/>
              </w:rPr>
            </w:pPr>
            <w:r w:rsidRPr="00D721B4">
              <w:rPr>
                <w:b/>
                <w:szCs w:val="20"/>
              </w:rPr>
              <w:t>Graf č. 2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výdajových složek k reálné změně HDP*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růst, příspěvky v p. b., HDP v %)</w:t>
            </w:r>
          </w:p>
        </w:tc>
      </w:tr>
      <w:tr w:rsidR="00BB7142" w:rsidRPr="009110F7" w14:paraId="233FA2F6" w14:textId="77777777" w:rsidTr="0055054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3611AA0F" w14:textId="77777777" w:rsidR="00BB7142" w:rsidRDefault="00BB7142" w:rsidP="00550540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5EB5DA9D" w14:textId="77777777" w:rsidR="00BB7142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019098B9" w14:textId="77777777" w:rsidR="00BB7142" w:rsidRDefault="00BB7142" w:rsidP="0055054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4146F32" wp14:editId="1EFA81F2">
                  <wp:extent cx="4737600" cy="3553200"/>
                  <wp:effectExtent l="0" t="0" r="6350" b="0"/>
                  <wp:docPr id="10" name="Graf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BB7142" w:rsidRPr="009110F7" w14:paraId="1C18CE5A" w14:textId="77777777" w:rsidTr="00550540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5B5B8238" w14:textId="77777777" w:rsidR="00BB7142" w:rsidRDefault="00BB7142" w:rsidP="00550540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609F954A" w14:textId="77777777" w:rsidR="00BB7142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52F3277" w14:textId="77777777" w:rsidR="00BB7142" w:rsidRDefault="00BB7142" w:rsidP="00550540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5EAFDF5D" w14:textId="77777777" w:rsidR="00BB7142" w:rsidRDefault="00BB7142" w:rsidP="00550540">
            <w:r>
              <w:rPr>
                <w:sz w:val="14"/>
                <w:szCs w:val="14"/>
              </w:rPr>
              <w:t>* po vyloučení dovozu pro konečné užití</w:t>
            </w:r>
          </w:p>
        </w:tc>
      </w:tr>
      <w:tr w:rsidR="00BB7142" w:rsidRPr="009110F7" w14:paraId="075B16D0" w14:textId="77777777" w:rsidTr="00550540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7EB104D2" w14:textId="77777777" w:rsidR="00BB7142" w:rsidRDefault="00BB7142" w:rsidP="00550540">
            <w:pPr>
              <w:pStyle w:val="Marginlie"/>
            </w:pPr>
            <w:r>
              <w:lastRenderedPageBreak/>
              <w:t>Domácí spotřeba mezičtvrtletně klesala.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812D9FB" w14:textId="77777777" w:rsidR="00BB7142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6416F64" w14:textId="19D5F180" w:rsidR="00BB7142" w:rsidRDefault="00BB7142" w:rsidP="00550540">
            <w:r>
              <w:rPr>
                <w:spacing w:val="-2"/>
              </w:rPr>
              <w:t>Výdaje na konečnou spotřebu byly v 1. čtvrtletí meziročně vyšší o 6,2 % a celkem k meziročnímu růstu HDP přispěly 3,8 p. b.</w:t>
            </w:r>
            <w:r w:rsidRPr="00014ED0">
              <w:rPr>
                <w:rStyle w:val="Znakapoznpodarou"/>
                <w:spacing w:val="-2"/>
              </w:rPr>
              <w:footnoteReference w:id="7"/>
            </w:r>
            <w:r>
              <w:rPr>
                <w:spacing w:val="-2"/>
              </w:rPr>
              <w:t xml:space="preserve"> Vysoký přírůstek ovlivnilo zejména srovnání s nízkou základnou loňského 1. kvartálu. Spotřeba do</w:t>
            </w:r>
            <w:r w:rsidR="00374B96">
              <w:rPr>
                <w:spacing w:val="-2"/>
              </w:rPr>
              <w:t>mácností se meziročně zvýšila o</w:t>
            </w:r>
            <w:r w:rsidR="00374B96">
              <w:t> </w:t>
            </w:r>
            <w:r>
              <w:rPr>
                <w:spacing w:val="-2"/>
              </w:rPr>
              <w:t>8,5 %, zatímco spotřeba vlády rostla o 2,0 %. Mezičtvrtletně se spotřeba celkově snížila podruhé v řadě, a to o 0,8 %. Stál za tím především vývoj u domácností (-1,0 %), ale mírný pokles zaznamenal i sektor vládních institucí (-0,2 %). Domácnosti čelily pokračujícímu zrychlování cenového růstu, což značně zvyšovalo jejich obavy z dalšího ekonomického vývoje a tlumilo jejich nákupní apetit. Spotřeba členěná podle trvanlivosti</w:t>
            </w:r>
            <w:r>
              <w:rPr>
                <w:rStyle w:val="Znakapoznpodarou"/>
              </w:rPr>
              <w:footnoteReference w:id="8"/>
            </w:r>
            <w:r>
              <w:rPr>
                <w:spacing w:val="-2"/>
              </w:rPr>
              <w:t xml:space="preserve"> byla v meziročním pohledu výrazně ovlivněna srovnávací základnou, což je patrné hlavně na přírůstku spotřeby střednědobého zboží</w:t>
            </w:r>
            <w:r>
              <w:rPr>
                <w:rStyle w:val="Znakapoznpodarou"/>
                <w:spacing w:val="-2"/>
              </w:rPr>
              <w:footnoteReference w:id="9"/>
            </w:r>
            <w:r>
              <w:rPr>
                <w:spacing w:val="-2"/>
              </w:rPr>
              <w:t xml:space="preserve"> (29,6 %) a služeb (17,0 %). Mnohem mírnější byl přírůstek spotřeby statků dlouhodobé spotřeby (3,0 %) i netrvanlivého zboží (1,1 %). Mezičtvrtletní srovnání ukazuje, že nejistota domácností se výrazně promítla do spotřeby statků dlouhodobé spotřeby (-8,6 %). Nižší byla i spotřeba střednědobého (</w:t>
            </w:r>
            <w:r>
              <w:rPr>
                <w:spacing w:val="-2"/>
              </w:rPr>
              <w:noBreakHyphen/>
              <w:t>0,6 %) a netrvanlivého (-1,4 %) zboží. Spotřeba služeb se mezičtvrtletně zvý</w:t>
            </w:r>
            <w:r w:rsidR="00374B96">
              <w:rPr>
                <w:spacing w:val="-2"/>
              </w:rPr>
              <w:t>šila o</w:t>
            </w:r>
            <w:r w:rsidR="00374B96">
              <w:t> </w:t>
            </w:r>
            <w:r>
              <w:rPr>
                <w:spacing w:val="-2"/>
              </w:rPr>
              <w:t>4,3 %.</w:t>
            </w:r>
          </w:p>
        </w:tc>
      </w:tr>
      <w:tr w:rsidR="00BB7142" w:rsidRPr="009110F7" w14:paraId="3A431A7A" w14:textId="77777777" w:rsidTr="00550540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4C86E7FA" w14:textId="77777777" w:rsidR="00BB7142" w:rsidRDefault="00BB7142" w:rsidP="00550540">
            <w:pPr>
              <w:pStyle w:val="Marginlie"/>
            </w:pPr>
            <w:r>
              <w:t>Investiční výdaje v 1. čtvrtletí ožily.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E7E476C" w14:textId="77777777" w:rsidR="00BB7142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D86DFC2" w14:textId="3CACE525" w:rsidR="00BB7142" w:rsidRDefault="00BB7142" w:rsidP="00550540">
            <w:r>
              <w:t>Výdaje na tvorbu hrubého kapitálu se meziročně zvýšily o 11,8 % a k růstu HDP celkem přispěly 3,0 p. b. Z toho výdaje na tvorbu hrubého fixního kapitálu (investic) byly vyšší o 7,4 %, což ale bylo podpořeno srovnáním s nízkou základnou loňského 1. čtvrtletí. Meziročně vyšší byly i zásoby</w:t>
            </w:r>
            <w:r>
              <w:rPr>
                <w:rStyle w:val="Znakapoznpodarou"/>
              </w:rPr>
              <w:footnoteReference w:id="10"/>
            </w:r>
            <w:r>
              <w:t>, které obsahovaly nedokončenou produkci čekající na dodávky chybějících součástek. Mezičtvrtletně se výdaje na tvorbu hrubého kapitálu zvýšily o 2,9 %. Z toho ale samotné investice vzrostly o 4,5 %. Investiční aktivita se v průběhu dvou let pandemie značně utlumila a její zotavení bylo znatelně pomalejší než u ostatních složek HDP. Investice vyjádřené ve stálých cenách tak přes výrazné mezičtvrtletní oživení v 1. čtvrtletí nadále zaostávaly za úrovní stejného období roku 2019. Meziroční dynamika investic z pohledu věcného členění tvorby hrubého fixního kapitálu byla rovněž ovlivněna srovnáním se slabým loňským 1. kvartálem, kdy investice do všech oblastí klesaly. Nejvyšší přírůstek tak měly výdaje na dopravní prostředky a zařízení (31,1 %), které se loni nejvíce</w:t>
            </w:r>
            <w:r w:rsidR="00374B96">
              <w:t xml:space="preserve"> propadly. Výrazně vyšší byly i </w:t>
            </w:r>
            <w:r>
              <w:t>investice do obydlí (9,4 %), ostatních budov a staveb (7,3 %) a produktů duševního vlastnictví (5,8 %). Mírně rostly výdaje na ICT a ostatní stroje a zařízení (1,3 %). Oproti 4. čtvrtletí 2021 se nejvíce zvýšily investice do dopravních prostředků a zařízení (11,7 %), ostatních budov a staveb (7,5 %) a produktů duševního vlastnictví (5,7 %). Rostly i výdaje na obydlí (2,1 %) a ICT a ostatní stroje a zařízení (0,3 %).</w:t>
            </w:r>
          </w:p>
        </w:tc>
      </w:tr>
      <w:tr w:rsidR="00BB7142" w:rsidRPr="009110F7" w14:paraId="37142B92" w14:textId="77777777" w:rsidTr="00550540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3B5B7DAE" w14:textId="77777777" w:rsidR="00BB7142" w:rsidRDefault="00BB7142" w:rsidP="00550540">
            <w:pPr>
              <w:pStyle w:val="Marginlie"/>
            </w:pPr>
            <w:r>
              <w:t>Zahraniční poptávka výrazně tlumila meziroční růst HDP.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FF1615D" w14:textId="77777777" w:rsidR="00BB7142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A310EDE" w14:textId="77777777" w:rsidR="00BB7142" w:rsidRDefault="00BB7142" w:rsidP="00550540">
            <w:r>
              <w:t>V 1. čtvrtletí 2022 navzdory částečnému zlepšení dál pokračovaly problémy s narušením globálních dodavatelských řetězců, což negativně ovlivňovalo zejména export zboží</w:t>
            </w:r>
            <w:r w:rsidRPr="009110F7">
              <w:rPr>
                <w:rStyle w:val="Znakapoznpodarou"/>
              </w:rPr>
              <w:footnoteReference w:id="11"/>
            </w:r>
            <w:r>
              <w:t xml:space="preserve">. Ten se reálně meziročně propadl o 2,6 %. Vývoz služeb byl naproti tomu vyšší o 16,0 %. Celkově vývoz reálně meziročně stagnoval (-0,1 %). Mezičtvrtletně se vývoz reálně zvýšil o 3,0 %. Dynamika dovozu se značně lišila. Celkově dovoz meziročně vzrostl o 3,7 %, z toho import zboží o 2,0 % a import služeb o 15,7 %. Oproti předchozímu kvartálu byl dovoz celkově vyšší o 2,3 %. Bilance zahraničního obchodu se zbožím a službami v 1. čtvrtletí celkově dosáhla přebytku 10,7 mld. korun. To představuje meziroční zhoršení o 86,2 mld. Za tímto vývojem stál výhradně obchod se zbožím, který se propadl do deficitu 16,1 mld. korun. Naopak kladné saldo bilance obchodu se službami se meziročně zlepšilo na 26,8 mld.  </w:t>
            </w:r>
          </w:p>
        </w:tc>
      </w:tr>
      <w:tr w:rsidR="00BB7142" w:rsidRPr="009110F7" w14:paraId="2A4D56D7" w14:textId="77777777" w:rsidTr="00550540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1BD86079" w14:textId="77777777" w:rsidR="00BB7142" w:rsidRDefault="00BB7142" w:rsidP="00550540">
            <w:pPr>
              <w:pStyle w:val="Marginlie"/>
            </w:pPr>
            <w:r>
              <w:lastRenderedPageBreak/>
              <w:t>Zejména služby přispívaly k meziročnímu růstu HPH.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6F9D307" w14:textId="77777777" w:rsidR="00BB7142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921A1E9" w14:textId="174B6C01" w:rsidR="00BB7142" w:rsidRPr="00F93F2C" w:rsidRDefault="00BB7142" w:rsidP="00550540">
            <w:r>
              <w:t>Hrubá přidaná hodnota (HPH) se v 1. čtvrtletí 2022 meziročně zvýšila o 4,4 %. Výše meziročního přírůstku i jeho struktura byly ovlivněny srovnáním s loňským 1. kvartálem, kdy ještě nebyly tak vážné problémy s dodávkami komponent v průmyslu, ale zároveň byl silně omezen provoz v maloobchodě a službách. K meziročnímu navýšení HPH tak nejvíce přispívaly služby. Nejvyšší meziroční přírůstek HP</w:t>
            </w:r>
            <w:r w:rsidR="00137812">
              <w:t>H</w:t>
            </w:r>
            <w:r>
              <w:t xml:space="preserve"> mělo uskupení obchod, doprava, ubytování a pohostinství (14,1 %) a dále ostatní činnosti (10,2 %) zahrnující například omezeními zasažené služby osobní péče. Silně rostla i HPH ve stavebnictví, které se také potýkalo s některými překážkami (vysoká nemocnost, omezení činnosti stavebních úřadů apod.). Meziročně rostlo také peněžnictví a pojišťovnictví (5,2 %), činnosti v oblasti nemovitostí (3,6 %), profesní, vědecké, technické a administrativní činnosti (2,7 %), informační a komunikační činnosti (2,6 %) a odvětví s převahou vládního sektoru (2,3 %). Naopak ve srovnání s 1. čtvrtletím 2021 byla nižší HPH ve zpracovatelském průmyslu (-0,7 %) a v zemědělství, lesnictví a rybářství (-2,4 %). </w:t>
            </w:r>
          </w:p>
        </w:tc>
      </w:tr>
      <w:tr w:rsidR="00BB7142" w:rsidRPr="009110F7" w14:paraId="2D552CD7" w14:textId="77777777" w:rsidTr="00550540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74093EDC" w14:textId="77777777" w:rsidR="00BB7142" w:rsidRDefault="00BB7142" w:rsidP="00550540">
            <w:pPr>
              <w:pStyle w:val="Marginlie"/>
            </w:pPr>
            <w:r>
              <w:t>Zpracovatelský průmysl zaznamenal mezičtvrtletní oživení.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1BD6613" w14:textId="77777777" w:rsidR="00BB7142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A01ACF5" w14:textId="68F6D45A" w:rsidR="00BB7142" w:rsidRDefault="00BB7142" w:rsidP="00550540">
            <w:r>
              <w:t>Mezičtvrtletně se HPH zvýšila o 0,8 %. Struktura mezičtvrtletního vývoje se značně lišila od toho meziročního. Ochlazení domácí spotřeby způsobené negativním naladěním domácností ovlivnilo především odvětví služeb. Jen mírně tak rostla HPH v ostatních činnostech (0,7 %) i v uskupení obchod, doprava, ubytování a pohostinství (0,6 %), ale rovněž v profesních, vědeckých, technických a administrativních činnostech (1,0 %), informačních a komunikačních činnostech (0,5 %) a činnostech v oblasti nemovitostí (0,4 %). Mezičtvrtletně výr</w:t>
            </w:r>
            <w:r w:rsidR="00374B96">
              <w:t>azně klesla HPH v peněžnictví a </w:t>
            </w:r>
            <w:r>
              <w:t xml:space="preserve">pojišťovnictví (-3,2 %) a v odvětvích s převahou vládního sektoru (-2,5 %). Prudké oživení se odehrálo ve stavebnictví, kde HPH vzrostla oproti konci roku 2021 o 6,4 %. Na začátku letošního roku se částečně zlepšila i situace v průmyslu, což po dvou čtvrtletích poklesu vedlo k opětovnému oživení ve zpracovatelském průmyslu (3,2 %). </w:t>
            </w:r>
          </w:p>
        </w:tc>
      </w:tr>
      <w:tr w:rsidR="00BB7142" w:rsidRPr="009110F7" w14:paraId="36CE8E16" w14:textId="77777777" w:rsidTr="00550540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37A5F512" w14:textId="77777777" w:rsidR="00BB7142" w:rsidRDefault="00BB7142" w:rsidP="00550540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74B77985" w14:textId="77777777" w:rsidR="00BB7142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DBDD62F" w14:textId="77777777" w:rsidR="00BB7142" w:rsidRPr="00D721B4" w:rsidRDefault="00BB7142" w:rsidP="00550540">
            <w:pPr>
              <w:spacing w:after="0"/>
              <w:rPr>
                <w:szCs w:val="20"/>
              </w:rPr>
            </w:pPr>
            <w:r w:rsidRPr="00D721B4">
              <w:rPr>
                <w:b/>
                <w:szCs w:val="20"/>
              </w:rPr>
              <w:t>Graf č. 3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odvětví k reálné změně HPH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příspěvky v p. b., HPH v %)</w:t>
            </w:r>
          </w:p>
        </w:tc>
      </w:tr>
      <w:tr w:rsidR="00BB7142" w:rsidRPr="009110F7" w14:paraId="12299529" w14:textId="77777777" w:rsidTr="0055054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2D2DA0A2" w14:textId="77777777" w:rsidR="00BB7142" w:rsidRPr="009110F7" w:rsidRDefault="00BB7142" w:rsidP="00550540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4A783AFF" w14:textId="77777777" w:rsidR="00BB7142" w:rsidRPr="009110F7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017C21CE" w14:textId="77777777" w:rsidR="00BB7142" w:rsidRPr="009110F7" w:rsidRDefault="00BB7142" w:rsidP="0055054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B57DDE9" wp14:editId="44E8E193">
                  <wp:extent cx="4737600" cy="3486525"/>
                  <wp:effectExtent l="0" t="0" r="6350" b="0"/>
                  <wp:docPr id="20" name="Graf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BB7142" w:rsidRPr="009110F7" w14:paraId="63270BF1" w14:textId="77777777" w:rsidTr="00550540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604BF7A5" w14:textId="77777777" w:rsidR="00BB7142" w:rsidRPr="009110F7" w:rsidRDefault="00BB7142" w:rsidP="00550540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5D6871A8" w14:textId="77777777" w:rsidR="00BB7142" w:rsidRPr="009110F7" w:rsidRDefault="00BB7142" w:rsidP="0055054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ADD342B" w14:textId="77777777" w:rsidR="00BB7142" w:rsidRPr="009110F7" w:rsidRDefault="00BB7142" w:rsidP="00550540">
            <w:pPr>
              <w:rPr>
                <w:sz w:val="14"/>
                <w:szCs w:val="14"/>
              </w:rPr>
            </w:pPr>
            <w:r w:rsidRPr="00A85DE1">
              <w:rPr>
                <w:sz w:val="14"/>
                <w:szCs w:val="14"/>
              </w:rPr>
              <w:t>Zdroj: ČSÚ</w:t>
            </w:r>
          </w:p>
        </w:tc>
      </w:tr>
    </w:tbl>
    <w:p w14:paraId="6C0210D6" w14:textId="77777777" w:rsidR="00BB7142" w:rsidRPr="00C41D54" w:rsidRDefault="00BB7142" w:rsidP="00BB7142">
      <w:pPr>
        <w:pStyle w:val="Nadpis11"/>
        <w:rPr>
          <w:b w:val="0"/>
          <w:sz w:val="2"/>
          <w:szCs w:val="2"/>
          <w:highlight w:val="yellow"/>
        </w:rPr>
      </w:pPr>
    </w:p>
    <w:p w14:paraId="264CDE5A" w14:textId="77777777" w:rsidR="00BB7142" w:rsidRPr="00DA3ADF" w:rsidRDefault="00BB7142" w:rsidP="00BB7142">
      <w:pPr>
        <w:spacing w:after="0" w:line="240" w:lineRule="auto"/>
        <w:jc w:val="left"/>
        <w:rPr>
          <w:rFonts w:eastAsia="MS Gothic"/>
          <w:bCs/>
          <w:color w:val="71818C"/>
          <w:sz w:val="2"/>
          <w:szCs w:val="2"/>
          <w:highlight w:val="yellow"/>
        </w:rPr>
      </w:pPr>
    </w:p>
    <w:p w14:paraId="6DFAD8DE" w14:textId="77777777" w:rsidR="00BB7142" w:rsidRDefault="00BB7142" w:rsidP="00BB7142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4B5EA300" w14:textId="77777777" w:rsidR="00BB7142" w:rsidRPr="00E42054" w:rsidRDefault="00BB7142" w:rsidP="00BB7142">
      <w:pPr>
        <w:pStyle w:val="Nadpis11"/>
        <w:spacing w:after="0"/>
        <w:rPr>
          <w:b w:val="0"/>
          <w:sz w:val="2"/>
          <w:szCs w:val="2"/>
        </w:rPr>
      </w:pPr>
    </w:p>
    <w:p w14:paraId="08A015A3" w14:textId="77777777" w:rsidR="00BB7142" w:rsidRDefault="00BB7142" w:rsidP="00BB7142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006AD181" w14:textId="77777777" w:rsidR="00BB7142" w:rsidRPr="000F45E7" w:rsidRDefault="00BB7142" w:rsidP="00BB7142">
      <w:pPr>
        <w:pStyle w:val="Nadpis11"/>
        <w:spacing w:after="0"/>
        <w:rPr>
          <w:b w:val="0"/>
          <w:sz w:val="2"/>
          <w:szCs w:val="2"/>
        </w:rPr>
      </w:pPr>
    </w:p>
    <w:p w14:paraId="1CF3F9B0" w14:textId="77777777" w:rsidR="00BB7142" w:rsidRPr="000F45E7" w:rsidRDefault="00BB7142" w:rsidP="00BB7142">
      <w:pPr>
        <w:pStyle w:val="Nadpis11"/>
        <w:spacing w:after="0"/>
        <w:rPr>
          <w:b w:val="0"/>
          <w:sz w:val="2"/>
          <w:szCs w:val="2"/>
        </w:rPr>
      </w:pPr>
    </w:p>
    <w:p w14:paraId="56BE94C7" w14:textId="77777777" w:rsidR="00BB7142" w:rsidRDefault="00BB7142" w:rsidP="00BB7142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685E7257" w14:textId="77777777" w:rsidR="00BB7142" w:rsidRPr="00E42054" w:rsidRDefault="00BB7142" w:rsidP="00BB7142">
      <w:pPr>
        <w:pStyle w:val="Nadpis11"/>
        <w:rPr>
          <w:b w:val="0"/>
          <w:sz w:val="2"/>
          <w:szCs w:val="2"/>
        </w:rPr>
      </w:pPr>
    </w:p>
    <w:bookmarkEnd w:id="2"/>
    <w:p w14:paraId="2AD6EB76" w14:textId="77777777" w:rsidR="00550540" w:rsidRDefault="00550540" w:rsidP="00550540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bookmarkEnd w:id="3"/>
    <w:bookmarkEnd w:id="4"/>
    <w:bookmarkEnd w:id="5"/>
    <w:bookmarkEnd w:id="6"/>
    <w:p w14:paraId="6DCF6EAF" w14:textId="77777777" w:rsidR="00A315D0" w:rsidRPr="000F45E7" w:rsidRDefault="00A315D0" w:rsidP="00A315D0">
      <w:pPr>
        <w:pStyle w:val="Nadpis11"/>
        <w:spacing w:after="0"/>
        <w:rPr>
          <w:b w:val="0"/>
          <w:sz w:val="2"/>
          <w:szCs w:val="2"/>
        </w:rPr>
      </w:pPr>
    </w:p>
    <w:p w14:paraId="5BAB8EA3" w14:textId="6E38B73A" w:rsidR="000663F0" w:rsidRPr="00E42054" w:rsidRDefault="000663F0" w:rsidP="00A315D0">
      <w:pPr>
        <w:pStyle w:val="Nadpis11"/>
        <w:rPr>
          <w:b w:val="0"/>
          <w:sz w:val="2"/>
          <w:szCs w:val="2"/>
        </w:rPr>
      </w:pPr>
    </w:p>
    <w:sectPr w:rsidR="000663F0" w:rsidRPr="00E42054" w:rsidSect="009F719B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8E2B" w14:textId="77777777" w:rsidR="003541BB" w:rsidRDefault="003541BB" w:rsidP="00E71A58">
      <w:r>
        <w:separator/>
      </w:r>
    </w:p>
  </w:endnote>
  <w:endnote w:type="continuationSeparator" w:id="0">
    <w:p w14:paraId="5A48E032" w14:textId="77777777" w:rsidR="003541BB" w:rsidRDefault="003541B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258B9B72" w:rsidR="00825120" w:rsidRPr="00932443" w:rsidRDefault="0082512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B1CDC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12A52D07" w:rsidR="00825120" w:rsidRPr="00932443" w:rsidRDefault="00825120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B1CDC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92A5" w14:textId="77777777" w:rsidR="003541BB" w:rsidRDefault="003541BB" w:rsidP="00A21B4D">
      <w:pPr>
        <w:spacing w:after="0"/>
      </w:pPr>
      <w:r>
        <w:separator/>
      </w:r>
    </w:p>
  </w:footnote>
  <w:footnote w:type="continuationSeparator" w:id="0">
    <w:p w14:paraId="2D99C1CC" w14:textId="77777777" w:rsidR="003541BB" w:rsidRDefault="003541BB" w:rsidP="00E71A58">
      <w:r>
        <w:continuationSeparator/>
      </w:r>
    </w:p>
  </w:footnote>
  <w:footnote w:id="1">
    <w:p w14:paraId="3522AB81" w14:textId="77777777" w:rsidR="00825120" w:rsidRPr="000348AF" w:rsidRDefault="00825120" w:rsidP="00BB7142">
      <w:pPr>
        <w:pStyle w:val="Textpoznpodarou"/>
        <w:rPr>
          <w:sz w:val="16"/>
          <w:szCs w:val="16"/>
        </w:rPr>
      </w:pPr>
      <w:r w:rsidRPr="000348AF">
        <w:rPr>
          <w:rStyle w:val="Znakapoznpodarou"/>
          <w:sz w:val="16"/>
          <w:szCs w:val="16"/>
        </w:rPr>
        <w:footnoteRef/>
      </w:r>
      <w:r w:rsidRPr="000348AF">
        <w:rPr>
          <w:sz w:val="16"/>
          <w:szCs w:val="16"/>
        </w:rPr>
        <w:t xml:space="preserve"> Vývoj HDP, hrubé přidané hodnoty a jejich složek je vyjádřen prostřednictvím objemových indexů (tj. očištěn o vliv cen) a po očištění o sezónní a kalendářní vlivy. Údaje jsou platné k </w:t>
      </w:r>
      <w:r>
        <w:rPr>
          <w:sz w:val="16"/>
          <w:szCs w:val="16"/>
        </w:rPr>
        <w:t>31</w:t>
      </w:r>
      <w:r w:rsidRPr="000348AF">
        <w:rPr>
          <w:sz w:val="16"/>
          <w:szCs w:val="16"/>
        </w:rPr>
        <w:t>. </w:t>
      </w:r>
      <w:r>
        <w:rPr>
          <w:sz w:val="16"/>
          <w:szCs w:val="16"/>
        </w:rPr>
        <w:t>5</w:t>
      </w:r>
      <w:r w:rsidRPr="000348AF">
        <w:rPr>
          <w:sz w:val="16"/>
          <w:szCs w:val="16"/>
        </w:rPr>
        <w:t>. 202</w:t>
      </w:r>
      <w:r>
        <w:rPr>
          <w:sz w:val="16"/>
          <w:szCs w:val="16"/>
        </w:rPr>
        <w:t>2</w:t>
      </w:r>
      <w:r w:rsidRPr="000348AF">
        <w:rPr>
          <w:sz w:val="16"/>
          <w:szCs w:val="16"/>
        </w:rPr>
        <w:t>.</w:t>
      </w:r>
    </w:p>
  </w:footnote>
  <w:footnote w:id="2">
    <w:p w14:paraId="0E1A4B4F" w14:textId="1C31FAD5" w:rsidR="00825120" w:rsidRPr="001E74E3" w:rsidRDefault="00825120" w:rsidP="00BB7142">
      <w:pPr>
        <w:pStyle w:val="Textpoznpodarou"/>
        <w:rPr>
          <w:sz w:val="16"/>
          <w:szCs w:val="16"/>
        </w:rPr>
      </w:pPr>
      <w:r w:rsidRPr="001E74E3">
        <w:rPr>
          <w:rStyle w:val="Znakapoznpodarou"/>
          <w:sz w:val="16"/>
          <w:szCs w:val="16"/>
        </w:rPr>
        <w:footnoteRef/>
      </w:r>
      <w:r w:rsidRPr="001E74E3">
        <w:rPr>
          <w:sz w:val="16"/>
          <w:szCs w:val="16"/>
        </w:rPr>
        <w:t xml:space="preserve"> Data za Bulharsko</w:t>
      </w:r>
      <w:r>
        <w:rPr>
          <w:sz w:val="16"/>
          <w:szCs w:val="16"/>
        </w:rPr>
        <w:t xml:space="preserve"> </w:t>
      </w:r>
      <w:r w:rsidRPr="001E74E3">
        <w:rPr>
          <w:sz w:val="16"/>
          <w:szCs w:val="16"/>
        </w:rPr>
        <w:t>nebyla dostupná.</w:t>
      </w:r>
    </w:p>
  </w:footnote>
  <w:footnote w:id="3">
    <w:p w14:paraId="21C7C834" w14:textId="77777777" w:rsidR="00825120" w:rsidRPr="001E74E3" w:rsidRDefault="00825120" w:rsidP="00BB7142">
      <w:pPr>
        <w:pStyle w:val="Textpoznpodarou"/>
        <w:rPr>
          <w:sz w:val="16"/>
          <w:szCs w:val="16"/>
        </w:rPr>
      </w:pPr>
      <w:r w:rsidRPr="001E74E3">
        <w:rPr>
          <w:rStyle w:val="Znakapoznpodarou"/>
          <w:sz w:val="16"/>
          <w:szCs w:val="16"/>
        </w:rPr>
        <w:footnoteRef/>
      </w:r>
      <w:r w:rsidRPr="001E74E3">
        <w:rPr>
          <w:sz w:val="16"/>
          <w:szCs w:val="16"/>
        </w:rPr>
        <w:t xml:space="preserve"> Srovnání HDP v cenách roku 2015.</w:t>
      </w:r>
    </w:p>
  </w:footnote>
  <w:footnote w:id="4">
    <w:p w14:paraId="085836B4" w14:textId="77777777" w:rsidR="00825120" w:rsidRDefault="00825120" w:rsidP="00BB7142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</w:t>
      </w:r>
      <w:r>
        <w:rPr>
          <w:sz w:val="16"/>
          <w:szCs w:val="16"/>
        </w:rPr>
        <w:t>Zaměstnanost v</w:t>
      </w:r>
      <w:r w:rsidRPr="009C6EA8">
        <w:rPr>
          <w:sz w:val="16"/>
          <w:szCs w:val="16"/>
        </w:rPr>
        <w:t> pojetí národních účtů</w:t>
      </w:r>
      <w:r>
        <w:rPr>
          <w:sz w:val="16"/>
          <w:szCs w:val="16"/>
        </w:rPr>
        <w:t xml:space="preserve"> (osoby)</w:t>
      </w:r>
      <w:r w:rsidRPr="009C6EA8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údaj je </w:t>
      </w:r>
      <w:r w:rsidRPr="009C6EA8">
        <w:rPr>
          <w:sz w:val="16"/>
          <w:szCs w:val="16"/>
        </w:rPr>
        <w:t>sezónně očištěn</w:t>
      </w:r>
      <w:r w:rsidRPr="00004BA8">
        <w:rPr>
          <w:sz w:val="16"/>
        </w:rPr>
        <w:t>.</w:t>
      </w:r>
    </w:p>
  </w:footnote>
  <w:footnote w:id="5">
    <w:p w14:paraId="3B3759A1" w14:textId="77777777" w:rsidR="00825120" w:rsidRPr="005F75B1" w:rsidRDefault="00825120" w:rsidP="00BB7142">
      <w:pPr>
        <w:pStyle w:val="Textpoznpodarou"/>
        <w:rPr>
          <w:sz w:val="16"/>
          <w:szCs w:val="16"/>
        </w:rPr>
      </w:pPr>
      <w:r w:rsidRPr="005F75B1">
        <w:rPr>
          <w:rStyle w:val="Znakapoznpodarou"/>
          <w:sz w:val="16"/>
          <w:szCs w:val="16"/>
        </w:rPr>
        <w:footnoteRef/>
      </w:r>
      <w:r w:rsidRPr="005F75B1">
        <w:rPr>
          <w:sz w:val="16"/>
          <w:szCs w:val="16"/>
        </w:rPr>
        <w:t xml:space="preserve"> Do reálného vyjádření převedeno s pomocí deflátoru spotřeby domácností.</w:t>
      </w:r>
    </w:p>
  </w:footnote>
  <w:footnote w:id="6">
    <w:p w14:paraId="55763ED8" w14:textId="77777777" w:rsidR="00825120" w:rsidRPr="00771972" w:rsidRDefault="00825120" w:rsidP="00BB7142">
      <w:pPr>
        <w:pStyle w:val="Textpoznpodarou"/>
        <w:rPr>
          <w:sz w:val="16"/>
          <w:szCs w:val="16"/>
        </w:rPr>
      </w:pPr>
      <w:r w:rsidRPr="00771972">
        <w:rPr>
          <w:rStyle w:val="Znakapoznpodarou"/>
          <w:sz w:val="16"/>
          <w:szCs w:val="16"/>
        </w:rPr>
        <w:footnoteRef/>
      </w:r>
      <w:r w:rsidRPr="00771972">
        <w:rPr>
          <w:sz w:val="16"/>
          <w:szCs w:val="16"/>
        </w:rPr>
        <w:t xml:space="preserve"> Veřejná správa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obrana, vzdělávání, zdravotní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sociální péče.</w:t>
      </w:r>
    </w:p>
  </w:footnote>
  <w:footnote w:id="7">
    <w:p w14:paraId="3455B7A4" w14:textId="77777777" w:rsidR="00825120" w:rsidRPr="009C6EA8" w:rsidRDefault="00825120" w:rsidP="00BB7142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8">
    <w:p w14:paraId="5772D9E1" w14:textId="77777777" w:rsidR="00825120" w:rsidRPr="00954992" w:rsidRDefault="00825120" w:rsidP="00BB7142">
      <w:pPr>
        <w:pStyle w:val="Textpoznpodarou"/>
        <w:rPr>
          <w:sz w:val="16"/>
          <w:szCs w:val="16"/>
        </w:rPr>
      </w:pPr>
      <w:r w:rsidRPr="00954992">
        <w:rPr>
          <w:rStyle w:val="Znakapoznpodarou"/>
          <w:sz w:val="16"/>
          <w:szCs w:val="16"/>
        </w:rPr>
        <w:footnoteRef/>
      </w:r>
      <w:r w:rsidRPr="00954992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spotřebě dle trvanlivosti jsou v domácím pojetí</w:t>
      </w:r>
      <w:r>
        <w:rPr>
          <w:sz w:val="16"/>
          <w:szCs w:val="16"/>
        </w:rPr>
        <w:t>.</w:t>
      </w:r>
    </w:p>
  </w:footnote>
  <w:footnote w:id="9">
    <w:p w14:paraId="6C1D7BA1" w14:textId="77777777" w:rsidR="00825120" w:rsidRPr="00AA3676" w:rsidRDefault="00825120" w:rsidP="00BB7142">
      <w:pPr>
        <w:pStyle w:val="Textpoznpodarou"/>
        <w:rPr>
          <w:sz w:val="16"/>
          <w:szCs w:val="16"/>
        </w:rPr>
      </w:pPr>
      <w:r w:rsidRPr="00AA3676">
        <w:rPr>
          <w:rStyle w:val="Znakapoznpodarou"/>
          <w:sz w:val="16"/>
          <w:szCs w:val="16"/>
        </w:rPr>
        <w:footnoteRef/>
      </w:r>
      <w:r w:rsidRPr="00AA3676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AA3676">
        <w:rPr>
          <w:spacing w:val="-2"/>
          <w:sz w:val="16"/>
          <w:szCs w:val="16"/>
        </w:rPr>
        <w:t>elká část omezeného maloobchodu</w:t>
      </w:r>
      <w:r>
        <w:rPr>
          <w:spacing w:val="-2"/>
          <w:sz w:val="16"/>
          <w:szCs w:val="16"/>
        </w:rPr>
        <w:t xml:space="preserve"> spadá do kategorie zboží střednědobé spotřeby </w:t>
      </w:r>
      <w:r w:rsidRPr="00AA3676">
        <w:rPr>
          <w:spacing w:val="-2"/>
          <w:sz w:val="16"/>
          <w:szCs w:val="16"/>
        </w:rPr>
        <w:t>– oděvy, rekreační a</w:t>
      </w:r>
      <w:r>
        <w:rPr>
          <w:spacing w:val="-2"/>
          <w:sz w:val="16"/>
          <w:szCs w:val="16"/>
        </w:rPr>
        <w:t> </w:t>
      </w:r>
      <w:r w:rsidRPr="00AA3676">
        <w:rPr>
          <w:spacing w:val="-2"/>
          <w:sz w:val="16"/>
          <w:szCs w:val="16"/>
        </w:rPr>
        <w:t>sportovní potřeby a</w:t>
      </w:r>
      <w:r>
        <w:rPr>
          <w:spacing w:val="-2"/>
          <w:sz w:val="16"/>
          <w:szCs w:val="16"/>
        </w:rPr>
        <w:t> </w:t>
      </w:r>
      <w:r w:rsidRPr="00AA3676">
        <w:rPr>
          <w:spacing w:val="-2"/>
          <w:sz w:val="16"/>
          <w:szCs w:val="16"/>
        </w:rPr>
        <w:t>pod</w:t>
      </w:r>
      <w:r>
        <w:rPr>
          <w:spacing w:val="-2"/>
          <w:sz w:val="16"/>
          <w:szCs w:val="16"/>
        </w:rPr>
        <w:t>obně</w:t>
      </w:r>
      <w:r w:rsidRPr="00AA3676">
        <w:rPr>
          <w:spacing w:val="-2"/>
          <w:sz w:val="16"/>
          <w:szCs w:val="16"/>
        </w:rPr>
        <w:t>.</w:t>
      </w:r>
    </w:p>
  </w:footnote>
  <w:footnote w:id="10">
    <w:p w14:paraId="421CC919" w14:textId="77777777" w:rsidR="00825120" w:rsidRPr="004831F6" w:rsidRDefault="00825120" w:rsidP="00BB7142">
      <w:pPr>
        <w:pStyle w:val="Textpoznpodarou"/>
        <w:rPr>
          <w:sz w:val="16"/>
          <w:szCs w:val="16"/>
        </w:rPr>
      </w:pPr>
      <w:r w:rsidRPr="004831F6">
        <w:rPr>
          <w:rStyle w:val="Znakapoznpodarou"/>
          <w:sz w:val="16"/>
          <w:szCs w:val="16"/>
        </w:rPr>
        <w:footnoteRef/>
      </w:r>
      <w:r w:rsidRPr="004831F6">
        <w:rPr>
          <w:sz w:val="16"/>
          <w:szCs w:val="16"/>
        </w:rPr>
        <w:t xml:space="preserve"> Změna zásob</w:t>
      </w:r>
      <w:r>
        <w:rPr>
          <w:sz w:val="16"/>
          <w:szCs w:val="16"/>
        </w:rPr>
        <w:t xml:space="preserve"> (v běžných cenách a sezónně očištěná)</w:t>
      </w:r>
      <w:r w:rsidRPr="004831F6">
        <w:rPr>
          <w:sz w:val="16"/>
          <w:szCs w:val="16"/>
        </w:rPr>
        <w:t xml:space="preserve"> dosáhla</w:t>
      </w:r>
      <w:r>
        <w:rPr>
          <w:sz w:val="16"/>
          <w:szCs w:val="16"/>
        </w:rPr>
        <w:t xml:space="preserve"> v 1. čtvrtletí 90,0 mld. korun.</w:t>
      </w:r>
    </w:p>
  </w:footnote>
  <w:footnote w:id="11">
    <w:p w14:paraId="655B966D" w14:textId="77777777" w:rsidR="00825120" w:rsidRPr="00167B30" w:rsidRDefault="00825120" w:rsidP="00BB7142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>. Bilance zahraničního obchodu v běžných cenách a po sezónním očištění.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825120" w:rsidRDefault="00825120" w:rsidP="00937AE2">
    <w:pPr>
      <w:pStyle w:val="Zhlav"/>
    </w:pPr>
    <w:r>
      <w:t>Vývoj ekonomiky České republiky</w:t>
    </w:r>
  </w:p>
  <w:p w14:paraId="3E881AB3" w14:textId="77777777" w:rsidR="00825120" w:rsidRPr="006F5416" w:rsidRDefault="00825120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825120" w:rsidRDefault="00825120" w:rsidP="00937AE2">
    <w:pPr>
      <w:pStyle w:val="Zhlav"/>
    </w:pPr>
    <w:r>
      <w:t>Vývoj ekonomiky České republiky</w:t>
    </w:r>
  </w:p>
  <w:p w14:paraId="57266714" w14:textId="77777777" w:rsidR="00825120" w:rsidRPr="006F5416" w:rsidRDefault="00825120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5756821">
    <w:abstractNumId w:val="24"/>
  </w:num>
  <w:num w:numId="2" w16cid:durableId="2128891545">
    <w:abstractNumId w:val="8"/>
  </w:num>
  <w:num w:numId="3" w16cid:durableId="1689477642">
    <w:abstractNumId w:val="3"/>
  </w:num>
  <w:num w:numId="4" w16cid:durableId="1804039572">
    <w:abstractNumId w:val="2"/>
  </w:num>
  <w:num w:numId="5" w16cid:durableId="1613583959">
    <w:abstractNumId w:val="1"/>
  </w:num>
  <w:num w:numId="6" w16cid:durableId="16590817">
    <w:abstractNumId w:val="0"/>
  </w:num>
  <w:num w:numId="7" w16cid:durableId="289477326">
    <w:abstractNumId w:val="9"/>
  </w:num>
  <w:num w:numId="8" w16cid:durableId="202140121">
    <w:abstractNumId w:val="7"/>
  </w:num>
  <w:num w:numId="9" w16cid:durableId="810100706">
    <w:abstractNumId w:val="6"/>
  </w:num>
  <w:num w:numId="10" w16cid:durableId="1002195951">
    <w:abstractNumId w:val="5"/>
  </w:num>
  <w:num w:numId="11" w16cid:durableId="270630198">
    <w:abstractNumId w:val="4"/>
  </w:num>
  <w:num w:numId="12" w16cid:durableId="559706410">
    <w:abstractNumId w:val="14"/>
  </w:num>
  <w:num w:numId="13" w16cid:durableId="500782980">
    <w:abstractNumId w:val="26"/>
  </w:num>
  <w:num w:numId="14" w16cid:durableId="1388721509">
    <w:abstractNumId w:val="13"/>
  </w:num>
  <w:num w:numId="15" w16cid:durableId="583422021">
    <w:abstractNumId w:val="19"/>
  </w:num>
  <w:num w:numId="16" w16cid:durableId="1698894308">
    <w:abstractNumId w:val="15"/>
  </w:num>
  <w:num w:numId="17" w16cid:durableId="764305198">
    <w:abstractNumId w:val="27"/>
  </w:num>
  <w:num w:numId="18" w16cid:durableId="998967631">
    <w:abstractNumId w:val="20"/>
  </w:num>
  <w:num w:numId="19" w16cid:durableId="937182363">
    <w:abstractNumId w:val="28"/>
  </w:num>
  <w:num w:numId="20" w16cid:durableId="1289119499">
    <w:abstractNumId w:val="29"/>
  </w:num>
  <w:num w:numId="21" w16cid:durableId="1520119771">
    <w:abstractNumId w:val="25"/>
  </w:num>
  <w:num w:numId="22" w16cid:durableId="1785418426">
    <w:abstractNumId w:val="18"/>
  </w:num>
  <w:num w:numId="23" w16cid:durableId="1335763447">
    <w:abstractNumId w:val="16"/>
  </w:num>
  <w:num w:numId="24" w16cid:durableId="926689859">
    <w:abstractNumId w:val="17"/>
  </w:num>
  <w:num w:numId="25" w16cid:durableId="878979949">
    <w:abstractNumId w:val="12"/>
  </w:num>
  <w:num w:numId="26" w16cid:durableId="1960405582">
    <w:abstractNumId w:val="22"/>
  </w:num>
  <w:num w:numId="27" w16cid:durableId="877012024">
    <w:abstractNumId w:val="21"/>
  </w:num>
  <w:num w:numId="28" w16cid:durableId="1361276676">
    <w:abstractNumId w:val="10"/>
  </w:num>
  <w:num w:numId="29" w16cid:durableId="890993651">
    <w:abstractNumId w:val="29"/>
  </w:num>
  <w:num w:numId="30" w16cid:durableId="1708287588">
    <w:abstractNumId w:val="23"/>
  </w:num>
  <w:num w:numId="31" w16cid:durableId="910695841">
    <w:abstractNumId w:val="11"/>
  </w:num>
  <w:num w:numId="32" w16cid:durableId="4797356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CD3"/>
    <w:rsid w:val="001F75DA"/>
    <w:rsid w:val="001F7CE0"/>
    <w:rsid w:val="00200085"/>
    <w:rsid w:val="00201633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5CEB"/>
    <w:rsid w:val="0051630F"/>
    <w:rsid w:val="00517113"/>
    <w:rsid w:val="0052007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19B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15D0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5C36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4E72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A4D"/>
    <w:rsid w:val="00F91B66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1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1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24257007767645E-2"/>
          <c:y val="2.3046636085626952E-2"/>
          <c:w val="0.92008633063154344"/>
          <c:h val="0.74192840256671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cat>
            <c:multiLvlStrRef>
              <c:f>'souhrnná výkonnost 1'!$A$25:$B$45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1'!$C$25:$C$45</c:f>
              <c:numCache>
                <c:formatCode>#\ ##0.0</c:formatCode>
                <c:ptCount val="21"/>
                <c:pt idx="0">
                  <c:v>3.5703667972288571</c:v>
                </c:pt>
                <c:pt idx="1">
                  <c:v>6.1313858438531526</c:v>
                </c:pt>
                <c:pt idx="2">
                  <c:v>5.8793571478929323</c:v>
                </c:pt>
                <c:pt idx="3">
                  <c:v>5.8948576142013849</c:v>
                </c:pt>
                <c:pt idx="4">
                  <c:v>4.8045186709861412</c:v>
                </c:pt>
                <c:pt idx="5" formatCode="General">
                  <c:v>2.6817351351516834</c:v>
                </c:pt>
                <c:pt idx="6" formatCode="General">
                  <c:v>2.7294466842677565</c:v>
                </c:pt>
                <c:pt idx="7">
                  <c:v>2.5583350179001485</c:v>
                </c:pt>
                <c:pt idx="8">
                  <c:v>2.9671766091530287</c:v>
                </c:pt>
                <c:pt idx="9" formatCode="General">
                  <c:v>3.0195090485548093</c:v>
                </c:pt>
                <c:pt idx="10" formatCode="General">
                  <c:v>2.9551051697276307</c:v>
                </c:pt>
                <c:pt idx="11" formatCode="General">
                  <c:v>2.8845218371908743</c:v>
                </c:pt>
                <c:pt idx="12" formatCode="General">
                  <c:v>-1.4789298016082597</c:v>
                </c:pt>
                <c:pt idx="13" formatCode="General">
                  <c:v>-10.941056198550214</c:v>
                </c:pt>
                <c:pt idx="14" formatCode="General">
                  <c:v>-5.4805373705362399</c:v>
                </c:pt>
                <c:pt idx="15" formatCode="General">
                  <c:v>-5.3144733686297201</c:v>
                </c:pt>
                <c:pt idx="16" formatCode="General">
                  <c:v>-2.2890397743192636</c:v>
                </c:pt>
                <c:pt idx="17" formatCode="General">
                  <c:v>8.7208941054759208</c:v>
                </c:pt>
                <c:pt idx="18" formatCode="General">
                  <c:v>3.5747719598019216</c:v>
                </c:pt>
                <c:pt idx="19" formatCode="General">
                  <c:v>3.5675370561548618</c:v>
                </c:pt>
                <c:pt idx="20" formatCode="General">
                  <c:v>4.8255838356427034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27-436D-987F-CBC092ED830B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EU27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invertIfNegative val="0"/>
          <c:cat>
            <c:multiLvlStrRef>
              <c:f>'souhrnná výkonnost 1'!$A$25:$B$45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1'!$D$25:$D$45</c:f>
              <c:numCache>
                <c:formatCode>#\ ##0.0</c:formatCode>
                <c:ptCount val="21"/>
                <c:pt idx="0">
                  <c:v>2.4</c:v>
                </c:pt>
                <c:pt idx="1">
                  <c:v>2.9</c:v>
                </c:pt>
                <c:pt idx="2">
                  <c:v>3.2</c:v>
                </c:pt>
                <c:pt idx="3">
                  <c:v>3.2</c:v>
                </c:pt>
                <c:pt idx="4">
                  <c:v>2.6</c:v>
                </c:pt>
                <c:pt idx="5">
                  <c:v>2.2999999999999998</c:v>
                </c:pt>
                <c:pt idx="6">
                  <c:v>1.7</c:v>
                </c:pt>
                <c:pt idx="7">
                  <c:v>1.5</c:v>
                </c:pt>
                <c:pt idx="8">
                  <c:v>2.2000000000000002</c:v>
                </c:pt>
                <c:pt idx="9">
                  <c:v>1.9</c:v>
                </c:pt>
                <c:pt idx="10">
                  <c:v>2</c:v>
                </c:pt>
                <c:pt idx="11">
                  <c:v>1.4</c:v>
                </c:pt>
                <c:pt idx="12">
                  <c:v>-2.6</c:v>
                </c:pt>
                <c:pt idx="13">
                  <c:v>-13.7</c:v>
                </c:pt>
                <c:pt idx="14">
                  <c:v>-3.9</c:v>
                </c:pt>
                <c:pt idx="15">
                  <c:v>-4</c:v>
                </c:pt>
                <c:pt idx="16">
                  <c:v>-0.9</c:v>
                </c:pt>
                <c:pt idx="17">
                  <c:v>14</c:v>
                </c:pt>
                <c:pt idx="18">
                  <c:v>4.2</c:v>
                </c:pt>
                <c:pt idx="19">
                  <c:v>4.9000000000000004</c:v>
                </c:pt>
                <c:pt idx="20">
                  <c:v>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27-436D-987F-CBC092ED83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7753344"/>
        <c:axId val="267767808"/>
      </c:barChart>
      <c:lineChart>
        <c:grouping val="standard"/>
        <c:varyColors val="0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1'!$A$25:$B$45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1'!$E$25:$E$45</c:f>
              <c:numCache>
                <c:formatCode>#\ ##0.0</c:formatCode>
                <c:ptCount val="21"/>
                <c:pt idx="0">
                  <c:v>1.5355778838110723</c:v>
                </c:pt>
                <c:pt idx="1">
                  <c:v>2.8172481596437962</c:v>
                </c:pt>
                <c:pt idx="2">
                  <c:v>0.56471681577477284</c:v>
                </c:pt>
                <c:pt idx="3">
                  <c:v>0.86605021849675268</c:v>
                </c:pt>
                <c:pt idx="4">
                  <c:v>0.49012395731429592</c:v>
                </c:pt>
                <c:pt idx="5">
                  <c:v>0.73471618143510398</c:v>
                </c:pt>
                <c:pt idx="6">
                  <c:v>0.61144468241420213</c:v>
                </c:pt>
                <c:pt idx="7">
                  <c:v>0.69804232504577612</c:v>
                </c:pt>
                <c:pt idx="8">
                  <c:v>0.89072077059854848</c:v>
                </c:pt>
                <c:pt idx="9" formatCode="General">
                  <c:v>0.78591398644272203</c:v>
                </c:pt>
                <c:pt idx="10" formatCode="General">
                  <c:v>0.54854623384075296</c:v>
                </c:pt>
                <c:pt idx="11" formatCode="General">
                  <c:v>0.62900637587634378</c:v>
                </c:pt>
                <c:pt idx="12" formatCode="General">
                  <c:v>-3.388171457551536</c:v>
                </c:pt>
                <c:pt idx="13" formatCode="General">
                  <c:v>-8.8937317507653688</c:v>
                </c:pt>
                <c:pt idx="14" formatCode="General">
                  <c:v>6.7135332233943217</c:v>
                </c:pt>
                <c:pt idx="15" formatCode="General">
                  <c:v>0.80580441346323539</c:v>
                </c:pt>
                <c:pt idx="16" formatCode="General">
                  <c:v>-0.30118781729530042</c:v>
                </c:pt>
                <c:pt idx="17" formatCode="General">
                  <c:v>1.3719947055316482</c:v>
                </c:pt>
                <c:pt idx="18" formatCode="General">
                  <c:v>1.662426156235199</c:v>
                </c:pt>
                <c:pt idx="19" formatCode="General">
                  <c:v>0.79876292770184421</c:v>
                </c:pt>
                <c:pt idx="20" formatCode="General">
                  <c:v>0.90986511637835576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427-436D-987F-CBC092ED830B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EU27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1'!$A$25:$B$45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1'!$F$25:$F$45</c:f>
              <c:numCache>
                <c:formatCode>#\ ##0.0</c:formatCode>
                <c:ptCount val="21"/>
                <c:pt idx="0">
                  <c:v>0.7</c:v>
                </c:pt>
                <c:pt idx="1">
                  <c:v>0.9</c:v>
                </c:pt>
                <c:pt idx="2">
                  <c:v>0.7</c:v>
                </c:pt>
                <c:pt idx="3">
                  <c:v>0.9</c:v>
                </c:pt>
                <c:pt idx="4">
                  <c:v>0.2</c:v>
                </c:pt>
                <c:pt idx="5">
                  <c:v>0.6</c:v>
                </c:pt>
                <c:pt idx="6">
                  <c:v>0.1</c:v>
                </c:pt>
                <c:pt idx="7">
                  <c:v>0.6</c:v>
                </c:pt>
                <c:pt idx="8">
                  <c:v>0.8</c:v>
                </c:pt>
                <c:pt idx="9">
                  <c:v>0.3</c:v>
                </c:pt>
                <c:pt idx="10">
                  <c:v>0.3</c:v>
                </c:pt>
                <c:pt idx="11">
                  <c:v>0</c:v>
                </c:pt>
                <c:pt idx="12">
                  <c:v>-3.1</c:v>
                </c:pt>
                <c:pt idx="13">
                  <c:v>-11.2</c:v>
                </c:pt>
                <c:pt idx="14">
                  <c:v>11.7</c:v>
                </c:pt>
                <c:pt idx="15">
                  <c:v>-0.2</c:v>
                </c:pt>
                <c:pt idx="16">
                  <c:v>0.1</c:v>
                </c:pt>
                <c:pt idx="17">
                  <c:v>2.1</c:v>
                </c:pt>
                <c:pt idx="18">
                  <c:v>2.2000000000000002</c:v>
                </c:pt>
                <c:pt idx="19">
                  <c:v>0.5</c:v>
                </c:pt>
                <c:pt idx="20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427-436D-987F-CBC092ED83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753344"/>
        <c:axId val="267767808"/>
      </c:lineChart>
      <c:catAx>
        <c:axId val="26775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767808"/>
        <c:crosses val="autoZero"/>
        <c:auto val="1"/>
        <c:lblAlgn val="ctr"/>
        <c:lblOffset val="100"/>
        <c:noMultiLvlLbl val="0"/>
      </c:catAx>
      <c:valAx>
        <c:axId val="267767808"/>
        <c:scaling>
          <c:orientation val="minMax"/>
          <c:max val="15"/>
          <c:min val="-1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753344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8431906450523471E-2"/>
          <c:y val="0.89437255125717996"/>
          <c:w val="0.91838441404930771"/>
          <c:h val="9.0301755758791014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629137115839245E-2"/>
          <c:y val="2.8458510079622041E-2"/>
          <c:w val="0.93688386524822698"/>
          <c:h val="0.6497469886299676"/>
        </c:manualLayout>
      </c:layout>
      <c:barChart>
        <c:barDir val="col"/>
        <c:grouping val="stacked"/>
        <c:varyColors val="0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3'!$D$26:$D$46</c:f>
              <c:numCache>
                <c:formatCode>#\ ##0.0</c:formatCode>
                <c:ptCount val="21"/>
                <c:pt idx="0">
                  <c:v>1.1317605173808631</c:v>
                </c:pt>
                <c:pt idx="1">
                  <c:v>1.4117084709383003</c:v>
                </c:pt>
                <c:pt idx="2">
                  <c:v>1.3280225164734749</c:v>
                </c:pt>
                <c:pt idx="3">
                  <c:v>1.0794473419672266</c:v>
                </c:pt>
                <c:pt idx="4">
                  <c:v>1.580542821710847</c:v>
                </c:pt>
                <c:pt idx="5">
                  <c:v>1.2036281398321482</c:v>
                </c:pt>
                <c:pt idx="6">
                  <c:v>0.99314647332669792</c:v>
                </c:pt>
                <c:pt idx="7">
                  <c:v>0.88688082354953479</c:v>
                </c:pt>
                <c:pt idx="8">
                  <c:v>0.92742283153358485</c:v>
                </c:pt>
                <c:pt idx="9">
                  <c:v>1.2648435786040815</c:v>
                </c:pt>
                <c:pt idx="10">
                  <c:v>1.0200882664173805</c:v>
                </c:pt>
                <c:pt idx="11">
                  <c:v>1.1768223210480195</c:v>
                </c:pt>
                <c:pt idx="12">
                  <c:v>-0.91830335911448924</c:v>
                </c:pt>
                <c:pt idx="13">
                  <c:v>-3.3026648907213207</c:v>
                </c:pt>
                <c:pt idx="14">
                  <c:v>-2.0346444917072359</c:v>
                </c:pt>
                <c:pt idx="15">
                  <c:v>-4.4970793086911476</c:v>
                </c:pt>
                <c:pt idx="16">
                  <c:v>-3.1633667842789337</c:v>
                </c:pt>
                <c:pt idx="17">
                  <c:v>1.6154466213042813</c:v>
                </c:pt>
                <c:pt idx="18">
                  <c:v>2.291117307275583</c:v>
                </c:pt>
                <c:pt idx="19">
                  <c:v>3.7811650610568606</c:v>
                </c:pt>
                <c:pt idx="20">
                  <c:v>3.3866923039064099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45-4C69-918A-37B0DD31AC8B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3'!$E$26:$E$46</c:f>
              <c:numCache>
                <c:formatCode>#\ ##0.0</c:formatCode>
                <c:ptCount val="21"/>
                <c:pt idx="0">
                  <c:v>0.44404461559069486</c:v>
                </c:pt>
                <c:pt idx="1">
                  <c:v>0.37751399613724029</c:v>
                </c:pt>
                <c:pt idx="2">
                  <c:v>0.21407569926635237</c:v>
                </c:pt>
                <c:pt idx="3">
                  <c:v>0.2341267263946423</c:v>
                </c:pt>
                <c:pt idx="4">
                  <c:v>0.57862841580255708</c:v>
                </c:pt>
                <c:pt idx="5">
                  <c:v>0.55642773333565732</c:v>
                </c:pt>
                <c:pt idx="6">
                  <c:v>0.89021022766775593</c:v>
                </c:pt>
                <c:pt idx="7">
                  <c:v>0.75191010842186412</c:v>
                </c:pt>
                <c:pt idx="8">
                  <c:v>0.41419150368088392</c:v>
                </c:pt>
                <c:pt idx="9">
                  <c:v>0.52913615091977828</c:v>
                </c:pt>
                <c:pt idx="10">
                  <c:v>0.42716769248184294</c:v>
                </c:pt>
                <c:pt idx="11">
                  <c:v>0.3389878995673522</c:v>
                </c:pt>
                <c:pt idx="12">
                  <c:v>0.69883245212185363</c:v>
                </c:pt>
                <c:pt idx="13">
                  <c:v>0.61496658870765319</c:v>
                </c:pt>
                <c:pt idx="14">
                  <c:v>0.42402640924857915</c:v>
                </c:pt>
                <c:pt idx="15">
                  <c:v>1.1052744191656214</c:v>
                </c:pt>
                <c:pt idx="16">
                  <c:v>0.53344847361464809</c:v>
                </c:pt>
                <c:pt idx="17">
                  <c:v>0.13552176177719671</c:v>
                </c:pt>
                <c:pt idx="18">
                  <c:v>1.4471323219850756</c:v>
                </c:pt>
                <c:pt idx="19">
                  <c:v>0.18913035918082605</c:v>
                </c:pt>
                <c:pt idx="20">
                  <c:v>0.39731479748852494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45-4C69-918A-37B0DD31AC8B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3'!$G$26:$G$46</c:f>
              <c:numCache>
                <c:formatCode>#\ ##0.0</c:formatCode>
                <c:ptCount val="21"/>
                <c:pt idx="0">
                  <c:v>-1.2630660286446516</c:v>
                </c:pt>
                <c:pt idx="1">
                  <c:v>0.84009326563270514</c:v>
                </c:pt>
                <c:pt idx="2">
                  <c:v>1.6097758497475534</c:v>
                </c:pt>
                <c:pt idx="3">
                  <c:v>2.3721301843681739</c:v>
                </c:pt>
                <c:pt idx="4">
                  <c:v>2.8713468902027719</c:v>
                </c:pt>
                <c:pt idx="5">
                  <c:v>1.5905888817549036</c:v>
                </c:pt>
                <c:pt idx="6">
                  <c:v>1.9208851743389141</c:v>
                </c:pt>
                <c:pt idx="7">
                  <c:v>0.56073143718343366</c:v>
                </c:pt>
                <c:pt idx="8">
                  <c:v>1.5826437930914861</c:v>
                </c:pt>
                <c:pt idx="9">
                  <c:v>-0.15800458401897696</c:v>
                </c:pt>
                <c:pt idx="10">
                  <c:v>5.6924086841567925E-2</c:v>
                </c:pt>
                <c:pt idx="11">
                  <c:v>2.5116661705287227</c:v>
                </c:pt>
                <c:pt idx="12">
                  <c:v>-0.61859997120139953</c:v>
                </c:pt>
                <c:pt idx="13">
                  <c:v>-0.1104431651754639</c:v>
                </c:pt>
                <c:pt idx="14">
                  <c:v>-3.8589775640830584</c:v>
                </c:pt>
                <c:pt idx="15">
                  <c:v>-5.2855728465562315</c:v>
                </c:pt>
                <c:pt idx="16">
                  <c:v>0.48067215758709692</c:v>
                </c:pt>
                <c:pt idx="17">
                  <c:v>2.1921453114504836</c:v>
                </c:pt>
                <c:pt idx="18">
                  <c:v>5.6542736728274869</c:v>
                </c:pt>
                <c:pt idx="19">
                  <c:v>5.9938062852095877</c:v>
                </c:pt>
                <c:pt idx="20">
                  <c:v>3.0399291812668183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45-4C69-918A-37B0DD31AC8B}"/>
            </c:ext>
          </c:extLst>
        </c:ser>
        <c:ser>
          <c:idx val="1"/>
          <c:order val="4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3'!$F$26:$F$46</c:f>
              <c:numCache>
                <c:formatCode>#\ ##0.0</c:formatCode>
                <c:ptCount val="21"/>
                <c:pt idx="0">
                  <c:v>3.1780322387555695</c:v>
                </c:pt>
                <c:pt idx="1">
                  <c:v>3.4186500578903547</c:v>
                </c:pt>
                <c:pt idx="2">
                  <c:v>2.6451757604214197</c:v>
                </c:pt>
                <c:pt idx="3">
                  <c:v>2.134600536374907</c:v>
                </c:pt>
                <c:pt idx="4">
                  <c:v>-0.34846185861429246</c:v>
                </c:pt>
                <c:pt idx="5">
                  <c:v>-0.77956175506757264</c:v>
                </c:pt>
                <c:pt idx="6">
                  <c:v>-1.1814783274089611</c:v>
                </c:pt>
                <c:pt idx="7">
                  <c:v>0.25173122797348579</c:v>
                </c:pt>
                <c:pt idx="8">
                  <c:v>4.8271345411210476E-4</c:v>
                </c:pt>
                <c:pt idx="9">
                  <c:v>1.3310256349867293</c:v>
                </c:pt>
                <c:pt idx="10">
                  <c:v>1.3927593162025209</c:v>
                </c:pt>
                <c:pt idx="11">
                  <c:v>-1.1986582855082308</c:v>
                </c:pt>
                <c:pt idx="12">
                  <c:v>-0.70704049567154237</c:v>
                </c:pt>
                <c:pt idx="13">
                  <c:v>-8.1880750230478405</c:v>
                </c:pt>
                <c:pt idx="14">
                  <c:v>-4.2914045921098154E-2</c:v>
                </c:pt>
                <c:pt idx="15">
                  <c:v>3.3212284987957057</c:v>
                </c:pt>
                <c:pt idx="16">
                  <c:v>-0.15762794617150133</c:v>
                </c:pt>
                <c:pt idx="17">
                  <c:v>4.7308315250286768</c:v>
                </c:pt>
                <c:pt idx="18">
                  <c:v>-5.8737642462475739</c:v>
                </c:pt>
                <c:pt idx="19">
                  <c:v>-6.4460894581651713</c:v>
                </c:pt>
                <c:pt idx="20">
                  <c:v>-2.0008077775309285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45-4C69-918A-37B0DD31AC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267591040"/>
        <c:axId val="267605120"/>
      </c:barChart>
      <c:lineChart>
        <c:grouping val="standard"/>
        <c:varyColors val="0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3'!$A$26:$B$46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3'!$C$26:$C$46</c:f>
              <c:numCache>
                <c:formatCode>#\ ##0.0</c:formatCode>
                <c:ptCount val="21"/>
                <c:pt idx="0">
                  <c:v>3.5703737623319967</c:v>
                </c:pt>
                <c:pt idx="1">
                  <c:v>6.1313612268321123</c:v>
                </c:pt>
                <c:pt idx="2">
                  <c:v>5.8793927561599588</c:v>
                </c:pt>
                <c:pt idx="3">
                  <c:v>5.8948496206722893</c:v>
                </c:pt>
                <c:pt idx="4">
                  <c:v>4.8044975547299202</c:v>
                </c:pt>
                <c:pt idx="5">
                  <c:v>2.6817571455975582</c:v>
                </c:pt>
                <c:pt idx="6">
                  <c:v>2.7294056681603536</c:v>
                </c:pt>
                <c:pt idx="7">
                  <c:v>2.5583059250702433</c:v>
                </c:pt>
                <c:pt idx="8">
                  <c:v>2.9672187450501895</c:v>
                </c:pt>
                <c:pt idx="9">
                  <c:v>3.0195256065361349</c:v>
                </c:pt>
                <c:pt idx="10">
                  <c:v>2.9551413626175673</c:v>
                </c:pt>
                <c:pt idx="11">
                  <c:v>2.8845629323214155</c:v>
                </c:pt>
                <c:pt idx="12">
                  <c:v>-1.4789706833147562</c:v>
                </c:pt>
                <c:pt idx="13">
                  <c:v>-10.941068998528863</c:v>
                </c:pt>
                <c:pt idx="14">
                  <c:v>-5.4805545556813797</c:v>
                </c:pt>
                <c:pt idx="15">
                  <c:v>-5.3144927200724794</c:v>
                </c:pt>
                <c:pt idx="16">
                  <c:v>-2.2890543718047667</c:v>
                </c:pt>
                <c:pt idx="17">
                  <c:v>8.720905569196276</c:v>
                </c:pt>
                <c:pt idx="18">
                  <c:v>3.5747563985142108</c:v>
                </c:pt>
                <c:pt idx="19">
                  <c:v>3.5675555453902348</c:v>
                </c:pt>
                <c:pt idx="20">
                  <c:v>4.8256161657073591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B45-4C69-918A-37B0DD31AC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591040"/>
        <c:axId val="267605120"/>
      </c:lineChart>
      <c:catAx>
        <c:axId val="26759104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605120"/>
        <c:crosses val="autoZero"/>
        <c:auto val="1"/>
        <c:lblAlgn val="ctr"/>
        <c:lblOffset val="100"/>
        <c:noMultiLvlLbl val="0"/>
      </c:catAx>
      <c:valAx>
        <c:axId val="267605120"/>
        <c:scaling>
          <c:orientation val="minMax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591040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71766295170556E-2"/>
          <c:y val="0.79301446583361457"/>
          <c:w val="0.93781598277608913"/>
          <c:h val="0.19014325115388939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26857480580882E-2"/>
          <c:y val="2.9499886988623526E-2"/>
          <c:w val="0.9260266801756164"/>
          <c:h val="0.63445260610154264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4'!$C$26:$C$46</c:f>
              <c:numCache>
                <c:formatCode>#\ ##0.0</c:formatCode>
                <c:ptCount val="21"/>
                <c:pt idx="0">
                  <c:v>-1.3383627512345413E-2</c:v>
                </c:pt>
                <c:pt idx="1">
                  <c:v>-0.10833526835550926</c:v>
                </c:pt>
                <c:pt idx="2">
                  <c:v>-0.17417145567790579</c:v>
                </c:pt>
                <c:pt idx="3">
                  <c:v>-5.6339788104083438E-2</c:v>
                </c:pt>
                <c:pt idx="4">
                  <c:v>3.3108455773835969E-2</c:v>
                </c:pt>
                <c:pt idx="5">
                  <c:v>6.7464623058102177E-2</c:v>
                </c:pt>
                <c:pt idx="6">
                  <c:v>0.13279889414520776</c:v>
                </c:pt>
                <c:pt idx="7">
                  <c:v>0.13730282461152749</c:v>
                </c:pt>
                <c:pt idx="8">
                  <c:v>8.2716288855485917E-2</c:v>
                </c:pt>
                <c:pt idx="9">
                  <c:v>9.2139384026042048E-2</c:v>
                </c:pt>
                <c:pt idx="10">
                  <c:v>0.10854763671027451</c:v>
                </c:pt>
                <c:pt idx="11">
                  <c:v>0.11881072235188453</c:v>
                </c:pt>
                <c:pt idx="12">
                  <c:v>0.14176672431872625</c:v>
                </c:pt>
                <c:pt idx="13">
                  <c:v>0.11249081704706697</c:v>
                </c:pt>
                <c:pt idx="14">
                  <c:v>0.13981604653752278</c:v>
                </c:pt>
                <c:pt idx="15">
                  <c:v>0.14108758003622204</c:v>
                </c:pt>
                <c:pt idx="16">
                  <c:v>0.17900703663426615</c:v>
                </c:pt>
                <c:pt idx="17">
                  <c:v>7.2506421246637323E-2</c:v>
                </c:pt>
                <c:pt idx="18">
                  <c:v>-1.6379806986056851E-2</c:v>
                </c:pt>
                <c:pt idx="19">
                  <c:v>-6.8844801145360518E-3</c:v>
                </c:pt>
                <c:pt idx="20">
                  <c:v>-5.1383548859152382E-2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91-4F9D-83B7-B76D917F62ED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4'!$D$26:$D$46</c:f>
              <c:numCache>
                <c:formatCode>#\ ##0.0</c:formatCode>
                <c:ptCount val="21"/>
                <c:pt idx="0">
                  <c:v>1.3672331304188452</c:v>
                </c:pt>
                <c:pt idx="1">
                  <c:v>3.1345037144202608</c:v>
                </c:pt>
                <c:pt idx="2">
                  <c:v>3.0577731838821371</c:v>
                </c:pt>
                <c:pt idx="3">
                  <c:v>2.3545310158669421</c:v>
                </c:pt>
                <c:pt idx="4">
                  <c:v>1.5576365516094002</c:v>
                </c:pt>
                <c:pt idx="5">
                  <c:v>0.11177812966818869</c:v>
                </c:pt>
                <c:pt idx="6">
                  <c:v>3.2580368933372936E-3</c:v>
                </c:pt>
                <c:pt idx="7">
                  <c:v>0.30391701062646553</c:v>
                </c:pt>
                <c:pt idx="8">
                  <c:v>0.83241284936767035</c:v>
                </c:pt>
                <c:pt idx="9">
                  <c:v>1.3015365945875272</c:v>
                </c:pt>
                <c:pt idx="10">
                  <c:v>1.3300175165245307</c:v>
                </c:pt>
                <c:pt idx="11">
                  <c:v>1.0288201442114486</c:v>
                </c:pt>
                <c:pt idx="12">
                  <c:v>-0.53997016525009367</c:v>
                </c:pt>
                <c:pt idx="13">
                  <c:v>-5.0059253286549321</c:v>
                </c:pt>
                <c:pt idx="14">
                  <c:v>-1.4512995132900004</c:v>
                </c:pt>
                <c:pt idx="15">
                  <c:v>-0.93383709307716245</c:v>
                </c:pt>
                <c:pt idx="16">
                  <c:v>0.24301763888415101</c:v>
                </c:pt>
                <c:pt idx="17">
                  <c:v>5.2148903014490848</c:v>
                </c:pt>
                <c:pt idx="18">
                  <c:v>-1.1847504961120501E-2</c:v>
                </c:pt>
                <c:pt idx="19">
                  <c:v>-0.83103868081077603</c:v>
                </c:pt>
                <c:pt idx="20">
                  <c:v>-0.16253656667708172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91-4F9D-83B7-B76D917F62ED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 D, 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4'!$E$26:$E$46</c:f>
              <c:numCache>
                <c:formatCode>#\ ##0.0</c:formatCode>
                <c:ptCount val="21"/>
                <c:pt idx="0">
                  <c:v>0.19369937090646161</c:v>
                </c:pt>
                <c:pt idx="1">
                  <c:v>8.7518834667852374E-2</c:v>
                </c:pt>
                <c:pt idx="2">
                  <c:v>0.12818764673017169</c:v>
                </c:pt>
                <c:pt idx="3">
                  <c:v>-3.2004861050359601E-2</c:v>
                </c:pt>
                <c:pt idx="4">
                  <c:v>-0.10299697854726397</c:v>
                </c:pt>
                <c:pt idx="5">
                  <c:v>-3.2072706595271713E-2</c:v>
                </c:pt>
                <c:pt idx="6" formatCode="General">
                  <c:v>8.1524592449955802E-2</c:v>
                </c:pt>
                <c:pt idx="7" formatCode="General">
                  <c:v>-6.1061461784250731E-2</c:v>
                </c:pt>
                <c:pt idx="8" formatCode="General">
                  <c:v>-0.20672058053663489</c:v>
                </c:pt>
                <c:pt idx="9" formatCode="General">
                  <c:v>-0.37407520858030863</c:v>
                </c:pt>
                <c:pt idx="10" formatCode="General">
                  <c:v>-0.71461913133162358</c:v>
                </c:pt>
                <c:pt idx="11" formatCode="General">
                  <c:v>-0.46214248963662286</c:v>
                </c:pt>
                <c:pt idx="12" formatCode="General">
                  <c:v>-0.81690718824149333</c:v>
                </c:pt>
                <c:pt idx="13" formatCode="General">
                  <c:v>-0.98259068427443541</c:v>
                </c:pt>
                <c:pt idx="14" formatCode="General">
                  <c:v>-0.69616872252867079</c:v>
                </c:pt>
                <c:pt idx="15" formatCode="General">
                  <c:v>-0.50667466553829965</c:v>
                </c:pt>
                <c:pt idx="16" formatCode="General">
                  <c:v>-5.7408288596247942E-2</c:v>
                </c:pt>
                <c:pt idx="17" formatCode="General">
                  <c:v>1.7323206610549313E-2</c:v>
                </c:pt>
                <c:pt idx="18" formatCode="General">
                  <c:v>-5.9582054005638999E-2</c:v>
                </c:pt>
                <c:pt idx="19" formatCode="General">
                  <c:v>0.14499323093082672</c:v>
                </c:pt>
                <c:pt idx="20" formatCode="General">
                  <c:v>0.16926989164590731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91-4F9D-83B7-B76D917F62ED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val>
            <c:numRef>
              <c:f>'souhrnná výkonnost 4'!$F$26:$F$46</c:f>
              <c:numCache>
                <c:formatCode>#\ ##0.0</c:formatCode>
                <c:ptCount val="21"/>
                <c:pt idx="0">
                  <c:v>-0.1200139265751739</c:v>
                </c:pt>
                <c:pt idx="1">
                  <c:v>0.12420386515100609</c:v>
                </c:pt>
                <c:pt idx="2">
                  <c:v>7.1592239994959186E-2</c:v>
                </c:pt>
                <c:pt idx="3">
                  <c:v>0.17310415185088521</c:v>
                </c:pt>
                <c:pt idx="4">
                  <c:v>0.12249795664753446</c:v>
                </c:pt>
                <c:pt idx="5">
                  <c:v>-4.2660685745634658E-3</c:v>
                </c:pt>
                <c:pt idx="6">
                  <c:v>-1.804304477728428E-2</c:v>
                </c:pt>
                <c:pt idx="7">
                  <c:v>-0.11218045217553656</c:v>
                </c:pt>
                <c:pt idx="8">
                  <c:v>-0.20636296686894753</c:v>
                </c:pt>
                <c:pt idx="9">
                  <c:v>-6.4792774942168993E-2</c:v>
                </c:pt>
                <c:pt idx="10">
                  <c:v>-7.9269271643787567E-2</c:v>
                </c:pt>
                <c:pt idx="11">
                  <c:v>-5.6020948993661966E-2</c:v>
                </c:pt>
                <c:pt idx="12">
                  <c:v>-0.19166724504190716</c:v>
                </c:pt>
                <c:pt idx="13">
                  <c:v>-0.60285314635125042</c:v>
                </c:pt>
                <c:pt idx="14">
                  <c:v>-0.54705863394275789</c:v>
                </c:pt>
                <c:pt idx="15">
                  <c:v>-0.62000534365189297</c:v>
                </c:pt>
                <c:pt idx="16">
                  <c:v>-0.35112387537046952</c:v>
                </c:pt>
                <c:pt idx="17">
                  <c:v>0.13089203537873381</c:v>
                </c:pt>
                <c:pt idx="18">
                  <c:v>0.19554263714751663</c:v>
                </c:pt>
                <c:pt idx="19">
                  <c:v>0.2511651684826044</c:v>
                </c:pt>
                <c:pt idx="20">
                  <c:v>0.55357331058899262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91-4F9D-83B7-B76D917F62ED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4'!$G$26:$G$46</c:f>
              <c:numCache>
                <c:formatCode>#\ ##0.0</c:formatCode>
                <c:ptCount val="21"/>
                <c:pt idx="0">
                  <c:v>2.1480829000947486</c:v>
                </c:pt>
                <c:pt idx="1">
                  <c:v>3.0747805417077498</c:v>
                </c:pt>
                <c:pt idx="2">
                  <c:v>2.9994469566684199</c:v>
                </c:pt>
                <c:pt idx="3">
                  <c:v>3.2896815901667287</c:v>
                </c:pt>
                <c:pt idx="4">
                  <c:v>3.1749514751083248</c:v>
                </c:pt>
                <c:pt idx="5">
                  <c:v>2.6275397496035438</c:v>
                </c:pt>
                <c:pt idx="6" formatCode="General">
                  <c:v>2.7719971256974341</c:v>
                </c:pt>
                <c:pt idx="7" formatCode="General">
                  <c:v>2.5972842205241453</c:v>
                </c:pt>
                <c:pt idx="8" formatCode="General">
                  <c:v>2.508296604685702</c:v>
                </c:pt>
                <c:pt idx="9" formatCode="General">
                  <c:v>2.0834684133018309</c:v>
                </c:pt>
                <c:pt idx="10" formatCode="General">
                  <c:v>2.1657395752754183</c:v>
                </c:pt>
                <c:pt idx="11" formatCode="General">
                  <c:v>2.2150289387573601</c:v>
                </c:pt>
                <c:pt idx="12" formatCode="General">
                  <c:v>0.34230053373551261</c:v>
                </c:pt>
                <c:pt idx="13" formatCode="General">
                  <c:v>-4.6560146884593276</c:v>
                </c:pt>
                <c:pt idx="14" formatCode="General">
                  <c:v>-2.6811516290968198</c:v>
                </c:pt>
                <c:pt idx="15" formatCode="General">
                  <c:v>-3.0565525802031988</c:v>
                </c:pt>
                <c:pt idx="16" formatCode="General">
                  <c:v>-2.3505685017365381</c:v>
                </c:pt>
                <c:pt idx="17" formatCode="General">
                  <c:v>3.5103868916827978</c:v>
                </c:pt>
                <c:pt idx="18" formatCode="General">
                  <c:v>3.1305815399825971</c:v>
                </c:pt>
                <c:pt idx="19" formatCode="General">
                  <c:v>3.5885735785153754</c:v>
                </c:pt>
                <c:pt idx="20" formatCode="General">
                  <c:v>3.8469792254139494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91-4F9D-83B7-B76D917F62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69005952"/>
        <c:axId val="269007488"/>
      </c:barChart>
      <c:lineChart>
        <c:grouping val="standard"/>
        <c:varyColors val="0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4'!$A$26:$B$46</c:f>
              <c:multiLvlStrCache>
                <c:ptCount val="2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</c:lvl>
              </c:multiLvlStrCache>
            </c:multiLvlStrRef>
          </c:cat>
          <c:val>
            <c:numRef>
              <c:f>'souhrnná výkonnost 4'!$H$26:$H$46</c:f>
              <c:numCache>
                <c:formatCode>#\ ##0.0</c:formatCode>
                <c:ptCount val="21"/>
                <c:pt idx="0">
                  <c:v>3.5756277740391482</c:v>
                </c:pt>
                <c:pt idx="1">
                  <c:v>6.3126226044967666</c:v>
                </c:pt>
                <c:pt idx="2">
                  <c:v>6.0829220489310671</c:v>
                </c:pt>
                <c:pt idx="3">
                  <c:v>5.7291078447527326</c:v>
                </c:pt>
                <c:pt idx="4">
                  <c:v>4.8981845225873855</c:v>
                </c:pt>
                <c:pt idx="5">
                  <c:v>2.7705379621629049</c:v>
                </c:pt>
                <c:pt idx="6">
                  <c:v>2.9716135031952859</c:v>
                </c:pt>
                <c:pt idx="7">
                  <c:v>2.8650954448108195</c:v>
                </c:pt>
                <c:pt idx="8">
                  <c:v>3.0103555185936557</c:v>
                </c:pt>
                <c:pt idx="9">
                  <c:v>3.0382784412400667</c:v>
                </c:pt>
                <c:pt idx="10">
                  <c:v>2.810283179001118</c:v>
                </c:pt>
                <c:pt idx="11">
                  <c:v>2.8446208831943522</c:v>
                </c:pt>
                <c:pt idx="12">
                  <c:v>-1.0644038654311032</c:v>
                </c:pt>
                <c:pt idx="13">
                  <c:v>-11.134782014990577</c:v>
                </c:pt>
                <c:pt idx="14">
                  <c:v>-5.2357382347572923</c:v>
                </c:pt>
                <c:pt idx="15">
                  <c:v>-4.9764580569393075</c:v>
                </c:pt>
                <c:pt idx="16">
                  <c:v>-2.3372794449665548</c:v>
                </c:pt>
                <c:pt idx="17">
                  <c:v>8.945679973679475</c:v>
                </c:pt>
                <c:pt idx="18">
                  <c:v>3.2382126684297248</c:v>
                </c:pt>
                <c:pt idx="19">
                  <c:v>3.147351368300022</c:v>
                </c:pt>
                <c:pt idx="20">
                  <c:v>4.3561557871294951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E91-4F9D-83B7-B76D917F62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005952"/>
        <c:axId val="269007488"/>
      </c:lineChart>
      <c:catAx>
        <c:axId val="26900595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9007488"/>
        <c:crosses val="autoZero"/>
        <c:auto val="1"/>
        <c:lblAlgn val="ctr"/>
        <c:lblOffset val="100"/>
        <c:noMultiLvlLbl val="0"/>
      </c:catAx>
      <c:valAx>
        <c:axId val="269007488"/>
        <c:scaling>
          <c:orientation val="minMax"/>
          <c:max val="9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9005952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144292468760548E-2"/>
          <c:y val="0.79016604750647301"/>
          <c:w val="0.92386482607227283"/>
          <c:h val="0.1946248452099494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7592-90E9-43CD-8442-E35C6D50E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0F67F-4687-48EB-B9B8-C4A0B0DC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3</TotalTime>
  <Pages>4</Pages>
  <Words>1422</Words>
  <Characters>8394</Characters>
  <Application>Microsoft Office Word</Application>
  <DocSecurity>0</DocSecurity>
  <Lines>69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9797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3</cp:revision>
  <cp:lastPrinted>2019-04-08T10:52:00Z</cp:lastPrinted>
  <dcterms:created xsi:type="dcterms:W3CDTF">2022-06-15T08:05:00Z</dcterms:created>
  <dcterms:modified xsi:type="dcterms:W3CDTF">2022-06-15T08:46:00Z</dcterms:modified>
</cp:coreProperties>
</file>