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2FC80" w14:textId="7268F208" w:rsidR="008F2E83" w:rsidRDefault="008F2E83" w:rsidP="008F2E83">
      <w:pPr>
        <w:pStyle w:val="Nadpis11"/>
      </w:pPr>
      <w:bookmarkStart w:id="0" w:name="_Toc114134051"/>
      <w:bookmarkStart w:id="1" w:name="_GoBack"/>
      <w:bookmarkEnd w:id="1"/>
      <w:r w:rsidRPr="00787441">
        <w:rPr>
          <w:szCs w:val="32"/>
        </w:rPr>
        <w:t>8</w:t>
      </w:r>
      <w:r>
        <w:t>. </w:t>
      </w:r>
      <w:r w:rsidRPr="009110F7">
        <w:t>Státní rozpočet</w:t>
      </w:r>
      <w:bookmarkEnd w:id="0"/>
    </w:p>
    <w:tbl>
      <w:tblPr>
        <w:tblW w:w="9669" w:type="dxa"/>
        <w:tblInd w:w="-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5"/>
        <w:gridCol w:w="217"/>
        <w:gridCol w:w="7647"/>
      </w:tblGrid>
      <w:tr w:rsidR="008F2E83" w:rsidRPr="003C07E6" w14:paraId="7090E3FE" w14:textId="77777777" w:rsidTr="007B54AE">
        <w:trPr>
          <w:trHeight w:val="145"/>
        </w:trPr>
        <w:tc>
          <w:tcPr>
            <w:tcW w:w="1803" w:type="dxa"/>
            <w:shd w:val="clear" w:color="auto" w:fill="auto"/>
            <w:tcMar>
              <w:left w:w="0" w:type="dxa"/>
            </w:tcMar>
          </w:tcPr>
          <w:p w14:paraId="749D6E46" w14:textId="77777777" w:rsidR="008F2E83" w:rsidRDefault="008F2E83" w:rsidP="000C7A79">
            <w:pPr>
              <w:pStyle w:val="Marginlie"/>
            </w:pPr>
            <w:r>
              <w:t xml:space="preserve">Pololetní deficit státního rozpočtu zůstal hluboký, ve srovnání s lety 2020 </w:t>
            </w:r>
            <w:r>
              <w:br/>
              <w:t>i 2021 se však zmírnil.</w:t>
            </w:r>
          </w:p>
          <w:p w14:paraId="569C60F9" w14:textId="77777777" w:rsidR="008F2E83" w:rsidRDefault="008F2E83" w:rsidP="000C7A79">
            <w:pPr>
              <w:pStyle w:val="Marginlie"/>
            </w:pPr>
          </w:p>
          <w:p w14:paraId="48411FE0" w14:textId="77777777" w:rsidR="008F2E83" w:rsidRDefault="008F2E83" w:rsidP="000C7A79">
            <w:pPr>
              <w:pStyle w:val="Marginlie"/>
            </w:pPr>
          </w:p>
          <w:p w14:paraId="0570B20A" w14:textId="77777777" w:rsidR="008F2E83" w:rsidRDefault="008F2E83" w:rsidP="000C7A79">
            <w:pPr>
              <w:pStyle w:val="Marginlie"/>
            </w:pPr>
          </w:p>
          <w:p w14:paraId="4F6ADF0E" w14:textId="77777777" w:rsidR="008F2E83" w:rsidRDefault="008F2E83" w:rsidP="000C7A79">
            <w:pPr>
              <w:pStyle w:val="Marginlie"/>
            </w:pPr>
          </w:p>
          <w:p w14:paraId="51FC097B" w14:textId="77777777" w:rsidR="008F2E83" w:rsidRDefault="008F2E83" w:rsidP="000C7A79">
            <w:pPr>
              <w:pStyle w:val="Marginlie"/>
            </w:pPr>
          </w:p>
          <w:p w14:paraId="4D049504" w14:textId="77777777" w:rsidR="008F2E83" w:rsidRDefault="008F2E83" w:rsidP="000C7A79">
            <w:pPr>
              <w:pStyle w:val="Marginlie"/>
            </w:pPr>
          </w:p>
          <w:p w14:paraId="43D5926B" w14:textId="77777777" w:rsidR="008F2E83" w:rsidRDefault="008F2E83" w:rsidP="000C7A79">
            <w:pPr>
              <w:pStyle w:val="Marginlie"/>
            </w:pPr>
            <w:r>
              <w:t>Celkové daňové inkaso poprvé překonalo předpandemickou úroveň.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735EF626" w14:textId="77777777" w:rsidR="008F2E83" w:rsidRDefault="008F2E83" w:rsidP="000C7A79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9" w:type="dxa"/>
            <w:shd w:val="clear" w:color="auto" w:fill="auto"/>
            <w:tcMar>
              <w:left w:w="0" w:type="dxa"/>
            </w:tcMar>
          </w:tcPr>
          <w:p w14:paraId="1D16037F" w14:textId="611805C0" w:rsidR="008F2E83" w:rsidRPr="00A92514" w:rsidRDefault="008F2E83" w:rsidP="000C7A79">
            <w:pPr>
              <w:spacing w:after="220"/>
              <w:rPr>
                <w:spacing w:val="-4"/>
              </w:rPr>
            </w:pPr>
            <w:r w:rsidRPr="00A92514">
              <w:rPr>
                <w:spacing w:val="-4"/>
              </w:rPr>
              <w:t>Za 1. pololetí 2022 vykázal tuzemský státní rozpočet (SR)</w:t>
            </w:r>
            <w:r w:rsidRPr="00A92514">
              <w:rPr>
                <w:rStyle w:val="Znakapoznpodarou"/>
                <w:spacing w:val="-4"/>
              </w:rPr>
              <w:footnoteReference w:id="1"/>
            </w:r>
            <w:r w:rsidRPr="00A92514">
              <w:rPr>
                <w:spacing w:val="-4"/>
              </w:rPr>
              <w:t xml:space="preserve"> schodek v hodnotě </w:t>
            </w:r>
            <w:r>
              <w:rPr>
                <w:spacing w:val="-4"/>
              </w:rPr>
              <w:br/>
            </w:r>
            <w:r w:rsidR="005A70CA">
              <w:rPr>
                <w:spacing w:val="-4"/>
              </w:rPr>
              <w:t xml:space="preserve">183 mld. korun, </w:t>
            </w:r>
            <w:r w:rsidRPr="00A92514">
              <w:rPr>
                <w:spacing w:val="-4"/>
              </w:rPr>
              <w:t xml:space="preserve">deficit </w:t>
            </w:r>
            <w:r w:rsidR="005A70CA" w:rsidRPr="00A92514">
              <w:rPr>
                <w:spacing w:val="-4"/>
              </w:rPr>
              <w:t xml:space="preserve">byl </w:t>
            </w:r>
            <w:r w:rsidR="005A70CA">
              <w:rPr>
                <w:spacing w:val="-4"/>
              </w:rPr>
              <w:t>v tomto období patrný pá</w:t>
            </w:r>
            <w:r w:rsidR="005A70CA" w:rsidRPr="00A92514">
              <w:rPr>
                <w:spacing w:val="-4"/>
              </w:rPr>
              <w:t xml:space="preserve">tým </w:t>
            </w:r>
            <w:r w:rsidRPr="00A92514">
              <w:rPr>
                <w:spacing w:val="-4"/>
              </w:rPr>
              <w:t xml:space="preserve">rokem v řadě. Letošní schodek byl ale nižší než výsledek z první poloviny let 2020 i 2021. Projevilo se zde uvolnění tlaků na mimořádné výdaje (v souvislosti s ukončením protipandemických restrikcí) při současném postupném zotavování ekonomiky. To bylo ovšem za přispění zvýšeného geopolitického napětí doprovázeno jak nebývale silným cenovým růstem, tak i potřebou neočekávaných výdajů spojených s uprchlickou vlnou z Ukrajiny. Navzdory jarnímu oživení řady služeb </w:t>
            </w:r>
            <w:r>
              <w:rPr>
                <w:spacing w:val="-4"/>
              </w:rPr>
              <w:br/>
            </w:r>
            <w:r w:rsidRPr="00A92514">
              <w:rPr>
                <w:spacing w:val="-4"/>
              </w:rPr>
              <w:t xml:space="preserve">(vč. cestovního ruchu) se tak ve 2. čtvrtletí </w:t>
            </w:r>
            <w:r>
              <w:rPr>
                <w:spacing w:val="-4"/>
              </w:rPr>
              <w:t xml:space="preserve">významně prohloubil rozpočtový schodek </w:t>
            </w:r>
            <w:r w:rsidRPr="00A92514">
              <w:rPr>
                <w:spacing w:val="-4"/>
              </w:rPr>
              <w:t>ve srovnání s pře</w:t>
            </w:r>
            <w:r>
              <w:rPr>
                <w:spacing w:val="-4"/>
              </w:rPr>
              <w:t>d</w:t>
            </w:r>
            <w:r w:rsidRPr="00A92514">
              <w:rPr>
                <w:spacing w:val="-4"/>
              </w:rPr>
              <w:t>chozím kvartálem</w:t>
            </w:r>
            <w:r>
              <w:rPr>
                <w:spacing w:val="-4"/>
              </w:rPr>
              <w:t>.</w:t>
            </w:r>
            <w:r w:rsidRPr="00A92514">
              <w:rPr>
                <w:spacing w:val="-4"/>
              </w:rPr>
              <w:t xml:space="preserve"> Roli v tom hrálo i ukončení režimu rozpočtového provizoria na konci letošního března</w:t>
            </w:r>
            <w:r w:rsidRPr="00A92514">
              <w:rPr>
                <w:rStyle w:val="Znakapoznpodarou"/>
                <w:spacing w:val="-4"/>
              </w:rPr>
              <w:footnoteReference w:id="2"/>
            </w:r>
            <w:r w:rsidRPr="00A92514">
              <w:rPr>
                <w:spacing w:val="-4"/>
              </w:rPr>
              <w:t>. Na druhou stranu ekonomické oživení i růst cen způsobily, že celkové daňové inkaso</w:t>
            </w:r>
            <w:r w:rsidRPr="00A92514">
              <w:rPr>
                <w:rStyle w:val="Znakapoznpodarou"/>
                <w:spacing w:val="-4"/>
              </w:rPr>
              <w:footnoteReference w:id="3"/>
            </w:r>
            <w:r w:rsidRPr="00A92514">
              <w:rPr>
                <w:spacing w:val="-4"/>
              </w:rPr>
              <w:t xml:space="preserve"> letos v 1. pololetí poprvé překonalo rekordní úroveň ze srovnatelného období před propuknutím pandemie</w:t>
            </w:r>
            <w:r w:rsidRPr="00A92514">
              <w:rPr>
                <w:rStyle w:val="Znakapoznpodarou"/>
                <w:spacing w:val="-4"/>
              </w:rPr>
              <w:footnoteReference w:id="4"/>
            </w:r>
            <w:r w:rsidRPr="00A92514">
              <w:rPr>
                <w:spacing w:val="-4"/>
              </w:rPr>
              <w:t>.</w:t>
            </w:r>
          </w:p>
        </w:tc>
      </w:tr>
      <w:tr w:rsidR="008F2E83" w:rsidRPr="003C07E6" w14:paraId="03BD78BB" w14:textId="77777777" w:rsidTr="007B54AE">
        <w:trPr>
          <w:trHeight w:val="145"/>
        </w:trPr>
        <w:tc>
          <w:tcPr>
            <w:tcW w:w="1803" w:type="dxa"/>
            <w:shd w:val="clear" w:color="auto" w:fill="auto"/>
            <w:tcMar>
              <w:left w:w="0" w:type="dxa"/>
            </w:tcMar>
          </w:tcPr>
          <w:p w14:paraId="018784B5" w14:textId="77777777" w:rsidR="008F2E83" w:rsidRDefault="008F2E83" w:rsidP="000C7A79">
            <w:pPr>
              <w:pStyle w:val="Marginlie"/>
            </w:pPr>
            <w:r>
              <w:t>Daňové příjmy rostly hlavně zásluhou výběru DPH. Příjmy z rozpočtu EU klesly a zaostaly i za rozpočtovým očekáváním.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46FAC9ED" w14:textId="77777777" w:rsidR="008F2E83" w:rsidRDefault="008F2E83" w:rsidP="000C7A79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9" w:type="dxa"/>
            <w:shd w:val="clear" w:color="auto" w:fill="auto"/>
            <w:tcMar>
              <w:left w:w="0" w:type="dxa"/>
            </w:tcMar>
          </w:tcPr>
          <w:p w14:paraId="1E216F74" w14:textId="43ED7DEA" w:rsidR="008F2E83" w:rsidRDefault="008F2E83" w:rsidP="0039402D">
            <w:pPr>
              <w:spacing w:after="220"/>
              <w:rPr>
                <w:spacing w:val="-4"/>
              </w:rPr>
            </w:pPr>
            <w:r w:rsidRPr="00B25FF5">
              <w:rPr>
                <w:spacing w:val="-5"/>
              </w:rPr>
              <w:t>Celkové příjmy SR</w:t>
            </w:r>
            <w:r>
              <w:rPr>
                <w:spacing w:val="-5"/>
              </w:rPr>
              <w:t xml:space="preserve"> převýšily letos v 1. pololetí loňskou úroveň o desetinu </w:t>
            </w:r>
            <w:r>
              <w:rPr>
                <w:spacing w:val="-5"/>
              </w:rPr>
              <w:br/>
              <w:t xml:space="preserve">(resp. 74 mld. korun). Přispělo k tomu znatelné posílení všech významných daňových příjmů (především DPH a pojistného na sociální zabezpečení), naopak nedaňové </w:t>
            </w:r>
            <w:r>
              <w:rPr>
                <w:spacing w:val="-5"/>
              </w:rPr>
              <w:br/>
              <w:t>a kapitálové příjmy mí</w:t>
            </w:r>
            <w:r w:rsidR="005A70CA">
              <w:rPr>
                <w:spacing w:val="-5"/>
              </w:rPr>
              <w:t>rně poklesly (o 6,3 %, resp. 6,2</w:t>
            </w:r>
            <w:r>
              <w:rPr>
                <w:spacing w:val="-5"/>
              </w:rPr>
              <w:t xml:space="preserve"> mld. korun). Stály za tím primárně nižší prostředky z rozpočtu EU, jejichž objem nedosáhl ani třetiny letošní celoroční rozpočtově očekávané výše</w:t>
            </w:r>
            <w:r>
              <w:rPr>
                <w:rStyle w:val="Znakapoznpodarou"/>
                <w:spacing w:val="-5"/>
              </w:rPr>
              <w:footnoteReference w:id="5"/>
            </w:r>
            <w:r w:rsidR="0039402D">
              <w:rPr>
                <w:spacing w:val="-5"/>
              </w:rPr>
              <w:t>. Mimo to se již neopakovaly</w:t>
            </w:r>
            <w:r>
              <w:rPr>
                <w:spacing w:val="-5"/>
              </w:rPr>
              <w:t xml:space="preserve"> loňské mimořádné výnosy z aukce rádiových kmitočtů (5,6 mld. korun).</w:t>
            </w:r>
          </w:p>
        </w:tc>
      </w:tr>
      <w:tr w:rsidR="008F2E83" w:rsidRPr="003C07E6" w14:paraId="26E32A07" w14:textId="77777777" w:rsidTr="007B54AE">
        <w:trPr>
          <w:trHeight w:val="145"/>
        </w:trPr>
        <w:tc>
          <w:tcPr>
            <w:tcW w:w="1803" w:type="dxa"/>
            <w:shd w:val="clear" w:color="auto" w:fill="auto"/>
            <w:tcMar>
              <w:left w:w="0" w:type="dxa"/>
            </w:tcMar>
          </w:tcPr>
          <w:p w14:paraId="16CD4B45" w14:textId="77777777" w:rsidR="008F2E83" w:rsidRDefault="008F2E83" w:rsidP="000C7A79">
            <w:pPr>
              <w:pStyle w:val="Marginlie"/>
            </w:pPr>
            <w:r>
              <w:t>Dynamický meziroční růst inkasa DPH odrážel oživení spotřeby i výraznou akceleraci spotřebitelské inflace.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5CCD456B" w14:textId="77777777" w:rsidR="008F2E83" w:rsidRDefault="008F2E83" w:rsidP="000C7A79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9" w:type="dxa"/>
            <w:shd w:val="clear" w:color="auto" w:fill="auto"/>
            <w:tcMar>
              <w:left w:w="0" w:type="dxa"/>
            </w:tcMar>
          </w:tcPr>
          <w:p w14:paraId="49ED1248" w14:textId="0D5CCBFB" w:rsidR="008F2E83" w:rsidRPr="00EE308D" w:rsidRDefault="008F2E83" w:rsidP="000C7A79">
            <w:pPr>
              <w:spacing w:after="220"/>
              <w:rPr>
                <w:spacing w:val="-4"/>
              </w:rPr>
            </w:pPr>
            <w:r>
              <w:rPr>
                <w:spacing w:val="-4"/>
              </w:rPr>
              <w:t>Z váhově dominantní daně – DPH – p</w:t>
            </w:r>
            <w:r w:rsidR="000A7D63">
              <w:rPr>
                <w:spacing w:val="-4"/>
              </w:rPr>
              <w:t>lynulo v 1. pololetí do SR 162,6</w:t>
            </w:r>
            <w:r>
              <w:rPr>
                <w:spacing w:val="-4"/>
              </w:rPr>
              <w:t xml:space="preserve"> mld. korun, meziročně o 23 % více (obdobným tempem rostl výběr i v samotném 1. čtvrtletí). To souviselo s nižší základnou (na počátku loňského roku byla ještě spotřeba domácností utlumena restrikcemi) i výraznou cenovou akcelerací. V menší míře se již mohla začít projevovat výrazně oživená spotřeba nerezidentů, a to vlivem jarního zotavení příjezdového cestovního ruchu i přílivu uprchlíků z Ukrajiny. Na výběr daně naopak negativně působilo </w:t>
            </w:r>
            <w:r w:rsidRPr="00EE308D">
              <w:rPr>
                <w:spacing w:val="-4"/>
              </w:rPr>
              <w:t>prominutí daně z přidané hodnoty na vybrané komodity</w:t>
            </w:r>
            <w:r>
              <w:rPr>
                <w:spacing w:val="-4"/>
              </w:rPr>
              <w:t xml:space="preserve"> </w:t>
            </w:r>
            <w:r w:rsidRPr="00EE308D">
              <w:rPr>
                <w:spacing w:val="-4"/>
              </w:rPr>
              <w:t>(energie, vakcíny, testy, respirátory).</w:t>
            </w:r>
          </w:p>
        </w:tc>
      </w:tr>
      <w:tr w:rsidR="008F2E83" w:rsidRPr="003C07E6" w14:paraId="579C5992" w14:textId="77777777" w:rsidTr="007B54AE">
        <w:trPr>
          <w:trHeight w:val="145"/>
        </w:trPr>
        <w:tc>
          <w:tcPr>
            <w:tcW w:w="1803" w:type="dxa"/>
            <w:shd w:val="clear" w:color="auto" w:fill="auto"/>
            <w:tcMar>
              <w:left w:w="0" w:type="dxa"/>
            </w:tcMar>
          </w:tcPr>
          <w:p w14:paraId="73D00829" w14:textId="77777777" w:rsidR="008F2E83" w:rsidRDefault="008F2E83" w:rsidP="000C7A79">
            <w:pPr>
              <w:pStyle w:val="Marginlie"/>
            </w:pPr>
            <w:r>
              <w:t>I přes svižný meziroční růst nedosáhl celostátní výběr spotřebních daní úrovně z 1. pololetí 2019.</w:t>
            </w:r>
          </w:p>
          <w:p w14:paraId="0ED600E3" w14:textId="77777777" w:rsidR="008F2E83" w:rsidRDefault="008F2E83" w:rsidP="000C7A79">
            <w:pPr>
              <w:pStyle w:val="Marginlie"/>
            </w:pPr>
          </w:p>
          <w:p w14:paraId="42ECBED6" w14:textId="77777777" w:rsidR="008F2E83" w:rsidRDefault="008F2E83" w:rsidP="000C7A79">
            <w:pPr>
              <w:pStyle w:val="Marginlie"/>
            </w:pPr>
          </w:p>
          <w:p w14:paraId="0F61DE54" w14:textId="77777777" w:rsidR="008F2E83" w:rsidRDefault="008F2E83" w:rsidP="000C7A79">
            <w:pPr>
              <w:pStyle w:val="Marginlie"/>
            </w:pPr>
          </w:p>
          <w:p w14:paraId="389AF40A" w14:textId="77777777" w:rsidR="008F2E83" w:rsidRDefault="008F2E83" w:rsidP="000C7A79">
            <w:pPr>
              <w:pStyle w:val="Marginlie"/>
            </w:pPr>
          </w:p>
          <w:p w14:paraId="2B90EDF7" w14:textId="77777777" w:rsidR="008F2E83" w:rsidRDefault="008F2E83" w:rsidP="000C7A79">
            <w:pPr>
              <w:pStyle w:val="Marginlie"/>
            </w:pPr>
          </w:p>
          <w:p w14:paraId="7205D766" w14:textId="77777777" w:rsidR="008F2E83" w:rsidRDefault="008F2E83" w:rsidP="000C7A79">
            <w:pPr>
              <w:pStyle w:val="Marginlie"/>
            </w:pPr>
          </w:p>
          <w:p w14:paraId="65254682" w14:textId="77777777" w:rsidR="008F2E83" w:rsidRDefault="008F2E83" w:rsidP="000C7A79">
            <w:pPr>
              <w:pStyle w:val="Marginlie"/>
            </w:pPr>
          </w:p>
          <w:p w14:paraId="620EDD24" w14:textId="77777777" w:rsidR="008F2E83" w:rsidRDefault="008F2E83" w:rsidP="000C7A79">
            <w:pPr>
              <w:pStyle w:val="Marginlie"/>
            </w:pPr>
            <w:r>
              <w:t>K růstu inkasa nejvíce přispívala daň z tabákových výrobků.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6F4687D7" w14:textId="77777777" w:rsidR="008F2E83" w:rsidRDefault="008F2E83" w:rsidP="000C7A79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9" w:type="dxa"/>
            <w:shd w:val="clear" w:color="auto" w:fill="auto"/>
            <w:tcMar>
              <w:left w:w="0" w:type="dxa"/>
            </w:tcMar>
          </w:tcPr>
          <w:p w14:paraId="7FD6342B" w14:textId="4D804D6F" w:rsidR="008F2E83" w:rsidRPr="00153264" w:rsidRDefault="008F2E83" w:rsidP="00153264">
            <w:pPr>
              <w:spacing w:after="220"/>
              <w:rPr>
                <w:spacing w:val="-4"/>
              </w:rPr>
            </w:pPr>
            <w:r w:rsidRPr="00153264">
              <w:rPr>
                <w:spacing w:val="-4"/>
              </w:rPr>
              <w:t xml:space="preserve">SR získal letos na spotřebních daních meziročně o 16 % více a </w:t>
            </w:r>
            <w:r w:rsidR="000A7D63" w:rsidRPr="00153264">
              <w:rPr>
                <w:spacing w:val="-4"/>
              </w:rPr>
              <w:t>růst inkasa dosud převyšoval</w:t>
            </w:r>
            <w:r w:rsidRPr="00153264">
              <w:rPr>
                <w:spacing w:val="-4"/>
              </w:rPr>
              <w:t xml:space="preserve"> rozpočtové očekávání. Celostátní výběr této daně ovšem oproti předpandemickému období (1. pololetí 2019) stále mírně zaostával (o 3 %). V samotném červnu 2022 plynulo z této daně do SR meziročně již jen o 4,8 % více, neboť výběr objemově nejvýznamnější daně z minerálních olejů fakticky stagnoval. To mohlo souviset s prudkým jarním růstem cen PHM u čerpacích stanic, na nějž domácnosti i pod</w:t>
            </w:r>
            <w:r w:rsidR="00153264">
              <w:rPr>
                <w:spacing w:val="-4"/>
              </w:rPr>
              <w:t xml:space="preserve">niky patrně reagovaly omezením </w:t>
            </w:r>
            <w:r w:rsidRPr="00153264">
              <w:rPr>
                <w:spacing w:val="-4"/>
              </w:rPr>
              <w:t>spotřeby (to již naznačily květnové údaje o maloobchodních tržbách za PHM). Naopak dopad dočasného snížení sazby daně</w:t>
            </w:r>
            <w:r w:rsidRPr="00153264">
              <w:rPr>
                <w:rStyle w:val="Znakapoznpodarou"/>
                <w:spacing w:val="-4"/>
              </w:rPr>
              <w:footnoteReference w:id="6"/>
            </w:r>
            <w:r w:rsidRPr="00153264">
              <w:rPr>
                <w:spacing w:val="-4"/>
              </w:rPr>
              <w:t xml:space="preserve"> se zatím v pokladním plnění inkasa</w:t>
            </w:r>
            <w:r w:rsidR="00153264" w:rsidRPr="00153264">
              <w:rPr>
                <w:spacing w:val="-4"/>
              </w:rPr>
              <w:t xml:space="preserve"> nestihl projevit</w:t>
            </w:r>
            <w:r w:rsidRPr="00153264">
              <w:rPr>
                <w:spacing w:val="-4"/>
              </w:rPr>
              <w:t xml:space="preserve">. V úhrnu za celé letošní pololetí ovšem inkaso daně z minerálních olejů vzrostlo o 12 %, především vlivem nízké srovnávací základny (během 1. čtvrtletí 2021 totiž vrcholila protipandemická opatření a citelné omezení mobility obyvatelstva mezi okresy se tehdy promítlo do nejnižšího inkasa této daně za posledních osm let). K vyššímu výběru všech spotřebních daní ovšem letos nejvíce přispělo inkaso daně z tabákových výrobků, jež vzrostlo o pětinu, mj. díky navýšení daňové sazby. Pozitivně působil i rostoucí výběr ostatních váhově méně významných kategorií daně, především té z lihu a </w:t>
            </w:r>
            <w:r w:rsidR="001B1BBB">
              <w:rPr>
                <w:spacing w:val="-4"/>
              </w:rPr>
              <w:t xml:space="preserve">také </w:t>
            </w:r>
            <w:r w:rsidRPr="00153264">
              <w:rPr>
                <w:spacing w:val="-4"/>
              </w:rPr>
              <w:t>z piva (její inkaso ale stále zaostávalo o více než 5 % za vrcholem z roku 2019).</w:t>
            </w:r>
          </w:p>
        </w:tc>
      </w:tr>
      <w:tr w:rsidR="008F2E83" w:rsidRPr="003C07E6" w14:paraId="4814A59D" w14:textId="77777777" w:rsidTr="007B54AE">
        <w:trPr>
          <w:trHeight w:val="145"/>
        </w:trPr>
        <w:tc>
          <w:tcPr>
            <w:tcW w:w="1803" w:type="dxa"/>
            <w:shd w:val="clear" w:color="auto" w:fill="auto"/>
            <w:tcMar>
              <w:left w:w="0" w:type="dxa"/>
            </w:tcMar>
          </w:tcPr>
          <w:p w14:paraId="24250AEF" w14:textId="77777777" w:rsidR="008F2E83" w:rsidRDefault="008F2E83" w:rsidP="000C7A79">
            <w:pPr>
              <w:pStyle w:val="Marginlie"/>
            </w:pPr>
            <w:r>
              <w:lastRenderedPageBreak/>
              <w:t>Inkaso daně z příjmů právnických osob díky vysoké červnové platbě meziročně výrazně vzrostlo.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3C2144F2" w14:textId="77777777" w:rsidR="008F2E83" w:rsidRDefault="008F2E83" w:rsidP="000C7A79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9" w:type="dxa"/>
            <w:shd w:val="clear" w:color="auto" w:fill="auto"/>
            <w:tcMar>
              <w:left w:w="0" w:type="dxa"/>
            </w:tcMar>
          </w:tcPr>
          <w:p w14:paraId="635ED4C0" w14:textId="77777777" w:rsidR="008F2E83" w:rsidRPr="00A92514" w:rsidRDefault="008F2E83" w:rsidP="000C7A79">
            <w:pPr>
              <w:spacing w:after="200"/>
              <w:rPr>
                <w:spacing w:val="-4"/>
              </w:rPr>
            </w:pPr>
            <w:r w:rsidRPr="00A92514">
              <w:rPr>
                <w:spacing w:val="-4"/>
              </w:rPr>
              <w:t xml:space="preserve">Příjem SR z korporátní daně meziročně svižně vzrostl (+16,8 %), </w:t>
            </w:r>
            <w:r>
              <w:rPr>
                <w:spacing w:val="-4"/>
              </w:rPr>
              <w:t xml:space="preserve">a to </w:t>
            </w:r>
            <w:r w:rsidRPr="00A92514">
              <w:rPr>
                <w:spacing w:val="-4"/>
              </w:rPr>
              <w:t>především díky vysokému červnovému inkasu (zahrnující čtvrtletní i pololetní zálohy na dani a část úhrady daně za rok 2021</w:t>
            </w:r>
            <w:r w:rsidRPr="00A92514">
              <w:rPr>
                <w:rStyle w:val="Znakapoznpodarou"/>
                <w:spacing w:val="-4"/>
              </w:rPr>
              <w:footnoteReference w:id="7"/>
            </w:r>
            <w:r w:rsidRPr="00A92514">
              <w:rPr>
                <w:spacing w:val="-4"/>
              </w:rPr>
              <w:t xml:space="preserve">). Inkaso za 1. pololetí významně předčilo rozpočtové očekávání, neboť dosáhlo téměř tří čtvrtin očekávaného celoročního objemu a dokládalo poměrně dobré hospodářské výsledky </w:t>
            </w:r>
            <w:r>
              <w:rPr>
                <w:spacing w:val="-4"/>
              </w:rPr>
              <w:t>některých</w:t>
            </w:r>
            <w:r w:rsidRPr="00A92514">
              <w:rPr>
                <w:spacing w:val="-4"/>
              </w:rPr>
              <w:t xml:space="preserve"> velkých podniků</w:t>
            </w:r>
            <w:r>
              <w:rPr>
                <w:spacing w:val="-4"/>
              </w:rPr>
              <w:t xml:space="preserve"> (např. v oblasti energetiky či obchodu)</w:t>
            </w:r>
            <w:r w:rsidRPr="00A92514">
              <w:rPr>
                <w:spacing w:val="-4"/>
              </w:rPr>
              <w:t xml:space="preserve">. </w:t>
            </w:r>
            <w:r>
              <w:rPr>
                <w:spacing w:val="-4"/>
              </w:rPr>
              <w:t xml:space="preserve">Na výši inkasa měly ovšem vliv i dílčí </w:t>
            </w:r>
            <w:r w:rsidRPr="00A92514">
              <w:rPr>
                <w:spacing w:val="-4"/>
              </w:rPr>
              <w:t>legislativní úpravy</w:t>
            </w:r>
            <w:r w:rsidRPr="00A92514">
              <w:rPr>
                <w:rStyle w:val="Znakapoznpodarou"/>
                <w:spacing w:val="-4"/>
              </w:rPr>
              <w:footnoteReference w:id="8"/>
            </w:r>
            <w:r w:rsidRPr="00A92514">
              <w:rPr>
                <w:spacing w:val="-4"/>
              </w:rPr>
              <w:t>.</w:t>
            </w:r>
          </w:p>
        </w:tc>
      </w:tr>
      <w:tr w:rsidR="008F2E83" w:rsidRPr="003C07E6" w14:paraId="605654F0" w14:textId="77777777" w:rsidTr="007B54AE">
        <w:trPr>
          <w:trHeight w:val="145"/>
        </w:trPr>
        <w:tc>
          <w:tcPr>
            <w:tcW w:w="1803" w:type="dxa"/>
            <w:shd w:val="clear" w:color="auto" w:fill="auto"/>
            <w:tcMar>
              <w:left w:w="0" w:type="dxa"/>
            </w:tcMar>
          </w:tcPr>
          <w:p w14:paraId="5B224609" w14:textId="77777777" w:rsidR="008F2E83" w:rsidRDefault="008F2E83" w:rsidP="000C7A79">
            <w:pPr>
              <w:pStyle w:val="Marginlie"/>
            </w:pPr>
            <w:r>
              <w:t>Svižný růst výběru daně z příjmů od fyzických osob odrážel rychlé zotavení trhu práce. Za předpandemickou úrovní ale výběr vlivem legislativních úprav citelně zaostával.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4CE5A47B" w14:textId="77777777" w:rsidR="008F2E83" w:rsidRDefault="008F2E83" w:rsidP="000C7A79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9" w:type="dxa"/>
            <w:shd w:val="clear" w:color="auto" w:fill="auto"/>
            <w:tcMar>
              <w:left w:w="0" w:type="dxa"/>
            </w:tcMar>
          </w:tcPr>
          <w:p w14:paraId="20E3DB07" w14:textId="77777777" w:rsidR="008F2E83" w:rsidRPr="00FF192C" w:rsidRDefault="008F2E83" w:rsidP="000C7A79">
            <w:pPr>
              <w:spacing w:after="200"/>
              <w:rPr>
                <w:spacing w:val="-4"/>
              </w:rPr>
            </w:pPr>
            <w:r w:rsidRPr="00FF192C">
              <w:rPr>
                <w:spacing w:val="-4"/>
              </w:rPr>
              <w:t xml:space="preserve">Výběr daně z příjmů od fyzických osob (DPFO) meziročně vzrostl obdobným tempem jako inkaso korporátní dně. Odrážel růst zaměstnanosti i svižné nominální navýšení průměrných mezd. Výplata kompenzačního bonusu (na pomoc drobným podnikatelům) sice stále negativně ovlivňovala výběr DPFO, ale </w:t>
            </w:r>
            <w:r>
              <w:rPr>
                <w:spacing w:val="-4"/>
              </w:rPr>
              <w:t xml:space="preserve">v </w:t>
            </w:r>
            <w:r w:rsidRPr="00FF192C">
              <w:rPr>
                <w:spacing w:val="-4"/>
              </w:rPr>
              <w:t xml:space="preserve">menší míře než vloni. Naopak jiné legislativní úpravy (pokračující zvyšování daňové slevy na poplatníka či vyšší daňové zvýhodnění na děti) </w:t>
            </w:r>
            <w:r>
              <w:rPr>
                <w:spacing w:val="-4"/>
              </w:rPr>
              <w:t xml:space="preserve">brzdily letos </w:t>
            </w:r>
            <w:r w:rsidRPr="00FF192C">
              <w:rPr>
                <w:spacing w:val="-4"/>
              </w:rPr>
              <w:t xml:space="preserve">tempo růstu inkasa daně intenzivněji. Zatímco celostátní výběr korporátní daně překonal předpandemickou úroveň již vloni, inkaso letošní DPFO nedosahovalo ani úrovně </w:t>
            </w:r>
            <w:r w:rsidRPr="00FF192C">
              <w:rPr>
                <w:spacing w:val="-6"/>
              </w:rPr>
              <w:t>z 1. pololetí 2017. Zásadní roli zde sehrálo loňské zrušení superhrubé mzdy vedoucí k </w:t>
            </w:r>
            <w:r>
              <w:rPr>
                <w:spacing w:val="-6"/>
              </w:rPr>
              <w:t>citel</w:t>
            </w:r>
            <w:r w:rsidRPr="00FF192C">
              <w:rPr>
                <w:spacing w:val="-6"/>
              </w:rPr>
              <w:t>nému</w:t>
            </w:r>
            <w:r w:rsidRPr="00FF192C">
              <w:rPr>
                <w:spacing w:val="-4"/>
              </w:rPr>
              <w:t xml:space="preserve"> snížení daňového zatížení práce.</w:t>
            </w:r>
            <w:r>
              <w:rPr>
                <w:spacing w:val="-4"/>
              </w:rPr>
              <w:t xml:space="preserve"> </w:t>
            </w:r>
            <w:r w:rsidRPr="00FF192C">
              <w:rPr>
                <w:spacing w:val="-6"/>
              </w:rPr>
              <w:t>Naopak růst samotného inkasa DPFO vybírané</w:t>
            </w:r>
            <w:r>
              <w:rPr>
                <w:spacing w:val="-6"/>
              </w:rPr>
              <w:t>ho</w:t>
            </w:r>
            <w:r w:rsidRPr="00FF192C">
              <w:rPr>
                <w:spacing w:val="-6"/>
              </w:rPr>
              <w:t xml:space="preserve"> srážkou (z kapitálových výnosů) zrychloval a nebyl významně ovlivněn</w:t>
            </w:r>
            <w:r>
              <w:rPr>
                <w:spacing w:val="-6"/>
              </w:rPr>
              <w:t xml:space="preserve"> pandemickou situací</w:t>
            </w:r>
            <w:r w:rsidRPr="00FF192C">
              <w:rPr>
                <w:spacing w:val="-6"/>
              </w:rPr>
              <w:t>.</w:t>
            </w:r>
          </w:p>
        </w:tc>
      </w:tr>
      <w:tr w:rsidR="008F2E83" w:rsidRPr="00F704D2" w14:paraId="67584AEE" w14:textId="77777777" w:rsidTr="007B54AE">
        <w:trPr>
          <w:trHeight w:val="170"/>
        </w:trPr>
        <w:tc>
          <w:tcPr>
            <w:tcW w:w="1803" w:type="dxa"/>
            <w:vMerge w:val="restart"/>
            <w:shd w:val="clear" w:color="auto" w:fill="auto"/>
            <w:tcMar>
              <w:left w:w="0" w:type="dxa"/>
            </w:tcMar>
          </w:tcPr>
          <w:p w14:paraId="6B055A45" w14:textId="77777777" w:rsidR="008F2E83" w:rsidRDefault="008F2E83" w:rsidP="000C7A79">
            <w:pPr>
              <w:pStyle w:val="Marginlie"/>
            </w:pPr>
          </w:p>
        </w:tc>
        <w:tc>
          <w:tcPr>
            <w:tcW w:w="217" w:type="dxa"/>
            <w:vMerge w:val="restart"/>
            <w:shd w:val="clear" w:color="auto" w:fill="auto"/>
            <w:tcMar>
              <w:left w:w="0" w:type="dxa"/>
            </w:tcMar>
          </w:tcPr>
          <w:p w14:paraId="4764F629" w14:textId="77777777" w:rsidR="008F2E83" w:rsidRDefault="008F2E83" w:rsidP="000C7A79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9" w:type="dxa"/>
            <w:shd w:val="clear" w:color="auto" w:fill="auto"/>
            <w:tcMar>
              <w:left w:w="0" w:type="dxa"/>
            </w:tcMar>
          </w:tcPr>
          <w:p w14:paraId="07446EB8" w14:textId="39822442" w:rsidR="008F2E83" w:rsidRPr="00B80CE9" w:rsidRDefault="008F2E83" w:rsidP="0052792D">
            <w:pPr>
              <w:spacing w:after="0" w:line="240" w:lineRule="auto"/>
              <w:rPr>
                <w:rFonts w:cs="Arial"/>
                <w:bCs/>
              </w:rPr>
            </w:pPr>
            <w:r w:rsidRPr="00A66749">
              <w:rPr>
                <w:rFonts w:cs="Arial"/>
                <w:b/>
                <w:bCs/>
                <w:color w:val="000000"/>
                <w:spacing w:val="-4"/>
                <w:szCs w:val="20"/>
              </w:rPr>
              <w:t>Graf č. </w:t>
            </w:r>
            <w:r w:rsidR="0052792D" w:rsidRPr="00A66749">
              <w:rPr>
                <w:rFonts w:cs="Arial"/>
                <w:b/>
                <w:bCs/>
                <w:color w:val="000000"/>
                <w:spacing w:val="-4"/>
                <w:szCs w:val="20"/>
              </w:rPr>
              <w:t>1</w:t>
            </w:r>
            <w:r w:rsidR="0052792D">
              <w:rPr>
                <w:rFonts w:cs="Arial"/>
                <w:b/>
                <w:bCs/>
                <w:color w:val="000000"/>
                <w:spacing w:val="-4"/>
                <w:szCs w:val="20"/>
              </w:rPr>
              <w:t>7</w:t>
            </w:r>
            <w:r w:rsidR="0052792D" w:rsidRPr="00A66749">
              <w:rPr>
                <w:rFonts w:cs="Arial"/>
                <w:b/>
                <w:bCs/>
                <w:color w:val="000000"/>
                <w:spacing w:val="-4"/>
                <w:szCs w:val="20"/>
              </w:rPr>
              <w:t xml:space="preserve"> Příspěvek</w:t>
            </w:r>
            <w:r w:rsidRPr="00A66749">
              <w:rPr>
                <w:rFonts w:cs="Arial"/>
                <w:b/>
                <w:bCs/>
                <w:color w:val="000000"/>
                <w:spacing w:val="-4"/>
                <w:szCs w:val="20"/>
              </w:rPr>
              <w:t xml:space="preserve"> dílčích příjmů k</w:t>
            </w:r>
            <w:r>
              <w:rPr>
                <w:rFonts w:cs="Arial"/>
                <w:b/>
                <w:bCs/>
                <w:color w:val="000000"/>
                <w:spacing w:val="-4"/>
                <w:szCs w:val="20"/>
              </w:rPr>
              <w:t> </w:t>
            </w:r>
            <w:r w:rsidRPr="00A66749">
              <w:rPr>
                <w:rFonts w:cs="Arial"/>
                <w:b/>
                <w:bCs/>
                <w:color w:val="000000"/>
                <w:spacing w:val="-4"/>
                <w:szCs w:val="20"/>
              </w:rPr>
              <w:t xml:space="preserve">růstu </w:t>
            </w:r>
            <w:r w:rsidRPr="00A66749">
              <w:rPr>
                <w:rFonts w:cs="Arial"/>
                <w:b/>
                <w:bCs/>
                <w:spacing w:val="-4"/>
                <w:szCs w:val="20"/>
              </w:rPr>
              <w:t>celostátního</w:t>
            </w:r>
            <w:r w:rsidRPr="00A66749">
              <w:rPr>
                <w:rFonts w:cs="Arial"/>
                <w:b/>
                <w:bCs/>
                <w:spacing w:val="-4"/>
              </w:rPr>
              <w:t xml:space="preserve"> daňového inkasa* </w:t>
            </w:r>
            <w:r w:rsidRPr="00A66749">
              <w:rPr>
                <w:rFonts w:cs="Arial"/>
                <w:bCs/>
                <w:spacing w:val="-4"/>
              </w:rPr>
              <w:t>(</w:t>
            </w:r>
            <w:r w:rsidRPr="00A66749">
              <w:rPr>
                <w:spacing w:val="-4"/>
              </w:rPr>
              <w:t>meziročně</w:t>
            </w:r>
            <w:r w:rsidRPr="00A66749">
              <w:rPr>
                <w:bCs/>
                <w:spacing w:val="-4"/>
              </w:rPr>
              <w:t xml:space="preserve"> v p.</w:t>
            </w:r>
            <w:r>
              <w:rPr>
                <w:bCs/>
                <w:spacing w:val="-4"/>
              </w:rPr>
              <w:t> </w:t>
            </w:r>
            <w:r w:rsidRPr="00A66749">
              <w:rPr>
                <w:bCs/>
                <w:spacing w:val="-4"/>
              </w:rPr>
              <w:t xml:space="preserve">b.) </w:t>
            </w:r>
            <w:r w:rsidRPr="00A66749">
              <w:rPr>
                <w:rFonts w:cs="Arial"/>
                <w:b/>
                <w:bCs/>
                <w:spacing w:val="-4"/>
              </w:rPr>
              <w:t>a saldo státn</w:t>
            </w:r>
            <w:r>
              <w:rPr>
                <w:rFonts w:cs="Arial"/>
                <w:b/>
                <w:bCs/>
                <w:spacing w:val="-4"/>
              </w:rPr>
              <w:t>ího rozpočtu v rámci 1.</w:t>
            </w:r>
            <w:r>
              <w:rPr>
                <w:rFonts w:cs="Arial"/>
                <w:b/>
                <w:bCs/>
                <w:spacing w:val="-2"/>
              </w:rPr>
              <w:t xml:space="preserve"> pololet</w:t>
            </w:r>
            <w:r w:rsidRPr="009E555E">
              <w:rPr>
                <w:rFonts w:cs="Arial"/>
                <w:b/>
                <w:bCs/>
                <w:spacing w:val="-2"/>
              </w:rPr>
              <w:t>í</w:t>
            </w:r>
            <w:r w:rsidRPr="00A66749">
              <w:rPr>
                <w:spacing w:val="-4"/>
              </w:rPr>
              <w:t xml:space="preserve"> </w:t>
            </w:r>
            <w:r w:rsidRPr="00A66749">
              <w:rPr>
                <w:rFonts w:cs="Arial"/>
                <w:bCs/>
                <w:spacing w:val="-4"/>
              </w:rPr>
              <w:t>(v mld. korun, pravá osa)</w:t>
            </w:r>
          </w:p>
        </w:tc>
      </w:tr>
      <w:tr w:rsidR="008F2E83" w14:paraId="6F669898" w14:textId="77777777" w:rsidTr="007B54AE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3" w:type="dxa"/>
            <w:vMerge/>
            <w:shd w:val="clear" w:color="auto" w:fill="auto"/>
          </w:tcPr>
          <w:p w14:paraId="413F6E3E" w14:textId="77777777" w:rsidR="008F2E83" w:rsidRDefault="008F2E83" w:rsidP="000C7A79">
            <w:pPr>
              <w:pStyle w:val="Marginlie"/>
            </w:pPr>
          </w:p>
        </w:tc>
        <w:tc>
          <w:tcPr>
            <w:tcW w:w="217" w:type="dxa"/>
            <w:vMerge/>
            <w:shd w:val="clear" w:color="auto" w:fill="auto"/>
          </w:tcPr>
          <w:p w14:paraId="39751BF0" w14:textId="77777777" w:rsidR="008F2E83" w:rsidRDefault="008F2E83" w:rsidP="000C7A79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9" w:type="dxa"/>
            <w:shd w:val="clear" w:color="auto" w:fill="auto"/>
          </w:tcPr>
          <w:p w14:paraId="5CBD90BD" w14:textId="77777777" w:rsidR="008F2E83" w:rsidRPr="0067514E" w:rsidRDefault="008F2E83" w:rsidP="000C7A79">
            <w:pPr>
              <w:spacing w:after="0"/>
              <w:rPr>
                <w:spacing w:val="-6"/>
              </w:rPr>
            </w:pPr>
            <w:r>
              <w:rPr>
                <w:noProof/>
              </w:rPr>
              <w:drawing>
                <wp:inline distT="0" distB="0" distL="0" distR="0" wp14:anchorId="7A54A7D8" wp14:editId="64EA92A4">
                  <wp:extent cx="4735195" cy="3313785"/>
                  <wp:effectExtent l="0" t="0" r="8255" b="1270"/>
                  <wp:docPr id="7" name="Graf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8F2E83" w:rsidRPr="007B3A78" w14:paraId="42F95876" w14:textId="77777777" w:rsidTr="007B54AE">
        <w:trPr>
          <w:trHeight w:val="170"/>
        </w:trPr>
        <w:tc>
          <w:tcPr>
            <w:tcW w:w="1803" w:type="dxa"/>
            <w:vMerge/>
            <w:shd w:val="clear" w:color="auto" w:fill="auto"/>
            <w:tcMar>
              <w:left w:w="0" w:type="dxa"/>
            </w:tcMar>
          </w:tcPr>
          <w:p w14:paraId="4DF8FBAD" w14:textId="77777777" w:rsidR="008F2E83" w:rsidRDefault="008F2E83" w:rsidP="000C7A79">
            <w:pPr>
              <w:pStyle w:val="Marginlie"/>
            </w:pPr>
          </w:p>
        </w:tc>
        <w:tc>
          <w:tcPr>
            <w:tcW w:w="217" w:type="dxa"/>
            <w:vMerge/>
            <w:shd w:val="clear" w:color="auto" w:fill="auto"/>
            <w:tcMar>
              <w:left w:w="0" w:type="dxa"/>
            </w:tcMar>
          </w:tcPr>
          <w:p w14:paraId="63DBEA72" w14:textId="77777777" w:rsidR="008F2E83" w:rsidRDefault="008F2E83" w:rsidP="000C7A79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9" w:type="dxa"/>
            <w:shd w:val="clear" w:color="auto" w:fill="auto"/>
            <w:tcMar>
              <w:left w:w="0" w:type="dxa"/>
            </w:tcMar>
          </w:tcPr>
          <w:p w14:paraId="06BE0603" w14:textId="77777777" w:rsidR="008F2E83" w:rsidRPr="00E52D45" w:rsidRDefault="008F2E83" w:rsidP="000C7A79">
            <w:pPr>
              <w:tabs>
                <w:tab w:val="right" w:pos="7683"/>
              </w:tabs>
              <w:spacing w:after="0" w:line="240" w:lineRule="auto"/>
              <w:jc w:val="lef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* Zahrnuje d</w:t>
            </w:r>
            <w:r w:rsidRPr="00A66749">
              <w:rPr>
                <w:spacing w:val="-2"/>
                <w:sz w:val="14"/>
                <w:szCs w:val="14"/>
              </w:rPr>
              <w:t>aňové příjmy bez pojistného na sociální zabezpečení.</w:t>
            </w:r>
            <w:r>
              <w:rPr>
                <w:spacing w:val="-2"/>
                <w:sz w:val="14"/>
                <w:szCs w:val="14"/>
              </w:rPr>
              <w:tab/>
            </w:r>
            <w:r w:rsidRPr="00A66749">
              <w:rPr>
                <w:spacing w:val="-2"/>
                <w:sz w:val="14"/>
                <w:szCs w:val="14"/>
              </w:rPr>
              <w:t>Zdroj: MF ČR</w:t>
            </w:r>
          </w:p>
        </w:tc>
      </w:tr>
      <w:tr w:rsidR="008F2E83" w:rsidRPr="007B3A78" w14:paraId="6A374F22" w14:textId="77777777" w:rsidTr="007B54AE">
        <w:trPr>
          <w:trHeight w:val="170"/>
        </w:trPr>
        <w:tc>
          <w:tcPr>
            <w:tcW w:w="1803" w:type="dxa"/>
            <w:shd w:val="clear" w:color="auto" w:fill="auto"/>
            <w:tcMar>
              <w:left w:w="0" w:type="dxa"/>
            </w:tcMar>
          </w:tcPr>
          <w:p w14:paraId="72C3899F" w14:textId="77777777" w:rsidR="008F2E83" w:rsidRDefault="008F2E83" w:rsidP="000C7A79">
            <w:pPr>
              <w:pStyle w:val="Marginlie"/>
            </w:pP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52838209" w14:textId="77777777" w:rsidR="008F2E83" w:rsidRDefault="008F2E83" w:rsidP="000C7A79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9" w:type="dxa"/>
            <w:shd w:val="clear" w:color="auto" w:fill="auto"/>
            <w:tcMar>
              <w:left w:w="0" w:type="dxa"/>
            </w:tcMar>
          </w:tcPr>
          <w:p w14:paraId="1A20750E" w14:textId="77777777" w:rsidR="008F2E83" w:rsidRDefault="008F2E83" w:rsidP="000C7A79">
            <w:pPr>
              <w:tabs>
                <w:tab w:val="right" w:pos="7683"/>
              </w:tabs>
              <w:spacing w:after="0" w:line="240" w:lineRule="auto"/>
              <w:jc w:val="left"/>
              <w:rPr>
                <w:spacing w:val="-2"/>
                <w:sz w:val="14"/>
                <w:szCs w:val="14"/>
              </w:rPr>
            </w:pPr>
          </w:p>
        </w:tc>
      </w:tr>
      <w:tr w:rsidR="008F2E83" w:rsidRPr="008266F0" w14:paraId="1CE13C03" w14:textId="77777777" w:rsidTr="007B54AE">
        <w:trPr>
          <w:trHeight w:val="145"/>
        </w:trPr>
        <w:tc>
          <w:tcPr>
            <w:tcW w:w="1803" w:type="dxa"/>
            <w:shd w:val="clear" w:color="auto" w:fill="auto"/>
            <w:tcMar>
              <w:left w:w="0" w:type="dxa"/>
            </w:tcMar>
          </w:tcPr>
          <w:p w14:paraId="66E3BC44" w14:textId="77777777" w:rsidR="008F2E83" w:rsidRDefault="008F2E83" w:rsidP="000C7A79">
            <w:pPr>
              <w:pStyle w:val="Marginlie"/>
            </w:pPr>
            <w:r>
              <w:t xml:space="preserve">Běžné výdaje SR ve </w:t>
            </w:r>
            <w:r>
              <w:br/>
              <w:t xml:space="preserve">2. čtvrtletí 2022 ve srovnání s počátkem roku citelně vzrostly. Projevilo se ukončení rozpočtového provizoria </w:t>
            </w:r>
            <w:r>
              <w:br/>
              <w:t xml:space="preserve">i potřeba mimořádných výdajů ve vazbě na </w:t>
            </w:r>
            <w:r>
              <w:lastRenderedPageBreak/>
              <w:t>vysokou inflaci i válku na Ukrajině.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49BA72A4" w14:textId="77777777" w:rsidR="008F2E83" w:rsidRDefault="008F2E83" w:rsidP="000C7A79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9" w:type="dxa"/>
            <w:shd w:val="clear" w:color="auto" w:fill="auto"/>
            <w:tcMar>
              <w:left w:w="0" w:type="dxa"/>
            </w:tcMar>
          </w:tcPr>
          <w:p w14:paraId="10CCD3AD" w14:textId="7FE3B837" w:rsidR="008F2E83" w:rsidRDefault="008F2E83" w:rsidP="000C7A79">
            <w:pPr>
              <w:spacing w:after="200"/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5"/>
              </w:rPr>
              <w:t xml:space="preserve">Celkové výdaje SR činily za </w:t>
            </w:r>
            <w:r w:rsidR="00A5661B">
              <w:rPr>
                <w:color w:val="0D0D0D" w:themeColor="text1" w:themeTint="F2"/>
                <w:spacing w:val="-5"/>
              </w:rPr>
              <w:t>letošní 1. pololetí 9</w:t>
            </w:r>
            <w:r>
              <w:rPr>
                <w:color w:val="0D0D0D" w:themeColor="text1" w:themeTint="F2"/>
                <w:spacing w:val="-5"/>
              </w:rPr>
              <w:t>7</w:t>
            </w:r>
            <w:r w:rsidR="00A5661B">
              <w:rPr>
                <w:color w:val="0D0D0D" w:themeColor="text1" w:themeTint="F2"/>
                <w:spacing w:val="-5"/>
              </w:rPr>
              <w:t>0</w:t>
            </w:r>
            <w:r>
              <w:rPr>
                <w:color w:val="0D0D0D" w:themeColor="text1" w:themeTint="F2"/>
                <w:spacing w:val="-5"/>
              </w:rPr>
              <w:t xml:space="preserve"> mld. korun a meziročně mírně poklesly (o</w:t>
            </w:r>
            <w:r>
              <w:rPr>
                <w:spacing w:val="-4"/>
              </w:rPr>
              <w:t> </w:t>
            </w:r>
            <w:r>
              <w:rPr>
                <w:color w:val="0D0D0D" w:themeColor="text1" w:themeTint="F2"/>
                <w:spacing w:val="-5"/>
              </w:rPr>
              <w:t>0,8 %), výhradně vlivem běžných výdajů. Jejich vývoj ale vykazoval během dosavadní části roku větší nerovnoměrnost. Jestliže v 1. čtvrtletí výdaje limitoval režim rozpočtového provizoria</w:t>
            </w:r>
            <w:r>
              <w:rPr>
                <w:rStyle w:val="Znakapoznpodarou"/>
                <w:color w:val="0D0D0D" w:themeColor="text1" w:themeTint="F2"/>
                <w:spacing w:val="-5"/>
              </w:rPr>
              <w:footnoteReference w:id="9"/>
            </w:r>
            <w:r>
              <w:rPr>
                <w:color w:val="0D0D0D" w:themeColor="text1" w:themeTint="F2"/>
                <w:spacing w:val="-5"/>
              </w:rPr>
              <w:t xml:space="preserve">, v následujícím období byly zásadně ovlivněny dopady pádivé inflace, které vyústily v potřebu valorizace důchodů i dalších sociálních dávek. Vedle toho vyvstala potřeba mimořádných výdajů souvisejících s válečným konfliktem na Ukrajině (zahraniční pomoc, výdaje na integraci uprchlíků v Česku, krizový management v oblasti státních hmotných </w:t>
            </w:r>
            <w:r>
              <w:rPr>
                <w:color w:val="0D0D0D" w:themeColor="text1" w:themeTint="F2"/>
                <w:spacing w:val="-5"/>
              </w:rPr>
              <w:lastRenderedPageBreak/>
              <w:t>rezerv). Naopak pokračoval další útlum finanční pomoci související s pandemií</w:t>
            </w:r>
            <w:r>
              <w:rPr>
                <w:rStyle w:val="Znakapoznpodarou"/>
                <w:color w:val="0D0D0D" w:themeColor="text1" w:themeTint="F2"/>
                <w:spacing w:val="-5"/>
              </w:rPr>
              <w:footnoteReference w:id="10"/>
            </w:r>
            <w:r>
              <w:rPr>
                <w:color w:val="0D0D0D" w:themeColor="text1" w:themeTint="F2"/>
                <w:spacing w:val="-5"/>
              </w:rPr>
              <w:t xml:space="preserve">. Celková výše běžných výdajů SR proto v samotném 2. čtvrtletí 2020 meziročně vzrostla </w:t>
            </w:r>
            <w:r>
              <w:rPr>
                <w:color w:val="0D0D0D" w:themeColor="text1" w:themeTint="F2"/>
                <w:spacing w:val="-5"/>
              </w:rPr>
              <w:br/>
              <w:t>o 5,4 %, zatímco v předchozím kvartále propadla o 9,5 %.</w:t>
            </w:r>
          </w:p>
        </w:tc>
      </w:tr>
      <w:tr w:rsidR="008F2E83" w:rsidRPr="008266F0" w14:paraId="26FF80E2" w14:textId="77777777" w:rsidTr="007B54AE">
        <w:trPr>
          <w:trHeight w:val="145"/>
        </w:trPr>
        <w:tc>
          <w:tcPr>
            <w:tcW w:w="1803" w:type="dxa"/>
            <w:shd w:val="clear" w:color="auto" w:fill="auto"/>
            <w:tcMar>
              <w:left w:w="0" w:type="dxa"/>
            </w:tcMar>
          </w:tcPr>
          <w:p w14:paraId="07C8005B" w14:textId="13E0DDD2" w:rsidR="008F2E83" w:rsidRDefault="00621190" w:rsidP="000C7A79">
            <w:pPr>
              <w:pStyle w:val="Marginlie"/>
            </w:pPr>
            <w:r>
              <w:lastRenderedPageBreak/>
              <w:t>Objem běžných transferů</w:t>
            </w:r>
            <w:r w:rsidR="008F2E83">
              <w:t xml:space="preserve"> podnikatelsk</w:t>
            </w:r>
            <w:r>
              <w:t>ým subjektům se fakticky vrátil</w:t>
            </w:r>
            <w:r w:rsidR="008F2E83">
              <w:t xml:space="preserve"> na úroveň z roku 2019.</w:t>
            </w:r>
          </w:p>
          <w:p w14:paraId="1EC25E8E" w14:textId="77777777" w:rsidR="008F2E83" w:rsidRDefault="008F2E83" w:rsidP="000C7A79">
            <w:pPr>
              <w:pStyle w:val="Marginlie"/>
            </w:pPr>
          </w:p>
          <w:p w14:paraId="21B2299B" w14:textId="77777777" w:rsidR="008F2E83" w:rsidRDefault="008F2E83" w:rsidP="000C7A79">
            <w:pPr>
              <w:pStyle w:val="Marginlie"/>
            </w:pPr>
          </w:p>
          <w:p w14:paraId="4AF2E5BE" w14:textId="77777777" w:rsidR="008F2E83" w:rsidRDefault="008F2E83" w:rsidP="000C7A79">
            <w:pPr>
              <w:pStyle w:val="Marginlie"/>
            </w:pPr>
          </w:p>
          <w:p w14:paraId="636479F8" w14:textId="77777777" w:rsidR="008F2E83" w:rsidRDefault="008F2E83" w:rsidP="000C7A79">
            <w:pPr>
              <w:pStyle w:val="Marginlie"/>
            </w:pPr>
          </w:p>
          <w:p w14:paraId="20A81808" w14:textId="77777777" w:rsidR="008F2E83" w:rsidRDefault="008F2E83" w:rsidP="000C7A79">
            <w:pPr>
              <w:pStyle w:val="Marginlie"/>
            </w:pPr>
          </w:p>
          <w:p w14:paraId="6BAEA4D3" w14:textId="77777777" w:rsidR="008F2E83" w:rsidRDefault="008F2E83" w:rsidP="000C7A79">
            <w:pPr>
              <w:pStyle w:val="Marginlie"/>
            </w:pPr>
          </w:p>
          <w:p w14:paraId="25F61C27" w14:textId="77777777" w:rsidR="008F2E83" w:rsidRDefault="008F2E83" w:rsidP="000C7A79">
            <w:pPr>
              <w:pStyle w:val="Marginlie"/>
            </w:pPr>
          </w:p>
          <w:p w14:paraId="6DA2D46A" w14:textId="77777777" w:rsidR="008F2E83" w:rsidRDefault="008F2E83" w:rsidP="000C7A79">
            <w:pPr>
              <w:pStyle w:val="Marginlie"/>
            </w:pPr>
            <w:r>
              <w:t>Více výdajů směřovalo na neinvestiční nákupy, prodražovala se i obsluha rostoucího státního dluhu.</w:t>
            </w:r>
          </w:p>
          <w:p w14:paraId="1ABBD4F4" w14:textId="77777777" w:rsidR="008F2E83" w:rsidRDefault="008F2E83" w:rsidP="000C7A79">
            <w:pPr>
              <w:pStyle w:val="Marginlie"/>
            </w:pP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32E56497" w14:textId="77777777" w:rsidR="008F2E83" w:rsidRDefault="008F2E83" w:rsidP="000C7A79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9" w:type="dxa"/>
            <w:shd w:val="clear" w:color="auto" w:fill="auto"/>
            <w:tcMar>
              <w:left w:w="0" w:type="dxa"/>
            </w:tcMar>
          </w:tcPr>
          <w:p w14:paraId="2550C76E" w14:textId="77777777" w:rsidR="008F2E83" w:rsidRPr="00705C3E" w:rsidRDefault="008F2E83" w:rsidP="000C7A79">
            <w:pPr>
              <w:spacing w:after="210"/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5"/>
              </w:rPr>
              <w:t xml:space="preserve">Pro meziroční pokles běžných výdajů v letošním pololetí byl rozhodující vývoj neinvestičních transferů podnikatelským subjektům, které dosáhly jen 40 % loňské úrovně a propadly </w:t>
            </w:r>
            <w:r>
              <w:rPr>
                <w:color w:val="0D0D0D" w:themeColor="text1" w:themeTint="F2"/>
                <w:spacing w:val="-5"/>
              </w:rPr>
              <w:br/>
              <w:t xml:space="preserve">o 51 mld. korun. Ten primárně odrážel útlum záchranných programů pro zasažené podniky </w:t>
            </w:r>
            <w:r>
              <w:rPr>
                <w:color w:val="0D0D0D" w:themeColor="text1" w:themeTint="F2"/>
                <w:spacing w:val="-5"/>
              </w:rPr>
              <w:br/>
              <w:t>i celá odvětví, zčásti také redukci zálohových dotací</w:t>
            </w:r>
            <w:r w:rsidRPr="00FC05DD">
              <w:rPr>
                <w:color w:val="0D0D0D" w:themeColor="text1" w:themeTint="F2"/>
                <w:spacing w:val="-5"/>
              </w:rPr>
              <w:t xml:space="preserve"> na obnovitelné zdroje energie </w:t>
            </w:r>
            <w:r>
              <w:rPr>
                <w:color w:val="0D0D0D" w:themeColor="text1" w:themeTint="F2"/>
                <w:spacing w:val="-5"/>
              </w:rPr>
              <w:br/>
            </w:r>
            <w:r w:rsidRPr="00FC05DD">
              <w:rPr>
                <w:color w:val="0D0D0D" w:themeColor="text1" w:themeTint="F2"/>
                <w:spacing w:val="-5"/>
              </w:rPr>
              <w:t>(</w:t>
            </w:r>
            <w:r>
              <w:rPr>
                <w:color w:val="0D0D0D" w:themeColor="text1" w:themeTint="F2"/>
                <w:spacing w:val="-5"/>
              </w:rPr>
              <w:t>−</w:t>
            </w:r>
            <w:r w:rsidRPr="00FC05DD">
              <w:rPr>
                <w:color w:val="0D0D0D" w:themeColor="text1" w:themeTint="F2"/>
                <w:spacing w:val="-5"/>
              </w:rPr>
              <w:t>3,8 mld. Kč)</w:t>
            </w:r>
            <w:r w:rsidRPr="00EF1AC2">
              <w:rPr>
                <w:color w:val="0D0D0D" w:themeColor="text1" w:themeTint="F2"/>
                <w:spacing w:val="-5"/>
              </w:rPr>
              <w:t>. S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EF1AC2">
              <w:rPr>
                <w:color w:val="0D0D0D" w:themeColor="text1" w:themeTint="F2"/>
                <w:spacing w:val="-5"/>
              </w:rPr>
              <w:t>poklesem protipandemické pomoci souvisely</w:t>
            </w:r>
            <w:r>
              <w:rPr>
                <w:color w:val="0D0D0D" w:themeColor="text1" w:themeTint="F2"/>
                <w:spacing w:val="-5"/>
              </w:rPr>
              <w:t xml:space="preserve"> i nižší transfery příspěvkovým i neziskovým organizacím, jejich dopad na běžné výdaje byl ovšem řádově menší. Objemově významné běžné transfery směrem ke krajům a obcím stagnovaly, neboť mírný růst platových tarifů pedagogů základních a středních škol (+2 %) byl kompenzován snížením prostředků v oblasti sociálních služeb či lůžkové péče (související s loňskými mimořádnými odměnami). Výdaje na platy v organizačních složkách státu třetím rokem v řadě fakticky stagnovaly. Více prostředků naopak meziročně směřovalo na neinvestiční nákupy (+22,6 %, resp. 7,3 mld. korun), </w:t>
            </w:r>
            <w:r>
              <w:rPr>
                <w:spacing w:val="-5"/>
              </w:rPr>
              <w:t>u</w:t>
            </w:r>
            <w:r>
              <w:rPr>
                <w:color w:val="0D0D0D" w:themeColor="text1" w:themeTint="F2"/>
                <w:spacing w:val="-5"/>
              </w:rPr>
              <w:t> </w:t>
            </w:r>
            <w:r>
              <w:rPr>
                <w:spacing w:val="-5"/>
              </w:rPr>
              <w:t xml:space="preserve">nichž se projevily vyšší výdaje na </w:t>
            </w:r>
            <w:r>
              <w:rPr>
                <w:color w:val="0D0D0D" w:themeColor="text1" w:themeTint="F2"/>
                <w:spacing w:val="-5"/>
              </w:rPr>
              <w:t xml:space="preserve">posilování státních hmotných rezerv, rostoucí ceny za spotřebované energie či </w:t>
            </w:r>
            <w:r>
              <w:rPr>
                <w:spacing w:val="-5"/>
              </w:rPr>
              <w:t>vyšší potřeba nákupu léků a zdravotnického materiálu. SR letos více zatížily také dočasně zvýšené platby za tzv. státní pojištěnce (+8,2 mld. korun %)</w:t>
            </w:r>
            <w:r>
              <w:rPr>
                <w:rStyle w:val="Znakapoznpodarou"/>
                <w:spacing w:val="-5"/>
              </w:rPr>
              <w:footnoteReference w:id="11"/>
            </w:r>
            <w:r>
              <w:rPr>
                <w:spacing w:val="-5"/>
              </w:rPr>
              <w:t>. Zvýšily se rovněž výdaje na obsluhu státního dluhu (na 23 mld. korun</w:t>
            </w:r>
            <w:r>
              <w:rPr>
                <w:rStyle w:val="Znakapoznpodarou"/>
                <w:spacing w:val="-5"/>
              </w:rPr>
              <w:footnoteReference w:id="12"/>
            </w:r>
            <w:r>
              <w:rPr>
                <w:spacing w:val="-5"/>
              </w:rPr>
              <w:t xml:space="preserve">, za poslední dva roky takřka dvojnásobně). </w:t>
            </w:r>
            <w:r>
              <w:rPr>
                <w:spacing w:val="-4"/>
              </w:rPr>
              <w:t>Stál za tím citelný růst sazeb na dluhopisových trzích i pokračující silný růst výše dluhu. Státní dluh vystoupal letos na konci červ</w:t>
            </w:r>
            <w:r w:rsidRPr="0009441E">
              <w:rPr>
                <w:spacing w:val="-4"/>
              </w:rPr>
              <w:t xml:space="preserve">na </w:t>
            </w:r>
            <w:r>
              <w:rPr>
                <w:spacing w:val="-4"/>
              </w:rPr>
              <w:t>na 2 708</w:t>
            </w:r>
            <w:r w:rsidRPr="0009441E">
              <w:rPr>
                <w:spacing w:val="-4"/>
              </w:rPr>
              <w:t xml:space="preserve"> mld. korun, </w:t>
            </w:r>
            <w:r>
              <w:rPr>
                <w:spacing w:val="-4"/>
              </w:rPr>
              <w:t>meziročně o</w:t>
            </w:r>
            <w:r>
              <w:rPr>
                <w:color w:val="0D0D0D" w:themeColor="text1" w:themeTint="F2"/>
                <w:spacing w:val="-5"/>
              </w:rPr>
              <w:t> </w:t>
            </w:r>
            <w:r>
              <w:rPr>
                <w:spacing w:val="-4"/>
              </w:rPr>
              <w:t>12,1 % více</w:t>
            </w:r>
            <w:r w:rsidRPr="0009441E">
              <w:rPr>
                <w:spacing w:val="-4"/>
              </w:rPr>
              <w:t>.</w:t>
            </w:r>
            <w:r>
              <w:rPr>
                <w:spacing w:val="-4"/>
              </w:rPr>
              <w:t xml:space="preserve"> </w:t>
            </w:r>
            <w:r w:rsidRPr="0009441E">
              <w:rPr>
                <w:spacing w:val="-4"/>
              </w:rPr>
              <w:t>Od počátku let</w:t>
            </w:r>
            <w:r>
              <w:rPr>
                <w:spacing w:val="-4"/>
              </w:rPr>
              <w:t>ošního roku dluh vystoupal o 242 mld., což však bylo méně než v předchozích dvou letech.</w:t>
            </w:r>
          </w:p>
        </w:tc>
      </w:tr>
      <w:tr w:rsidR="008F2E83" w:rsidRPr="008266F0" w14:paraId="0132ADE0" w14:textId="77777777" w:rsidTr="007B54AE">
        <w:trPr>
          <w:trHeight w:val="145"/>
        </w:trPr>
        <w:tc>
          <w:tcPr>
            <w:tcW w:w="1803" w:type="dxa"/>
            <w:shd w:val="clear" w:color="auto" w:fill="auto"/>
            <w:tcMar>
              <w:left w:w="0" w:type="dxa"/>
            </w:tcMar>
          </w:tcPr>
          <w:p w14:paraId="3300213D" w14:textId="77777777" w:rsidR="008F2E83" w:rsidRDefault="008F2E83" w:rsidP="000C7A79">
            <w:pPr>
              <w:pStyle w:val="Marginlie"/>
            </w:pPr>
            <w:r>
              <w:t xml:space="preserve">Růst běžných výdajů SR byl tažen zejména vyplacenými důchody, jejichž úroveň byla </w:t>
            </w:r>
            <w:r>
              <w:br/>
              <w:t>v 1. pololetí dvakrát zvýšena. Deficit důchodového účtu se prohloubil.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2707F169" w14:textId="77777777" w:rsidR="008F2E83" w:rsidRDefault="008F2E83" w:rsidP="000C7A79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9" w:type="dxa"/>
            <w:shd w:val="clear" w:color="auto" w:fill="auto"/>
            <w:tcMar>
              <w:left w:w="0" w:type="dxa"/>
            </w:tcMar>
          </w:tcPr>
          <w:p w14:paraId="76C51139" w14:textId="77777777" w:rsidR="008F2E83" w:rsidRPr="0047781C" w:rsidRDefault="008F2E83" w:rsidP="000C7A79">
            <w:pPr>
              <w:spacing w:after="210"/>
              <w:rPr>
                <w:spacing w:val="-4"/>
              </w:rPr>
            </w:pPr>
            <w:r w:rsidRPr="00792C18">
              <w:rPr>
                <w:color w:val="0D0D0D" w:themeColor="text1" w:themeTint="F2"/>
                <w:spacing w:val="-4"/>
              </w:rPr>
              <w:t xml:space="preserve">Výdaje na sociální dávky tvoří tradiční dominantní část běžných výdajů SR – v 1. pololetí 2022 šlo o 41,4 %. Jejich váha ve srovnatelném období poprvé za posledních šest let meziročně posílila (+ 3 p. b.) a tyto dávky </w:t>
            </w:r>
            <w:r>
              <w:rPr>
                <w:color w:val="0D0D0D" w:themeColor="text1" w:themeTint="F2"/>
                <w:spacing w:val="-4"/>
              </w:rPr>
              <w:t xml:space="preserve">dosud letos </w:t>
            </w:r>
            <w:r w:rsidRPr="00792C18">
              <w:rPr>
                <w:color w:val="0D0D0D" w:themeColor="text1" w:themeTint="F2"/>
                <w:spacing w:val="-4"/>
              </w:rPr>
              <w:t xml:space="preserve">zároveň působily na vývoj všech běžných výdajů nejvíce prorůstově (+21,3 mld. korun). </w:t>
            </w:r>
            <w:r w:rsidRPr="00792C18">
              <w:rPr>
                <w:spacing w:val="-4"/>
              </w:rPr>
              <w:t>Letošní navýšení objemu sociálních dávek bylo z více než 85</w:t>
            </w:r>
            <w:r w:rsidRPr="00792C18">
              <w:rPr>
                <w:color w:val="0D0D0D" w:themeColor="text1" w:themeTint="F2"/>
                <w:spacing w:val="-4"/>
              </w:rPr>
              <w:t> </w:t>
            </w:r>
            <w:r w:rsidRPr="00792C18">
              <w:rPr>
                <w:spacing w:val="-4"/>
              </w:rPr>
              <w:t>% tažen</w:t>
            </w:r>
            <w:r>
              <w:rPr>
                <w:spacing w:val="-4"/>
              </w:rPr>
              <w:t>o</w:t>
            </w:r>
            <w:r w:rsidRPr="00792C18">
              <w:rPr>
                <w:spacing w:val="-4"/>
              </w:rPr>
              <w:t xml:space="preserve"> vyššími výdaji na důchody – ty meziročně posílily </w:t>
            </w:r>
            <w:r>
              <w:rPr>
                <w:spacing w:val="-4"/>
              </w:rPr>
              <w:br/>
            </w:r>
            <w:r w:rsidRPr="00792C18">
              <w:rPr>
                <w:spacing w:val="-4"/>
              </w:rPr>
              <w:t xml:space="preserve">o 6,8 % díky lednové valorizaci i té mimořádné červnové. </w:t>
            </w:r>
            <w:r>
              <w:rPr>
                <w:spacing w:val="-4"/>
              </w:rPr>
              <w:t xml:space="preserve">Opačně působil počet příjemců starobních důchodů, významně ovlivněný zvýšenou úmrtností. Ten se oproti červnu 2020 snížil o 1,7 %. </w:t>
            </w:r>
            <w:r>
              <w:rPr>
                <w:spacing w:val="-5"/>
              </w:rPr>
              <w:t xml:space="preserve">Dobrá kondice trhu práce se odrazila v pokračujícím růstu příjmů </w:t>
            </w:r>
            <w:r>
              <w:rPr>
                <w:rFonts w:cs="Arial"/>
                <w:color w:val="0D0D0D" w:themeColor="text1" w:themeTint="F2"/>
                <w:spacing w:val="-5"/>
              </w:rPr>
              <w:t xml:space="preserve">důchodového pojištění (+5,9 %). Deficit </w:t>
            </w:r>
            <w:r w:rsidRPr="00D863C6">
              <w:rPr>
                <w:rFonts w:cs="Arial"/>
                <w:color w:val="0D0D0D" w:themeColor="text1" w:themeTint="F2"/>
                <w:spacing w:val="-5"/>
              </w:rPr>
              <w:t>důchodového účtu</w:t>
            </w:r>
            <w:r w:rsidRPr="00D863C6">
              <w:rPr>
                <w:rStyle w:val="Znakapoznpodarou"/>
                <w:color w:val="0D0D0D" w:themeColor="text1" w:themeTint="F2"/>
                <w:spacing w:val="-5"/>
              </w:rPr>
              <w:footnoteReference w:id="13"/>
            </w:r>
            <w:r w:rsidRPr="00D863C6">
              <w:rPr>
                <w:rFonts w:cs="Arial"/>
                <w:color w:val="0D0D0D" w:themeColor="text1" w:themeTint="F2"/>
                <w:spacing w:val="-5"/>
              </w:rPr>
              <w:t xml:space="preserve"> se </w:t>
            </w:r>
            <w:r>
              <w:rPr>
                <w:rFonts w:cs="Arial"/>
                <w:color w:val="0D0D0D" w:themeColor="text1" w:themeTint="F2"/>
                <w:spacing w:val="-5"/>
              </w:rPr>
              <w:t>přesto meziročně prohloubil na 8,6 mld. korun a zaznamenal schodek třetím rokem v řadě</w:t>
            </w:r>
            <w:r w:rsidRPr="00D863C6">
              <w:rPr>
                <w:rFonts w:cs="Arial"/>
                <w:color w:val="0D0D0D" w:themeColor="text1" w:themeTint="F2"/>
                <w:spacing w:val="-5"/>
              </w:rPr>
              <w:t>.</w:t>
            </w:r>
          </w:p>
        </w:tc>
      </w:tr>
      <w:tr w:rsidR="008F2E83" w:rsidRPr="008266F0" w14:paraId="593003DD" w14:textId="77777777" w:rsidTr="007B54AE">
        <w:trPr>
          <w:trHeight w:val="145"/>
        </w:trPr>
        <w:tc>
          <w:tcPr>
            <w:tcW w:w="1803" w:type="dxa"/>
            <w:shd w:val="clear" w:color="auto" w:fill="auto"/>
            <w:tcMar>
              <w:left w:w="0" w:type="dxa"/>
            </w:tcMar>
          </w:tcPr>
          <w:p w14:paraId="104508B9" w14:textId="77777777" w:rsidR="008F2E83" w:rsidRDefault="008F2E83" w:rsidP="000C7A79">
            <w:pPr>
              <w:pStyle w:val="Marginlie"/>
            </w:pPr>
            <w:r>
              <w:t>Objem většiny nedůchodových sociálních dávek vlivem ústupu pandemie i dobré kondice trhu práce klesl. Významně se ale projevila výplata humanitární dávky, posílily i výdaje na péči.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436C6A57" w14:textId="77777777" w:rsidR="008F2E83" w:rsidRDefault="008F2E83" w:rsidP="000C7A79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9" w:type="dxa"/>
            <w:shd w:val="clear" w:color="auto" w:fill="auto"/>
            <w:tcMar>
              <w:left w:w="0" w:type="dxa"/>
            </w:tcMar>
          </w:tcPr>
          <w:p w14:paraId="31385560" w14:textId="77777777" w:rsidR="008F2E83" w:rsidRPr="00792C18" w:rsidRDefault="008F2E83" w:rsidP="000C7A79">
            <w:pPr>
              <w:spacing w:after="210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„</w:t>
            </w:r>
            <w:r w:rsidRPr="00792C18">
              <w:rPr>
                <w:spacing w:val="-4"/>
              </w:rPr>
              <w:t xml:space="preserve">Nedůchodové“ sociální dávky, významně navýšené za pandemie, vzrostly </w:t>
            </w:r>
            <w:r>
              <w:rPr>
                <w:spacing w:val="-4"/>
              </w:rPr>
              <w:t xml:space="preserve">v 1. pololetí mírněji (meziročně o </w:t>
            </w:r>
            <w:r w:rsidRPr="00792C18">
              <w:rPr>
                <w:spacing w:val="-4"/>
              </w:rPr>
              <w:t>3,6 %). Nebýt mimořádné okamžité pomoci (zahrnující zejména humanitární dávku uprchlíkům z Ukrajiny ve výši 4,3 mld. korun), souhrnný objem n</w:t>
            </w:r>
            <w:r>
              <w:rPr>
                <w:spacing w:val="-4"/>
              </w:rPr>
              <w:t xml:space="preserve">edůchodových dávek by </w:t>
            </w:r>
            <w:r w:rsidRPr="00792C18">
              <w:rPr>
                <w:spacing w:val="-4"/>
              </w:rPr>
              <w:t>poklesl. Díky zásadnímu zlepšení epidemické situace totiž ve srovnání s loňským 1. pololetím došlo k výrazné úspoře na výplatě ošetřovného (o</w:t>
            </w:r>
            <w:r w:rsidRPr="00792C18">
              <w:rPr>
                <w:color w:val="0D0D0D" w:themeColor="text1" w:themeTint="F2"/>
                <w:spacing w:val="-4"/>
              </w:rPr>
              <w:t> </w:t>
            </w:r>
            <w:r w:rsidRPr="00792C18">
              <w:rPr>
                <w:spacing w:val="-4"/>
              </w:rPr>
              <w:t>40</w:t>
            </w:r>
            <w:r w:rsidRPr="00792C18">
              <w:rPr>
                <w:color w:val="0D0D0D" w:themeColor="text1" w:themeTint="F2"/>
                <w:spacing w:val="-4"/>
              </w:rPr>
              <w:t> </w:t>
            </w:r>
            <w:r w:rsidRPr="00792C18">
              <w:rPr>
                <w:spacing w:val="-4"/>
              </w:rPr>
              <w:t xml:space="preserve">%, resp. 2,7 mld. korun), poprvé po roce 2012 se také snížil objem nemocenských </w:t>
            </w:r>
            <w:r w:rsidRPr="00792C18">
              <w:rPr>
                <w:spacing w:val="-2"/>
              </w:rPr>
              <w:t xml:space="preserve">dávek </w:t>
            </w:r>
            <w:r>
              <w:rPr>
                <w:spacing w:val="-2"/>
              </w:rPr>
              <w:br/>
            </w:r>
            <w:r w:rsidRPr="00792C18">
              <w:rPr>
                <w:spacing w:val="-2"/>
              </w:rPr>
              <w:t xml:space="preserve">(o 4 %, 0,7 mld.). Menší dopad mělo snížení vydaných podpor v nezaměstnanosti </w:t>
            </w:r>
            <w:r>
              <w:rPr>
                <w:spacing w:val="-2"/>
              </w:rPr>
              <w:br/>
            </w:r>
            <w:r w:rsidRPr="00792C18">
              <w:rPr>
                <w:spacing w:val="-2"/>
              </w:rPr>
              <w:t>(</w:t>
            </w:r>
            <w:r>
              <w:rPr>
                <w:spacing w:val="-2"/>
              </w:rPr>
              <w:t>−</w:t>
            </w:r>
            <w:r w:rsidRPr="00792C18">
              <w:rPr>
                <w:spacing w:val="-2"/>
              </w:rPr>
              <w:t>7,6 %)</w:t>
            </w:r>
            <w:r w:rsidRPr="00792C18">
              <w:rPr>
                <w:spacing w:val="-4"/>
              </w:rPr>
              <w:t xml:space="preserve"> či dávek státní sociální podpory, vč. pěstounské péče (</w:t>
            </w:r>
            <w:r>
              <w:rPr>
                <w:spacing w:val="-4"/>
              </w:rPr>
              <w:t>−</w:t>
            </w:r>
            <w:r w:rsidRPr="00792C18">
              <w:rPr>
                <w:spacing w:val="-4"/>
              </w:rPr>
              <w:t>1,5 %)</w:t>
            </w:r>
            <w:r>
              <w:rPr>
                <w:rStyle w:val="Znakapoznpodarou"/>
                <w:spacing w:val="-4"/>
              </w:rPr>
              <w:footnoteReference w:id="14"/>
            </w:r>
            <w:r w:rsidRPr="00792C18">
              <w:rPr>
                <w:spacing w:val="-4"/>
              </w:rPr>
              <w:t xml:space="preserve">. </w:t>
            </w:r>
            <w:r>
              <w:rPr>
                <w:spacing w:val="-4"/>
              </w:rPr>
              <w:t xml:space="preserve">Naopak </w:t>
            </w:r>
            <w:r>
              <w:rPr>
                <w:spacing w:val="-4"/>
              </w:rPr>
              <w:br/>
              <w:t>o desetinu (+1,7 mld. korun) vydal SR více na příspěvky na péči (na dlouhodobě nemocné).</w:t>
            </w:r>
          </w:p>
        </w:tc>
      </w:tr>
      <w:tr w:rsidR="008F2E83" w:rsidRPr="008266F0" w14:paraId="182EF3CD" w14:textId="77777777" w:rsidTr="007B54AE">
        <w:trPr>
          <w:trHeight w:val="145"/>
        </w:trPr>
        <w:tc>
          <w:tcPr>
            <w:tcW w:w="1803" w:type="dxa"/>
            <w:shd w:val="clear" w:color="auto" w:fill="auto"/>
            <w:tcMar>
              <w:left w:w="0" w:type="dxa"/>
            </w:tcMar>
          </w:tcPr>
          <w:p w14:paraId="221113C6" w14:textId="53F881EE" w:rsidR="008F2E83" w:rsidRDefault="00775E00" w:rsidP="00775E00">
            <w:pPr>
              <w:pStyle w:val="Marginlie"/>
            </w:pPr>
            <w:r>
              <w:lastRenderedPageBreak/>
              <w:t>Pololetní objem investic díky jarnímu zrychlení v čerpání vystoupal na rekordní úroveň.</w:t>
            </w:r>
            <w:r w:rsidR="008F2E83">
              <w:t xml:space="preserve">  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04304848" w14:textId="77777777" w:rsidR="008F2E83" w:rsidRDefault="008F2E83" w:rsidP="000C7A79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9" w:type="dxa"/>
            <w:shd w:val="clear" w:color="auto" w:fill="auto"/>
            <w:tcMar>
              <w:left w:w="0" w:type="dxa"/>
            </w:tcMar>
          </w:tcPr>
          <w:p w14:paraId="4B51B238" w14:textId="56611C31" w:rsidR="008F2E83" w:rsidRDefault="008F2E83" w:rsidP="000C7A79">
            <w:pPr>
              <w:spacing w:after="210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Ačkoli letošní čerpání kapitálových výdajů se po ukončení rozpočtového provizoria ve 2.</w:t>
            </w:r>
            <w:r w:rsidRPr="00792C18">
              <w:rPr>
                <w:spacing w:val="-4"/>
              </w:rPr>
              <w:t> </w:t>
            </w:r>
            <w:r>
              <w:rPr>
                <w:color w:val="0D0D0D" w:themeColor="text1" w:themeTint="F2"/>
                <w:spacing w:val="-4"/>
              </w:rPr>
              <w:t>čtvrtletí citelně zrychlilo, za celé pololetí vydal SR jen třetinu celoročního očekávaného objemu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15"/>
            </w:r>
            <w:r>
              <w:rPr>
                <w:color w:val="0D0D0D" w:themeColor="text1" w:themeTint="F2"/>
                <w:spacing w:val="-4"/>
              </w:rPr>
              <w:t>. Výše investic i tak meziročně vzrostla o významných 13,9 % (</w:t>
            </w:r>
            <w:r w:rsidR="00775E00">
              <w:rPr>
                <w:color w:val="0D0D0D" w:themeColor="text1" w:themeTint="F2"/>
                <w:spacing w:val="-4"/>
              </w:rPr>
              <w:t xml:space="preserve">na rekordních 68 mld. korun), </w:t>
            </w:r>
            <w:r>
              <w:rPr>
                <w:color w:val="0D0D0D" w:themeColor="text1" w:themeTint="F2"/>
                <w:spacing w:val="-4"/>
              </w:rPr>
              <w:t xml:space="preserve">z drtivé části vlivem posílení toků do státních fondů (na dopravní infrastrukturu i životní prostředí). </w:t>
            </w:r>
            <w:r>
              <w:rPr>
                <w:color w:val="0D0D0D" w:themeColor="text1" w:themeTint="F2"/>
                <w:spacing w:val="-5"/>
              </w:rPr>
              <w:t>Celkové investice tvořily rovných 7 % všech rozpočtových výdajů, což odpovídalo dlouhodobému průměru.</w:t>
            </w:r>
          </w:p>
        </w:tc>
      </w:tr>
      <w:tr w:rsidR="008F2E83" w:rsidRPr="008266F0" w14:paraId="46CD2C43" w14:textId="77777777" w:rsidTr="007B54AE">
        <w:trPr>
          <w:trHeight w:val="145"/>
        </w:trPr>
        <w:tc>
          <w:tcPr>
            <w:tcW w:w="1803" w:type="dxa"/>
            <w:shd w:val="clear" w:color="auto" w:fill="auto"/>
            <w:tcMar>
              <w:left w:w="0" w:type="dxa"/>
            </w:tcMar>
          </w:tcPr>
          <w:p w14:paraId="5C4BB0B3" w14:textId="31EE6B6F" w:rsidR="008F2E83" w:rsidRDefault="008F2E83" w:rsidP="000C7A79">
            <w:pPr>
              <w:pStyle w:val="Marginlie"/>
            </w:pPr>
            <w:r>
              <w:t>Pololetní kl</w:t>
            </w:r>
            <w:r w:rsidR="00F04955">
              <w:t>adné saldo ČR vůči rozpočtu EU</w:t>
            </w:r>
            <w:r>
              <w:t xml:space="preserve"> bylo vlivem slabších příjmů nejnižší za poslední čtyři roky.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5EC6A9D4" w14:textId="77777777" w:rsidR="008F2E83" w:rsidRDefault="008F2E83" w:rsidP="000C7A79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9" w:type="dxa"/>
            <w:shd w:val="clear" w:color="auto" w:fill="auto"/>
            <w:tcMar>
              <w:left w:w="0" w:type="dxa"/>
            </w:tcMar>
          </w:tcPr>
          <w:p w14:paraId="066E0BF3" w14:textId="7B6C4C25" w:rsidR="008F2E83" w:rsidRPr="00195EA6" w:rsidRDefault="008F2E83" w:rsidP="000C7A79">
            <w:pPr>
              <w:spacing w:after="210"/>
              <w:rPr>
                <w:color w:val="0D0D0D" w:themeColor="text1" w:themeTint="F2"/>
                <w:spacing w:val="-2"/>
              </w:rPr>
            </w:pPr>
            <w:r w:rsidRPr="00195EA6">
              <w:rPr>
                <w:color w:val="0D0D0D" w:themeColor="text1" w:themeTint="F2"/>
                <w:spacing w:val="-2"/>
              </w:rPr>
              <w:t>I přes významnější meziroční pokles většiny druhů příjmů zůstalo Česko v 1. pololetí 2022 ve vztahu k rozpočtu EU čistým příjemcem. Pozici nejvýznamnějšího příjmového kanálu si udržely strukturální fondy (17,7 mld. kor</w:t>
            </w:r>
            <w:r w:rsidR="00F874F8">
              <w:rPr>
                <w:color w:val="0D0D0D" w:themeColor="text1" w:themeTint="F2"/>
                <w:spacing w:val="-2"/>
              </w:rPr>
              <w:t>un), byť oproti 1. pololetí 2020</w:t>
            </w:r>
            <w:r w:rsidRPr="00195EA6">
              <w:rPr>
                <w:color w:val="0D0D0D" w:themeColor="text1" w:themeTint="F2"/>
                <w:spacing w:val="-2"/>
              </w:rPr>
              <w:t xml:space="preserve"> se tyto toky do ČR snížily o více než polovinu (obdobné platilo i pro kohezní fondy). Podstatně mírněji se zmenšil objem jinak dlouhodobě dost stabilních </w:t>
            </w:r>
            <w:r w:rsidR="00F874F8">
              <w:rPr>
                <w:color w:val="0D0D0D" w:themeColor="text1" w:themeTint="F2"/>
                <w:spacing w:val="-2"/>
              </w:rPr>
              <w:t>přímých plateb v zemědělství (na 17,1</w:t>
            </w:r>
            <w:r w:rsidR="00F874F8" w:rsidRPr="00A5756B">
              <w:rPr>
                <w:color w:val="0D0D0D" w:themeColor="text1" w:themeTint="F2"/>
                <w:spacing w:val="-2"/>
              </w:rPr>
              <w:t> </w:t>
            </w:r>
            <w:r w:rsidRPr="00195EA6">
              <w:rPr>
                <w:color w:val="0D0D0D" w:themeColor="text1" w:themeTint="F2"/>
                <w:spacing w:val="-2"/>
              </w:rPr>
              <w:t>mld.). Na rozvoj venkova (vč. oblasti rybářství) bylo alokováno 6,1 mld. kor</w:t>
            </w:r>
            <w:r w:rsidR="00195EA6" w:rsidRPr="00195EA6">
              <w:rPr>
                <w:color w:val="0D0D0D" w:themeColor="text1" w:themeTint="F2"/>
                <w:spacing w:val="-2"/>
              </w:rPr>
              <w:t>un. Š</w:t>
            </w:r>
            <w:r w:rsidR="00F874F8">
              <w:rPr>
                <w:color w:val="0D0D0D" w:themeColor="text1" w:themeTint="F2"/>
                <w:spacing w:val="-2"/>
              </w:rPr>
              <w:t>lo o</w:t>
            </w:r>
            <w:r w:rsidR="00F874F8" w:rsidRPr="00A5756B">
              <w:rPr>
                <w:color w:val="0D0D0D" w:themeColor="text1" w:themeTint="F2"/>
                <w:spacing w:val="-2"/>
              </w:rPr>
              <w:t> </w:t>
            </w:r>
            <w:r w:rsidRPr="00195EA6">
              <w:rPr>
                <w:color w:val="0D0D0D" w:themeColor="text1" w:themeTint="F2"/>
                <w:spacing w:val="-2"/>
              </w:rPr>
              <w:t>jediný z tradičních příjmových titulů, z něhož ČR získala meziročně více. Pololetní celkové tuzemské platby do rozpočtu Unie stejně jako v před</w:t>
            </w:r>
            <w:r w:rsidR="00F874F8">
              <w:rPr>
                <w:color w:val="0D0D0D" w:themeColor="text1" w:themeTint="F2"/>
                <w:spacing w:val="-2"/>
              </w:rPr>
              <w:t xml:space="preserve">chozích dvou letech </w:t>
            </w:r>
            <w:r w:rsidR="00E41179">
              <w:rPr>
                <w:color w:val="0D0D0D" w:themeColor="text1" w:themeTint="F2"/>
                <w:spacing w:val="-2"/>
              </w:rPr>
              <w:t xml:space="preserve">fakticky </w:t>
            </w:r>
            <w:r w:rsidR="00F874F8">
              <w:rPr>
                <w:color w:val="0D0D0D" w:themeColor="text1" w:themeTint="F2"/>
                <w:spacing w:val="-2"/>
              </w:rPr>
              <w:t xml:space="preserve">stagnovaly </w:t>
            </w:r>
            <w:r w:rsidRPr="00195EA6">
              <w:rPr>
                <w:color w:val="0D0D0D" w:themeColor="text1" w:themeTint="F2"/>
                <w:spacing w:val="-2"/>
              </w:rPr>
              <w:t>(32,5 mld. korun). Česko tak zatím letos získ</w:t>
            </w:r>
            <w:r w:rsidR="00F874F8">
              <w:rPr>
                <w:color w:val="0D0D0D" w:themeColor="text1" w:themeTint="F2"/>
                <w:spacing w:val="-2"/>
              </w:rPr>
              <w:t>alo z rozpočtu EU v čistém 15,9</w:t>
            </w:r>
            <w:r w:rsidR="00F874F8" w:rsidRPr="00A5756B">
              <w:rPr>
                <w:color w:val="0D0D0D" w:themeColor="text1" w:themeTint="F2"/>
                <w:spacing w:val="-2"/>
              </w:rPr>
              <w:t> </w:t>
            </w:r>
            <w:r w:rsidRPr="00195EA6">
              <w:rPr>
                <w:color w:val="0D0D0D" w:themeColor="text1" w:themeTint="F2"/>
                <w:spacing w:val="-2"/>
              </w:rPr>
              <w:t>mld. korun (</w:t>
            </w:r>
            <w:r w:rsidR="00195EA6" w:rsidRPr="00195EA6">
              <w:rPr>
                <w:color w:val="0D0D0D" w:themeColor="text1" w:themeTint="F2"/>
                <w:spacing w:val="-2"/>
              </w:rPr>
              <w:t>nejméně od 1. pololetí 2018). P</w:t>
            </w:r>
            <w:r w:rsidRPr="00195EA6">
              <w:rPr>
                <w:color w:val="0D0D0D" w:themeColor="text1" w:themeTint="F2"/>
                <w:spacing w:val="-2"/>
              </w:rPr>
              <w:t xml:space="preserve">ři započítání </w:t>
            </w:r>
            <w:r w:rsidR="00195EA6" w:rsidRPr="00195EA6">
              <w:rPr>
                <w:color w:val="0D0D0D" w:themeColor="text1" w:themeTint="F2"/>
                <w:spacing w:val="-2"/>
              </w:rPr>
              <w:t xml:space="preserve">i </w:t>
            </w:r>
            <w:r w:rsidRPr="00195EA6">
              <w:rPr>
                <w:color w:val="0D0D0D" w:themeColor="text1" w:themeTint="F2"/>
                <w:spacing w:val="-2"/>
              </w:rPr>
              <w:t>příjmů z Nástroje EU na podporu oživení</w:t>
            </w:r>
            <w:r w:rsidRPr="00195EA6">
              <w:rPr>
                <w:color w:val="0D0D0D" w:themeColor="text1" w:themeTint="F2"/>
                <w:spacing w:val="-2"/>
                <w:vertAlign w:val="superscript"/>
              </w:rPr>
              <w:footnoteReference w:id="16"/>
            </w:r>
            <w:r w:rsidRPr="00195EA6">
              <w:rPr>
                <w:color w:val="0D0D0D" w:themeColor="text1" w:themeTint="F2"/>
                <w:spacing w:val="-2"/>
              </w:rPr>
              <w:t xml:space="preserve"> činilo kladné saldo 23,5 mld.</w:t>
            </w:r>
          </w:p>
        </w:tc>
      </w:tr>
      <w:tr w:rsidR="008F2E83" w:rsidRPr="00F704D2" w14:paraId="610894A5" w14:textId="77777777" w:rsidTr="007B54AE">
        <w:trPr>
          <w:trHeight w:val="170"/>
        </w:trPr>
        <w:tc>
          <w:tcPr>
            <w:tcW w:w="1803" w:type="dxa"/>
            <w:vMerge w:val="restart"/>
            <w:shd w:val="clear" w:color="auto" w:fill="auto"/>
            <w:tcMar>
              <w:left w:w="0" w:type="dxa"/>
            </w:tcMar>
          </w:tcPr>
          <w:p w14:paraId="4827EF04" w14:textId="77777777" w:rsidR="008F2E83" w:rsidRDefault="008F2E83" w:rsidP="000C7A79">
            <w:pPr>
              <w:pStyle w:val="Marginlie"/>
            </w:pPr>
          </w:p>
        </w:tc>
        <w:tc>
          <w:tcPr>
            <w:tcW w:w="217" w:type="dxa"/>
            <w:vMerge w:val="restart"/>
            <w:shd w:val="clear" w:color="auto" w:fill="auto"/>
            <w:tcMar>
              <w:left w:w="0" w:type="dxa"/>
            </w:tcMar>
          </w:tcPr>
          <w:p w14:paraId="3F093CC7" w14:textId="77777777" w:rsidR="008F2E83" w:rsidRDefault="008F2E83" w:rsidP="000C7A79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9" w:type="dxa"/>
            <w:shd w:val="clear" w:color="auto" w:fill="auto"/>
            <w:tcMar>
              <w:left w:w="0" w:type="dxa"/>
            </w:tcMar>
          </w:tcPr>
          <w:p w14:paraId="606D6D57" w14:textId="1359B87C" w:rsidR="008F2E83" w:rsidRPr="00D232BB" w:rsidRDefault="008F2E83" w:rsidP="0052792D">
            <w:pPr>
              <w:spacing w:after="20" w:line="240" w:lineRule="auto"/>
              <w:jc w:val="left"/>
              <w:rPr>
                <w:rFonts w:cs="Arial"/>
                <w:bCs/>
              </w:rPr>
            </w:pPr>
            <w:r w:rsidRPr="00D232BB">
              <w:rPr>
                <w:b/>
              </w:rPr>
              <w:t>Graf č. 1</w:t>
            </w:r>
            <w:r w:rsidR="0052792D">
              <w:rPr>
                <w:b/>
              </w:rPr>
              <w:t>8</w:t>
            </w:r>
            <w:r w:rsidRPr="00D232BB">
              <w:rPr>
                <w:b/>
              </w:rPr>
              <w:t xml:space="preserve"> </w:t>
            </w:r>
            <w:r>
              <w:rPr>
                <w:rFonts w:cs="Arial"/>
                <w:b/>
                <w:bCs/>
              </w:rPr>
              <w:t xml:space="preserve">Vybrané výdaje státního rozpočtu v rámci 1. pololetí </w:t>
            </w:r>
            <w:r w:rsidRPr="00DB31A1">
              <w:rPr>
                <w:rFonts w:cs="Arial"/>
                <w:bCs/>
              </w:rPr>
              <w:t>(v mld. korun)</w:t>
            </w:r>
          </w:p>
        </w:tc>
      </w:tr>
      <w:tr w:rsidR="008F2E83" w14:paraId="16838208" w14:textId="77777777" w:rsidTr="007B54AE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3" w:type="dxa"/>
            <w:vMerge/>
            <w:shd w:val="clear" w:color="auto" w:fill="auto"/>
          </w:tcPr>
          <w:p w14:paraId="213B6951" w14:textId="77777777" w:rsidR="008F2E83" w:rsidRDefault="008F2E83" w:rsidP="000C7A79">
            <w:pPr>
              <w:pStyle w:val="Marginlie"/>
            </w:pPr>
          </w:p>
        </w:tc>
        <w:tc>
          <w:tcPr>
            <w:tcW w:w="217" w:type="dxa"/>
            <w:vMerge/>
            <w:shd w:val="clear" w:color="auto" w:fill="auto"/>
          </w:tcPr>
          <w:p w14:paraId="7F440710" w14:textId="77777777" w:rsidR="008F2E83" w:rsidRDefault="008F2E83" w:rsidP="000C7A79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9" w:type="dxa"/>
            <w:shd w:val="clear" w:color="auto" w:fill="auto"/>
          </w:tcPr>
          <w:p w14:paraId="6FCFEB51" w14:textId="77777777" w:rsidR="008F2E83" w:rsidRPr="0067514E" w:rsidRDefault="008F2E83" w:rsidP="000C7A79">
            <w:pPr>
              <w:spacing w:after="0"/>
              <w:rPr>
                <w:spacing w:val="-6"/>
              </w:rPr>
            </w:pPr>
            <w:r>
              <w:rPr>
                <w:noProof/>
              </w:rPr>
              <w:drawing>
                <wp:inline distT="0" distB="0" distL="0" distR="0" wp14:anchorId="58979CFD" wp14:editId="3C92A853">
                  <wp:extent cx="4759325" cy="3416199"/>
                  <wp:effectExtent l="0" t="0" r="3175" b="0"/>
                  <wp:docPr id="12" name="Graf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8F2E83" w:rsidRPr="00343AC1" w14:paraId="2D5A877D" w14:textId="77777777" w:rsidTr="007B54AE">
        <w:trPr>
          <w:trHeight w:val="170"/>
        </w:trPr>
        <w:tc>
          <w:tcPr>
            <w:tcW w:w="1803" w:type="dxa"/>
            <w:vMerge/>
            <w:shd w:val="clear" w:color="auto" w:fill="auto"/>
            <w:tcMar>
              <w:left w:w="0" w:type="dxa"/>
            </w:tcMar>
          </w:tcPr>
          <w:p w14:paraId="4E202D45" w14:textId="77777777" w:rsidR="008F2E83" w:rsidRDefault="008F2E83" w:rsidP="000C7A79">
            <w:pPr>
              <w:pStyle w:val="Marginlie"/>
            </w:pPr>
          </w:p>
        </w:tc>
        <w:tc>
          <w:tcPr>
            <w:tcW w:w="217" w:type="dxa"/>
            <w:vMerge/>
            <w:shd w:val="clear" w:color="auto" w:fill="auto"/>
            <w:tcMar>
              <w:left w:w="0" w:type="dxa"/>
            </w:tcMar>
          </w:tcPr>
          <w:p w14:paraId="43758B08" w14:textId="77777777" w:rsidR="008F2E83" w:rsidRDefault="008F2E83" w:rsidP="000C7A79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9" w:type="dxa"/>
            <w:shd w:val="clear" w:color="auto" w:fill="auto"/>
            <w:tcMar>
              <w:left w:w="0" w:type="dxa"/>
            </w:tcMar>
          </w:tcPr>
          <w:p w14:paraId="0F637904" w14:textId="77777777" w:rsidR="008F2E83" w:rsidRPr="008F2BE2" w:rsidRDefault="008F2E83" w:rsidP="000C7A79">
            <w:pPr>
              <w:pStyle w:val="Textpoznpodarou"/>
              <w:rPr>
                <w:spacing w:val="-4"/>
                <w:sz w:val="14"/>
                <w:szCs w:val="14"/>
              </w:rPr>
            </w:pPr>
            <w:r w:rsidRPr="008F2BE2">
              <w:rPr>
                <w:spacing w:val="-4"/>
                <w:sz w:val="14"/>
                <w:szCs w:val="14"/>
              </w:rPr>
              <w:t>*Pokrývají výdaje na platy v organizačních složkách státu. Nezahrnují například mzdové výdaje na regionální školství.</w:t>
            </w:r>
          </w:p>
          <w:p w14:paraId="76265063" w14:textId="77777777" w:rsidR="008F2E83" w:rsidRPr="008F2BE2" w:rsidRDefault="008F2E83" w:rsidP="000C7A79">
            <w:pPr>
              <w:pStyle w:val="Textpoznpodarou"/>
              <w:rPr>
                <w:spacing w:val="-4"/>
                <w:sz w:val="14"/>
                <w:szCs w:val="14"/>
              </w:rPr>
            </w:pPr>
            <w:r w:rsidRPr="008F2BE2">
              <w:rPr>
                <w:spacing w:val="-4"/>
                <w:sz w:val="14"/>
                <w:szCs w:val="14"/>
              </w:rPr>
              <w:t>**Zahrnuje i dávky pěstounské péče.</w:t>
            </w:r>
          </w:p>
          <w:p w14:paraId="36E6E02C" w14:textId="77777777" w:rsidR="008F2E83" w:rsidRPr="008F2BE2" w:rsidRDefault="008F2E83" w:rsidP="000C7A79">
            <w:pPr>
              <w:pStyle w:val="Textpoznpodarou"/>
              <w:rPr>
                <w:spacing w:val="-4"/>
                <w:sz w:val="14"/>
                <w:szCs w:val="14"/>
              </w:rPr>
            </w:pPr>
            <w:r w:rsidRPr="008F2BE2">
              <w:rPr>
                <w:spacing w:val="-4"/>
                <w:sz w:val="14"/>
                <w:szCs w:val="14"/>
              </w:rPr>
              <w:t>***Zahrnují dávky pomoci v hmotné nouzi, dávky osobám se zdravotním postižením, příspěvek na péči dle zákona o soc. službách.</w:t>
            </w:r>
            <w:r>
              <w:rPr>
                <w:spacing w:val="-4"/>
                <w:sz w:val="14"/>
                <w:szCs w:val="14"/>
              </w:rPr>
              <w:t xml:space="preserve"> Jsou zde obsaženy i dávky </w:t>
            </w:r>
            <w:r w:rsidRPr="00FB6649">
              <w:rPr>
                <w:spacing w:val="-4"/>
                <w:sz w:val="14"/>
                <w:szCs w:val="14"/>
              </w:rPr>
              <w:t>humanitární pomoc</w:t>
            </w:r>
            <w:r>
              <w:rPr>
                <w:spacing w:val="-4"/>
                <w:sz w:val="14"/>
                <w:szCs w:val="14"/>
              </w:rPr>
              <w:t>i poskytnuté občanům Ukrajiny.</w:t>
            </w:r>
          </w:p>
          <w:p w14:paraId="5232DBB7" w14:textId="77777777" w:rsidR="008F2E83" w:rsidRDefault="008F2E83" w:rsidP="000C7A79">
            <w:pPr>
              <w:pStyle w:val="Textpoznpodarou"/>
              <w:rPr>
                <w:spacing w:val="-4"/>
                <w:sz w:val="14"/>
                <w:szCs w:val="14"/>
              </w:rPr>
            </w:pPr>
            <w:r w:rsidRPr="008F2BE2">
              <w:rPr>
                <w:spacing w:val="-4"/>
                <w:sz w:val="14"/>
                <w:szCs w:val="14"/>
              </w:rPr>
              <w:t>****Obsahují zejména výdaje na nákup služeb, materiálu, energií či ostatních služeb (například výdaje na opravy a udržování).</w:t>
            </w:r>
          </w:p>
          <w:p w14:paraId="0423CC42" w14:textId="77777777" w:rsidR="008F2E83" w:rsidRPr="00DB31A1" w:rsidRDefault="008F2E83" w:rsidP="000C7A79">
            <w:pPr>
              <w:pStyle w:val="Textpoznpodarou"/>
              <w:rPr>
                <w:sz w:val="16"/>
                <w:szCs w:val="16"/>
              </w:rPr>
            </w:pPr>
            <w:r>
              <w:rPr>
                <w:spacing w:val="-4"/>
                <w:sz w:val="14"/>
                <w:szCs w:val="14"/>
              </w:rPr>
              <w:t xml:space="preserve">*****Vyjadřuje saldo </w:t>
            </w:r>
            <w:r w:rsidRPr="00DB31A1">
              <w:rPr>
                <w:spacing w:val="-4"/>
                <w:sz w:val="14"/>
                <w:szCs w:val="14"/>
              </w:rPr>
              <w:t>rozpočtové kapitoly Státní dluh.</w:t>
            </w:r>
          </w:p>
          <w:p w14:paraId="6C5FAC1B" w14:textId="77777777" w:rsidR="008F2E83" w:rsidRPr="008F2BE2" w:rsidRDefault="008F2E83" w:rsidP="000C7A79">
            <w:pPr>
              <w:pStyle w:val="Textpoznpodarou"/>
              <w:spacing w:after="200"/>
              <w:rPr>
                <w:spacing w:val="-4"/>
                <w:sz w:val="14"/>
                <w:szCs w:val="14"/>
              </w:rPr>
            </w:pPr>
            <w:r w:rsidRPr="000F45E7">
              <w:rPr>
                <w:spacing w:val="-4"/>
                <w:sz w:val="14"/>
                <w:szCs w:val="14"/>
              </w:rPr>
              <w:t>Zdroj: MF ČR, MPSV</w:t>
            </w:r>
          </w:p>
        </w:tc>
      </w:tr>
      <w:tr w:rsidR="008F2E83" w:rsidRPr="00343AC1" w14:paraId="5609F5EB" w14:textId="77777777" w:rsidTr="007B54AE">
        <w:trPr>
          <w:trHeight w:val="170"/>
        </w:trPr>
        <w:tc>
          <w:tcPr>
            <w:tcW w:w="1803" w:type="dxa"/>
            <w:shd w:val="clear" w:color="auto" w:fill="auto"/>
            <w:tcMar>
              <w:left w:w="0" w:type="dxa"/>
            </w:tcMar>
          </w:tcPr>
          <w:p w14:paraId="050C8DAC" w14:textId="557F2D23" w:rsidR="008F2E83" w:rsidRDefault="008F2E83" w:rsidP="000C7A79">
            <w:pPr>
              <w:pStyle w:val="Marginlie"/>
            </w:pPr>
            <w:r>
              <w:t xml:space="preserve">Schodek hospodaření sektoru vládních institucí v ČR se meziročně </w:t>
            </w:r>
            <w:r>
              <w:lastRenderedPageBreak/>
              <w:t xml:space="preserve">zmenšil </w:t>
            </w:r>
            <w:r w:rsidR="00DC5F11">
              <w:t>téměř o</w:t>
            </w:r>
            <w:r>
              <w:t xml:space="preserve"> polovinu, přesto zůstal hluboký. </w:t>
            </w:r>
          </w:p>
          <w:p w14:paraId="4DA3A8FF" w14:textId="77777777" w:rsidR="008F2E83" w:rsidRDefault="008F2E83" w:rsidP="000C7A79">
            <w:pPr>
              <w:pStyle w:val="Marginlie"/>
            </w:pPr>
          </w:p>
          <w:p w14:paraId="1A970A3E" w14:textId="77777777" w:rsidR="008F2E83" w:rsidRDefault="008F2E83" w:rsidP="000C7A79">
            <w:pPr>
              <w:pStyle w:val="Marginlie"/>
            </w:pPr>
          </w:p>
          <w:p w14:paraId="2F70AA91" w14:textId="77777777" w:rsidR="008F2E83" w:rsidRDefault="008F2E83" w:rsidP="000C7A79">
            <w:pPr>
              <w:pStyle w:val="Marginlie"/>
            </w:pPr>
          </w:p>
          <w:p w14:paraId="104C3F71" w14:textId="77777777" w:rsidR="008F2E83" w:rsidRDefault="008F2E83" w:rsidP="000C7A79">
            <w:pPr>
              <w:pStyle w:val="Marginlie"/>
            </w:pPr>
          </w:p>
          <w:p w14:paraId="582A7F75" w14:textId="77777777" w:rsidR="008F2E83" w:rsidRDefault="008F2E83" w:rsidP="000C7A79">
            <w:pPr>
              <w:pStyle w:val="Marginlie"/>
            </w:pPr>
          </w:p>
          <w:p w14:paraId="71688830" w14:textId="77777777" w:rsidR="008F2E83" w:rsidRDefault="008F2E83" w:rsidP="000C7A79">
            <w:pPr>
              <w:pStyle w:val="Marginlie"/>
            </w:pPr>
          </w:p>
          <w:p w14:paraId="523D8DBA" w14:textId="77777777" w:rsidR="008F2E83" w:rsidRDefault="008F2E83" w:rsidP="000C7A79">
            <w:pPr>
              <w:pStyle w:val="Marginlie"/>
            </w:pPr>
          </w:p>
          <w:p w14:paraId="1E72EED1" w14:textId="77777777" w:rsidR="008F2E83" w:rsidRDefault="008F2E83" w:rsidP="000C7A79">
            <w:pPr>
              <w:pStyle w:val="Marginlie"/>
            </w:pPr>
            <w:r>
              <w:t xml:space="preserve">Růst konsolidovaného dluhu vládních institucí v ČR zmírnil. 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3A407E06" w14:textId="77777777" w:rsidR="008F2E83" w:rsidRDefault="008F2E83" w:rsidP="000C7A79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9" w:type="dxa"/>
            <w:shd w:val="clear" w:color="auto" w:fill="auto"/>
            <w:tcMar>
              <w:left w:w="0" w:type="dxa"/>
            </w:tcMar>
          </w:tcPr>
          <w:p w14:paraId="572F8B90" w14:textId="1357CB00" w:rsidR="008F2E83" w:rsidRPr="000F45E7" w:rsidRDefault="008F2E83" w:rsidP="000C7A79">
            <w:pPr>
              <w:rPr>
                <w:rFonts w:cs="Arial"/>
                <w:color w:val="0D0D0D" w:themeColor="text1" w:themeTint="F2"/>
                <w:spacing w:val="-6"/>
              </w:rPr>
            </w:pPr>
            <w:r w:rsidRPr="000F45E7">
              <w:rPr>
                <w:rFonts w:cs="Arial"/>
                <w:color w:val="0D0D0D" w:themeColor="text1" w:themeTint="F2"/>
                <w:spacing w:val="-6"/>
              </w:rPr>
              <w:t>Sektor vládních institucí (VI) v ČR hospodařil</w:t>
            </w:r>
            <w:r>
              <w:rPr>
                <w:rFonts w:cs="Arial"/>
                <w:color w:val="0D0D0D" w:themeColor="text1" w:themeTint="F2"/>
                <w:spacing w:val="-6"/>
              </w:rPr>
              <w:t xml:space="preserve"> v 1. čtvrtletí 2022</w:t>
            </w:r>
            <w:r>
              <w:rPr>
                <w:rStyle w:val="Znakapoznpodarou"/>
                <w:color w:val="0D0D0D" w:themeColor="text1" w:themeTint="F2"/>
                <w:spacing w:val="-6"/>
              </w:rPr>
              <w:footnoteReference w:id="17"/>
            </w:r>
            <w:r>
              <w:rPr>
                <w:rFonts w:cs="Arial"/>
                <w:color w:val="0D0D0D" w:themeColor="text1" w:themeTint="F2"/>
                <w:spacing w:val="-6"/>
              </w:rPr>
              <w:t xml:space="preserve"> se </w:t>
            </w:r>
            <w:r w:rsidRPr="000F45E7">
              <w:rPr>
                <w:rFonts w:cs="Arial"/>
                <w:color w:val="0D0D0D" w:themeColor="text1" w:themeTint="F2"/>
                <w:spacing w:val="-6"/>
              </w:rPr>
              <w:t>schodkem</w:t>
            </w:r>
            <w:r>
              <w:rPr>
                <w:rFonts w:cs="Arial"/>
                <w:color w:val="0D0D0D" w:themeColor="text1" w:themeTint="F2"/>
                <w:spacing w:val="-6"/>
              </w:rPr>
              <w:t xml:space="preserve"> </w:t>
            </w:r>
            <w:r>
              <w:rPr>
                <w:rFonts w:cs="Arial"/>
                <w:color w:val="0D0D0D" w:themeColor="text1" w:themeTint="F2"/>
                <w:spacing w:val="-6"/>
              </w:rPr>
              <w:br/>
              <w:t xml:space="preserve">75,3 mld. korun. Byť se jednalo o deficit meziročně bezmála o polovinu nižší, šlo zároveň </w:t>
            </w:r>
            <w:r>
              <w:rPr>
                <w:rFonts w:cs="Arial"/>
                <w:color w:val="0D0D0D" w:themeColor="text1" w:themeTint="F2"/>
                <w:spacing w:val="-6"/>
              </w:rPr>
              <w:br/>
            </w:r>
            <w:r>
              <w:rPr>
                <w:rFonts w:cs="Arial"/>
                <w:color w:val="0D0D0D" w:themeColor="text1" w:themeTint="F2"/>
                <w:spacing w:val="-6"/>
              </w:rPr>
              <w:lastRenderedPageBreak/>
              <w:t xml:space="preserve">o druhý nejhorší výsledek dosažený v rámci 1. čtvrtletí v historii </w:t>
            </w:r>
            <w:r w:rsidR="00874578">
              <w:rPr>
                <w:rFonts w:cs="Arial"/>
                <w:color w:val="0D0D0D" w:themeColor="text1" w:themeTint="F2"/>
                <w:spacing w:val="-6"/>
              </w:rPr>
              <w:t xml:space="preserve">samostatné </w:t>
            </w:r>
            <w:r>
              <w:rPr>
                <w:rFonts w:cs="Arial"/>
                <w:color w:val="0D0D0D" w:themeColor="text1" w:themeTint="F2"/>
                <w:spacing w:val="-6"/>
              </w:rPr>
              <w:t xml:space="preserve">ČR. Ke zmírnění schodku přispělo v 1. čtvrtletí citelné zvolnění růstu celkových výdajů VI (na 1,2 % meziročně), což souviselo zejména s ukončením většiny podpůrných programů pro subjekty zasažené propadem poptávky během pandemie. Souběžně s tím došlo k akceleraci růstu příjmů (na 13,6 %) – jak vlivem celkového oživení ekonomiky, tak působením vysokého cenového růstu. Svižně proto rostl příjem VI z produktových daní (+27 mld. korun, resp. +20 %) </w:t>
            </w:r>
            <w:r>
              <w:rPr>
                <w:rFonts w:cs="Arial"/>
                <w:color w:val="0D0D0D" w:themeColor="text1" w:themeTint="F2"/>
                <w:spacing w:val="-6"/>
              </w:rPr>
              <w:br/>
              <w:t xml:space="preserve">i z čistých sociálních příspěvků zaměstnavatelů i samotných pracovníků (+21 mld., +9%). V obou případech šlo přitom o příjmy znatelně převyšující své předkrizové maximum. Deficit hospodaření šel na vrub výhradně ústředních VI, neboť místní VI i zdravotní pojišťovny vykázaly mírný rozpočtový přebytek (obdobně jako na počátku loňského roku). </w:t>
            </w:r>
            <w:r>
              <w:t xml:space="preserve">Konsolidovaný hrubý dluh sektoru VI vystoupal letos v březnu na 2 683 mld. korun, meziročně o 6,8 %. Výše dluhu roste nepřetržitě od poloviny roku 2019, dosavadní letošní navýšení bylo ale nejnižší od počátku pandemie.  </w:t>
            </w:r>
          </w:p>
        </w:tc>
      </w:tr>
      <w:tr w:rsidR="008F2E83" w:rsidRPr="00343AC1" w14:paraId="44BC0AB6" w14:textId="77777777" w:rsidTr="007B54AE">
        <w:trPr>
          <w:trHeight w:val="170"/>
        </w:trPr>
        <w:tc>
          <w:tcPr>
            <w:tcW w:w="1803" w:type="dxa"/>
            <w:shd w:val="clear" w:color="auto" w:fill="auto"/>
            <w:tcMar>
              <w:left w:w="0" w:type="dxa"/>
            </w:tcMar>
          </w:tcPr>
          <w:p w14:paraId="572C13B5" w14:textId="77777777" w:rsidR="008F2E83" w:rsidRDefault="008F2E83" w:rsidP="000C7A79">
            <w:pPr>
              <w:pStyle w:val="Marginlie"/>
            </w:pPr>
            <w:r>
              <w:lastRenderedPageBreak/>
              <w:t>Schodek hospodaření sektoru vládních institucí v EU poklesl pátý kvartál v řadě, a to na nejnižší hodnotu od počátku pandemie.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50FCF0B4" w14:textId="77777777" w:rsidR="008F2E83" w:rsidRDefault="008F2E83" w:rsidP="000C7A79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9" w:type="dxa"/>
            <w:shd w:val="clear" w:color="auto" w:fill="auto"/>
            <w:tcMar>
              <w:left w:w="0" w:type="dxa"/>
            </w:tcMar>
          </w:tcPr>
          <w:p w14:paraId="12AAFD17" w14:textId="1911F600" w:rsidR="008F2E83" w:rsidRPr="000F45E7" w:rsidRDefault="008F2E83" w:rsidP="000C7A79">
            <w:pPr>
              <w:rPr>
                <w:rFonts w:cs="Arial"/>
                <w:color w:val="0D0D0D" w:themeColor="text1" w:themeTint="F2"/>
                <w:spacing w:val="-6"/>
              </w:rPr>
            </w:pPr>
            <w:r>
              <w:rPr>
                <w:rFonts w:cs="Arial"/>
                <w:color w:val="0D0D0D" w:themeColor="text1" w:themeTint="F2"/>
                <w:spacing w:val="-6"/>
              </w:rPr>
              <w:t>Pokrizové oživení ekonomiky spolu s výrazným útlumem mimořádných veřejných výdajů spojených s pandemií se postupně odrážejí ve zlepšeném hospodaření sektoru vládních institucí v zemích EU. Deficit hospodaření sektoru VI</w:t>
            </w:r>
            <w:r>
              <w:rPr>
                <w:rStyle w:val="Znakapoznpodarou"/>
                <w:color w:val="0D0D0D" w:themeColor="text1" w:themeTint="F2"/>
                <w:spacing w:val="-6"/>
              </w:rPr>
              <w:footnoteReference w:id="18"/>
            </w:r>
            <w:r>
              <w:rPr>
                <w:rFonts w:cs="Arial"/>
                <w:color w:val="0D0D0D" w:themeColor="text1" w:themeTint="F2"/>
                <w:spacing w:val="-6"/>
              </w:rPr>
              <w:t xml:space="preserve"> v Unii se mezikvartálně snížil popáté v řadě a na počátku letošního roku činil 2,2 % HDP (nejméně od konce roku 2019).</w:t>
            </w:r>
            <w:r w:rsidR="00874578">
              <w:rPr>
                <w:rFonts w:cs="Arial"/>
                <w:color w:val="0D0D0D" w:themeColor="text1" w:themeTint="F2"/>
                <w:spacing w:val="-6"/>
              </w:rPr>
              <w:t xml:space="preserve"> Relativní s</w:t>
            </w:r>
            <w:r>
              <w:rPr>
                <w:rFonts w:cs="Arial"/>
                <w:color w:val="0D0D0D" w:themeColor="text1" w:themeTint="F2"/>
                <w:spacing w:val="-6"/>
              </w:rPr>
              <w:t>chodek byl tak nižší než v Česku (−3,5 % HDP) či Španělsku (−4,4 %) a Francii (−3,8 %), nejhlubší deficity sužovaly Itálii a Maltu. V rámci střední Evropy byly (stejně jako po celý loňský rok) nejvíce zasaženy Maďarsko (−6,9 % HDP) a Slovensko (−3,</w:t>
            </w:r>
            <w:r w:rsidR="00576E34">
              <w:rPr>
                <w:rFonts w:cs="Arial"/>
                <w:color w:val="0D0D0D" w:themeColor="text1" w:themeTint="F2"/>
                <w:spacing w:val="-6"/>
              </w:rPr>
              <w:t>7 %), naopak k vyrovnanému hospodaření</w:t>
            </w:r>
            <w:r>
              <w:rPr>
                <w:rFonts w:cs="Arial"/>
                <w:color w:val="0D0D0D" w:themeColor="text1" w:themeTint="F2"/>
                <w:spacing w:val="-6"/>
              </w:rPr>
              <w:t xml:space="preserve"> směřovaly zatím letos Polsko (−1,2 %</w:t>
            </w:r>
            <w:r w:rsidR="00874578">
              <w:rPr>
                <w:rFonts w:cs="Arial"/>
                <w:color w:val="0D0D0D" w:themeColor="text1" w:themeTint="F2"/>
                <w:spacing w:val="-6"/>
              </w:rPr>
              <w:t>) a Německo (−0,4 %). Oproti 1. </w:t>
            </w:r>
            <w:r>
              <w:rPr>
                <w:rFonts w:cs="Arial"/>
                <w:color w:val="0D0D0D" w:themeColor="text1" w:themeTint="F2"/>
                <w:spacing w:val="-6"/>
              </w:rPr>
              <w:t xml:space="preserve">čtvrtletí 2021, kdy řada států přistupovala k protipandemickým restrikcím, se letos saldo hospodaření sektoru VI zlepšilo v drtivé většině unijních členů. K viditelnému zhoršení došlo jen v Bulharsku a také v Dánsku (které i tak stále hospodařilo s mírným přebytkem). </w:t>
            </w:r>
          </w:p>
        </w:tc>
      </w:tr>
      <w:tr w:rsidR="008F2E83" w:rsidRPr="00343AC1" w14:paraId="12B49020" w14:textId="77777777" w:rsidTr="007B54AE">
        <w:trPr>
          <w:trHeight w:val="170"/>
        </w:trPr>
        <w:tc>
          <w:tcPr>
            <w:tcW w:w="1803" w:type="dxa"/>
            <w:shd w:val="clear" w:color="auto" w:fill="auto"/>
            <w:tcMar>
              <w:left w:w="0" w:type="dxa"/>
            </w:tcMar>
          </w:tcPr>
          <w:p w14:paraId="7CF3BA29" w14:textId="0BC3FEAF" w:rsidR="008F2E83" w:rsidRDefault="008F2E83" w:rsidP="000C7A79">
            <w:pPr>
              <w:pStyle w:val="Marginlie"/>
            </w:pPr>
            <w:r>
              <w:t>Míra zadlužení v EU se po loňském absolutním vrcholu začala mírně snižovat. Pozitivní p</w:t>
            </w:r>
            <w:r w:rsidR="00190B4D">
              <w:t>osun zaznamenaly téměř všechny členské státy</w:t>
            </w:r>
            <w:r>
              <w:t>.</w:t>
            </w:r>
          </w:p>
          <w:p w14:paraId="2D39B321" w14:textId="77777777" w:rsidR="008F2E83" w:rsidRDefault="008F2E83" w:rsidP="000C7A79">
            <w:pPr>
              <w:pStyle w:val="Marginlie"/>
            </w:pP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1999B2C3" w14:textId="77777777" w:rsidR="008F2E83" w:rsidRDefault="008F2E83" w:rsidP="000C7A79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09" w:type="dxa"/>
            <w:shd w:val="clear" w:color="auto" w:fill="auto"/>
            <w:tcMar>
              <w:left w:w="0" w:type="dxa"/>
            </w:tcMar>
          </w:tcPr>
          <w:p w14:paraId="386B980A" w14:textId="3FC28E63" w:rsidR="008F2E83" w:rsidRDefault="00190B4D" w:rsidP="00190B4D">
            <w:pPr>
              <w:rPr>
                <w:rFonts w:cs="Arial"/>
                <w:color w:val="0D0D0D" w:themeColor="text1" w:themeTint="F2"/>
                <w:spacing w:val="-6"/>
              </w:rPr>
            </w:pPr>
            <w:r w:rsidRPr="00D52ED2">
              <w:rPr>
                <w:rFonts w:cs="Arial"/>
                <w:color w:val="0D0D0D" w:themeColor="text1" w:themeTint="F2"/>
                <w:spacing w:val="-3"/>
              </w:rPr>
              <w:t xml:space="preserve">Míra zadlužení sektoru VI, která na počátku loňského roku vystoupala na historicky nejvyšší úroveň, činila na konci 1. čtvrtletí 2022 v EU 87,8 % HDP (res. 95,6 % </w:t>
            </w:r>
            <w:r w:rsidRPr="00D52ED2">
              <w:rPr>
                <w:rFonts w:cs="Arial"/>
                <w:color w:val="0D0D0D" w:themeColor="text1" w:themeTint="F2"/>
                <w:spacing w:val="-4"/>
              </w:rPr>
              <w:t xml:space="preserve">v eurozóně). </w:t>
            </w:r>
            <w:r w:rsidRPr="00D52ED2">
              <w:rPr>
                <w:rFonts w:cs="Arial"/>
                <w:color w:val="0D0D0D" w:themeColor="text1" w:themeTint="F2"/>
              </w:rPr>
              <w:t>Meziroční redukci zadlužení hlásily všechny členské stá</w:t>
            </w:r>
            <w:r>
              <w:rPr>
                <w:rFonts w:cs="Arial"/>
                <w:color w:val="0D0D0D" w:themeColor="text1" w:themeTint="F2"/>
              </w:rPr>
              <w:t>ty (celá EU o 4,5 p. b, Česko o</w:t>
            </w:r>
            <w:r>
              <w:rPr>
                <w:rFonts w:cs="Arial"/>
                <w:color w:val="0D0D0D" w:themeColor="text1" w:themeTint="F2"/>
                <w:spacing w:val="-6"/>
              </w:rPr>
              <w:t> </w:t>
            </w:r>
            <w:r w:rsidRPr="00D52ED2">
              <w:rPr>
                <w:rFonts w:cs="Arial"/>
                <w:color w:val="0D0D0D" w:themeColor="text1" w:themeTint="F2"/>
              </w:rPr>
              <w:t>1,1</w:t>
            </w:r>
            <w:r w:rsidRPr="00D52ED2">
              <w:rPr>
                <w:rFonts w:cs="Arial"/>
                <w:color w:val="0D0D0D" w:themeColor="text1" w:themeTint="F2"/>
                <w:spacing w:val="-3"/>
              </w:rPr>
              <w:t xml:space="preserve"> p. b.), vyjma Rumunska, Slovenska a Malty (v nich došlo jen k mírnému navýšení). Oproti nejnižší úrovni zadlužení z éry předpandemické konjunktury (období 2014 až 2019) byl ovšem letos dluh v Unii vyšší o 10  p. b., v nejpostiženějších státech (Řecko, Itálie, Španělsko, Francie) skoro o 20 p. b. (v ČR +13 p. b.). Naopak znatelně lépe než před pandemií na tom bylo jen Irsko (−4 p. b.). V Dánsku a Švédsku odpovídalo letošní zadlužení stavu z konce roku 2019 a obě země si tak upevnily svou pozici mezi nejméně zadluženými ekonomikami. V Česku </w:t>
            </w:r>
            <w:r>
              <w:rPr>
                <w:rFonts w:cs="Arial"/>
                <w:color w:val="0D0D0D" w:themeColor="text1" w:themeTint="F2"/>
                <w:spacing w:val="-3"/>
              </w:rPr>
              <w:t xml:space="preserve">činila míra zadlužení </w:t>
            </w:r>
            <w:r w:rsidRPr="00D52ED2">
              <w:rPr>
                <w:rFonts w:cs="Arial"/>
                <w:color w:val="0D0D0D" w:themeColor="text1" w:themeTint="F2"/>
                <w:spacing w:val="-3"/>
              </w:rPr>
              <w:t>42,8 %</w:t>
            </w:r>
            <w:r>
              <w:rPr>
                <w:rFonts w:cs="Arial"/>
                <w:color w:val="0D0D0D" w:themeColor="text1" w:themeTint="F2"/>
                <w:spacing w:val="-3"/>
              </w:rPr>
              <w:t xml:space="preserve"> HDP</w:t>
            </w:r>
            <w:r w:rsidRPr="00D52ED2">
              <w:rPr>
                <w:rFonts w:cs="Arial"/>
                <w:color w:val="0D0D0D" w:themeColor="text1" w:themeTint="F2"/>
                <w:spacing w:val="-3"/>
              </w:rPr>
              <w:t>, což značilo osmou nejnižší hodnotu v Unii a zároveň nadále výsostnou pozici mezi středoevropskými státy.</w:t>
            </w:r>
          </w:p>
        </w:tc>
      </w:tr>
    </w:tbl>
    <w:p w14:paraId="3409E2F5" w14:textId="77777777" w:rsidR="008F2E83" w:rsidRPr="000F45E7" w:rsidRDefault="008F2E83" w:rsidP="008F2E83">
      <w:pPr>
        <w:pStyle w:val="Nadpis11"/>
        <w:spacing w:after="0"/>
        <w:rPr>
          <w:b w:val="0"/>
          <w:sz w:val="2"/>
          <w:szCs w:val="2"/>
        </w:rPr>
      </w:pPr>
    </w:p>
    <w:p w14:paraId="5BAB8EA3" w14:textId="3E49B7A0" w:rsidR="000663F0" w:rsidRPr="00E42054" w:rsidRDefault="000663F0" w:rsidP="00A315D0">
      <w:pPr>
        <w:pStyle w:val="Nadpis11"/>
        <w:rPr>
          <w:b w:val="0"/>
          <w:sz w:val="2"/>
          <w:szCs w:val="2"/>
        </w:rPr>
      </w:pPr>
    </w:p>
    <w:sectPr w:rsidR="000663F0" w:rsidRPr="00E42054" w:rsidSect="00DC2EFD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680" w:footer="737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C925F" w14:textId="77777777" w:rsidR="00414A57" w:rsidRDefault="00414A57" w:rsidP="00E71A58">
      <w:r>
        <w:separator/>
      </w:r>
    </w:p>
  </w:endnote>
  <w:endnote w:type="continuationSeparator" w:id="0">
    <w:p w14:paraId="555BF6B3" w14:textId="77777777" w:rsidR="00414A57" w:rsidRDefault="00414A5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23BEC043" w:rsidR="00CF35A7" w:rsidRPr="00932443" w:rsidRDefault="00CF35A7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DC2EFD">
      <w:rPr>
        <w:szCs w:val="16"/>
      </w:rPr>
      <w:t>36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pololetí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783DBE5E" w:rsidR="00CF35A7" w:rsidRPr="00932443" w:rsidRDefault="00CF35A7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pololetí 202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2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DC2EFD">
      <w:rPr>
        <w:rStyle w:val="ZpatChar"/>
        <w:szCs w:val="16"/>
      </w:rPr>
      <w:t>37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F4484" w14:textId="77777777" w:rsidR="00414A57" w:rsidRDefault="00414A57" w:rsidP="00A21B4D">
      <w:pPr>
        <w:spacing w:after="0"/>
      </w:pPr>
      <w:r>
        <w:separator/>
      </w:r>
    </w:p>
  </w:footnote>
  <w:footnote w:type="continuationSeparator" w:id="0">
    <w:p w14:paraId="00D2E77A" w14:textId="77777777" w:rsidR="00414A57" w:rsidRDefault="00414A57" w:rsidP="00E71A58">
      <w:r>
        <w:continuationSeparator/>
      </w:r>
    </w:p>
  </w:footnote>
  <w:footnote w:id="1">
    <w:p w14:paraId="6A9BDE10" w14:textId="77777777" w:rsidR="00CF35A7" w:rsidRPr="004A27B5" w:rsidRDefault="00CF35A7" w:rsidP="008F2E83">
      <w:pPr>
        <w:pStyle w:val="Textpoznpodarou"/>
        <w:jc w:val="both"/>
        <w:rPr>
          <w:spacing w:val="-3"/>
          <w:sz w:val="16"/>
          <w:szCs w:val="16"/>
        </w:rPr>
      </w:pPr>
      <w:r w:rsidRPr="004A27B5">
        <w:rPr>
          <w:rStyle w:val="Znakapoznpodarou"/>
          <w:spacing w:val="-3"/>
          <w:sz w:val="16"/>
          <w:szCs w:val="16"/>
        </w:rPr>
        <w:footnoteRef/>
      </w:r>
      <w:r w:rsidRPr="004A27B5">
        <w:rPr>
          <w:spacing w:val="-3"/>
          <w:sz w:val="16"/>
          <w:szCs w:val="16"/>
        </w:rPr>
        <w:t xml:space="preserve"> </w:t>
      </w:r>
      <w:r w:rsidRPr="004A27B5">
        <w:rPr>
          <w:color w:val="0D0D0D" w:themeColor="text1" w:themeTint="F2"/>
          <w:spacing w:val="-3"/>
          <w:sz w:val="16"/>
          <w:szCs w:val="16"/>
        </w:rPr>
        <w:t xml:space="preserve">Pokud není uvedeno jinak, vycházejí všechny údaje týkající se státního rozpočtu </w:t>
      </w:r>
      <w:r w:rsidRPr="004A27B5">
        <w:rPr>
          <w:rFonts w:cs="Arial"/>
          <w:color w:val="0D0D0D" w:themeColor="text1" w:themeTint="F2"/>
          <w:spacing w:val="-3"/>
          <w:sz w:val="16"/>
          <w:szCs w:val="16"/>
        </w:rPr>
        <w:t>z dat Ministerstva financí o pokladním plnění.</w:t>
      </w:r>
    </w:p>
  </w:footnote>
  <w:footnote w:id="2">
    <w:p w14:paraId="78A2EB1E" w14:textId="77777777" w:rsidR="00CF35A7" w:rsidRPr="00EE46BC" w:rsidRDefault="00CF35A7" w:rsidP="008F2E83">
      <w:pPr>
        <w:pStyle w:val="Textpoznpodarou"/>
        <w:rPr>
          <w:sz w:val="16"/>
          <w:szCs w:val="16"/>
        </w:rPr>
      </w:pPr>
      <w:r w:rsidRPr="00EE46BC">
        <w:rPr>
          <w:rStyle w:val="Znakapoznpodarou"/>
          <w:sz w:val="16"/>
          <w:szCs w:val="16"/>
        </w:rPr>
        <w:footnoteRef/>
      </w:r>
      <w:r w:rsidRPr="00EE46BC">
        <w:rPr>
          <w:sz w:val="16"/>
          <w:szCs w:val="16"/>
        </w:rPr>
        <w:t xml:space="preserve"> To na počátku roku </w:t>
      </w:r>
      <w:r w:rsidRPr="00EE46BC">
        <w:rPr>
          <w:spacing w:val="-4"/>
          <w:sz w:val="16"/>
          <w:szCs w:val="16"/>
        </w:rPr>
        <w:t xml:space="preserve">ovlivnilo zejména čerpání investic i možnosti předfinancování některých běžných transferů a rovněž omezilo i další zdroje financování (např. </w:t>
      </w:r>
      <w:r w:rsidRPr="00EE46BC">
        <w:rPr>
          <w:sz w:val="16"/>
          <w:szCs w:val="16"/>
        </w:rPr>
        <w:t>mimorozpočtové zdroje – především nároky z nespotřebovaných výdajů z minulých le</w:t>
      </w:r>
      <w:r>
        <w:rPr>
          <w:sz w:val="16"/>
          <w:szCs w:val="16"/>
        </w:rPr>
        <w:t>t).</w:t>
      </w:r>
    </w:p>
  </w:footnote>
  <w:footnote w:id="3">
    <w:p w14:paraId="1D22DFE7" w14:textId="77777777" w:rsidR="00CF35A7" w:rsidRPr="000A793C" w:rsidRDefault="00CF35A7" w:rsidP="008F2E83">
      <w:pPr>
        <w:pStyle w:val="Textpoznpodarou"/>
        <w:rPr>
          <w:sz w:val="16"/>
          <w:szCs w:val="16"/>
        </w:rPr>
      </w:pPr>
      <w:r w:rsidRPr="000A793C">
        <w:rPr>
          <w:rStyle w:val="Znakapoznpodarou"/>
          <w:sz w:val="16"/>
          <w:szCs w:val="16"/>
        </w:rPr>
        <w:footnoteRef/>
      </w:r>
      <w:r w:rsidRPr="000A793C">
        <w:rPr>
          <w:sz w:val="16"/>
          <w:szCs w:val="16"/>
        </w:rPr>
        <w:t xml:space="preserve"> Je zde myšleno inkaso </w:t>
      </w:r>
      <w:r w:rsidRPr="000A793C">
        <w:rPr>
          <w:spacing w:val="-5"/>
          <w:sz w:val="16"/>
          <w:szCs w:val="16"/>
        </w:rPr>
        <w:t>na úrovni všech veřejných rozpočtů a bez zahrnutí pojistného na sociální zabezpečení.</w:t>
      </w:r>
    </w:p>
  </w:footnote>
  <w:footnote w:id="4">
    <w:p w14:paraId="5DF45A16" w14:textId="77777777" w:rsidR="00CF35A7" w:rsidRPr="000A793C" w:rsidRDefault="00CF35A7" w:rsidP="008F2E83">
      <w:pPr>
        <w:pStyle w:val="Textpoznpodarou"/>
        <w:rPr>
          <w:sz w:val="16"/>
          <w:szCs w:val="16"/>
        </w:rPr>
      </w:pPr>
      <w:r w:rsidRPr="000A793C">
        <w:rPr>
          <w:rStyle w:val="Znakapoznpodarou"/>
          <w:sz w:val="16"/>
          <w:szCs w:val="16"/>
        </w:rPr>
        <w:footnoteRef/>
      </w:r>
      <w:r w:rsidRPr="000A793C">
        <w:rPr>
          <w:sz w:val="16"/>
          <w:szCs w:val="16"/>
        </w:rPr>
        <w:t xml:space="preserve"> Zatímco v 1. čtvrtl</w:t>
      </w:r>
      <w:r>
        <w:rPr>
          <w:sz w:val="16"/>
          <w:szCs w:val="16"/>
        </w:rPr>
        <w:t>etí 2022</w:t>
      </w:r>
      <w:r w:rsidRPr="000A793C">
        <w:rPr>
          <w:sz w:val="16"/>
          <w:szCs w:val="16"/>
        </w:rPr>
        <w:t xml:space="preserve"> bylo ještě ve srovnání s počátkem roku 2020 o 2,9 % nižší, v úhrnu za letošní pololetí již překonalo úroveň z obdobné části roku 2019 o 9,9 %.</w:t>
      </w:r>
    </w:p>
  </w:footnote>
  <w:footnote w:id="5">
    <w:p w14:paraId="0230EE8A" w14:textId="77777777" w:rsidR="00CF35A7" w:rsidRDefault="00CF35A7" w:rsidP="008F2E83">
      <w:pPr>
        <w:pStyle w:val="Textpoznpodarou"/>
      </w:pPr>
      <w:r w:rsidRPr="00EE308D">
        <w:rPr>
          <w:spacing w:val="-4"/>
          <w:sz w:val="16"/>
          <w:szCs w:val="16"/>
          <w:vertAlign w:val="superscript"/>
        </w:rPr>
        <w:footnoteRef/>
      </w:r>
      <w:r w:rsidRPr="00EE308D">
        <w:rPr>
          <w:spacing w:val="-4"/>
          <w:sz w:val="16"/>
          <w:szCs w:val="16"/>
        </w:rPr>
        <w:t xml:space="preserve"> D</w:t>
      </w:r>
      <w:r>
        <w:rPr>
          <w:spacing w:val="-4"/>
          <w:sz w:val="16"/>
          <w:szCs w:val="16"/>
        </w:rPr>
        <w:t>le z</w:t>
      </w:r>
      <w:r w:rsidRPr="00EE308D">
        <w:rPr>
          <w:spacing w:val="-4"/>
          <w:sz w:val="16"/>
          <w:szCs w:val="16"/>
        </w:rPr>
        <w:t>ákona č. 57/2022 Sb.</w:t>
      </w:r>
      <w:r>
        <w:rPr>
          <w:spacing w:val="-4"/>
          <w:sz w:val="16"/>
          <w:szCs w:val="16"/>
        </w:rPr>
        <w:t xml:space="preserve">, </w:t>
      </w:r>
      <w:r w:rsidRPr="00EE308D">
        <w:rPr>
          <w:spacing w:val="-4"/>
          <w:sz w:val="16"/>
          <w:szCs w:val="16"/>
        </w:rPr>
        <w:t>o státní</w:t>
      </w:r>
      <w:r>
        <w:rPr>
          <w:spacing w:val="-4"/>
          <w:sz w:val="16"/>
          <w:szCs w:val="16"/>
        </w:rPr>
        <w:t>m</w:t>
      </w:r>
      <w:r w:rsidRPr="00EE308D">
        <w:rPr>
          <w:spacing w:val="-4"/>
          <w:sz w:val="16"/>
          <w:szCs w:val="16"/>
        </w:rPr>
        <w:t xml:space="preserve"> rozpočtu</w:t>
      </w:r>
      <w:r>
        <w:rPr>
          <w:spacing w:val="-4"/>
          <w:sz w:val="16"/>
          <w:szCs w:val="16"/>
        </w:rPr>
        <w:t>,</w:t>
      </w:r>
      <w:r w:rsidRPr="00EE308D">
        <w:rPr>
          <w:spacing w:val="-4"/>
          <w:sz w:val="16"/>
          <w:szCs w:val="16"/>
        </w:rPr>
        <w:t xml:space="preserve"> schváleného Poslaneckou sněmovnou Parlamentu ČR 10. března 2022</w:t>
      </w:r>
      <w:r>
        <w:rPr>
          <w:spacing w:val="-4"/>
          <w:sz w:val="16"/>
          <w:szCs w:val="16"/>
        </w:rPr>
        <w:t>.</w:t>
      </w:r>
    </w:p>
  </w:footnote>
  <w:footnote w:id="6">
    <w:p w14:paraId="2A3BD0DE" w14:textId="77777777" w:rsidR="00CF35A7" w:rsidRPr="00123B2A" w:rsidRDefault="00CF35A7" w:rsidP="008F2E83">
      <w:pPr>
        <w:pStyle w:val="Textpoznpodarou"/>
        <w:rPr>
          <w:sz w:val="16"/>
          <w:szCs w:val="16"/>
        </w:rPr>
      </w:pPr>
      <w:r w:rsidRPr="00123B2A">
        <w:rPr>
          <w:rStyle w:val="Znakapoznpodarou"/>
          <w:sz w:val="16"/>
          <w:szCs w:val="16"/>
        </w:rPr>
        <w:footnoteRef/>
      </w:r>
      <w:r w:rsidRPr="00123B2A">
        <w:rPr>
          <w:sz w:val="16"/>
          <w:szCs w:val="16"/>
        </w:rPr>
        <w:t xml:space="preserve"> S účinnost</w:t>
      </w:r>
      <w:r>
        <w:rPr>
          <w:sz w:val="16"/>
          <w:szCs w:val="16"/>
        </w:rPr>
        <w:t>í od 1. června do 30. září 2022 j</w:t>
      </w:r>
      <w:r w:rsidRPr="00123B2A">
        <w:rPr>
          <w:sz w:val="16"/>
          <w:szCs w:val="16"/>
        </w:rPr>
        <w:t>e dočasně</w:t>
      </w:r>
      <w:r>
        <w:rPr>
          <w:sz w:val="16"/>
          <w:szCs w:val="16"/>
        </w:rPr>
        <w:t xml:space="preserve"> snížena</w:t>
      </w:r>
      <w:r w:rsidRPr="00123B2A">
        <w:rPr>
          <w:sz w:val="16"/>
          <w:szCs w:val="16"/>
        </w:rPr>
        <w:t xml:space="preserve"> sazba spotřební daně z benzínu a motorové nafty o 1,50 Kč na litr.</w:t>
      </w:r>
    </w:p>
  </w:footnote>
  <w:footnote w:id="7">
    <w:p w14:paraId="53C898FC" w14:textId="77777777" w:rsidR="00CF35A7" w:rsidRPr="00C26379" w:rsidRDefault="00CF35A7" w:rsidP="008F2E83">
      <w:pPr>
        <w:pStyle w:val="Textpoznpodarou"/>
        <w:rPr>
          <w:sz w:val="16"/>
          <w:szCs w:val="16"/>
        </w:rPr>
      </w:pPr>
      <w:r w:rsidRPr="00C26379">
        <w:rPr>
          <w:rStyle w:val="Znakapoznpodarou"/>
          <w:sz w:val="16"/>
          <w:szCs w:val="16"/>
        </w:rPr>
        <w:footnoteRef/>
      </w:r>
      <w:r w:rsidRPr="00C26379">
        <w:rPr>
          <w:sz w:val="16"/>
          <w:szCs w:val="16"/>
        </w:rPr>
        <w:t xml:space="preserve"> Jde o úhradu za poplatníky, kteří mají povinný audit, nebo jim daňové přiznání zpracovává a předkládá daňový poradce.</w:t>
      </w:r>
    </w:p>
  </w:footnote>
  <w:footnote w:id="8">
    <w:p w14:paraId="51A1DF33" w14:textId="77777777" w:rsidR="00CF35A7" w:rsidRPr="00852DA9" w:rsidRDefault="00CF35A7" w:rsidP="008F2E83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sz w:val="16"/>
          <w:szCs w:val="16"/>
          <w:lang w:eastAsia="en-US"/>
        </w:rPr>
      </w:pPr>
      <w:r w:rsidRPr="00852DA9">
        <w:rPr>
          <w:rStyle w:val="Znakapoznpodarou"/>
          <w:sz w:val="16"/>
          <w:szCs w:val="16"/>
        </w:rPr>
        <w:footnoteRef/>
      </w:r>
      <w:r w:rsidRPr="00852DA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Vysoký meziroční růst inkasa korporátní daně byl částečně ovlivněn </w:t>
      </w:r>
      <w:r w:rsidRPr="00852DA9">
        <w:rPr>
          <w:sz w:val="16"/>
          <w:szCs w:val="16"/>
        </w:rPr>
        <w:t>loňským</w:t>
      </w:r>
      <w:r w:rsidRPr="00852DA9">
        <w:rPr>
          <w:rFonts w:ascii="Calibri" w:eastAsia="Calibri" w:hAnsi="Calibri" w:cs="Calibri"/>
          <w:sz w:val="16"/>
          <w:szCs w:val="16"/>
          <w:lang w:eastAsia="en-US"/>
        </w:rPr>
        <w:t xml:space="preserve"> </w:t>
      </w:r>
      <w:r w:rsidRPr="00852DA9">
        <w:rPr>
          <w:sz w:val="16"/>
          <w:szCs w:val="16"/>
        </w:rPr>
        <w:t xml:space="preserve">posunem lhůty pro zaplacení </w:t>
      </w:r>
      <w:r>
        <w:rPr>
          <w:sz w:val="16"/>
          <w:szCs w:val="16"/>
        </w:rPr>
        <w:t xml:space="preserve">záloh na dani </w:t>
      </w:r>
      <w:r w:rsidRPr="00852DA9">
        <w:rPr>
          <w:sz w:val="16"/>
          <w:szCs w:val="16"/>
        </w:rPr>
        <w:t>(na základě individuální</w:t>
      </w:r>
      <w:r>
        <w:rPr>
          <w:sz w:val="16"/>
          <w:szCs w:val="16"/>
        </w:rPr>
        <w:t>ch</w:t>
      </w:r>
      <w:r w:rsidRPr="00852DA9">
        <w:rPr>
          <w:sz w:val="16"/>
          <w:szCs w:val="16"/>
        </w:rPr>
        <w:t xml:space="preserve"> žádost</w:t>
      </w:r>
      <w:r>
        <w:rPr>
          <w:sz w:val="16"/>
          <w:szCs w:val="16"/>
        </w:rPr>
        <w:t>í</w:t>
      </w:r>
      <w:r w:rsidRPr="00852DA9">
        <w:rPr>
          <w:sz w:val="16"/>
          <w:szCs w:val="16"/>
        </w:rPr>
        <w:t xml:space="preserve"> firem)</w:t>
      </w:r>
      <w:r>
        <w:rPr>
          <w:sz w:val="16"/>
          <w:szCs w:val="16"/>
        </w:rPr>
        <w:t xml:space="preserve"> s negativním dopadem na příjem této daně do SR ve výši 6,4 mld. korun (za 1. pololetí 2021).</w:t>
      </w:r>
      <w:r w:rsidRPr="00B17175">
        <w:rPr>
          <w:sz w:val="16"/>
          <w:szCs w:val="16"/>
        </w:rPr>
        <w:t xml:space="preserve"> </w:t>
      </w:r>
      <w:r>
        <w:rPr>
          <w:sz w:val="16"/>
          <w:szCs w:val="16"/>
        </w:rPr>
        <w:t>Dále š</w:t>
      </w:r>
      <w:r w:rsidRPr="00852DA9">
        <w:rPr>
          <w:sz w:val="16"/>
          <w:szCs w:val="16"/>
        </w:rPr>
        <w:t xml:space="preserve">lo </w:t>
      </w:r>
      <w:r>
        <w:rPr>
          <w:sz w:val="16"/>
          <w:szCs w:val="16"/>
        </w:rPr>
        <w:t xml:space="preserve">také </w:t>
      </w:r>
      <w:r w:rsidRPr="00852DA9">
        <w:rPr>
          <w:sz w:val="16"/>
          <w:szCs w:val="16"/>
        </w:rPr>
        <w:t>o změ</w:t>
      </w:r>
      <w:r>
        <w:rPr>
          <w:sz w:val="16"/>
          <w:szCs w:val="16"/>
        </w:rPr>
        <w:t>nu ve zdanění rezerv pojišťoven</w:t>
      </w:r>
      <w:r w:rsidRPr="00852DA9">
        <w:rPr>
          <w:sz w:val="16"/>
          <w:szCs w:val="16"/>
        </w:rPr>
        <w:t>.</w:t>
      </w:r>
    </w:p>
  </w:footnote>
  <w:footnote w:id="9">
    <w:p w14:paraId="49FC97B2" w14:textId="77777777" w:rsidR="00CF35A7" w:rsidRPr="00271248" w:rsidRDefault="00CF35A7" w:rsidP="008F2E83">
      <w:pPr>
        <w:pStyle w:val="Textpoznpodarou"/>
        <w:rPr>
          <w:sz w:val="16"/>
          <w:szCs w:val="16"/>
        </w:rPr>
      </w:pPr>
      <w:r w:rsidRPr="00271248">
        <w:rPr>
          <w:rStyle w:val="Znakapoznpodarou"/>
          <w:sz w:val="16"/>
          <w:szCs w:val="16"/>
        </w:rPr>
        <w:footnoteRef/>
      </w:r>
      <w:r w:rsidRPr="00271248">
        <w:rPr>
          <w:sz w:val="16"/>
          <w:szCs w:val="16"/>
        </w:rPr>
        <w:t xml:space="preserve"> Úhrn měsíčních výdajů ve všech organi</w:t>
      </w:r>
      <w:r>
        <w:rPr>
          <w:sz w:val="16"/>
          <w:szCs w:val="16"/>
        </w:rPr>
        <w:t>začních složkách státu tak mohl</w:t>
      </w:r>
      <w:r w:rsidRPr="00271248">
        <w:rPr>
          <w:sz w:val="16"/>
          <w:szCs w:val="16"/>
        </w:rPr>
        <w:t xml:space="preserve"> dosáhnout maximálně jedné dvanáctiny celkových výdajů SR stanovených </w:t>
      </w:r>
      <w:r>
        <w:rPr>
          <w:sz w:val="16"/>
          <w:szCs w:val="16"/>
        </w:rPr>
        <w:t xml:space="preserve">podle schváleného </w:t>
      </w:r>
      <w:r w:rsidRPr="00271248">
        <w:rPr>
          <w:sz w:val="16"/>
          <w:szCs w:val="16"/>
        </w:rPr>
        <w:t>zákona o SR z roku 2021.</w:t>
      </w:r>
      <w:r>
        <w:rPr>
          <w:sz w:val="16"/>
          <w:szCs w:val="16"/>
        </w:rPr>
        <w:t xml:space="preserve"> To vedlo mj. k odkladu zbytných provozních výdajů i investic.</w:t>
      </w:r>
    </w:p>
  </w:footnote>
  <w:footnote w:id="10">
    <w:p w14:paraId="7A545E47" w14:textId="77777777" w:rsidR="00CF35A7" w:rsidRPr="0057775F" w:rsidRDefault="00CF35A7" w:rsidP="008F2E83">
      <w:pPr>
        <w:pStyle w:val="Textpoznpodarou"/>
        <w:rPr>
          <w:sz w:val="16"/>
          <w:szCs w:val="16"/>
        </w:rPr>
      </w:pPr>
      <w:r w:rsidRPr="0057775F">
        <w:rPr>
          <w:rStyle w:val="Znakapoznpodarou"/>
          <w:sz w:val="16"/>
          <w:szCs w:val="16"/>
        </w:rPr>
        <w:footnoteRef/>
      </w:r>
      <w:r w:rsidRPr="0057775F">
        <w:rPr>
          <w:sz w:val="16"/>
          <w:szCs w:val="16"/>
        </w:rPr>
        <w:t xml:space="preserve"> Tato pomoc vrcholila </w:t>
      </w:r>
      <w:r>
        <w:rPr>
          <w:sz w:val="16"/>
          <w:szCs w:val="16"/>
        </w:rPr>
        <w:t xml:space="preserve">loni </w:t>
      </w:r>
      <w:r w:rsidRPr="0057775F">
        <w:rPr>
          <w:sz w:val="16"/>
          <w:szCs w:val="16"/>
        </w:rPr>
        <w:t>ve 2. čtvrtletí</w:t>
      </w:r>
      <w:r>
        <w:rPr>
          <w:sz w:val="16"/>
          <w:szCs w:val="16"/>
        </w:rPr>
        <w:t xml:space="preserve">, kdy čítala 64 mld. korun (v úhrnu za celé 1. pololetí 101 mld.) </w:t>
      </w:r>
      <w:r>
        <w:rPr>
          <w:spacing w:val="-4"/>
          <w:sz w:val="16"/>
          <w:szCs w:val="16"/>
        </w:rPr>
        <w:t>Šlo</w:t>
      </w:r>
      <w:r>
        <w:rPr>
          <w:color w:val="0D0D0D" w:themeColor="text1" w:themeTint="F2"/>
          <w:spacing w:val="-4"/>
          <w:sz w:val="16"/>
          <w:szCs w:val="16"/>
        </w:rPr>
        <w:t xml:space="preserve"> zejména</w:t>
      </w:r>
      <w:r w:rsidRPr="00813E8A">
        <w:rPr>
          <w:color w:val="0D0D0D" w:themeColor="text1" w:themeTint="F2"/>
          <w:spacing w:val="-4"/>
          <w:sz w:val="16"/>
          <w:szCs w:val="16"/>
        </w:rPr>
        <w:t xml:space="preserve"> </w:t>
      </w:r>
      <w:r>
        <w:rPr>
          <w:color w:val="0D0D0D" w:themeColor="text1" w:themeTint="F2"/>
          <w:spacing w:val="-4"/>
          <w:sz w:val="16"/>
          <w:szCs w:val="16"/>
        </w:rPr>
        <w:t>o </w:t>
      </w:r>
      <w:r w:rsidRPr="00813E8A">
        <w:rPr>
          <w:color w:val="0D0D0D" w:themeColor="text1" w:themeTint="F2"/>
          <w:spacing w:val="-4"/>
          <w:sz w:val="16"/>
          <w:szCs w:val="16"/>
        </w:rPr>
        <w:t>náhradu části mezd a</w:t>
      </w:r>
      <w:r>
        <w:rPr>
          <w:color w:val="0D0D0D" w:themeColor="text1" w:themeTint="F2"/>
          <w:spacing w:val="-4"/>
          <w:sz w:val="16"/>
          <w:szCs w:val="16"/>
        </w:rPr>
        <w:t> </w:t>
      </w:r>
      <w:r w:rsidRPr="00813E8A">
        <w:rPr>
          <w:color w:val="0D0D0D" w:themeColor="text1" w:themeTint="F2"/>
          <w:spacing w:val="-4"/>
          <w:sz w:val="16"/>
          <w:szCs w:val="16"/>
        </w:rPr>
        <w:t xml:space="preserve">povinných odvodů </w:t>
      </w:r>
      <w:r>
        <w:rPr>
          <w:color w:val="0D0D0D" w:themeColor="text1" w:themeTint="F2"/>
          <w:spacing w:val="-4"/>
          <w:sz w:val="16"/>
          <w:szCs w:val="16"/>
        </w:rPr>
        <w:t>(</w:t>
      </w:r>
      <w:r w:rsidRPr="00813E8A">
        <w:rPr>
          <w:color w:val="0D0D0D" w:themeColor="text1" w:themeTint="F2"/>
          <w:spacing w:val="-4"/>
          <w:sz w:val="16"/>
          <w:szCs w:val="16"/>
        </w:rPr>
        <w:t>v rámci programu Antivirus A, A+ a</w:t>
      </w:r>
      <w:r>
        <w:rPr>
          <w:color w:val="0D0D0D" w:themeColor="text1" w:themeTint="F2"/>
          <w:spacing w:val="-4"/>
          <w:sz w:val="16"/>
          <w:szCs w:val="16"/>
        </w:rPr>
        <w:t> </w:t>
      </w:r>
      <w:r w:rsidRPr="00813E8A">
        <w:rPr>
          <w:color w:val="0D0D0D" w:themeColor="text1" w:themeTint="F2"/>
          <w:spacing w:val="-4"/>
          <w:sz w:val="16"/>
          <w:szCs w:val="16"/>
        </w:rPr>
        <w:t>B</w:t>
      </w:r>
      <w:r>
        <w:rPr>
          <w:color w:val="0D0D0D" w:themeColor="text1" w:themeTint="F2"/>
          <w:spacing w:val="-4"/>
          <w:sz w:val="16"/>
          <w:szCs w:val="16"/>
        </w:rPr>
        <w:t xml:space="preserve">), </w:t>
      </w:r>
      <w:r w:rsidRPr="00813E8A">
        <w:rPr>
          <w:color w:val="0D0D0D" w:themeColor="text1" w:themeTint="F2"/>
          <w:spacing w:val="-4"/>
          <w:sz w:val="16"/>
          <w:szCs w:val="16"/>
        </w:rPr>
        <w:t>speciální programy na přímou podporu zasaže</w:t>
      </w:r>
      <w:r>
        <w:rPr>
          <w:color w:val="0D0D0D" w:themeColor="text1" w:themeTint="F2"/>
          <w:spacing w:val="-4"/>
          <w:sz w:val="16"/>
          <w:szCs w:val="16"/>
        </w:rPr>
        <w:t>ných sektorů ekonomiky (např.</w:t>
      </w:r>
      <w:r w:rsidRPr="00813E8A">
        <w:rPr>
          <w:color w:val="0D0D0D" w:themeColor="text1" w:themeTint="F2"/>
          <w:spacing w:val="-4"/>
          <w:sz w:val="16"/>
          <w:szCs w:val="16"/>
        </w:rPr>
        <w:t xml:space="preserve"> CO</w:t>
      </w:r>
      <w:r>
        <w:rPr>
          <w:color w:val="0D0D0D" w:themeColor="text1" w:themeTint="F2"/>
          <w:spacing w:val="-4"/>
          <w:sz w:val="16"/>
          <w:szCs w:val="16"/>
        </w:rPr>
        <w:t xml:space="preserve">VID Nájemné, </w:t>
      </w:r>
      <w:r w:rsidRPr="00813E8A">
        <w:rPr>
          <w:color w:val="0D0D0D" w:themeColor="text1" w:themeTint="F2"/>
          <w:spacing w:val="-4"/>
          <w:sz w:val="16"/>
          <w:szCs w:val="16"/>
        </w:rPr>
        <w:t>CO</w:t>
      </w:r>
      <w:r>
        <w:rPr>
          <w:color w:val="0D0D0D" w:themeColor="text1" w:themeTint="F2"/>
          <w:spacing w:val="-4"/>
          <w:sz w:val="16"/>
          <w:szCs w:val="16"/>
        </w:rPr>
        <w:t>VID</w:t>
      </w:r>
      <w:r w:rsidRPr="009263AE">
        <w:rPr>
          <w:color w:val="0D0D0D" w:themeColor="text1" w:themeTint="F2"/>
          <w:spacing w:val="-4"/>
          <w:sz w:val="16"/>
          <w:szCs w:val="16"/>
        </w:rPr>
        <w:t xml:space="preserve"> Nepokryté náklady</w:t>
      </w:r>
      <w:r>
        <w:rPr>
          <w:color w:val="0D0D0D" w:themeColor="text1" w:themeTint="F2"/>
          <w:spacing w:val="-4"/>
          <w:sz w:val="16"/>
          <w:szCs w:val="16"/>
        </w:rPr>
        <w:t>), vyšší výdaje ve zdravotnictví (</w:t>
      </w:r>
      <w:r w:rsidRPr="00813E8A">
        <w:rPr>
          <w:color w:val="0D0D0D" w:themeColor="text1" w:themeTint="F2"/>
          <w:spacing w:val="-4"/>
          <w:sz w:val="16"/>
          <w:szCs w:val="16"/>
        </w:rPr>
        <w:t>zejména zvýšení platby státu za tzv.</w:t>
      </w:r>
      <w:r>
        <w:rPr>
          <w:color w:val="0D0D0D" w:themeColor="text1" w:themeTint="F2"/>
          <w:spacing w:val="-4"/>
          <w:sz w:val="16"/>
          <w:szCs w:val="16"/>
        </w:rPr>
        <w:t> státního pojištěnce, z</w:t>
      </w:r>
      <w:r w:rsidRPr="009263AE">
        <w:rPr>
          <w:color w:val="0D0D0D" w:themeColor="text1" w:themeTint="F2"/>
          <w:spacing w:val="-4"/>
          <w:sz w:val="16"/>
          <w:szCs w:val="16"/>
        </w:rPr>
        <w:t>výšené osobní náklady pracovníků ve zdravotnictví a sociálních službách</w:t>
      </w:r>
      <w:r>
        <w:rPr>
          <w:color w:val="0D0D0D" w:themeColor="text1" w:themeTint="F2"/>
          <w:spacing w:val="-4"/>
          <w:sz w:val="16"/>
          <w:szCs w:val="16"/>
        </w:rPr>
        <w:t>, </w:t>
      </w:r>
      <w:r w:rsidRPr="00813E8A">
        <w:rPr>
          <w:color w:val="0D0D0D" w:themeColor="text1" w:themeTint="F2"/>
          <w:spacing w:val="-4"/>
          <w:sz w:val="16"/>
          <w:szCs w:val="16"/>
        </w:rPr>
        <w:t>n</w:t>
      </w:r>
      <w:r>
        <w:rPr>
          <w:color w:val="0D0D0D" w:themeColor="text1" w:themeTint="F2"/>
          <w:spacing w:val="-4"/>
          <w:sz w:val="16"/>
          <w:szCs w:val="16"/>
        </w:rPr>
        <w:t>ákupy ochranných prostředků) a konečně i zvýšené výdaje na některé sociální dávky (ošetřovné,</w:t>
      </w:r>
      <w:r w:rsidRPr="002B0A36">
        <w:t xml:space="preserve"> </w:t>
      </w:r>
      <w:r>
        <w:rPr>
          <w:color w:val="0D0D0D" w:themeColor="text1" w:themeTint="F2"/>
          <w:spacing w:val="-4"/>
          <w:sz w:val="16"/>
          <w:szCs w:val="16"/>
        </w:rPr>
        <w:t>m</w:t>
      </w:r>
      <w:r w:rsidRPr="002B0A36">
        <w:rPr>
          <w:color w:val="0D0D0D" w:themeColor="text1" w:themeTint="F2"/>
          <w:spacing w:val="-4"/>
          <w:sz w:val="16"/>
          <w:szCs w:val="16"/>
        </w:rPr>
        <w:t>imořádný příspě</w:t>
      </w:r>
      <w:r>
        <w:rPr>
          <w:color w:val="0D0D0D" w:themeColor="text1" w:themeTint="F2"/>
          <w:spacing w:val="-4"/>
          <w:sz w:val="16"/>
          <w:szCs w:val="16"/>
        </w:rPr>
        <w:t xml:space="preserve">vek pro zaměstnance v karanténě či </w:t>
      </w:r>
      <w:r w:rsidRPr="002B0A36">
        <w:rPr>
          <w:color w:val="0D0D0D" w:themeColor="text1" w:themeTint="F2"/>
          <w:spacing w:val="-4"/>
          <w:sz w:val="16"/>
          <w:szCs w:val="16"/>
        </w:rPr>
        <w:t>izolaci</w:t>
      </w:r>
      <w:r>
        <w:rPr>
          <w:color w:val="0D0D0D" w:themeColor="text1" w:themeTint="F2"/>
          <w:spacing w:val="-4"/>
          <w:sz w:val="16"/>
          <w:szCs w:val="16"/>
        </w:rPr>
        <w:t>).</w:t>
      </w:r>
    </w:p>
  </w:footnote>
  <w:footnote w:id="11">
    <w:p w14:paraId="11B1C919" w14:textId="77777777" w:rsidR="00CF35A7" w:rsidRPr="003C31FB" w:rsidRDefault="00CF35A7" w:rsidP="008F2E83">
      <w:pPr>
        <w:pStyle w:val="Textpoznpodarou"/>
        <w:rPr>
          <w:sz w:val="16"/>
          <w:szCs w:val="16"/>
        </w:rPr>
      </w:pPr>
      <w:r w:rsidRPr="003C31FB">
        <w:rPr>
          <w:rStyle w:val="Znakapoznpodarou"/>
          <w:sz w:val="16"/>
          <w:szCs w:val="16"/>
        </w:rPr>
        <w:footnoteRef/>
      </w:r>
      <w:r w:rsidRPr="003C31FB">
        <w:rPr>
          <w:sz w:val="16"/>
          <w:szCs w:val="16"/>
        </w:rPr>
        <w:t xml:space="preserve"> Měsíční platby státu se od 1. ledna 2022 zvýšily z 1767 korun na 1967 korun na osobu. Podle později schválené novely zákon</w:t>
      </w:r>
      <w:r>
        <w:rPr>
          <w:sz w:val="16"/>
          <w:szCs w:val="16"/>
        </w:rPr>
        <w:t>a</w:t>
      </w:r>
      <w:r w:rsidRPr="003C31FB"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 w:rsidRPr="003C31FB">
        <w:rPr>
          <w:sz w:val="16"/>
          <w:szCs w:val="16"/>
        </w:rPr>
        <w:t>o veřejn</w:t>
      </w:r>
      <w:r>
        <w:rPr>
          <w:sz w:val="16"/>
          <w:szCs w:val="16"/>
        </w:rPr>
        <w:t>ém zdravotním pojištění však došlo</w:t>
      </w:r>
      <w:r w:rsidRPr="003C31FB">
        <w:rPr>
          <w:sz w:val="16"/>
          <w:szCs w:val="16"/>
        </w:rPr>
        <w:t xml:space="preserve"> o</w:t>
      </w:r>
      <w:r>
        <w:rPr>
          <w:sz w:val="16"/>
          <w:szCs w:val="16"/>
        </w:rPr>
        <w:t>d</w:t>
      </w:r>
      <w:r w:rsidRPr="003C31FB">
        <w:rPr>
          <w:sz w:val="16"/>
          <w:szCs w:val="16"/>
        </w:rPr>
        <w:t xml:space="preserve"> 1. července 2022 k poklesu platby na </w:t>
      </w:r>
      <w:r>
        <w:rPr>
          <w:sz w:val="16"/>
          <w:szCs w:val="16"/>
        </w:rPr>
        <w:t>1 567 korun</w:t>
      </w:r>
      <w:r w:rsidRPr="003C31FB">
        <w:rPr>
          <w:sz w:val="16"/>
          <w:szCs w:val="16"/>
        </w:rPr>
        <w:t>. Průměrná měsíční platba za celý rok 2022</w:t>
      </w:r>
      <w:r>
        <w:rPr>
          <w:sz w:val="16"/>
          <w:szCs w:val="16"/>
        </w:rPr>
        <w:t xml:space="preserve"> dosáhne </w:t>
      </w:r>
      <w:r w:rsidRPr="003C31FB">
        <w:rPr>
          <w:sz w:val="16"/>
          <w:szCs w:val="16"/>
        </w:rPr>
        <w:t xml:space="preserve">1 767 korun a zůstane tak zachována na úrovni </w:t>
      </w:r>
      <w:r>
        <w:rPr>
          <w:sz w:val="16"/>
          <w:szCs w:val="16"/>
        </w:rPr>
        <w:t xml:space="preserve">z </w:t>
      </w:r>
      <w:r w:rsidRPr="003C31FB">
        <w:rPr>
          <w:sz w:val="16"/>
          <w:szCs w:val="16"/>
        </w:rPr>
        <w:t>roku 2021.</w:t>
      </w:r>
    </w:p>
  </w:footnote>
  <w:footnote w:id="12">
    <w:p w14:paraId="6C7C8EEF" w14:textId="77777777" w:rsidR="00CF35A7" w:rsidRPr="00B97ABC" w:rsidRDefault="00CF35A7" w:rsidP="008F2E83">
      <w:pPr>
        <w:pStyle w:val="Textpoznpodarou"/>
        <w:rPr>
          <w:sz w:val="16"/>
          <w:szCs w:val="16"/>
        </w:rPr>
      </w:pPr>
      <w:r w:rsidRPr="00B97ABC">
        <w:rPr>
          <w:rStyle w:val="Znakapoznpodarou"/>
          <w:sz w:val="16"/>
          <w:szCs w:val="16"/>
        </w:rPr>
        <w:footnoteRef/>
      </w:r>
      <w:r w:rsidRPr="00B97ABC">
        <w:rPr>
          <w:sz w:val="16"/>
          <w:szCs w:val="16"/>
        </w:rPr>
        <w:t xml:space="preserve"> To o</w:t>
      </w:r>
      <w:r w:rsidRPr="00B97ABC">
        <w:rPr>
          <w:spacing w:val="-6"/>
          <w:sz w:val="16"/>
          <w:szCs w:val="16"/>
        </w:rPr>
        <w:t>dpovídá saldu rozpočtové kapitoly Státní dluh.</w:t>
      </w:r>
    </w:p>
  </w:footnote>
  <w:footnote w:id="13">
    <w:p w14:paraId="01845247" w14:textId="77777777" w:rsidR="00CF35A7" w:rsidRPr="00EC2E06" w:rsidRDefault="00CF35A7" w:rsidP="008F2E83">
      <w:pPr>
        <w:pStyle w:val="Textpoznpodarou"/>
        <w:jc w:val="both"/>
        <w:rPr>
          <w:spacing w:val="-4"/>
        </w:rPr>
      </w:pPr>
      <w:r w:rsidRPr="00EC2E06">
        <w:rPr>
          <w:rStyle w:val="Znakapoznpodarou"/>
          <w:spacing w:val="-4"/>
          <w:sz w:val="16"/>
          <w:szCs w:val="16"/>
        </w:rPr>
        <w:footnoteRef/>
      </w:r>
      <w:r>
        <w:rPr>
          <w:spacing w:val="-4"/>
          <w:sz w:val="16"/>
          <w:szCs w:val="16"/>
        </w:rPr>
        <w:t xml:space="preserve"> Je vyjádřen</w:t>
      </w:r>
      <w:r w:rsidRPr="00EC2E06">
        <w:rPr>
          <w:spacing w:val="-4"/>
          <w:sz w:val="16"/>
          <w:szCs w:val="16"/>
        </w:rPr>
        <w:t xml:space="preserve"> </w:t>
      </w:r>
      <w:r w:rsidRPr="00EC2E06">
        <w:rPr>
          <w:rFonts w:cs="Arial"/>
          <w:color w:val="000000" w:themeColor="text1"/>
          <w:spacing w:val="-4"/>
          <w:sz w:val="16"/>
          <w:szCs w:val="16"/>
        </w:rPr>
        <w:t xml:space="preserve">rozdílem mezi příjmy a výdaji na důchody ze SR. Ve výdajích nejsou zahrnuty náklady na správu systému důchodového </w:t>
      </w:r>
      <w:r w:rsidRPr="00EC2E06">
        <w:rPr>
          <w:rFonts w:cs="Arial"/>
          <w:color w:val="0D0D0D" w:themeColor="text1" w:themeTint="F2"/>
          <w:spacing w:val="-4"/>
          <w:sz w:val="16"/>
          <w:szCs w:val="16"/>
        </w:rPr>
        <w:t>pojištění.</w:t>
      </w:r>
    </w:p>
  </w:footnote>
  <w:footnote w:id="14">
    <w:p w14:paraId="4C550D30" w14:textId="77777777" w:rsidR="00CF35A7" w:rsidRPr="003B002F" w:rsidRDefault="00CF35A7" w:rsidP="008F2E83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sz w:val="16"/>
          <w:szCs w:val="16"/>
          <w:lang w:eastAsia="en-US"/>
        </w:rPr>
      </w:pPr>
      <w:r w:rsidRPr="003B002F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V jejich</w:t>
      </w:r>
      <w:r w:rsidRPr="003B002F">
        <w:rPr>
          <w:sz w:val="16"/>
          <w:szCs w:val="16"/>
        </w:rPr>
        <w:t xml:space="preserve"> pozadí však stály hlavně nižší výdaje na váhově významné rodičovské příspěvky (</w:t>
      </w:r>
      <w:r>
        <w:rPr>
          <w:sz w:val="16"/>
          <w:szCs w:val="16"/>
        </w:rPr>
        <w:t>−</w:t>
      </w:r>
      <w:r w:rsidRPr="003B002F">
        <w:rPr>
          <w:sz w:val="16"/>
          <w:szCs w:val="16"/>
        </w:rPr>
        <w:t xml:space="preserve">7,2 %), naopak u příjmově testovaných dávek došlo k růstu – příspěvek na bydlení (+10,2 %) a příspěvek na dítě (+56,5 %). U poslední zmíněné položky se projevil dopad legislativních změn platných od loňského července (zejména zvýšení hranice rozhodného příjmu limitujícího nárok na přídavek na dítě </w:t>
      </w:r>
      <w:r>
        <w:rPr>
          <w:sz w:val="16"/>
          <w:szCs w:val="16"/>
        </w:rPr>
        <w:br/>
      </w:r>
      <w:r w:rsidRPr="003B002F">
        <w:rPr>
          <w:sz w:val="16"/>
          <w:szCs w:val="16"/>
        </w:rPr>
        <w:t>z 2,7</w:t>
      </w:r>
      <w:r>
        <w:rPr>
          <w:sz w:val="16"/>
          <w:szCs w:val="16"/>
        </w:rPr>
        <w:t xml:space="preserve"> až</w:t>
      </w:r>
      <w:r w:rsidRPr="003B002F">
        <w:rPr>
          <w:sz w:val="16"/>
          <w:szCs w:val="16"/>
        </w:rPr>
        <w:t xml:space="preserve"> na 3,4násobek částky životního minima rodiny a zvýšení částek přídavku na dítě o 26 %)</w:t>
      </w:r>
      <w:r>
        <w:rPr>
          <w:sz w:val="16"/>
          <w:szCs w:val="16"/>
        </w:rPr>
        <w:t>.</w:t>
      </w:r>
    </w:p>
  </w:footnote>
  <w:footnote w:id="15">
    <w:p w14:paraId="75E7C865" w14:textId="77777777" w:rsidR="00CF35A7" w:rsidRPr="001D1FBB" w:rsidRDefault="00CF35A7" w:rsidP="008F2E83">
      <w:pPr>
        <w:pStyle w:val="Textpoznpodarou"/>
        <w:rPr>
          <w:sz w:val="16"/>
          <w:szCs w:val="16"/>
        </w:rPr>
      </w:pPr>
      <w:r w:rsidRPr="001D1FBB">
        <w:rPr>
          <w:rStyle w:val="Znakapoznpodarou"/>
          <w:sz w:val="16"/>
          <w:szCs w:val="16"/>
        </w:rPr>
        <w:footnoteRef/>
      </w:r>
      <w:r w:rsidRPr="001D1FBB">
        <w:rPr>
          <w:sz w:val="16"/>
          <w:szCs w:val="16"/>
        </w:rPr>
        <w:t xml:space="preserve"> Srovnatelný </w:t>
      </w:r>
      <w:r>
        <w:rPr>
          <w:sz w:val="16"/>
          <w:szCs w:val="16"/>
        </w:rPr>
        <w:t>pololetní „</w:t>
      </w:r>
      <w:r w:rsidRPr="001D1FBB">
        <w:rPr>
          <w:sz w:val="16"/>
          <w:szCs w:val="16"/>
        </w:rPr>
        <w:t>náběh</w:t>
      </w:r>
      <w:r>
        <w:rPr>
          <w:sz w:val="16"/>
          <w:szCs w:val="16"/>
        </w:rPr>
        <w:t>“</w:t>
      </w:r>
      <w:r w:rsidRPr="001D1FBB">
        <w:rPr>
          <w:sz w:val="16"/>
          <w:szCs w:val="16"/>
        </w:rPr>
        <w:t xml:space="preserve"> investic byl však patrný i vloni či v letech 2018 a 2019. </w:t>
      </w:r>
    </w:p>
  </w:footnote>
  <w:footnote w:id="16">
    <w:p w14:paraId="57FFCDD1" w14:textId="77777777" w:rsidR="00CF35A7" w:rsidRPr="002666E9" w:rsidRDefault="00CF35A7" w:rsidP="008F2E83">
      <w:pPr>
        <w:pStyle w:val="Textpoznpodarou"/>
        <w:rPr>
          <w:sz w:val="16"/>
          <w:szCs w:val="16"/>
        </w:rPr>
      </w:pPr>
      <w:r w:rsidRPr="002666E9">
        <w:rPr>
          <w:rStyle w:val="Znakapoznpodarou"/>
          <w:sz w:val="16"/>
          <w:szCs w:val="16"/>
        </w:rPr>
        <w:footnoteRef/>
      </w:r>
      <w:r w:rsidRPr="002666E9">
        <w:rPr>
          <w:sz w:val="16"/>
          <w:szCs w:val="16"/>
        </w:rPr>
        <w:t xml:space="preserve"> Ten financuje </w:t>
      </w:r>
      <w:r w:rsidRPr="002666E9">
        <w:rPr>
          <w:rFonts w:cs="Arial"/>
          <w:color w:val="000000"/>
          <w:sz w:val="16"/>
          <w:szCs w:val="16"/>
        </w:rPr>
        <w:t>především investiční a reformní projekty členských zemí EU prostřednictvím národních plánů obnovy. Česko z něj začalo poprvé čerpat v letošním roce.</w:t>
      </w:r>
    </w:p>
  </w:footnote>
  <w:footnote w:id="17">
    <w:p w14:paraId="0B879FF9" w14:textId="77777777" w:rsidR="00CF35A7" w:rsidRDefault="00CF35A7" w:rsidP="008F2E83">
      <w:pPr>
        <w:pStyle w:val="Textpoznpodarou"/>
        <w:rPr>
          <w:sz w:val="16"/>
          <w:szCs w:val="16"/>
        </w:rPr>
      </w:pPr>
      <w:r w:rsidRPr="008C2F4A">
        <w:rPr>
          <w:rStyle w:val="Znakapoznpodarou"/>
          <w:sz w:val="16"/>
          <w:szCs w:val="16"/>
        </w:rPr>
        <w:footnoteRef/>
      </w:r>
      <w:r w:rsidRPr="008C2F4A">
        <w:rPr>
          <w:sz w:val="16"/>
          <w:szCs w:val="16"/>
        </w:rPr>
        <w:t xml:space="preserve"> </w:t>
      </w:r>
      <w:r>
        <w:rPr>
          <w:sz w:val="16"/>
          <w:szCs w:val="16"/>
        </w:rPr>
        <w:t>Údaje o hospodaření vládních institucí za 2. čtvrtletí 2022 zveřejní ČSÚ 3. října 2022, Eurostat pak 21. října 2022. Detailnější zhodnocení vývoje za první letošní kvartál je obsaženo v publikaci Analýza sektorových účtů:</w:t>
      </w:r>
    </w:p>
    <w:p w14:paraId="6D10CD26" w14:textId="77777777" w:rsidR="00CF35A7" w:rsidRPr="00900B2B" w:rsidRDefault="00414A57" w:rsidP="008F2E83">
      <w:pPr>
        <w:pStyle w:val="Textpoznpodarou"/>
        <w:rPr>
          <w:sz w:val="16"/>
          <w:szCs w:val="16"/>
        </w:rPr>
      </w:pPr>
      <w:hyperlink r:id="rId1" w:history="1">
        <w:r w:rsidR="00CF35A7" w:rsidRPr="008C5E9A">
          <w:rPr>
            <w:rStyle w:val="Hypertextovodkaz"/>
            <w:sz w:val="16"/>
            <w:szCs w:val="16"/>
          </w:rPr>
          <w:t>https://www.czso.cz/csu/czso/cri/analyza-ctvrtletnich-sektorovych-uctu-1-ctvrtleti-2022</w:t>
        </w:r>
      </w:hyperlink>
    </w:p>
  </w:footnote>
  <w:footnote w:id="18">
    <w:p w14:paraId="389B25C3" w14:textId="77777777" w:rsidR="00CF35A7" w:rsidRPr="00A274FC" w:rsidRDefault="00CF35A7" w:rsidP="008F2E83">
      <w:pPr>
        <w:pStyle w:val="Textpoznpodarou"/>
        <w:rPr>
          <w:sz w:val="16"/>
          <w:szCs w:val="16"/>
        </w:rPr>
      </w:pPr>
      <w:r w:rsidRPr="00A274FC">
        <w:rPr>
          <w:rStyle w:val="Znakapoznpodarou"/>
          <w:sz w:val="16"/>
          <w:szCs w:val="16"/>
        </w:rPr>
        <w:footnoteRef/>
      </w:r>
      <w:r w:rsidRPr="00A274FC">
        <w:rPr>
          <w:sz w:val="16"/>
          <w:szCs w:val="16"/>
        </w:rPr>
        <w:t xml:space="preserve"> Není-li uvedeno jinak, jsou níže uvedené údaje o hospodaření sektoru VI </w:t>
      </w:r>
      <w:r>
        <w:rPr>
          <w:sz w:val="16"/>
          <w:szCs w:val="16"/>
        </w:rPr>
        <w:t>vyjádřené</w:t>
      </w:r>
      <w:r w:rsidRPr="00A274FC">
        <w:rPr>
          <w:sz w:val="16"/>
          <w:szCs w:val="16"/>
        </w:rPr>
        <w:t xml:space="preserve"> po sezónním očištění.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4A67" w14:textId="77777777" w:rsidR="00CF35A7" w:rsidRDefault="00CF35A7" w:rsidP="00937AE2">
    <w:pPr>
      <w:pStyle w:val="Zhlav"/>
    </w:pPr>
    <w:r>
      <w:t>Vývoj ekonomiky České republiky</w:t>
    </w:r>
  </w:p>
  <w:p w14:paraId="3E881AB3" w14:textId="77777777" w:rsidR="00CF35A7" w:rsidRPr="006F5416" w:rsidRDefault="00CF35A7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77777777" w:rsidR="00CF35A7" w:rsidRDefault="00CF35A7" w:rsidP="00937AE2">
    <w:pPr>
      <w:pStyle w:val="Zhlav"/>
    </w:pPr>
    <w:r>
      <w:t>Vývoj ekonomiky České republiky</w:t>
    </w:r>
  </w:p>
  <w:p w14:paraId="57266714" w14:textId="77777777" w:rsidR="00CF35A7" w:rsidRPr="006F5416" w:rsidRDefault="00CF35A7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2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26"/>
  </w:num>
  <w:num w:numId="14">
    <w:abstractNumId w:val="13"/>
  </w:num>
  <w:num w:numId="15">
    <w:abstractNumId w:val="19"/>
  </w:num>
  <w:num w:numId="16">
    <w:abstractNumId w:val="15"/>
  </w:num>
  <w:num w:numId="17">
    <w:abstractNumId w:val="27"/>
  </w:num>
  <w:num w:numId="18">
    <w:abstractNumId w:val="20"/>
  </w:num>
  <w:num w:numId="19">
    <w:abstractNumId w:val="28"/>
  </w:num>
  <w:num w:numId="20">
    <w:abstractNumId w:val="29"/>
  </w:num>
  <w:num w:numId="21">
    <w:abstractNumId w:val="25"/>
  </w:num>
  <w:num w:numId="22">
    <w:abstractNumId w:val="18"/>
  </w:num>
  <w:num w:numId="23">
    <w:abstractNumId w:val="16"/>
  </w:num>
  <w:num w:numId="24">
    <w:abstractNumId w:val="17"/>
  </w:num>
  <w:num w:numId="25">
    <w:abstractNumId w:val="12"/>
  </w:num>
  <w:num w:numId="26">
    <w:abstractNumId w:val="22"/>
  </w:num>
  <w:num w:numId="27">
    <w:abstractNumId w:val="21"/>
  </w:num>
  <w:num w:numId="28">
    <w:abstractNumId w:val="10"/>
  </w:num>
  <w:num w:numId="29">
    <w:abstractNumId w:val="29"/>
  </w:num>
  <w:num w:numId="30">
    <w:abstractNumId w:val="23"/>
  </w:num>
  <w:num w:numId="31">
    <w:abstractNumId w:val="1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2566"/>
    <w:rsid w:val="0000370A"/>
    <w:rsid w:val="00003849"/>
    <w:rsid w:val="00003F5C"/>
    <w:rsid w:val="00004D5A"/>
    <w:rsid w:val="00005219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22B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AD4"/>
    <w:rsid w:val="00047D54"/>
    <w:rsid w:val="0005054A"/>
    <w:rsid w:val="00050A87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296"/>
    <w:rsid w:val="0006533F"/>
    <w:rsid w:val="00065348"/>
    <w:rsid w:val="0006551C"/>
    <w:rsid w:val="0006558D"/>
    <w:rsid w:val="00065A75"/>
    <w:rsid w:val="000663F0"/>
    <w:rsid w:val="00066558"/>
    <w:rsid w:val="000671DB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457"/>
    <w:rsid w:val="000837CD"/>
    <w:rsid w:val="00083B7F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290F"/>
    <w:rsid w:val="00093241"/>
    <w:rsid w:val="00093868"/>
    <w:rsid w:val="00094A84"/>
    <w:rsid w:val="00095025"/>
    <w:rsid w:val="00095135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A2C"/>
    <w:rsid w:val="000A3D9E"/>
    <w:rsid w:val="000A4A54"/>
    <w:rsid w:val="000A4ED9"/>
    <w:rsid w:val="000A5DB7"/>
    <w:rsid w:val="000A6753"/>
    <w:rsid w:val="000A6D94"/>
    <w:rsid w:val="000A7377"/>
    <w:rsid w:val="000A74A4"/>
    <w:rsid w:val="000A775A"/>
    <w:rsid w:val="000A7D63"/>
    <w:rsid w:val="000A7FF4"/>
    <w:rsid w:val="000B03CC"/>
    <w:rsid w:val="000B4212"/>
    <w:rsid w:val="000B67B7"/>
    <w:rsid w:val="000B6A0A"/>
    <w:rsid w:val="000C012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C7A79"/>
    <w:rsid w:val="000D0A26"/>
    <w:rsid w:val="000D13CB"/>
    <w:rsid w:val="000D2196"/>
    <w:rsid w:val="000D2C2E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15F7"/>
    <w:rsid w:val="000F1AA2"/>
    <w:rsid w:val="000F378E"/>
    <w:rsid w:val="000F3F3B"/>
    <w:rsid w:val="000F4721"/>
    <w:rsid w:val="000F47E8"/>
    <w:rsid w:val="000F70E4"/>
    <w:rsid w:val="000F76EA"/>
    <w:rsid w:val="00100A8B"/>
    <w:rsid w:val="00100F5C"/>
    <w:rsid w:val="00101B15"/>
    <w:rsid w:val="00101CDA"/>
    <w:rsid w:val="00102037"/>
    <w:rsid w:val="00103DCB"/>
    <w:rsid w:val="00104C4C"/>
    <w:rsid w:val="00105015"/>
    <w:rsid w:val="001055D2"/>
    <w:rsid w:val="001057C2"/>
    <w:rsid w:val="00107124"/>
    <w:rsid w:val="0011038E"/>
    <w:rsid w:val="00111573"/>
    <w:rsid w:val="001125EF"/>
    <w:rsid w:val="00112CAB"/>
    <w:rsid w:val="0011440C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35111"/>
    <w:rsid w:val="00136A6F"/>
    <w:rsid w:val="00136C1A"/>
    <w:rsid w:val="00137812"/>
    <w:rsid w:val="001405FA"/>
    <w:rsid w:val="00140D1A"/>
    <w:rsid w:val="00141184"/>
    <w:rsid w:val="00141315"/>
    <w:rsid w:val="00141AA0"/>
    <w:rsid w:val="001425C3"/>
    <w:rsid w:val="0014262D"/>
    <w:rsid w:val="00142B29"/>
    <w:rsid w:val="00144108"/>
    <w:rsid w:val="00144588"/>
    <w:rsid w:val="001447DD"/>
    <w:rsid w:val="00145358"/>
    <w:rsid w:val="001459BC"/>
    <w:rsid w:val="00150ECA"/>
    <w:rsid w:val="00151707"/>
    <w:rsid w:val="00152C86"/>
    <w:rsid w:val="00152F4F"/>
    <w:rsid w:val="00153264"/>
    <w:rsid w:val="0015329F"/>
    <w:rsid w:val="001544A1"/>
    <w:rsid w:val="001553B8"/>
    <w:rsid w:val="001554C2"/>
    <w:rsid w:val="00156D04"/>
    <w:rsid w:val="001571C0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4CA1"/>
    <w:rsid w:val="00165313"/>
    <w:rsid w:val="001665AB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4F2"/>
    <w:rsid w:val="00185C22"/>
    <w:rsid w:val="00186BA9"/>
    <w:rsid w:val="00187D50"/>
    <w:rsid w:val="00190B4D"/>
    <w:rsid w:val="0019196C"/>
    <w:rsid w:val="001926A9"/>
    <w:rsid w:val="00192F05"/>
    <w:rsid w:val="00194729"/>
    <w:rsid w:val="00194850"/>
    <w:rsid w:val="00195234"/>
    <w:rsid w:val="00195EA6"/>
    <w:rsid w:val="00196016"/>
    <w:rsid w:val="00196117"/>
    <w:rsid w:val="00197A70"/>
    <w:rsid w:val="00197C0F"/>
    <w:rsid w:val="00197D0E"/>
    <w:rsid w:val="001A0487"/>
    <w:rsid w:val="001A0675"/>
    <w:rsid w:val="001A0A37"/>
    <w:rsid w:val="001A1F68"/>
    <w:rsid w:val="001A21FA"/>
    <w:rsid w:val="001A4D7C"/>
    <w:rsid w:val="001A4EF0"/>
    <w:rsid w:val="001A552F"/>
    <w:rsid w:val="001A70B1"/>
    <w:rsid w:val="001A7672"/>
    <w:rsid w:val="001B0738"/>
    <w:rsid w:val="001B1235"/>
    <w:rsid w:val="001B158D"/>
    <w:rsid w:val="001B1BBB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1A6"/>
    <w:rsid w:val="001C1B24"/>
    <w:rsid w:val="001C1B66"/>
    <w:rsid w:val="001C1BB5"/>
    <w:rsid w:val="001C2732"/>
    <w:rsid w:val="001C31A2"/>
    <w:rsid w:val="001C351D"/>
    <w:rsid w:val="001C3794"/>
    <w:rsid w:val="001C4B8F"/>
    <w:rsid w:val="001C4BB8"/>
    <w:rsid w:val="001C4FD0"/>
    <w:rsid w:val="001C544D"/>
    <w:rsid w:val="001C5E46"/>
    <w:rsid w:val="001C6B3B"/>
    <w:rsid w:val="001C7A26"/>
    <w:rsid w:val="001C7E3F"/>
    <w:rsid w:val="001D0EF1"/>
    <w:rsid w:val="001D1A44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7EFD"/>
    <w:rsid w:val="001D7F60"/>
    <w:rsid w:val="001E085B"/>
    <w:rsid w:val="001E149B"/>
    <w:rsid w:val="001E15CB"/>
    <w:rsid w:val="001E3306"/>
    <w:rsid w:val="001E504C"/>
    <w:rsid w:val="001E56AC"/>
    <w:rsid w:val="001E5A17"/>
    <w:rsid w:val="001E74C5"/>
    <w:rsid w:val="001F1236"/>
    <w:rsid w:val="001F2F90"/>
    <w:rsid w:val="001F4597"/>
    <w:rsid w:val="001F4826"/>
    <w:rsid w:val="001F4933"/>
    <w:rsid w:val="001F59C8"/>
    <w:rsid w:val="001F6CD3"/>
    <w:rsid w:val="001F75DA"/>
    <w:rsid w:val="001F7931"/>
    <w:rsid w:val="001F7CE0"/>
    <w:rsid w:val="00200085"/>
    <w:rsid w:val="00201633"/>
    <w:rsid w:val="00203332"/>
    <w:rsid w:val="00203CD5"/>
    <w:rsid w:val="00203D8F"/>
    <w:rsid w:val="00203DA4"/>
    <w:rsid w:val="00204EA6"/>
    <w:rsid w:val="00205186"/>
    <w:rsid w:val="00206516"/>
    <w:rsid w:val="002070CF"/>
    <w:rsid w:val="002071D5"/>
    <w:rsid w:val="002111E5"/>
    <w:rsid w:val="0021149E"/>
    <w:rsid w:val="002118B9"/>
    <w:rsid w:val="00213691"/>
    <w:rsid w:val="002142C0"/>
    <w:rsid w:val="00217BED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4B85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9C7"/>
    <w:rsid w:val="00275DEF"/>
    <w:rsid w:val="002763A2"/>
    <w:rsid w:val="00276B33"/>
    <w:rsid w:val="00277669"/>
    <w:rsid w:val="002803A5"/>
    <w:rsid w:val="00280ACB"/>
    <w:rsid w:val="002812E3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461A"/>
    <w:rsid w:val="0029509B"/>
    <w:rsid w:val="0029588F"/>
    <w:rsid w:val="00295E96"/>
    <w:rsid w:val="00297256"/>
    <w:rsid w:val="00297A5C"/>
    <w:rsid w:val="00297D51"/>
    <w:rsid w:val="002A0122"/>
    <w:rsid w:val="002A016B"/>
    <w:rsid w:val="002A103E"/>
    <w:rsid w:val="002A16D4"/>
    <w:rsid w:val="002A1E4F"/>
    <w:rsid w:val="002A230C"/>
    <w:rsid w:val="002A2AF7"/>
    <w:rsid w:val="002A3209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DCE"/>
    <w:rsid w:val="002E4E4C"/>
    <w:rsid w:val="002E4EA7"/>
    <w:rsid w:val="002E5846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357F"/>
    <w:rsid w:val="002F46D6"/>
    <w:rsid w:val="002F498A"/>
    <w:rsid w:val="002F4AD8"/>
    <w:rsid w:val="002F5285"/>
    <w:rsid w:val="002F5820"/>
    <w:rsid w:val="002F64BB"/>
    <w:rsid w:val="002F7D9B"/>
    <w:rsid w:val="00300C31"/>
    <w:rsid w:val="003017EC"/>
    <w:rsid w:val="00302165"/>
    <w:rsid w:val="00303BB4"/>
    <w:rsid w:val="00304771"/>
    <w:rsid w:val="00304F9C"/>
    <w:rsid w:val="003052D4"/>
    <w:rsid w:val="00305863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2A85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41BB"/>
    <w:rsid w:val="00354F89"/>
    <w:rsid w:val="0035506D"/>
    <w:rsid w:val="0036077F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5F61"/>
    <w:rsid w:val="0036624C"/>
    <w:rsid w:val="00367F84"/>
    <w:rsid w:val="003712BC"/>
    <w:rsid w:val="00372164"/>
    <w:rsid w:val="003738BD"/>
    <w:rsid w:val="00374263"/>
    <w:rsid w:val="003746F0"/>
    <w:rsid w:val="00374A20"/>
    <w:rsid w:val="00374B96"/>
    <w:rsid w:val="00374E21"/>
    <w:rsid w:val="0037537A"/>
    <w:rsid w:val="00377B2E"/>
    <w:rsid w:val="00380C9B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402D"/>
    <w:rsid w:val="00396739"/>
    <w:rsid w:val="003978B1"/>
    <w:rsid w:val="003A04F6"/>
    <w:rsid w:val="003A0837"/>
    <w:rsid w:val="003A2B4D"/>
    <w:rsid w:val="003A2D12"/>
    <w:rsid w:val="003A2EBA"/>
    <w:rsid w:val="003A45E3"/>
    <w:rsid w:val="003A46B8"/>
    <w:rsid w:val="003A478C"/>
    <w:rsid w:val="003A4A38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E8"/>
    <w:rsid w:val="003C3D2C"/>
    <w:rsid w:val="003C4058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EF8"/>
    <w:rsid w:val="003E2DFB"/>
    <w:rsid w:val="003E4466"/>
    <w:rsid w:val="003E4C91"/>
    <w:rsid w:val="003E52D8"/>
    <w:rsid w:val="003E62F1"/>
    <w:rsid w:val="003E6F84"/>
    <w:rsid w:val="003F0148"/>
    <w:rsid w:val="003F313C"/>
    <w:rsid w:val="003F33B1"/>
    <w:rsid w:val="003F33B9"/>
    <w:rsid w:val="003F37FC"/>
    <w:rsid w:val="003F3E76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4A57"/>
    <w:rsid w:val="0041501E"/>
    <w:rsid w:val="00415452"/>
    <w:rsid w:val="004159C3"/>
    <w:rsid w:val="00415A57"/>
    <w:rsid w:val="00416DAC"/>
    <w:rsid w:val="00417106"/>
    <w:rsid w:val="00420880"/>
    <w:rsid w:val="00421179"/>
    <w:rsid w:val="004225D7"/>
    <w:rsid w:val="00423623"/>
    <w:rsid w:val="0042470E"/>
    <w:rsid w:val="00425352"/>
    <w:rsid w:val="00426C99"/>
    <w:rsid w:val="004272BE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6FE5"/>
    <w:rsid w:val="00457490"/>
    <w:rsid w:val="0045778B"/>
    <w:rsid w:val="0045786C"/>
    <w:rsid w:val="00457953"/>
    <w:rsid w:val="004604D8"/>
    <w:rsid w:val="00460656"/>
    <w:rsid w:val="00460FB3"/>
    <w:rsid w:val="00463D3C"/>
    <w:rsid w:val="00464851"/>
    <w:rsid w:val="00464BF5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368C"/>
    <w:rsid w:val="0048372F"/>
    <w:rsid w:val="00483A0C"/>
    <w:rsid w:val="004841CC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531F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19E"/>
    <w:rsid w:val="004B6468"/>
    <w:rsid w:val="004B6EF8"/>
    <w:rsid w:val="004B7125"/>
    <w:rsid w:val="004B756A"/>
    <w:rsid w:val="004B7FB1"/>
    <w:rsid w:val="004C0970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D31"/>
    <w:rsid w:val="004D2E03"/>
    <w:rsid w:val="004D3296"/>
    <w:rsid w:val="004D4056"/>
    <w:rsid w:val="004D4CB0"/>
    <w:rsid w:val="004D5B0F"/>
    <w:rsid w:val="004D7626"/>
    <w:rsid w:val="004E085C"/>
    <w:rsid w:val="004E12DF"/>
    <w:rsid w:val="004E186A"/>
    <w:rsid w:val="004E1A40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4DED"/>
    <w:rsid w:val="00515485"/>
    <w:rsid w:val="00515BE9"/>
    <w:rsid w:val="00515C74"/>
    <w:rsid w:val="00515CEB"/>
    <w:rsid w:val="0051630F"/>
    <w:rsid w:val="00517113"/>
    <w:rsid w:val="0052007E"/>
    <w:rsid w:val="0052032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2792D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FC7"/>
    <w:rsid w:val="005500F9"/>
    <w:rsid w:val="00550160"/>
    <w:rsid w:val="00550540"/>
    <w:rsid w:val="005519E2"/>
    <w:rsid w:val="00551E16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C41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6E34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0C"/>
    <w:rsid w:val="005A0463"/>
    <w:rsid w:val="005A0948"/>
    <w:rsid w:val="005A0A03"/>
    <w:rsid w:val="005A10F2"/>
    <w:rsid w:val="005A16C0"/>
    <w:rsid w:val="005A2156"/>
    <w:rsid w:val="005A21E0"/>
    <w:rsid w:val="005A28FF"/>
    <w:rsid w:val="005A2C09"/>
    <w:rsid w:val="005A3778"/>
    <w:rsid w:val="005A37B0"/>
    <w:rsid w:val="005A3DF8"/>
    <w:rsid w:val="005A5549"/>
    <w:rsid w:val="005A566A"/>
    <w:rsid w:val="005A56E0"/>
    <w:rsid w:val="005A70CA"/>
    <w:rsid w:val="005A7ABD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C70AB"/>
    <w:rsid w:val="005D015C"/>
    <w:rsid w:val="005D3F06"/>
    <w:rsid w:val="005D4608"/>
    <w:rsid w:val="005D4B73"/>
    <w:rsid w:val="005D533D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47B"/>
    <w:rsid w:val="005F2A08"/>
    <w:rsid w:val="005F36CC"/>
    <w:rsid w:val="005F3EB1"/>
    <w:rsid w:val="005F413E"/>
    <w:rsid w:val="005F466B"/>
    <w:rsid w:val="005F46D8"/>
    <w:rsid w:val="005F480F"/>
    <w:rsid w:val="005F5271"/>
    <w:rsid w:val="005F5469"/>
    <w:rsid w:val="005F63F3"/>
    <w:rsid w:val="005F66F0"/>
    <w:rsid w:val="005F6D7F"/>
    <w:rsid w:val="005F6DFE"/>
    <w:rsid w:val="005F7174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B77"/>
    <w:rsid w:val="00621190"/>
    <w:rsid w:val="0062131B"/>
    <w:rsid w:val="00621E26"/>
    <w:rsid w:val="006224EA"/>
    <w:rsid w:val="0062263A"/>
    <w:rsid w:val="006227DF"/>
    <w:rsid w:val="006234A0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6B3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6D25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27BC"/>
    <w:rsid w:val="006741CD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B9B"/>
    <w:rsid w:val="00684D59"/>
    <w:rsid w:val="00684E25"/>
    <w:rsid w:val="006858A4"/>
    <w:rsid w:val="00685C08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1E"/>
    <w:rsid w:val="007450BF"/>
    <w:rsid w:val="0074599A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4A2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67933"/>
    <w:rsid w:val="00770AB9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5E00"/>
    <w:rsid w:val="0077605B"/>
    <w:rsid w:val="00776169"/>
    <w:rsid w:val="00776527"/>
    <w:rsid w:val="00777040"/>
    <w:rsid w:val="00777CE6"/>
    <w:rsid w:val="00777D57"/>
    <w:rsid w:val="00780EF1"/>
    <w:rsid w:val="00781A91"/>
    <w:rsid w:val="00781AD3"/>
    <w:rsid w:val="00781F36"/>
    <w:rsid w:val="0078357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1D1B"/>
    <w:rsid w:val="007B2011"/>
    <w:rsid w:val="007B2CFE"/>
    <w:rsid w:val="007B309B"/>
    <w:rsid w:val="007B3D5E"/>
    <w:rsid w:val="007B3DCB"/>
    <w:rsid w:val="007B54AE"/>
    <w:rsid w:val="007B5725"/>
    <w:rsid w:val="007B5C1F"/>
    <w:rsid w:val="007B6689"/>
    <w:rsid w:val="007B6747"/>
    <w:rsid w:val="007B6F72"/>
    <w:rsid w:val="007B74AA"/>
    <w:rsid w:val="007C10BD"/>
    <w:rsid w:val="007C162D"/>
    <w:rsid w:val="007C1F0C"/>
    <w:rsid w:val="007C1FFB"/>
    <w:rsid w:val="007C2D94"/>
    <w:rsid w:val="007C4A6B"/>
    <w:rsid w:val="007C5F92"/>
    <w:rsid w:val="007C6227"/>
    <w:rsid w:val="007C6BBD"/>
    <w:rsid w:val="007C6D89"/>
    <w:rsid w:val="007C6F5E"/>
    <w:rsid w:val="007D0382"/>
    <w:rsid w:val="007D0F6B"/>
    <w:rsid w:val="007D14FE"/>
    <w:rsid w:val="007D1A1F"/>
    <w:rsid w:val="007D213B"/>
    <w:rsid w:val="007D2783"/>
    <w:rsid w:val="007D2E18"/>
    <w:rsid w:val="007D3EF3"/>
    <w:rsid w:val="007D40DF"/>
    <w:rsid w:val="007D42E5"/>
    <w:rsid w:val="007D4458"/>
    <w:rsid w:val="007D6AF9"/>
    <w:rsid w:val="007D7763"/>
    <w:rsid w:val="007E0535"/>
    <w:rsid w:val="007E07F2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120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1163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5FB"/>
    <w:rsid w:val="00870ECD"/>
    <w:rsid w:val="0087347C"/>
    <w:rsid w:val="008734E7"/>
    <w:rsid w:val="0087368D"/>
    <w:rsid w:val="008740CC"/>
    <w:rsid w:val="0087442A"/>
    <w:rsid w:val="00874578"/>
    <w:rsid w:val="00874FE8"/>
    <w:rsid w:val="00875A32"/>
    <w:rsid w:val="00875CC1"/>
    <w:rsid w:val="00876086"/>
    <w:rsid w:val="00876651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97CFA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0EBE"/>
    <w:rsid w:val="008C1717"/>
    <w:rsid w:val="008C17F0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D7F47"/>
    <w:rsid w:val="008E0001"/>
    <w:rsid w:val="008E039E"/>
    <w:rsid w:val="008E292B"/>
    <w:rsid w:val="008E2C57"/>
    <w:rsid w:val="008E31FF"/>
    <w:rsid w:val="008E3287"/>
    <w:rsid w:val="008E38E4"/>
    <w:rsid w:val="008E3DFA"/>
    <w:rsid w:val="008E51EB"/>
    <w:rsid w:val="008E5746"/>
    <w:rsid w:val="008E64D7"/>
    <w:rsid w:val="008E6DCB"/>
    <w:rsid w:val="008E6F06"/>
    <w:rsid w:val="008E7000"/>
    <w:rsid w:val="008E723E"/>
    <w:rsid w:val="008E7B8E"/>
    <w:rsid w:val="008E7FC9"/>
    <w:rsid w:val="008F0107"/>
    <w:rsid w:val="008F029B"/>
    <w:rsid w:val="008F0589"/>
    <w:rsid w:val="008F2A5D"/>
    <w:rsid w:val="008F2BC7"/>
    <w:rsid w:val="008F2E83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3B36"/>
    <w:rsid w:val="0091476D"/>
    <w:rsid w:val="00915D07"/>
    <w:rsid w:val="009162AE"/>
    <w:rsid w:val="00917154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239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46C4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5BA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1D45"/>
    <w:rsid w:val="00992BB3"/>
    <w:rsid w:val="00992CF3"/>
    <w:rsid w:val="00993194"/>
    <w:rsid w:val="0099321E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CAB"/>
    <w:rsid w:val="009A2359"/>
    <w:rsid w:val="009A24F1"/>
    <w:rsid w:val="009A27E0"/>
    <w:rsid w:val="009A4D57"/>
    <w:rsid w:val="009A51A5"/>
    <w:rsid w:val="009A5309"/>
    <w:rsid w:val="009A5759"/>
    <w:rsid w:val="009A60D1"/>
    <w:rsid w:val="009A6225"/>
    <w:rsid w:val="009A64F5"/>
    <w:rsid w:val="009B00D2"/>
    <w:rsid w:val="009B05B3"/>
    <w:rsid w:val="009B0CAF"/>
    <w:rsid w:val="009B1324"/>
    <w:rsid w:val="009B2558"/>
    <w:rsid w:val="009B284F"/>
    <w:rsid w:val="009B3764"/>
    <w:rsid w:val="009B3840"/>
    <w:rsid w:val="009B52AC"/>
    <w:rsid w:val="009B553D"/>
    <w:rsid w:val="009B59EA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6EA6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1CA6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2A8E"/>
    <w:rsid w:val="00A133F9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6777"/>
    <w:rsid w:val="00A2731E"/>
    <w:rsid w:val="00A309AC"/>
    <w:rsid w:val="00A30F65"/>
    <w:rsid w:val="00A315D0"/>
    <w:rsid w:val="00A3279E"/>
    <w:rsid w:val="00A33DB1"/>
    <w:rsid w:val="00A33EEB"/>
    <w:rsid w:val="00A35900"/>
    <w:rsid w:val="00A35F33"/>
    <w:rsid w:val="00A401A3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3340"/>
    <w:rsid w:val="00A53FC7"/>
    <w:rsid w:val="00A55569"/>
    <w:rsid w:val="00A55C36"/>
    <w:rsid w:val="00A5661B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36F"/>
    <w:rsid w:val="00A9092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D0B22"/>
    <w:rsid w:val="00AD0EE7"/>
    <w:rsid w:val="00AD168E"/>
    <w:rsid w:val="00AD306C"/>
    <w:rsid w:val="00AD44CD"/>
    <w:rsid w:val="00AD47A7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36B"/>
    <w:rsid w:val="00AF5179"/>
    <w:rsid w:val="00AF5CC2"/>
    <w:rsid w:val="00AF660D"/>
    <w:rsid w:val="00AF6776"/>
    <w:rsid w:val="00AF6F98"/>
    <w:rsid w:val="00AF7277"/>
    <w:rsid w:val="00B00550"/>
    <w:rsid w:val="00B00913"/>
    <w:rsid w:val="00B00D4D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63B"/>
    <w:rsid w:val="00B36BDC"/>
    <w:rsid w:val="00B37D3A"/>
    <w:rsid w:val="00B37D96"/>
    <w:rsid w:val="00B402FC"/>
    <w:rsid w:val="00B422E2"/>
    <w:rsid w:val="00B42517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3A11"/>
    <w:rsid w:val="00B64425"/>
    <w:rsid w:val="00B64C24"/>
    <w:rsid w:val="00B64E72"/>
    <w:rsid w:val="00B65CEF"/>
    <w:rsid w:val="00B6608F"/>
    <w:rsid w:val="00B67749"/>
    <w:rsid w:val="00B679FB"/>
    <w:rsid w:val="00B71FBF"/>
    <w:rsid w:val="00B734A0"/>
    <w:rsid w:val="00B73A14"/>
    <w:rsid w:val="00B748BD"/>
    <w:rsid w:val="00B76100"/>
    <w:rsid w:val="00B7680F"/>
    <w:rsid w:val="00B76B48"/>
    <w:rsid w:val="00B76D1E"/>
    <w:rsid w:val="00B77543"/>
    <w:rsid w:val="00B77584"/>
    <w:rsid w:val="00B77E34"/>
    <w:rsid w:val="00B80D4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5C12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9DB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0C0"/>
    <w:rsid w:val="00BB5AB2"/>
    <w:rsid w:val="00BB5ABF"/>
    <w:rsid w:val="00BB6EA2"/>
    <w:rsid w:val="00BB7142"/>
    <w:rsid w:val="00BB76F3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C7EFA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4BB"/>
    <w:rsid w:val="00BE386D"/>
    <w:rsid w:val="00BE4DA9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65C"/>
    <w:rsid w:val="00BF77FC"/>
    <w:rsid w:val="00C006D6"/>
    <w:rsid w:val="00C00BD7"/>
    <w:rsid w:val="00C01410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1244"/>
    <w:rsid w:val="00C118A9"/>
    <w:rsid w:val="00C11D48"/>
    <w:rsid w:val="00C12304"/>
    <w:rsid w:val="00C12316"/>
    <w:rsid w:val="00C1246C"/>
    <w:rsid w:val="00C1493E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272B"/>
    <w:rsid w:val="00C234DB"/>
    <w:rsid w:val="00C23C5C"/>
    <w:rsid w:val="00C2479A"/>
    <w:rsid w:val="00C24903"/>
    <w:rsid w:val="00C2590D"/>
    <w:rsid w:val="00C25D9C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655DA"/>
    <w:rsid w:val="00C672C1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EB6"/>
    <w:rsid w:val="00C93389"/>
    <w:rsid w:val="00C948E6"/>
    <w:rsid w:val="00C94CDD"/>
    <w:rsid w:val="00C95123"/>
    <w:rsid w:val="00C97588"/>
    <w:rsid w:val="00CA0346"/>
    <w:rsid w:val="00CA0BD5"/>
    <w:rsid w:val="00CA0DA1"/>
    <w:rsid w:val="00CA1BD6"/>
    <w:rsid w:val="00CA37FF"/>
    <w:rsid w:val="00CA423A"/>
    <w:rsid w:val="00CA47BC"/>
    <w:rsid w:val="00CA5EAD"/>
    <w:rsid w:val="00CA6AB4"/>
    <w:rsid w:val="00CA7255"/>
    <w:rsid w:val="00CA79E2"/>
    <w:rsid w:val="00CB111E"/>
    <w:rsid w:val="00CB1BEE"/>
    <w:rsid w:val="00CB2351"/>
    <w:rsid w:val="00CB4022"/>
    <w:rsid w:val="00CB4930"/>
    <w:rsid w:val="00CB4BA9"/>
    <w:rsid w:val="00CB4C48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469E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8BF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6331"/>
    <w:rsid w:val="00CD7E9E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5E12"/>
    <w:rsid w:val="00CE62FA"/>
    <w:rsid w:val="00CE670B"/>
    <w:rsid w:val="00CE6833"/>
    <w:rsid w:val="00CE7562"/>
    <w:rsid w:val="00CF020B"/>
    <w:rsid w:val="00CF15BF"/>
    <w:rsid w:val="00CF2E4D"/>
    <w:rsid w:val="00CF35A7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3F3E"/>
    <w:rsid w:val="00D14C5B"/>
    <w:rsid w:val="00D15FED"/>
    <w:rsid w:val="00D16712"/>
    <w:rsid w:val="00D214EF"/>
    <w:rsid w:val="00D215B0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02A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0FA7"/>
    <w:rsid w:val="00D61FAB"/>
    <w:rsid w:val="00D63BE5"/>
    <w:rsid w:val="00D6475F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32F0"/>
    <w:rsid w:val="00D95302"/>
    <w:rsid w:val="00D95889"/>
    <w:rsid w:val="00D95C5D"/>
    <w:rsid w:val="00D97D00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13EF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B4D"/>
    <w:rsid w:val="00DC0CBB"/>
    <w:rsid w:val="00DC17D0"/>
    <w:rsid w:val="00DC1E5D"/>
    <w:rsid w:val="00DC2B41"/>
    <w:rsid w:val="00DC2EA7"/>
    <w:rsid w:val="00DC2EFD"/>
    <w:rsid w:val="00DC3128"/>
    <w:rsid w:val="00DC435B"/>
    <w:rsid w:val="00DC4AC4"/>
    <w:rsid w:val="00DC53D8"/>
    <w:rsid w:val="00DC56FE"/>
    <w:rsid w:val="00DC5B3B"/>
    <w:rsid w:val="00DC5F11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3E5D"/>
    <w:rsid w:val="00DE450F"/>
    <w:rsid w:val="00DE4865"/>
    <w:rsid w:val="00DE5CA6"/>
    <w:rsid w:val="00DE5E55"/>
    <w:rsid w:val="00DE7156"/>
    <w:rsid w:val="00DE7AC8"/>
    <w:rsid w:val="00DF0830"/>
    <w:rsid w:val="00DF2C5D"/>
    <w:rsid w:val="00DF2CD3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05333"/>
    <w:rsid w:val="00E1168B"/>
    <w:rsid w:val="00E12191"/>
    <w:rsid w:val="00E129E7"/>
    <w:rsid w:val="00E12ABE"/>
    <w:rsid w:val="00E12B1E"/>
    <w:rsid w:val="00E135EB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179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1AAA"/>
    <w:rsid w:val="00E82618"/>
    <w:rsid w:val="00E82A42"/>
    <w:rsid w:val="00E84E09"/>
    <w:rsid w:val="00E87CE2"/>
    <w:rsid w:val="00E90CA8"/>
    <w:rsid w:val="00E911C6"/>
    <w:rsid w:val="00E920DE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1CDC"/>
    <w:rsid w:val="00EB1D89"/>
    <w:rsid w:val="00EB3E60"/>
    <w:rsid w:val="00EB4511"/>
    <w:rsid w:val="00EB48D7"/>
    <w:rsid w:val="00EB49F1"/>
    <w:rsid w:val="00EB4A8E"/>
    <w:rsid w:val="00EB4BC5"/>
    <w:rsid w:val="00EB5BF7"/>
    <w:rsid w:val="00EB5E79"/>
    <w:rsid w:val="00EB6FAC"/>
    <w:rsid w:val="00EB7BAC"/>
    <w:rsid w:val="00EB7CC9"/>
    <w:rsid w:val="00EC03D7"/>
    <w:rsid w:val="00EC13A7"/>
    <w:rsid w:val="00EC2EB6"/>
    <w:rsid w:val="00EC4FFF"/>
    <w:rsid w:val="00EC5517"/>
    <w:rsid w:val="00EC6E8C"/>
    <w:rsid w:val="00ED0962"/>
    <w:rsid w:val="00ED0EF0"/>
    <w:rsid w:val="00ED12B9"/>
    <w:rsid w:val="00ED16B8"/>
    <w:rsid w:val="00ED1959"/>
    <w:rsid w:val="00ED1A00"/>
    <w:rsid w:val="00ED1DF0"/>
    <w:rsid w:val="00ED2386"/>
    <w:rsid w:val="00ED2EA1"/>
    <w:rsid w:val="00ED3851"/>
    <w:rsid w:val="00ED3E51"/>
    <w:rsid w:val="00ED3F10"/>
    <w:rsid w:val="00ED3F9B"/>
    <w:rsid w:val="00ED3FB3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01C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4955"/>
    <w:rsid w:val="00F073ED"/>
    <w:rsid w:val="00F07C4C"/>
    <w:rsid w:val="00F07E45"/>
    <w:rsid w:val="00F10F11"/>
    <w:rsid w:val="00F11159"/>
    <w:rsid w:val="00F115E4"/>
    <w:rsid w:val="00F11AC4"/>
    <w:rsid w:val="00F120A5"/>
    <w:rsid w:val="00F12CFB"/>
    <w:rsid w:val="00F13E60"/>
    <w:rsid w:val="00F13FDB"/>
    <w:rsid w:val="00F15AAA"/>
    <w:rsid w:val="00F15BEF"/>
    <w:rsid w:val="00F17898"/>
    <w:rsid w:val="00F204BF"/>
    <w:rsid w:val="00F207C2"/>
    <w:rsid w:val="00F21337"/>
    <w:rsid w:val="00F219A1"/>
    <w:rsid w:val="00F23E20"/>
    <w:rsid w:val="00F24407"/>
    <w:rsid w:val="00F249CE"/>
    <w:rsid w:val="00F24FAA"/>
    <w:rsid w:val="00F25040"/>
    <w:rsid w:val="00F269D7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A68"/>
    <w:rsid w:val="00F54934"/>
    <w:rsid w:val="00F55A92"/>
    <w:rsid w:val="00F5615B"/>
    <w:rsid w:val="00F575D3"/>
    <w:rsid w:val="00F5798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4F8"/>
    <w:rsid w:val="00F87A4D"/>
    <w:rsid w:val="00F90EEB"/>
    <w:rsid w:val="00F91B66"/>
    <w:rsid w:val="00F93688"/>
    <w:rsid w:val="00F939F3"/>
    <w:rsid w:val="00F93C6E"/>
    <w:rsid w:val="00F93F2C"/>
    <w:rsid w:val="00F947E9"/>
    <w:rsid w:val="00F962AD"/>
    <w:rsid w:val="00F9644E"/>
    <w:rsid w:val="00FA0105"/>
    <w:rsid w:val="00FA05A0"/>
    <w:rsid w:val="00FA0AEF"/>
    <w:rsid w:val="00FA17CC"/>
    <w:rsid w:val="00FA1CFE"/>
    <w:rsid w:val="00FA1EE7"/>
    <w:rsid w:val="00FA1F01"/>
    <w:rsid w:val="00FA26DF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2C5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916"/>
    <w:rsid w:val="00FD4D12"/>
    <w:rsid w:val="00FD4F73"/>
    <w:rsid w:val="00FD595E"/>
    <w:rsid w:val="00FD7802"/>
    <w:rsid w:val="00FD7D3B"/>
    <w:rsid w:val="00FD7FBE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0F79"/>
    <w:rsid w:val="00FF1136"/>
    <w:rsid w:val="00FF3D76"/>
    <w:rsid w:val="00FF5B8C"/>
    <w:rsid w:val="00FF63E6"/>
    <w:rsid w:val="00FF72D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cri/analyza-ctvrtletnich-sektorovych-uctu-1-ctvrtleti-202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amenicky3604\Documents\JKAM%20CSU\PUBLIKACE\PUBLIKACE\2022\Q-Makro\2q-2022\Grafy-st&#225;tn&#237;%20rozpo&#269;et-2q-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amenicky3604\Documents\JKAM%20CSU\PUBLIKACE\PUBLIKACE\2022\Q-Makro\2q-2022\Grafy-st&#225;tn&#237;%20rozpo&#269;et-2q-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941807701508642E-2"/>
          <c:y val="1.7107238390107412E-2"/>
          <c:w val="0.84490897841708401"/>
          <c:h val="0.81082663967425594"/>
        </c:manualLayout>
      </c:layout>
      <c:barChart>
        <c:barDir val="col"/>
        <c:grouping val="stacked"/>
        <c:varyColors val="0"/>
        <c:ser>
          <c:idx val="1"/>
          <c:order val="1"/>
          <c:tx>
            <c:strRef>
              <c:f>'G1-Státní rozpočet-příjmy-2020'!$A$30</c:f>
              <c:strCache>
                <c:ptCount val="1"/>
                <c:pt idx="0">
                  <c:v>Ostatní daně a poplatky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12700">
              <a:noFill/>
              <a:prstDash val="solid"/>
            </a:ln>
          </c:spPr>
          <c:invertIfNegative val="0"/>
          <c:cat>
            <c:numRef>
              <c:f>'G1-Státní rozpočet-příjmy-2020'!$D$28:$S$28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'G1-Státní rozpočet-příjmy-2020'!$D$30:$S$30</c:f>
              <c:numCache>
                <c:formatCode>0.0</c:formatCode>
                <c:ptCount val="16"/>
                <c:pt idx="0">
                  <c:v>0.54595928439234953</c:v>
                </c:pt>
                <c:pt idx="1">
                  <c:v>0.46668473188209725</c:v>
                </c:pt>
                <c:pt idx="2">
                  <c:v>-0.46157268379491295</c:v>
                </c:pt>
                <c:pt idx="3">
                  <c:v>0.49531003312386995</c:v>
                </c:pt>
                <c:pt idx="4">
                  <c:v>1.0955064214410242</c:v>
                </c:pt>
                <c:pt idx="5">
                  <c:v>-0.43477551457132541</c:v>
                </c:pt>
                <c:pt idx="6">
                  <c:v>-8.2653412292815601E-2</c:v>
                </c:pt>
                <c:pt idx="7">
                  <c:v>0.17424975798643619</c:v>
                </c:pt>
                <c:pt idx="8">
                  <c:v>0.53125962426855411</c:v>
                </c:pt>
                <c:pt idx="9">
                  <c:v>0.44522675502175069</c:v>
                </c:pt>
                <c:pt idx="10">
                  <c:v>0.31769363901467651</c:v>
                </c:pt>
                <c:pt idx="11">
                  <c:v>0.37441716268589115</c:v>
                </c:pt>
                <c:pt idx="12">
                  <c:v>0.32332107581403913</c:v>
                </c:pt>
                <c:pt idx="13">
                  <c:v>0.37604522895516235</c:v>
                </c:pt>
                <c:pt idx="14">
                  <c:v>-0.58033296146059765</c:v>
                </c:pt>
                <c:pt idx="15">
                  <c:v>0.73043861302063828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44-4500-BA29-6BEE07A81EB6}"/>
            </c:ext>
          </c:extLst>
        </c:ser>
        <c:ser>
          <c:idx val="3"/>
          <c:order val="2"/>
          <c:tx>
            <c:strRef>
              <c:f>'G1-Státní rozpočet-příjmy-2020'!$A$31</c:f>
              <c:strCache>
                <c:ptCount val="1"/>
                <c:pt idx="0">
                  <c:v>Daně z příjmů fyzických osob</c:v>
                </c:pt>
              </c:strCache>
            </c:strRef>
          </c:tx>
          <c:spPr>
            <a:solidFill>
              <a:srgbClr val="EA6C75"/>
            </a:solidFill>
            <a:ln w="19050">
              <a:noFill/>
              <a:prstDash val="sysDot"/>
            </a:ln>
          </c:spPr>
          <c:invertIfNegative val="0"/>
          <c:cat>
            <c:numRef>
              <c:f>'G1-Státní rozpočet-příjmy-2020'!$D$28:$S$28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'G1-Státní rozpočet-příjmy-2020'!$D$31:$S$31</c:f>
              <c:numCache>
                <c:formatCode>0.0</c:formatCode>
                <c:ptCount val="16"/>
                <c:pt idx="0">
                  <c:v>1.3078346699568126</c:v>
                </c:pt>
                <c:pt idx="1">
                  <c:v>-0.37635865474362573</c:v>
                </c:pt>
                <c:pt idx="2">
                  <c:v>-2.6470915359804255</c:v>
                </c:pt>
                <c:pt idx="3">
                  <c:v>0.4736402191746919</c:v>
                </c:pt>
                <c:pt idx="4">
                  <c:v>-0.13443551385830171</c:v>
                </c:pt>
                <c:pt idx="5">
                  <c:v>0.76868928621709232</c:v>
                </c:pt>
                <c:pt idx="6">
                  <c:v>0.58399074131873741</c:v>
                </c:pt>
                <c:pt idx="7">
                  <c:v>1.3331489420550413</c:v>
                </c:pt>
                <c:pt idx="8">
                  <c:v>-0.27717893440098468</c:v>
                </c:pt>
                <c:pt idx="9">
                  <c:v>2.7153655001035397</c:v>
                </c:pt>
                <c:pt idx="10">
                  <c:v>2.0958296782759192</c:v>
                </c:pt>
                <c:pt idx="11">
                  <c:v>2.6381964014740942</c:v>
                </c:pt>
                <c:pt idx="12">
                  <c:v>2.8717758032576488</c:v>
                </c:pt>
                <c:pt idx="13">
                  <c:v>-3.7310659863948716</c:v>
                </c:pt>
                <c:pt idx="14">
                  <c:v>-4.829263935083751</c:v>
                </c:pt>
                <c:pt idx="15">
                  <c:v>2.498294767783634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44-4500-BA29-6BEE07A81EB6}"/>
            </c:ext>
          </c:extLst>
        </c:ser>
        <c:ser>
          <c:idx val="4"/>
          <c:order val="3"/>
          <c:tx>
            <c:strRef>
              <c:f>'G1-Státní rozpočet-příjmy-2020'!$A$32</c:f>
              <c:strCache>
                <c:ptCount val="1"/>
                <c:pt idx="0">
                  <c:v>Daně z příjmů právnických osob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 w="19050">
              <a:noFill/>
            </a:ln>
          </c:spPr>
          <c:invertIfNegative val="0"/>
          <c:cat>
            <c:numRef>
              <c:f>'G1-Státní rozpočet-příjmy-2020'!$D$28:$S$28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'G1-Státní rozpočet-příjmy-2020'!$D$32:$S$32</c:f>
              <c:numCache>
                <c:formatCode>0.0</c:formatCode>
                <c:ptCount val="16"/>
                <c:pt idx="0">
                  <c:v>-0.32078963602714228</c:v>
                </c:pt>
                <c:pt idx="1">
                  <c:v>5.9133471833318305</c:v>
                </c:pt>
                <c:pt idx="2">
                  <c:v>-5.8002446891335806</c:v>
                </c:pt>
                <c:pt idx="3">
                  <c:v>2.2877132154908209</c:v>
                </c:pt>
                <c:pt idx="4">
                  <c:v>-3.0948771488229743</c:v>
                </c:pt>
                <c:pt idx="5">
                  <c:v>-0.35196395889060861</c:v>
                </c:pt>
                <c:pt idx="6">
                  <c:v>-0.52038778929392249</c:v>
                </c:pt>
                <c:pt idx="7">
                  <c:v>1.5378232609597582</c:v>
                </c:pt>
                <c:pt idx="8">
                  <c:v>1.545015912124013</c:v>
                </c:pt>
                <c:pt idx="9">
                  <c:v>2.3012010768275002</c:v>
                </c:pt>
                <c:pt idx="10">
                  <c:v>1.5576471703928501</c:v>
                </c:pt>
                <c:pt idx="11">
                  <c:v>-1.5174506828525799E-2</c:v>
                </c:pt>
                <c:pt idx="12">
                  <c:v>1.1964034041960523</c:v>
                </c:pt>
                <c:pt idx="13">
                  <c:v>-4.7390510722411339</c:v>
                </c:pt>
                <c:pt idx="14">
                  <c:v>8.0545419061014734</c:v>
                </c:pt>
                <c:pt idx="15">
                  <c:v>3.419762743929851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444-4500-BA29-6BEE07A81EB6}"/>
            </c:ext>
          </c:extLst>
        </c:ser>
        <c:ser>
          <c:idx val="2"/>
          <c:order val="4"/>
          <c:tx>
            <c:strRef>
              <c:f>'G1-Státní rozpočet-příjmy-2020'!$A$33</c:f>
              <c:strCache>
                <c:ptCount val="1"/>
                <c:pt idx="0">
                  <c:v>Spotřební daň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cat>
            <c:numRef>
              <c:f>'G1-Státní rozpočet-příjmy-2020'!$D$28:$S$28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'G1-Státní rozpočet-příjmy-2020'!$D$33:$S$33</c:f>
              <c:numCache>
                <c:formatCode>0.0</c:formatCode>
                <c:ptCount val="16"/>
                <c:pt idx="0">
                  <c:v>-2.8439235040098731</c:v>
                </c:pt>
                <c:pt idx="1">
                  <c:v>0.59615210911390348</c:v>
                </c:pt>
                <c:pt idx="2">
                  <c:v>-0.7841174507841181</c:v>
                </c:pt>
                <c:pt idx="3">
                  <c:v>2.1855555211590265</c:v>
                </c:pt>
                <c:pt idx="4">
                  <c:v>1.2127799548067868</c:v>
                </c:pt>
                <c:pt idx="5">
                  <c:v>-0.51809094748697648</c:v>
                </c:pt>
                <c:pt idx="6">
                  <c:v>-0.60422804423572263</c:v>
                </c:pt>
                <c:pt idx="7">
                  <c:v>1.9416401604204099</c:v>
                </c:pt>
                <c:pt idx="8">
                  <c:v>-0.71604558053587763</c:v>
                </c:pt>
                <c:pt idx="9">
                  <c:v>1.410747566784015</c:v>
                </c:pt>
                <c:pt idx="10">
                  <c:v>0.14462173119324545</c:v>
                </c:pt>
                <c:pt idx="11">
                  <c:v>0.15174506828528173</c:v>
                </c:pt>
                <c:pt idx="12">
                  <c:v>0.59514445319462972</c:v>
                </c:pt>
                <c:pt idx="13">
                  <c:v>-1.019147151148422</c:v>
                </c:pt>
                <c:pt idx="14">
                  <c:v>-1.7143225663620514</c:v>
                </c:pt>
                <c:pt idx="15">
                  <c:v>2.2002268548922346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444-4500-BA29-6BEE07A81EB6}"/>
            </c:ext>
          </c:extLst>
        </c:ser>
        <c:ser>
          <c:idx val="5"/>
          <c:order val="5"/>
          <c:tx>
            <c:strRef>
              <c:f>'G1-Státní rozpočet-příjmy-2020'!$A$34</c:f>
              <c:strCache>
                <c:ptCount val="1"/>
                <c:pt idx="0">
                  <c:v>DPH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</c:spPr>
          <c:invertIfNegative val="0"/>
          <c:cat>
            <c:numRef>
              <c:f>'G1-Státní rozpočet-příjmy-2020'!$D$28:$S$28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'G1-Státní rozpočet-příjmy-2020'!$D$34:$S$34</c:f>
              <c:numCache>
                <c:formatCode>0.0</c:formatCode>
                <c:ptCount val="16"/>
                <c:pt idx="0">
                  <c:v>3.7569401603948172</c:v>
                </c:pt>
                <c:pt idx="1">
                  <c:v>1.6830759040134919</c:v>
                </c:pt>
                <c:pt idx="2">
                  <c:v>-0.48659770881993442</c:v>
                </c:pt>
                <c:pt idx="3">
                  <c:v>2.7861189363217047</c:v>
                </c:pt>
                <c:pt idx="4">
                  <c:v>2.5056491519121336</c:v>
                </c:pt>
                <c:pt idx="5">
                  <c:v>-2.0695480782767839</c:v>
                </c:pt>
                <c:pt idx="6">
                  <c:v>5.1489480707359858</c:v>
                </c:pt>
                <c:pt idx="7">
                  <c:v>2.7824643894343817</c:v>
                </c:pt>
                <c:pt idx="8">
                  <c:v>-1.9351195975772468</c:v>
                </c:pt>
                <c:pt idx="9">
                  <c:v>2.3089666597639278</c:v>
                </c:pt>
                <c:pt idx="10">
                  <c:v>5.2514284359515484</c:v>
                </c:pt>
                <c:pt idx="11">
                  <c:v>3.210492087578587</c:v>
                </c:pt>
                <c:pt idx="12">
                  <c:v>1.1536019195484959</c:v>
                </c:pt>
                <c:pt idx="13">
                  <c:v>-2.3369375494227094</c:v>
                </c:pt>
                <c:pt idx="14">
                  <c:v>3.7083912152981688</c:v>
                </c:pt>
                <c:pt idx="15">
                  <c:v>9.7532876810479028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444-4500-BA29-6BEE07A81E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37895936"/>
        <c:axId val="137897856"/>
      </c:barChart>
      <c:lineChart>
        <c:grouping val="standard"/>
        <c:varyColors val="0"/>
        <c:ser>
          <c:idx val="0"/>
          <c:order val="0"/>
          <c:tx>
            <c:strRef>
              <c:f>'G1-Státní rozpočet-příjmy-2020'!$A$29</c:f>
              <c:strCache>
                <c:ptCount val="1"/>
                <c:pt idx="0">
                  <c:v>Celkové daňové příjmy (bez pojistného na SZ)</c:v>
                </c:pt>
              </c:strCache>
            </c:strRef>
          </c:tx>
          <c:spPr>
            <a:ln w="19050">
              <a:noFill/>
            </a:ln>
          </c:spPr>
          <c:marker>
            <c:symbol val="circle"/>
            <c:size val="6"/>
            <c:spPr>
              <a:solidFill>
                <a:schemeClr val="bg1"/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cat>
            <c:numRef>
              <c:f>'G1-Státní rozpočet-příjmy-2020'!$D$28:$S$28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'G1-Státní rozpočet-příjmy-2020'!$D$29:$S$29</c:f>
              <c:numCache>
                <c:formatCode>0.0</c:formatCode>
                <c:ptCount val="16"/>
                <c:pt idx="0">
                  <c:v>2.4460209747069683</c:v>
                </c:pt>
                <c:pt idx="1">
                  <c:v>8.2829012735976733</c:v>
                </c:pt>
                <c:pt idx="2">
                  <c:v>-10.179624068512966</c:v>
                </c:pt>
                <c:pt idx="3">
                  <c:v>8.2283379252701057</c:v>
                </c:pt>
                <c:pt idx="4">
                  <c:v>1.5846228654786643</c:v>
                </c:pt>
                <c:pt idx="5">
                  <c:v>-2.6056892130086027</c:v>
                </c:pt>
                <c:pt idx="6">
                  <c:v>4.525669566232267</c:v>
                </c:pt>
                <c:pt idx="7">
                  <c:v>7.7693265108560166</c:v>
                </c:pt>
                <c:pt idx="8">
                  <c:v>-0.85206857612153919</c:v>
                </c:pt>
                <c:pt idx="9">
                  <c:v>9.1815075585007442</c:v>
                </c:pt>
                <c:pt idx="10">
                  <c:v>9.367220654828234</c:v>
                </c:pt>
                <c:pt idx="11">
                  <c:v>6.3596762131953142</c:v>
                </c:pt>
                <c:pt idx="12">
                  <c:v>6.1402466560108451</c:v>
                </c:pt>
                <c:pt idx="13">
                  <c:v>-11.450156530251965</c:v>
                </c:pt>
                <c:pt idx="14">
                  <c:v>4.6390136584932407</c:v>
                </c:pt>
                <c:pt idx="15">
                  <c:v>18.602010660674281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444-4500-BA29-6BEE07A81E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895936"/>
        <c:axId val="137897856"/>
      </c:lineChart>
      <c:lineChart>
        <c:grouping val="standard"/>
        <c:varyColors val="0"/>
        <c:ser>
          <c:idx val="6"/>
          <c:order val="6"/>
          <c:tx>
            <c:strRef>
              <c:f>'G1-Státní rozpočet-příjmy-2020'!$A$35</c:f>
              <c:strCache>
                <c:ptCount val="1"/>
                <c:pt idx="0">
                  <c:v>Saldo státního rozpočtu (pravá osa)</c:v>
                </c:pt>
              </c:strCache>
            </c:strRef>
          </c:tx>
          <c:spPr>
            <a:ln w="19050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none"/>
          </c:marker>
          <c:cat>
            <c:numRef>
              <c:f>'G1-Státní rozpočet-příjmy-2020'!$D$28:$S$28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'G1-Státní rozpočet-příjmy-2020'!$D$35:$S$35</c:f>
              <c:numCache>
                <c:formatCode>#\ ##0.0</c:formatCode>
                <c:ptCount val="16"/>
                <c:pt idx="0">
                  <c:v>1.2749999999999995</c:v>
                </c:pt>
                <c:pt idx="1">
                  <c:v>-5.6519999999999984</c:v>
                </c:pt>
                <c:pt idx="2">
                  <c:v>-68.259</c:v>
                </c:pt>
                <c:pt idx="3">
                  <c:v>-75.661999999999992</c:v>
                </c:pt>
                <c:pt idx="4">
                  <c:v>-62.856000000000002</c:v>
                </c:pt>
                <c:pt idx="5">
                  <c:v>-71.721999999999994</c:v>
                </c:pt>
                <c:pt idx="6">
                  <c:v>-31.52</c:v>
                </c:pt>
                <c:pt idx="7">
                  <c:v>1.45</c:v>
                </c:pt>
                <c:pt idx="8">
                  <c:v>22.650000000000006</c:v>
                </c:pt>
                <c:pt idx="9">
                  <c:v>40.65</c:v>
                </c:pt>
                <c:pt idx="10">
                  <c:v>4.6199999999999983</c:v>
                </c:pt>
                <c:pt idx="11">
                  <c:v>-5.88</c:v>
                </c:pt>
                <c:pt idx="12">
                  <c:v>-20.68</c:v>
                </c:pt>
                <c:pt idx="13">
                  <c:v>-195.24722774568028</c:v>
                </c:pt>
                <c:pt idx="14">
                  <c:v>-265.05468517271004</c:v>
                </c:pt>
                <c:pt idx="15">
                  <c:v>-182.95611616666002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4444-4500-BA29-6BEE07A81E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927296"/>
        <c:axId val="137924608"/>
      </c:lineChart>
      <c:catAx>
        <c:axId val="137895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800" b="0" i="0"/>
            </a:pPr>
            <a:endParaRPr lang="cs-CZ"/>
          </a:p>
        </c:txPr>
        <c:crossAx val="137897856"/>
        <c:crosses val="autoZero"/>
        <c:auto val="1"/>
        <c:lblAlgn val="ctr"/>
        <c:lblOffset val="0"/>
        <c:noMultiLvlLbl val="0"/>
      </c:catAx>
      <c:valAx>
        <c:axId val="137897856"/>
        <c:scaling>
          <c:orientation val="minMax"/>
          <c:max val="20"/>
          <c:min val="-24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b="0"/>
                </a:pPr>
                <a:r>
                  <a:rPr lang="cs-CZ" b="0"/>
                  <a:t>Příspěvek k růstu celkových daňových příjmů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spPr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800" b="0" i="0"/>
            </a:pPr>
            <a:endParaRPr lang="cs-CZ"/>
          </a:p>
        </c:txPr>
        <c:crossAx val="137895936"/>
        <c:crosses val="autoZero"/>
        <c:crossBetween val="between"/>
        <c:majorUnit val="4"/>
      </c:valAx>
      <c:valAx>
        <c:axId val="137924608"/>
        <c:scaling>
          <c:orientation val="minMax"/>
          <c:max val="250"/>
          <c:min val="-300"/>
        </c:scaling>
        <c:delete val="0"/>
        <c:axPos val="r"/>
        <c:title>
          <c:tx>
            <c:rich>
              <a:bodyPr/>
              <a:lstStyle/>
              <a:p>
                <a:pPr>
                  <a:defRPr b="0"/>
                </a:pPr>
                <a:r>
                  <a:rPr lang="cs-CZ" b="0"/>
                  <a:t>Saldo státního rozpočtu</a:t>
                </a:r>
              </a:p>
            </c:rich>
          </c:tx>
          <c:layout>
            <c:manualLayout>
              <c:xMode val="edge"/>
              <c:yMode val="edge"/>
              <c:x val="0.97036651470007529"/>
              <c:y val="0.24044678889201829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 b="0" i="0"/>
            </a:pPr>
            <a:endParaRPr lang="cs-CZ"/>
          </a:p>
        </c:txPr>
        <c:crossAx val="137927296"/>
        <c:crosses val="max"/>
        <c:crossBetween val="between"/>
        <c:majorUnit val="50"/>
      </c:valAx>
      <c:catAx>
        <c:axId val="1379272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37924608"/>
        <c:crosses val="autoZero"/>
        <c:auto val="1"/>
        <c:lblAlgn val="ctr"/>
        <c:lblOffset val="100"/>
        <c:noMultiLvlLbl val="0"/>
      </c:catAx>
      <c:spPr>
        <a:ln w="6350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1.0646178276027369E-2"/>
          <c:y val="0.87575771712393224"/>
          <c:w val="0.9585150844748731"/>
          <c:h val="0.12059881571378753"/>
        </c:manualLayout>
      </c:layout>
      <c:overlay val="0"/>
      <c:spPr>
        <a:ln w="6350">
          <a:solidFill>
            <a:schemeClr val="tx1"/>
          </a:solidFill>
        </a:ln>
      </c:spPr>
      <c:txPr>
        <a:bodyPr/>
        <a:lstStyle/>
        <a:p>
          <a:pPr>
            <a:defRPr sz="750" b="0" i="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 b="1" i="1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888679630405102E-2"/>
          <c:y val="1.7112323287741892E-2"/>
          <c:w val="0.84305011307017286"/>
          <c:h val="0.760677470747739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'G2-St.rozpočet-výdaje-1q'!$B$30</c:f>
              <c:strCache>
                <c:ptCount val="1"/>
                <c:pt idx="0">
                  <c:v>Běžné výdaje celkem (pravá osa)</c:v>
                </c:pt>
              </c:strCache>
            </c:strRef>
          </c:tx>
          <c:spPr>
            <a:solidFill>
              <a:srgbClr val="D3D3D3"/>
            </a:solidFill>
            <a:ln>
              <a:noFill/>
            </a:ln>
          </c:spPr>
          <c:invertIfNegative val="0"/>
          <c:cat>
            <c:numRef>
              <c:f>'G2-St.rozpočet-výdaje-1q'!$A$33:$A$48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'G2-St.rozpočet-výdaje-1q'!$B$33:$B$48</c:f>
              <c:numCache>
                <c:formatCode>0.0</c:formatCode>
                <c:ptCount val="16"/>
                <c:pt idx="0">
                  <c:v>455.274</c:v>
                </c:pt>
                <c:pt idx="1">
                  <c:v>488.71899999999988</c:v>
                </c:pt>
                <c:pt idx="2">
                  <c:v>523.79999999999995</c:v>
                </c:pt>
                <c:pt idx="3">
                  <c:v>527.73400000000004</c:v>
                </c:pt>
                <c:pt idx="4">
                  <c:v>523.22</c:v>
                </c:pt>
                <c:pt idx="5">
                  <c:v>534.42999999999972</c:v>
                </c:pt>
                <c:pt idx="6">
                  <c:v>544.65</c:v>
                </c:pt>
                <c:pt idx="7">
                  <c:v>552.71100000000001</c:v>
                </c:pt>
                <c:pt idx="8">
                  <c:v>564.13</c:v>
                </c:pt>
                <c:pt idx="9">
                  <c:v>575.57000000000005</c:v>
                </c:pt>
                <c:pt idx="10">
                  <c:v>609.53</c:v>
                </c:pt>
                <c:pt idx="11">
                  <c:v>660.76</c:v>
                </c:pt>
                <c:pt idx="12">
                  <c:v>718.74153402591992</c:v>
                </c:pt>
                <c:pt idx="13">
                  <c:v>829.93717826878003</c:v>
                </c:pt>
                <c:pt idx="14">
                  <c:v>918.12541435127969</c:v>
                </c:pt>
                <c:pt idx="15">
                  <c:v>901.96544448799978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15-4810-9F5A-31D5F993F5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91383296"/>
        <c:axId val="91364736"/>
      </c:barChart>
      <c:lineChart>
        <c:grouping val="standard"/>
        <c:varyColors val="0"/>
        <c:ser>
          <c:idx val="1"/>
          <c:order val="1"/>
          <c:tx>
            <c:strRef>
              <c:f>'G2-St.rozpočet-výdaje-1q'!$C$30</c:f>
              <c:strCache>
                <c:ptCount val="1"/>
                <c:pt idx="0">
                  <c:v>Platy státních zaměstnanců*</c:v>
                </c:pt>
              </c:strCache>
            </c:strRef>
          </c:tx>
          <c:spPr>
            <a:ln w="15875">
              <a:solidFill>
                <a:srgbClr val="F8A124"/>
              </a:solidFill>
            </a:ln>
          </c:spPr>
          <c:marker>
            <c:symbol val="none"/>
          </c:marker>
          <c:cat>
            <c:numRef>
              <c:f>'G2-St.rozpočet-výdaje-1q'!$A$33:$A$48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'G2-St.rozpočet-výdaje-1q'!$C$33:$C$48</c:f>
              <c:numCache>
                <c:formatCode>0.0</c:formatCode>
                <c:ptCount val="16"/>
                <c:pt idx="0">
                  <c:v>37.92</c:v>
                </c:pt>
                <c:pt idx="1">
                  <c:v>37.730000000000011</c:v>
                </c:pt>
                <c:pt idx="2">
                  <c:v>38.980000000000004</c:v>
                </c:pt>
                <c:pt idx="3">
                  <c:v>39.36</c:v>
                </c:pt>
                <c:pt idx="4">
                  <c:v>35.700000000000003</c:v>
                </c:pt>
                <c:pt idx="5">
                  <c:v>36.300000000000004</c:v>
                </c:pt>
                <c:pt idx="6">
                  <c:v>36.880000000000003</c:v>
                </c:pt>
                <c:pt idx="7">
                  <c:v>38.090000000000003</c:v>
                </c:pt>
                <c:pt idx="8">
                  <c:v>41.88</c:v>
                </c:pt>
                <c:pt idx="9">
                  <c:v>43.220000000000013</c:v>
                </c:pt>
                <c:pt idx="10">
                  <c:v>46.52</c:v>
                </c:pt>
                <c:pt idx="11">
                  <c:v>53.13</c:v>
                </c:pt>
                <c:pt idx="12">
                  <c:v>57.572759809110011</c:v>
                </c:pt>
                <c:pt idx="13">
                  <c:v>60.066088983770015</c:v>
                </c:pt>
                <c:pt idx="14">
                  <c:v>60.729182157669982</c:v>
                </c:pt>
                <c:pt idx="15">
                  <c:v>60.899295771150001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415-4810-9F5A-31D5F993F52E}"/>
            </c:ext>
          </c:extLst>
        </c:ser>
        <c:ser>
          <c:idx val="6"/>
          <c:order val="2"/>
          <c:tx>
            <c:strRef>
              <c:f>'G2-St.rozpočet-výdaje-1q'!$D$30</c:f>
              <c:strCache>
                <c:ptCount val="1"/>
                <c:pt idx="0">
                  <c:v>Podpora v nezaměstnanosti</c:v>
                </c:pt>
              </c:strCache>
            </c:strRef>
          </c:tx>
          <c:spPr>
            <a:ln w="15875">
              <a:solidFill>
                <a:srgbClr val="48AEE7"/>
              </a:solidFill>
            </a:ln>
          </c:spPr>
          <c:marker>
            <c:symbol val="none"/>
          </c:marker>
          <c:cat>
            <c:numRef>
              <c:f>'G2-St.rozpočet-výdaje-1q'!$A$33:$A$48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'G2-St.rozpočet-výdaje-1q'!$D$33:$D$48</c:f>
              <c:numCache>
                <c:formatCode>0.0</c:formatCode>
                <c:ptCount val="16"/>
                <c:pt idx="0">
                  <c:v>3.7800000000000002</c:v>
                </c:pt>
                <c:pt idx="1">
                  <c:v>3.56</c:v>
                </c:pt>
                <c:pt idx="2">
                  <c:v>7.3049999999999979</c:v>
                </c:pt>
                <c:pt idx="3">
                  <c:v>7.7700000000000014</c:v>
                </c:pt>
                <c:pt idx="4">
                  <c:v>6.227999999999998</c:v>
                </c:pt>
                <c:pt idx="5">
                  <c:v>4.8410000000000002</c:v>
                </c:pt>
                <c:pt idx="6">
                  <c:v>5.3579999999999979</c:v>
                </c:pt>
                <c:pt idx="7">
                  <c:v>5.2690000000000001</c:v>
                </c:pt>
                <c:pt idx="8">
                  <c:v>4.6149999999999975</c:v>
                </c:pt>
                <c:pt idx="9">
                  <c:v>4.4829999999999997</c:v>
                </c:pt>
                <c:pt idx="10">
                  <c:v>4.3310000000000004</c:v>
                </c:pt>
                <c:pt idx="11">
                  <c:v>3.98</c:v>
                </c:pt>
                <c:pt idx="12">
                  <c:v>4.2361097359900013</c:v>
                </c:pt>
                <c:pt idx="13">
                  <c:v>5.135940266169996</c:v>
                </c:pt>
                <c:pt idx="14">
                  <c:v>5.4746733001600019</c:v>
                </c:pt>
                <c:pt idx="15">
                  <c:v>5.0591815394899982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415-4810-9F5A-31D5F993F52E}"/>
            </c:ext>
          </c:extLst>
        </c:ser>
        <c:ser>
          <c:idx val="7"/>
          <c:order val="3"/>
          <c:tx>
            <c:strRef>
              <c:f>'G2-St.rozpočet-výdaje-1q'!$E$30</c:f>
              <c:strCache>
                <c:ptCount val="1"/>
                <c:pt idx="0">
                  <c:v>Státní sociální podpora**</c:v>
                </c:pt>
              </c:strCache>
            </c:strRef>
          </c:tx>
          <c:spPr>
            <a:ln w="15875">
              <a:solidFill>
                <a:srgbClr val="00B050"/>
              </a:solidFill>
            </a:ln>
          </c:spPr>
          <c:marker>
            <c:symbol val="none"/>
          </c:marker>
          <c:cat>
            <c:numRef>
              <c:f>'G2-St.rozpočet-výdaje-1q'!$A$33:$A$48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'G2-St.rozpočet-výdaje-1q'!$E$33:$E$48</c:f>
              <c:numCache>
                <c:formatCode>0.0</c:formatCode>
                <c:ptCount val="16"/>
                <c:pt idx="0">
                  <c:v>23.830000000000005</c:v>
                </c:pt>
                <c:pt idx="1">
                  <c:v>21.52</c:v>
                </c:pt>
                <c:pt idx="2">
                  <c:v>20.594999999999999</c:v>
                </c:pt>
                <c:pt idx="3">
                  <c:v>20.64</c:v>
                </c:pt>
                <c:pt idx="4">
                  <c:v>18.405999999999988</c:v>
                </c:pt>
                <c:pt idx="5">
                  <c:v>17.881</c:v>
                </c:pt>
                <c:pt idx="6">
                  <c:v>18.681999999999999</c:v>
                </c:pt>
                <c:pt idx="7">
                  <c:v>18.91</c:v>
                </c:pt>
                <c:pt idx="8">
                  <c:v>18.873999999999999</c:v>
                </c:pt>
                <c:pt idx="9">
                  <c:v>18.963999999999988</c:v>
                </c:pt>
                <c:pt idx="10">
                  <c:v>18.741999999999994</c:v>
                </c:pt>
                <c:pt idx="11">
                  <c:v>19.53</c:v>
                </c:pt>
                <c:pt idx="12">
                  <c:v>19.019425010610007</c:v>
                </c:pt>
                <c:pt idx="13">
                  <c:v>25.639216971080003</c:v>
                </c:pt>
                <c:pt idx="14">
                  <c:v>24.537899226790007</c:v>
                </c:pt>
                <c:pt idx="15">
                  <c:v>24.165766431880002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415-4810-9F5A-31D5F993F52E}"/>
            </c:ext>
          </c:extLst>
        </c:ser>
        <c:ser>
          <c:idx val="2"/>
          <c:order val="4"/>
          <c:tx>
            <c:strRef>
              <c:f>'G2-St.rozpočet-výdaje-1q'!$F$30</c:f>
              <c:strCache>
                <c:ptCount val="1"/>
                <c:pt idx="0">
                  <c:v>Dávky nemocenského pojištění</c:v>
                </c:pt>
              </c:strCache>
            </c:strRef>
          </c:tx>
          <c:spPr>
            <a:ln w="15875">
              <a:solidFill>
                <a:srgbClr val="0071BC"/>
              </a:solidFill>
            </a:ln>
          </c:spPr>
          <c:marker>
            <c:symbol val="none"/>
          </c:marker>
          <c:cat>
            <c:numRef>
              <c:f>'G2-St.rozpočet-výdaje-1q'!$A$33:$A$48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'G2-St.rozpočet-výdaje-1q'!$F$33:$F$48</c:f>
              <c:numCache>
                <c:formatCode>0.00</c:formatCode>
                <c:ptCount val="16"/>
                <c:pt idx="0">
                  <c:v>18.398</c:v>
                </c:pt>
                <c:pt idx="1">
                  <c:v>16.734000000000005</c:v>
                </c:pt>
                <c:pt idx="2">
                  <c:v>14.089</c:v>
                </c:pt>
                <c:pt idx="3">
                  <c:v>11.56</c:v>
                </c:pt>
                <c:pt idx="4">
                  <c:v>11.773</c:v>
                </c:pt>
                <c:pt idx="5">
                  <c:v>10.244</c:v>
                </c:pt>
                <c:pt idx="6">
                  <c:v>10.609</c:v>
                </c:pt>
                <c:pt idx="7">
                  <c:v>11.201000000000001</c:v>
                </c:pt>
                <c:pt idx="8">
                  <c:v>12.429</c:v>
                </c:pt>
                <c:pt idx="9">
                  <c:v>13.566000000000004</c:v>
                </c:pt>
                <c:pt idx="10">
                  <c:v>14.758000000000001</c:v>
                </c:pt>
                <c:pt idx="11">
                  <c:v>17.3</c:v>
                </c:pt>
                <c:pt idx="12">
                  <c:v>19.93</c:v>
                </c:pt>
                <c:pt idx="13">
                  <c:v>30.150000000000006</c:v>
                </c:pt>
                <c:pt idx="14">
                  <c:v>28.650000000000006</c:v>
                </c:pt>
                <c:pt idx="15">
                  <c:v>25.56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415-4810-9F5A-31D5F993F52E}"/>
            </c:ext>
          </c:extLst>
        </c:ser>
        <c:ser>
          <c:idx val="3"/>
          <c:order val="5"/>
          <c:tx>
            <c:strRef>
              <c:f>'G2-St.rozpočet-výdaje-1q'!$G$30</c:f>
              <c:strCache>
                <c:ptCount val="1"/>
                <c:pt idx="0">
                  <c:v>Dávky sociální péče***</c:v>
                </c:pt>
              </c:strCache>
            </c:strRef>
          </c:tx>
          <c:spPr>
            <a:ln w="15875">
              <a:solidFill>
                <a:srgbClr val="7030A0"/>
              </a:solidFill>
            </a:ln>
          </c:spPr>
          <c:marker>
            <c:symbol val="none"/>
          </c:marker>
          <c:cat>
            <c:numRef>
              <c:f>'G2-St.rozpočet-výdaje-1q'!$A$33:$A$48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'G2-St.rozpočet-výdaje-1q'!$G$33:$G$48</c:f>
              <c:numCache>
                <c:formatCode>0.00</c:formatCode>
                <c:ptCount val="16"/>
                <c:pt idx="0">
                  <c:v>11.691000000000001</c:v>
                </c:pt>
                <c:pt idx="1">
                  <c:v>13.247</c:v>
                </c:pt>
                <c:pt idx="2">
                  <c:v>13.003</c:v>
                </c:pt>
                <c:pt idx="3">
                  <c:v>13.486000000000002</c:v>
                </c:pt>
                <c:pt idx="4">
                  <c:v>12.911000000000001</c:v>
                </c:pt>
                <c:pt idx="5">
                  <c:v>13.282</c:v>
                </c:pt>
                <c:pt idx="6">
                  <c:v>15.668000000000001</c:v>
                </c:pt>
                <c:pt idx="7">
                  <c:v>16.734999999999999</c:v>
                </c:pt>
                <c:pt idx="8">
                  <c:v>16.93</c:v>
                </c:pt>
                <c:pt idx="9">
                  <c:v>16.779999999999994</c:v>
                </c:pt>
                <c:pt idx="10">
                  <c:v>17.489999999999984</c:v>
                </c:pt>
                <c:pt idx="11">
                  <c:v>17.100000000000001</c:v>
                </c:pt>
                <c:pt idx="12">
                  <c:v>17.32</c:v>
                </c:pt>
                <c:pt idx="13">
                  <c:v>20.09</c:v>
                </c:pt>
                <c:pt idx="14">
                  <c:v>20.37</c:v>
                </c:pt>
                <c:pt idx="15">
                  <c:v>26.55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415-4810-9F5A-31D5F993F52E}"/>
            </c:ext>
          </c:extLst>
        </c:ser>
        <c:ser>
          <c:idx val="4"/>
          <c:order val="6"/>
          <c:tx>
            <c:strRef>
              <c:f>'G2-St.rozpočet-výdaje-1q'!$H$30</c:f>
              <c:strCache>
                <c:ptCount val="1"/>
                <c:pt idx="0">
                  <c:v>Neinv. nákupy a souvis. výdaje****</c:v>
                </c:pt>
              </c:strCache>
            </c:strRef>
          </c:tx>
          <c:spPr>
            <a:ln w="15875">
              <a:solidFill>
                <a:srgbClr val="D5D000"/>
              </a:solidFill>
              <a:prstDash val="solid"/>
            </a:ln>
          </c:spPr>
          <c:marker>
            <c:symbol val="none"/>
          </c:marker>
          <c:cat>
            <c:numRef>
              <c:f>'G2-St.rozpočet-výdaje-1q'!$A$33:$A$48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'G2-St.rozpočet-výdaje-1q'!$H$33:$H$48</c:f>
              <c:numCache>
                <c:formatCode>0.0</c:formatCode>
                <c:ptCount val="16"/>
                <c:pt idx="0">
                  <c:v>33.647000000000006</c:v>
                </c:pt>
                <c:pt idx="1">
                  <c:v>31.934000000000005</c:v>
                </c:pt>
                <c:pt idx="2">
                  <c:v>32.002000000000002</c:v>
                </c:pt>
                <c:pt idx="3">
                  <c:v>31.84</c:v>
                </c:pt>
                <c:pt idx="4">
                  <c:v>29.076999999999991</c:v>
                </c:pt>
                <c:pt idx="5">
                  <c:v>26.950000000000003</c:v>
                </c:pt>
                <c:pt idx="6">
                  <c:v>23.5</c:v>
                </c:pt>
                <c:pt idx="7">
                  <c:v>22.14</c:v>
                </c:pt>
                <c:pt idx="8">
                  <c:v>25.509999999999991</c:v>
                </c:pt>
                <c:pt idx="9">
                  <c:v>25.499999999999989</c:v>
                </c:pt>
                <c:pt idx="10">
                  <c:v>29.88999999999999</c:v>
                </c:pt>
                <c:pt idx="11">
                  <c:v>30.75</c:v>
                </c:pt>
                <c:pt idx="12">
                  <c:v>27.947201055630007</c:v>
                </c:pt>
                <c:pt idx="13">
                  <c:v>35.631314475349974</c:v>
                </c:pt>
                <c:pt idx="14">
                  <c:v>32.201508781230004</c:v>
                </c:pt>
                <c:pt idx="15">
                  <c:v>39.474180355079994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A415-4810-9F5A-31D5F993F52E}"/>
            </c:ext>
          </c:extLst>
        </c:ser>
        <c:ser>
          <c:idx val="5"/>
          <c:order val="7"/>
          <c:tx>
            <c:strRef>
              <c:f>'G2-St.rozpočet-výdaje-1q'!$I$30</c:f>
              <c:strCache>
                <c:ptCount val="1"/>
                <c:pt idx="0">
                  <c:v>Státní dluh (čisté výdaje)*****</c:v>
                </c:pt>
              </c:strCache>
            </c:strRef>
          </c:tx>
          <c:spPr>
            <a:ln w="15875">
              <a:solidFill>
                <a:srgbClr val="996633"/>
              </a:solidFill>
              <a:prstDash val="sysDash"/>
            </a:ln>
          </c:spPr>
          <c:marker>
            <c:symbol val="none"/>
          </c:marker>
          <c:cat>
            <c:numRef>
              <c:f>'G2-St.rozpočet-výdaje-1q'!$A$33:$A$48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'G2-St.rozpočet-výdaje-1q'!$I$33:$I$48</c:f>
              <c:numCache>
                <c:formatCode>0.0</c:formatCode>
                <c:ptCount val="16"/>
                <c:pt idx="0">
                  <c:v>17.05</c:v>
                </c:pt>
                <c:pt idx="1">
                  <c:v>16.5</c:v>
                </c:pt>
                <c:pt idx="2">
                  <c:v>25.770000000000003</c:v>
                </c:pt>
                <c:pt idx="3">
                  <c:v>21.27</c:v>
                </c:pt>
                <c:pt idx="4">
                  <c:v>25.810000000000006</c:v>
                </c:pt>
                <c:pt idx="5">
                  <c:v>26.419999999999991</c:v>
                </c:pt>
                <c:pt idx="6">
                  <c:v>30.400000000000002</c:v>
                </c:pt>
                <c:pt idx="7">
                  <c:v>26.86</c:v>
                </c:pt>
                <c:pt idx="8">
                  <c:v>23.55</c:v>
                </c:pt>
                <c:pt idx="9">
                  <c:v>23.759999999999994</c:v>
                </c:pt>
                <c:pt idx="10">
                  <c:v>18.739999999999991</c:v>
                </c:pt>
                <c:pt idx="11">
                  <c:v>20.110000000000007</c:v>
                </c:pt>
                <c:pt idx="12">
                  <c:v>16.91954772339</c:v>
                </c:pt>
                <c:pt idx="13">
                  <c:v>12.518656263610001</c:v>
                </c:pt>
                <c:pt idx="14">
                  <c:v>18.616192468260007</c:v>
                </c:pt>
                <c:pt idx="15">
                  <c:v>23.000323000499993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A415-4810-9F5A-31D5F993F52E}"/>
            </c:ext>
          </c:extLst>
        </c:ser>
        <c:ser>
          <c:idx val="8"/>
          <c:order val="8"/>
          <c:tx>
            <c:strRef>
              <c:f>'G2-St.rozpočet-výdaje-1q'!$J$30</c:f>
              <c:strCache>
                <c:ptCount val="1"/>
                <c:pt idx="0">
                  <c:v>Neinvestič. transfery podnik. subj.</c:v>
                </c:pt>
              </c:strCache>
            </c:strRef>
          </c:tx>
          <c:spPr>
            <a:ln w="15875">
              <a:solidFill>
                <a:schemeClr val="tx1">
                  <a:lumMod val="95000"/>
                  <a:lumOff val="5000"/>
                </a:schemeClr>
              </a:solidFill>
              <a:prstDash val="dash"/>
            </a:ln>
          </c:spPr>
          <c:marker>
            <c:symbol val="none"/>
          </c:marker>
          <c:cat>
            <c:numRef>
              <c:f>'G2-St.rozpočet-výdaje-1q'!$A$33:$A$48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'G2-St.rozpočet-výdaje-1q'!$J$33:$J$48</c:f>
              <c:numCache>
                <c:formatCode>0.0</c:formatCode>
                <c:ptCount val="16"/>
                <c:pt idx="0">
                  <c:v>11.638999999999999</c:v>
                </c:pt>
                <c:pt idx="1">
                  <c:v>13.860000000000003</c:v>
                </c:pt>
                <c:pt idx="2">
                  <c:v>13.8</c:v>
                </c:pt>
                <c:pt idx="3">
                  <c:v>15.068</c:v>
                </c:pt>
                <c:pt idx="4">
                  <c:v>15.095000000000002</c:v>
                </c:pt>
                <c:pt idx="5">
                  <c:v>18.314000000000007</c:v>
                </c:pt>
                <c:pt idx="6">
                  <c:v>16.994999999999994</c:v>
                </c:pt>
                <c:pt idx="7">
                  <c:v>19.023</c:v>
                </c:pt>
                <c:pt idx="8">
                  <c:v>18.837000000000007</c:v>
                </c:pt>
                <c:pt idx="9">
                  <c:v>18.061999999999994</c:v>
                </c:pt>
                <c:pt idx="10">
                  <c:v>23.907999999999994</c:v>
                </c:pt>
                <c:pt idx="11">
                  <c:v>28.649000000000001</c:v>
                </c:pt>
                <c:pt idx="12">
                  <c:v>28.899000000000001</c:v>
                </c:pt>
                <c:pt idx="13">
                  <c:v>52.881999999999998</c:v>
                </c:pt>
                <c:pt idx="14">
                  <c:v>85.232597227749991</c:v>
                </c:pt>
                <c:pt idx="15">
                  <c:v>34.100329251030004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A415-4810-9F5A-31D5F993F52E}"/>
            </c:ext>
          </c:extLst>
        </c:ser>
        <c:ser>
          <c:idx val="9"/>
          <c:order val="9"/>
          <c:tx>
            <c:strRef>
              <c:f>'G2-St.rozpočet-výdaje-1q'!$K$30</c:f>
              <c:strCache>
                <c:ptCount val="1"/>
                <c:pt idx="0">
                  <c:v>Kapitálové výdaje</c:v>
                </c:pt>
              </c:strCache>
            </c:strRef>
          </c:tx>
          <c:spPr>
            <a:ln w="9525">
              <a:solidFill>
                <a:srgbClr val="C00000"/>
              </a:solidFill>
              <a:prstDash val="sysDot"/>
            </a:ln>
          </c:spPr>
          <c:marker>
            <c:symbol val="circle"/>
            <c:size val="4"/>
            <c:spPr>
              <a:solidFill>
                <a:srgbClr val="C00000"/>
              </a:solidFill>
              <a:ln>
                <a:noFill/>
              </a:ln>
            </c:spPr>
          </c:marker>
          <c:cat>
            <c:numRef>
              <c:f>'G2-St.rozpočet-výdaje-1q'!$A$33:$A$48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'G2-St.rozpočet-výdaje-1q'!$K$33:$K$48</c:f>
              <c:numCache>
                <c:formatCode>0.0</c:formatCode>
                <c:ptCount val="16"/>
                <c:pt idx="0">
                  <c:v>26.771000000000001</c:v>
                </c:pt>
                <c:pt idx="1">
                  <c:v>53.505000000000003</c:v>
                </c:pt>
                <c:pt idx="2">
                  <c:v>51.149000000000001</c:v>
                </c:pt>
                <c:pt idx="3">
                  <c:v>55.873000000000005</c:v>
                </c:pt>
                <c:pt idx="4">
                  <c:v>47.277000000000001</c:v>
                </c:pt>
                <c:pt idx="5">
                  <c:v>41.93</c:v>
                </c:pt>
                <c:pt idx="6">
                  <c:v>36.779000000000003</c:v>
                </c:pt>
                <c:pt idx="7">
                  <c:v>34.894000000000005</c:v>
                </c:pt>
                <c:pt idx="8">
                  <c:v>54.02</c:v>
                </c:pt>
                <c:pt idx="9">
                  <c:v>39.090000000000003</c:v>
                </c:pt>
                <c:pt idx="10">
                  <c:v>20.309999999999999</c:v>
                </c:pt>
                <c:pt idx="11">
                  <c:v>33.25</c:v>
                </c:pt>
                <c:pt idx="12">
                  <c:v>45.820505926130025</c:v>
                </c:pt>
                <c:pt idx="13">
                  <c:v>64.97699930173998</c:v>
                </c:pt>
                <c:pt idx="14">
                  <c:v>59.7056835355</c:v>
                </c:pt>
                <c:pt idx="15">
                  <c:v>68.002101568619963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A415-4810-9F5A-31D5F993F5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361280"/>
        <c:axId val="91362816"/>
      </c:lineChart>
      <c:catAx>
        <c:axId val="91361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crossAx val="91362816"/>
        <c:crosses val="autoZero"/>
        <c:auto val="1"/>
        <c:lblAlgn val="ctr"/>
        <c:lblOffset val="20"/>
        <c:noMultiLvlLbl val="0"/>
      </c:catAx>
      <c:valAx>
        <c:axId val="91362816"/>
        <c:scaling>
          <c:orientation val="minMax"/>
          <c:max val="95"/>
          <c:min val="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Vybrané</a:t>
                </a:r>
                <a:r>
                  <a:rPr lang="cs-CZ" sz="700" b="0" i="1" baseline="0"/>
                  <a:t> </a:t>
                </a:r>
                <a:r>
                  <a:rPr lang="cs-CZ" sz="700" b="0" i="1"/>
                  <a:t>výdaje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spPr>
          <a:ln w="6350">
            <a:solidFill>
              <a:schemeClr val="tx1"/>
            </a:solidFill>
          </a:ln>
        </c:spPr>
        <c:crossAx val="91361280"/>
        <c:crosses val="autoZero"/>
        <c:crossBetween val="between"/>
        <c:majorUnit val="5"/>
      </c:valAx>
      <c:valAx>
        <c:axId val="91364736"/>
        <c:scaling>
          <c:orientation val="minMax"/>
          <c:max val="950"/>
          <c:min val="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Běžné výdaje celkem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spPr>
          <a:ln w="6350"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91383296"/>
        <c:crosses val="max"/>
        <c:crossBetween val="between"/>
        <c:majorUnit val="50"/>
        <c:minorUnit val="10"/>
      </c:valAx>
      <c:catAx>
        <c:axId val="913832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91364736"/>
        <c:crosses val="autoZero"/>
        <c:auto val="1"/>
        <c:lblAlgn val="ctr"/>
        <c:lblOffset val="100"/>
        <c:noMultiLvlLbl val="0"/>
      </c:catAx>
      <c:spPr>
        <a:ln w="6350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3929355271104271E-2"/>
          <c:y val="0.82695581191689671"/>
          <c:w val="0.85890409750169983"/>
          <c:h val="0.16585489978301932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1CBCB-2CC5-4D54-9135-589D31053E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CDAC71-B9F7-4320-AE1B-BC77F839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23</TotalTime>
  <Pages>5</Pages>
  <Words>2806</Words>
  <Characters>13893</Characters>
  <Application>Microsoft Office Word</Application>
  <DocSecurity>0</DocSecurity>
  <Lines>207</Lines>
  <Paragraphs>98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16601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Zábojníková Karolína</cp:lastModifiedBy>
  <cp:revision>5</cp:revision>
  <cp:lastPrinted>2019-04-08T10:52:00Z</cp:lastPrinted>
  <dcterms:created xsi:type="dcterms:W3CDTF">2022-09-15T09:40:00Z</dcterms:created>
  <dcterms:modified xsi:type="dcterms:W3CDTF">2022-09-15T09:59:00Z</dcterms:modified>
</cp:coreProperties>
</file>