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B9B1" w14:textId="77777777" w:rsidR="00A30EA4" w:rsidRDefault="00A30EA4" w:rsidP="00A30EA4">
      <w:pPr>
        <w:pStyle w:val="Nadpis11"/>
      </w:pPr>
      <w:bookmarkStart w:id="0" w:name="_Toc121993824"/>
      <w:r w:rsidRPr="00787441">
        <w:rPr>
          <w:szCs w:val="32"/>
        </w:rPr>
        <w:t>8</w:t>
      </w:r>
      <w:r>
        <w:t>. </w:t>
      </w:r>
      <w:r w:rsidRPr="009110F7">
        <w:t>Státní rozpočet</w:t>
      </w:r>
      <w:bookmarkEnd w:id="0"/>
    </w:p>
    <w:tbl>
      <w:tblPr>
        <w:tblW w:w="966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0"/>
        <w:gridCol w:w="219"/>
        <w:gridCol w:w="7670"/>
      </w:tblGrid>
      <w:tr w:rsidR="00A30EA4" w:rsidRPr="003C07E6" w14:paraId="182F37A6" w14:textId="77777777" w:rsidTr="00275E43">
        <w:trPr>
          <w:trHeight w:val="145"/>
        </w:trPr>
        <w:tc>
          <w:tcPr>
            <w:tcW w:w="1780" w:type="dxa"/>
            <w:shd w:val="clear" w:color="auto" w:fill="auto"/>
            <w:tcMar>
              <w:left w:w="0" w:type="dxa"/>
            </w:tcMar>
          </w:tcPr>
          <w:p w14:paraId="583FB97B" w14:textId="77777777" w:rsidR="00A30EA4" w:rsidRPr="00980316" w:rsidRDefault="00A30EA4" w:rsidP="00275E43">
            <w:pPr>
              <w:pStyle w:val="Marginlie"/>
              <w:rPr>
                <w:spacing w:val="-5"/>
              </w:rPr>
            </w:pPr>
            <w:r w:rsidRPr="00980316">
              <w:rPr>
                <w:spacing w:val="-5"/>
              </w:rPr>
              <w:t xml:space="preserve">Schodek rozpočtu se během roku výrazně prohluboval. Nebývale silný cenový růst i </w:t>
            </w:r>
            <w:r>
              <w:rPr>
                <w:spacing w:val="-5"/>
              </w:rPr>
              <w:t xml:space="preserve">potřeba </w:t>
            </w:r>
            <w:r w:rsidRPr="00980316">
              <w:rPr>
                <w:spacing w:val="-5"/>
              </w:rPr>
              <w:t>řešení přímých dopadů válk</w:t>
            </w:r>
            <w:r>
              <w:rPr>
                <w:spacing w:val="-5"/>
              </w:rPr>
              <w:t>y na Ukrajině vyústily v</w:t>
            </w:r>
            <w:r w:rsidRPr="00980316">
              <w:rPr>
                <w:spacing w:val="-5"/>
              </w:rPr>
              <w:t> </w:t>
            </w:r>
            <w:r>
              <w:rPr>
                <w:spacing w:val="-5"/>
              </w:rPr>
              <w:t>mimořádné výdaje</w:t>
            </w:r>
            <w:r w:rsidRPr="00980316">
              <w:rPr>
                <w:spacing w:val="-5"/>
              </w:rPr>
              <w:t xml:space="preserve"> SR.</w:t>
            </w:r>
          </w:p>
        </w:tc>
        <w:tc>
          <w:tcPr>
            <w:tcW w:w="219" w:type="dxa"/>
            <w:shd w:val="clear" w:color="auto" w:fill="auto"/>
            <w:tcMar>
              <w:left w:w="0" w:type="dxa"/>
            </w:tcMar>
          </w:tcPr>
          <w:p w14:paraId="1FBB7907" w14:textId="77777777" w:rsidR="00A30EA4" w:rsidRDefault="00A30EA4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761ED71C" w14:textId="77777777" w:rsidR="00A30EA4" w:rsidRDefault="00A30EA4" w:rsidP="00275E43">
            <w:pPr>
              <w:spacing w:after="220"/>
              <w:rPr>
                <w:spacing w:val="-4"/>
              </w:rPr>
            </w:pPr>
            <w:r>
              <w:rPr>
                <w:spacing w:val="-4"/>
              </w:rPr>
              <w:t xml:space="preserve">V úhrnu za tři letošní čtvrtletí vykázal </w:t>
            </w:r>
            <w:r w:rsidRPr="00A92514">
              <w:rPr>
                <w:spacing w:val="-4"/>
              </w:rPr>
              <w:t>tuzemský státní rozpočet (SR)</w:t>
            </w:r>
            <w:r w:rsidRPr="00A92514"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 xml:space="preserve"> výrazný deficit v hodnotě 270,9 mld. korun, který již skoro vystoupal na celoroční úroveň schválenou v původní verzi zákona o rozpočtu</w:t>
            </w:r>
            <w:r>
              <w:rPr>
                <w:rStyle w:val="Znakapoznpodarou"/>
                <w:spacing w:val="-4"/>
              </w:rPr>
              <w:footnoteReference w:id="2"/>
            </w:r>
            <w:r>
              <w:rPr>
                <w:spacing w:val="-4"/>
              </w:rPr>
              <w:t xml:space="preserve">. Deficitní hospodaření přetrvávalo čtvrtý rok v řadě, letošní dosažený výsledek byl však oproti loňskému rekordnímu schodku o 55 mld. korun nižší. Stalo se tak díky příznivějšímu hospodaření SR v 1. čtvrtletí, kdy deficit nepřesáhl 60 mld. korun. Tehdy již na rozdíl od počátku loňského roku nebyla vlivem protipandemických restrikcí omezena ekonomická aktivita a citelně tak poklesla potřeba finanční pomoci postiženým podnikům i domácnostem. Během roku 2022 došlo vlivem </w:t>
            </w:r>
            <w:r w:rsidRPr="00A92514">
              <w:rPr>
                <w:spacing w:val="-4"/>
              </w:rPr>
              <w:t xml:space="preserve">zvýšeného geopolitického napětí </w:t>
            </w:r>
            <w:r>
              <w:rPr>
                <w:spacing w:val="-4"/>
              </w:rPr>
              <w:t>k razantní akceleraci růstu cen energií i paliv. Nárůst cen pak postupně prostoupil celou tuzemskou ekonomikou a nasměroval ji na sestupnou fázi hospodářského cyklu. Tyto vlivy se zatím negativně projevily především na výdajové straně SR – zejména vyššími sociálními transfery (vč. výdajů spojených</w:t>
            </w:r>
            <w:r w:rsidRPr="00A92514">
              <w:rPr>
                <w:spacing w:val="-4"/>
              </w:rPr>
              <w:t xml:space="preserve"> s uprchlickou vlnou z</w:t>
            </w:r>
            <w:r>
              <w:rPr>
                <w:spacing w:val="-4"/>
              </w:rPr>
              <w:t> </w:t>
            </w:r>
            <w:r w:rsidRPr="00A92514">
              <w:rPr>
                <w:spacing w:val="-4"/>
              </w:rPr>
              <w:t>Ukrajiny</w:t>
            </w:r>
            <w:r>
              <w:rPr>
                <w:spacing w:val="-4"/>
              </w:rPr>
              <w:t xml:space="preserve">), úhradami nákladů na energie, nákladnějším běžným provozem státu či prodražováním plánovaných investic. </w:t>
            </w:r>
          </w:p>
        </w:tc>
      </w:tr>
      <w:tr w:rsidR="00A30EA4" w:rsidRPr="003C07E6" w14:paraId="442C7158" w14:textId="77777777" w:rsidTr="00275E43">
        <w:trPr>
          <w:trHeight w:val="145"/>
        </w:trPr>
        <w:tc>
          <w:tcPr>
            <w:tcW w:w="1780" w:type="dxa"/>
            <w:shd w:val="clear" w:color="auto" w:fill="auto"/>
            <w:tcMar>
              <w:left w:w="0" w:type="dxa"/>
            </w:tcMar>
          </w:tcPr>
          <w:p w14:paraId="66769320" w14:textId="77777777" w:rsidR="00A30EA4" w:rsidRDefault="00A30EA4" w:rsidP="00275E43">
            <w:pPr>
              <w:pStyle w:val="Marginlie"/>
            </w:pPr>
            <w:r>
              <w:t>Tempo růstu celkového daňového inkasa ve 3.</w:t>
            </w:r>
            <w:r w:rsidRPr="00980316">
              <w:rPr>
                <w:spacing w:val="-5"/>
              </w:rPr>
              <w:t> </w:t>
            </w:r>
            <w:r>
              <w:t xml:space="preserve">čtvrtletí zvolnilo. Pokles nedaňových </w:t>
            </w:r>
            <w:r>
              <w:br/>
            </w:r>
            <w:proofErr w:type="gramStart"/>
            <w:r>
              <w:t>a</w:t>
            </w:r>
            <w:r w:rsidRPr="00980316">
              <w:rPr>
                <w:spacing w:val="-5"/>
              </w:rPr>
              <w:t> </w:t>
            </w:r>
            <w:r>
              <w:t xml:space="preserve"> kapitálových</w:t>
            </w:r>
            <w:proofErr w:type="gramEnd"/>
            <w:r>
              <w:t xml:space="preserve"> příjmů pokračoval.</w:t>
            </w:r>
          </w:p>
        </w:tc>
        <w:tc>
          <w:tcPr>
            <w:tcW w:w="219" w:type="dxa"/>
            <w:shd w:val="clear" w:color="auto" w:fill="auto"/>
            <w:tcMar>
              <w:left w:w="0" w:type="dxa"/>
            </w:tcMar>
          </w:tcPr>
          <w:p w14:paraId="6DF718D3" w14:textId="77777777" w:rsidR="00A30EA4" w:rsidRDefault="00A30EA4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3B804D90" w14:textId="77777777" w:rsidR="00A30EA4" w:rsidRPr="004B3C23" w:rsidRDefault="00A30EA4" w:rsidP="00275E43">
            <w:pPr>
              <w:spacing w:after="220"/>
              <w:rPr>
                <w:spacing w:val="-4"/>
              </w:rPr>
            </w:pPr>
            <w:r w:rsidRPr="004B3C23">
              <w:rPr>
                <w:spacing w:val="-4"/>
                <w:szCs w:val="16"/>
              </w:rPr>
              <w:t xml:space="preserve">Celkové příjmy SR se </w:t>
            </w:r>
            <w:r>
              <w:rPr>
                <w:spacing w:val="-4"/>
                <w:szCs w:val="16"/>
              </w:rPr>
              <w:t xml:space="preserve">za </w:t>
            </w:r>
            <w:r w:rsidRPr="004B3C23">
              <w:rPr>
                <w:spacing w:val="-4"/>
                <w:szCs w:val="16"/>
              </w:rPr>
              <w:t xml:space="preserve">1. až 3. čtvrtletí meziročně zvýšily o 8,2 % (resp. 89 mld. korun). </w:t>
            </w:r>
            <w:r w:rsidRPr="004B3C23">
              <w:rPr>
                <w:spacing w:val="-4"/>
              </w:rPr>
              <w:t xml:space="preserve">Přispělo k tomu znatelné posílení výrazné většiny významných daňových příjmů (primárně DPH a pojistného na sociální zabezpečení). Naproti tomu nedaňové a kapitálové příjmy byly meziročně nižší (o 11,8 %, </w:t>
            </w:r>
            <w:r>
              <w:rPr>
                <w:spacing w:val="-4"/>
              </w:rPr>
              <w:t xml:space="preserve">resp. o </w:t>
            </w:r>
            <w:r w:rsidRPr="004B3C23">
              <w:rPr>
                <w:spacing w:val="-4"/>
              </w:rPr>
              <w:t>16 mld. koru</w:t>
            </w:r>
            <w:r>
              <w:rPr>
                <w:spacing w:val="-4"/>
              </w:rPr>
              <w:t>n). Stály za tím hlavně</w:t>
            </w:r>
            <w:r w:rsidRPr="004B3C23">
              <w:rPr>
                <w:spacing w:val="-4"/>
              </w:rPr>
              <w:t xml:space="preserve"> nižší prostředky z rozpočtu EU, jejichž objem nedosáhl ani poloviny letošní celoroční rozpočtově očekávané výše</w:t>
            </w:r>
            <w:r w:rsidRPr="004B3C23">
              <w:rPr>
                <w:rStyle w:val="Znakapoznpodarou"/>
                <w:spacing w:val="-4"/>
              </w:rPr>
              <w:footnoteReference w:id="3"/>
            </w:r>
            <w:r w:rsidRPr="004B3C23">
              <w:rPr>
                <w:spacing w:val="-4"/>
              </w:rPr>
              <w:t>. Mimo to scházely SR také loňské mimořádné výnosy z aukce rádiových kmitočtů (5,6 mld. korun). Celostátní daňové inkaso (bez pojistného), které letos ve 2. čtvrtletí poprvé výrazněji překonalo odpovídající předpandemickou úroveň (z roku 2019), vzrostlo v úhrnu za tři čtvrtletí meziročně o 15,4 %. V</w:t>
            </w:r>
            <w:r>
              <w:rPr>
                <w:spacing w:val="-4"/>
              </w:rPr>
              <w:t>e</w:t>
            </w:r>
            <w:r w:rsidRPr="004B3C23">
              <w:rPr>
                <w:spacing w:val="-4"/>
              </w:rPr>
              <w:t xml:space="preserve"> 3. kvartálu již </w:t>
            </w:r>
            <w:r>
              <w:rPr>
                <w:spacing w:val="-4"/>
              </w:rPr>
              <w:t xml:space="preserve">však </w:t>
            </w:r>
            <w:r w:rsidRPr="004B3C23">
              <w:rPr>
                <w:spacing w:val="-4"/>
              </w:rPr>
              <w:t xml:space="preserve">růstové tempo nedosahovalo ani 10 %, </w:t>
            </w:r>
            <w:r>
              <w:rPr>
                <w:spacing w:val="-4"/>
              </w:rPr>
              <w:t>přestože</w:t>
            </w:r>
            <w:r w:rsidRPr="004B3C23">
              <w:rPr>
                <w:spacing w:val="-4"/>
              </w:rPr>
              <w:t xml:space="preserve"> inkasu </w:t>
            </w:r>
            <w:r>
              <w:rPr>
                <w:spacing w:val="-4"/>
              </w:rPr>
              <w:t>(zejména</w:t>
            </w:r>
            <w:r w:rsidRPr="004B3C23">
              <w:rPr>
                <w:spacing w:val="-4"/>
              </w:rPr>
              <w:t xml:space="preserve"> u nepřímých daní) pomáhal silný růst cen v ekonomice.</w:t>
            </w:r>
          </w:p>
        </w:tc>
      </w:tr>
      <w:tr w:rsidR="00A30EA4" w:rsidRPr="003C07E6" w14:paraId="4BEA80AB" w14:textId="77777777" w:rsidTr="00275E43">
        <w:trPr>
          <w:trHeight w:val="145"/>
        </w:trPr>
        <w:tc>
          <w:tcPr>
            <w:tcW w:w="1780" w:type="dxa"/>
            <w:shd w:val="clear" w:color="auto" w:fill="auto"/>
            <w:tcMar>
              <w:left w:w="0" w:type="dxa"/>
            </w:tcMar>
          </w:tcPr>
          <w:p w14:paraId="78050340" w14:textId="77777777" w:rsidR="00A30EA4" w:rsidRDefault="00A30EA4" w:rsidP="00275E43">
            <w:pPr>
              <w:pStyle w:val="Marginlie"/>
            </w:pPr>
            <w:r>
              <w:t xml:space="preserve">Ve skokovém růstu inkasa DPH se promítá zejména silný růst spotřebitelských cen. Opačně začíná stále více působit vliv oslabující spotřeby domácností.  </w:t>
            </w:r>
          </w:p>
        </w:tc>
        <w:tc>
          <w:tcPr>
            <w:tcW w:w="219" w:type="dxa"/>
            <w:shd w:val="clear" w:color="auto" w:fill="auto"/>
            <w:tcMar>
              <w:left w:w="0" w:type="dxa"/>
            </w:tcMar>
          </w:tcPr>
          <w:p w14:paraId="735A969F" w14:textId="77777777" w:rsidR="00A30EA4" w:rsidRDefault="00A30EA4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75515303" w14:textId="77777777" w:rsidR="00A30EA4" w:rsidRPr="00A62FEE" w:rsidRDefault="00A30EA4" w:rsidP="00275E43">
            <w:pPr>
              <w:spacing w:after="220"/>
              <w:rPr>
                <w:spacing w:val="-4"/>
              </w:rPr>
            </w:pPr>
            <w:r w:rsidRPr="00A62FEE">
              <w:rPr>
                <w:spacing w:val="-4"/>
              </w:rPr>
              <w:t>K posílení příjmů SR přispěl v 1. až 3. čtvrtletí nejvíce výběr váhově dominantní daně – DPH,</w:t>
            </w:r>
            <w:r>
              <w:rPr>
                <w:spacing w:val="-4"/>
              </w:rPr>
              <w:t xml:space="preserve"> –</w:t>
            </w:r>
            <w:r w:rsidRPr="00A62FEE">
              <w:rPr>
                <w:spacing w:val="-4"/>
              </w:rPr>
              <w:t xml:space="preserve"> jenž byl meziročně vyšší o 18,3 %</w:t>
            </w:r>
            <w:r w:rsidRPr="00A62FEE">
              <w:rPr>
                <w:rStyle w:val="Znakapoznpodarou"/>
                <w:spacing w:val="-4"/>
              </w:rPr>
              <w:footnoteReference w:id="4"/>
            </w:r>
            <w:r w:rsidRPr="00A62FEE">
              <w:rPr>
                <w:spacing w:val="-4"/>
              </w:rPr>
              <w:t xml:space="preserve"> (resp. 38,3 mld. korun). Ve skokovém nárůstu výběru se zčásti odráží nižší srovnávací základna (vlivem omezení obchodu a služeb v lednu až dubnu loňského roku), zásadně je ale ovlivněn cenovou akcelerací váhově významných položek spotřebního koše. Na druhou stranu </w:t>
            </w:r>
            <w:r>
              <w:rPr>
                <w:spacing w:val="-4"/>
              </w:rPr>
              <w:t xml:space="preserve">se začíná stále více projevovat </w:t>
            </w:r>
            <w:r w:rsidRPr="00A62FEE">
              <w:rPr>
                <w:spacing w:val="-4"/>
              </w:rPr>
              <w:t>i</w:t>
            </w:r>
            <w:r>
              <w:rPr>
                <w:spacing w:val="-4"/>
              </w:rPr>
              <w:t> </w:t>
            </w:r>
            <w:r w:rsidRPr="00A62FEE">
              <w:rPr>
                <w:spacing w:val="-4"/>
              </w:rPr>
              <w:t xml:space="preserve">dopad postupného útlumu spotřeby domácností. </w:t>
            </w:r>
            <w:r>
              <w:rPr>
                <w:spacing w:val="-4"/>
              </w:rPr>
              <w:t>Ve</w:t>
            </w:r>
            <w:r w:rsidRPr="00A62FEE">
              <w:rPr>
                <w:spacing w:val="-4"/>
              </w:rPr>
              <w:t xml:space="preserve"> 2. čtvrtletí vybral stát na DPH mez</w:t>
            </w:r>
            <w:r>
              <w:rPr>
                <w:spacing w:val="-4"/>
              </w:rPr>
              <w:t>iročně o</w:t>
            </w:r>
            <w:r w:rsidRPr="00A62FEE">
              <w:rPr>
                <w:spacing w:val="-4"/>
              </w:rPr>
              <w:t> </w:t>
            </w:r>
            <w:r>
              <w:rPr>
                <w:spacing w:val="-4"/>
              </w:rPr>
              <w:t>23</w:t>
            </w:r>
            <w:r w:rsidRPr="00A62FEE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více</w:t>
            </w:r>
            <w:r w:rsidRPr="00A62FEE">
              <w:rPr>
                <w:spacing w:val="-4"/>
              </w:rPr>
              <w:t>, v následujícím kvartálu již jen o necelých 11 %</w:t>
            </w:r>
            <w:r>
              <w:rPr>
                <w:spacing w:val="-4"/>
              </w:rPr>
              <w:t xml:space="preserve"> více</w:t>
            </w:r>
            <w:r w:rsidRPr="00A62FEE">
              <w:rPr>
                <w:rStyle w:val="Znakapoznpodarou"/>
                <w:spacing w:val="-4"/>
              </w:rPr>
              <w:footnoteReference w:id="5"/>
            </w:r>
            <w:r w:rsidRPr="00A62FEE">
              <w:rPr>
                <w:spacing w:val="-4"/>
              </w:rPr>
              <w:t>. Negativně, avšak řádově méně, působilo letos na inkaso i prominutí DPH na vybrané komodity (např. vakcíny, respirátory).</w:t>
            </w:r>
          </w:p>
        </w:tc>
      </w:tr>
      <w:tr w:rsidR="00A30EA4" w:rsidRPr="003C07E6" w14:paraId="1E3D0AF0" w14:textId="77777777" w:rsidTr="00275E43">
        <w:trPr>
          <w:trHeight w:val="145"/>
        </w:trPr>
        <w:tc>
          <w:tcPr>
            <w:tcW w:w="1780" w:type="dxa"/>
            <w:shd w:val="clear" w:color="auto" w:fill="auto"/>
            <w:tcMar>
              <w:left w:w="0" w:type="dxa"/>
            </w:tcMar>
          </w:tcPr>
          <w:p w14:paraId="7E56ED38" w14:textId="77777777" w:rsidR="00A30EA4" w:rsidRPr="002A2B53" w:rsidRDefault="00A30EA4" w:rsidP="00275E43">
            <w:pPr>
              <w:pStyle w:val="Marginlie"/>
              <w:rPr>
                <w:spacing w:val="-4"/>
              </w:rPr>
            </w:pPr>
            <w:r w:rsidRPr="002A2B53">
              <w:rPr>
                <w:spacing w:val="-4"/>
              </w:rPr>
              <w:t xml:space="preserve">Výběr spotřebních daní rostl mírněji a </w:t>
            </w:r>
            <w:r>
              <w:rPr>
                <w:spacing w:val="-4"/>
              </w:rPr>
              <w:t xml:space="preserve">zaostal </w:t>
            </w:r>
            <w:r w:rsidRPr="002A2B53">
              <w:rPr>
                <w:spacing w:val="-4"/>
              </w:rPr>
              <w:t>za rozpočtovým očekáváním i předpandemickou úrovní</w:t>
            </w:r>
            <w:r>
              <w:rPr>
                <w:spacing w:val="-4"/>
              </w:rPr>
              <w:t>.</w:t>
            </w:r>
          </w:p>
        </w:tc>
        <w:tc>
          <w:tcPr>
            <w:tcW w:w="219" w:type="dxa"/>
            <w:shd w:val="clear" w:color="auto" w:fill="auto"/>
            <w:tcMar>
              <w:left w:w="0" w:type="dxa"/>
            </w:tcMar>
          </w:tcPr>
          <w:p w14:paraId="67D77A06" w14:textId="77777777" w:rsidR="00A30EA4" w:rsidRDefault="00A30EA4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50711B9C" w14:textId="77777777" w:rsidR="00A30EA4" w:rsidRPr="000A56DA" w:rsidRDefault="00A30EA4" w:rsidP="00275E43">
            <w:pPr>
              <w:spacing w:after="220"/>
              <w:rPr>
                <w:spacing w:val="-4"/>
              </w:rPr>
            </w:pPr>
            <w:r w:rsidRPr="000A56DA">
              <w:rPr>
                <w:spacing w:val="-4"/>
              </w:rPr>
              <w:t xml:space="preserve">Ze spotřebních daní (vč. energetických) získal zatím letos SR meziročně o 8,5 % více. Toto inkaso tak zatím jako u jediné váhově významnější daňové položky zcela nenaplňuje rozpočtová očekávání, nepatrně nižší je stále i ve srovnání s 1. až 3. čtvrtletím 2019. K růstu inkasa letos nejvíce pomáhá vyšší výběr daně z tabákových výrobků (+13,1 %, </w:t>
            </w:r>
            <w:r>
              <w:rPr>
                <w:spacing w:val="-4"/>
              </w:rPr>
              <w:br/>
              <w:t>5,2 mld. korun),</w:t>
            </w:r>
            <w:r w:rsidRPr="000A56DA">
              <w:rPr>
                <w:spacing w:val="-4"/>
              </w:rPr>
              <w:t xml:space="preserve"> podpořený zejména pokračujícím navýšením daňové sazby, z menší části i zrušením protipandemických restrikcí. Výběr spotřebních daní rostl i díky vyšším sazbám odvodů ze starších solárních elektráren. Inkaso klíčové spotřební daně – z minerálních olejů – se od počátku roku zvýšilo jen </w:t>
            </w:r>
            <w:r>
              <w:rPr>
                <w:spacing w:val="-4"/>
              </w:rPr>
              <w:t xml:space="preserve">o </w:t>
            </w:r>
            <w:r w:rsidRPr="000A56DA">
              <w:rPr>
                <w:spacing w:val="-4"/>
              </w:rPr>
              <w:t xml:space="preserve">1,8 %, z toho ve 3. čtvrtletí kleslo o 13,7 %. V pozadí stály jak nižší letní spotřeba nafty i benzínu (i vlivem rekordně vysokých cen), tak dopady </w:t>
            </w:r>
            <w:r w:rsidRPr="000A56DA">
              <w:rPr>
                <w:spacing w:val="-4"/>
              </w:rPr>
              <w:lastRenderedPageBreak/>
              <w:t>snížené sazby daně</w:t>
            </w:r>
            <w:r w:rsidRPr="000A56DA">
              <w:rPr>
                <w:rStyle w:val="Znakapoznpodarou"/>
                <w:spacing w:val="-4"/>
              </w:rPr>
              <w:footnoteReference w:id="6"/>
            </w:r>
            <w:r w:rsidRPr="000A56DA">
              <w:rPr>
                <w:spacing w:val="-4"/>
              </w:rPr>
              <w:t>. Naopak ink</w:t>
            </w:r>
            <w:r>
              <w:rPr>
                <w:spacing w:val="-4"/>
              </w:rPr>
              <w:t>aso ostatních</w:t>
            </w:r>
            <w:r w:rsidRPr="000A56DA">
              <w:rPr>
                <w:spacing w:val="-4"/>
              </w:rPr>
              <w:t xml:space="preserve"> </w:t>
            </w:r>
            <w:r>
              <w:rPr>
                <w:spacing w:val="-4"/>
              </w:rPr>
              <w:t>(</w:t>
            </w:r>
            <w:r w:rsidRPr="000A56DA">
              <w:rPr>
                <w:spacing w:val="-4"/>
              </w:rPr>
              <w:t>váhově spíše okrajových</w:t>
            </w:r>
            <w:r>
              <w:rPr>
                <w:spacing w:val="-4"/>
              </w:rPr>
              <w:t>) spotřebních daní rostlo i v letní turistické sezóně</w:t>
            </w:r>
            <w:r w:rsidRPr="000A56DA">
              <w:rPr>
                <w:spacing w:val="-4"/>
              </w:rPr>
              <w:t xml:space="preserve">. Výběr daně z piva za tři čtvrtletí meziročně posílil o 7,4 %, přesto za úrovní z roku 2019 stále mírně zaostával. To neplatilo o výběru daně z lihu, jemuž </w:t>
            </w:r>
            <w:r>
              <w:rPr>
                <w:spacing w:val="-4"/>
              </w:rPr>
              <w:t>pomohlo hlavně</w:t>
            </w:r>
            <w:r w:rsidRPr="000A56DA">
              <w:rPr>
                <w:spacing w:val="-4"/>
              </w:rPr>
              <w:t xml:space="preserve"> navýšení sazby daně (v roce 2020), ale i letošní mírný růst inkasa (2,9 %).</w:t>
            </w:r>
          </w:p>
        </w:tc>
      </w:tr>
      <w:tr w:rsidR="00A30EA4" w:rsidRPr="003C07E6" w14:paraId="16CCC3BC" w14:textId="77777777" w:rsidTr="00275E43">
        <w:trPr>
          <w:trHeight w:val="145"/>
        </w:trPr>
        <w:tc>
          <w:tcPr>
            <w:tcW w:w="1780" w:type="dxa"/>
            <w:shd w:val="clear" w:color="auto" w:fill="auto"/>
            <w:tcMar>
              <w:left w:w="0" w:type="dxa"/>
            </w:tcMar>
          </w:tcPr>
          <w:p w14:paraId="26D955CE" w14:textId="77777777" w:rsidR="00A30EA4" w:rsidRDefault="00A30EA4" w:rsidP="00275E43">
            <w:pPr>
              <w:pStyle w:val="Marginlie"/>
            </w:pPr>
            <w:r>
              <w:lastRenderedPageBreak/>
              <w:t>Inkaso daně z příjmů právnických osob díky vysoké červnové platbě meziročně výrazně vzrostlo.</w:t>
            </w:r>
          </w:p>
        </w:tc>
        <w:tc>
          <w:tcPr>
            <w:tcW w:w="219" w:type="dxa"/>
            <w:shd w:val="clear" w:color="auto" w:fill="auto"/>
            <w:tcMar>
              <w:left w:w="0" w:type="dxa"/>
            </w:tcMar>
          </w:tcPr>
          <w:p w14:paraId="7ABD97A6" w14:textId="77777777" w:rsidR="00A30EA4" w:rsidRDefault="00A30EA4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566FB703" w14:textId="77777777" w:rsidR="00A30EA4" w:rsidRDefault="00A30EA4" w:rsidP="00275E43">
            <w:pPr>
              <w:spacing w:after="220"/>
              <w:rPr>
                <w:spacing w:val="-4"/>
              </w:rPr>
            </w:pPr>
            <w:r w:rsidRPr="00A92514">
              <w:rPr>
                <w:spacing w:val="-4"/>
              </w:rPr>
              <w:t>Příjem SR z korporátní daně</w:t>
            </w:r>
            <w:r>
              <w:rPr>
                <w:spacing w:val="-4"/>
              </w:rPr>
              <w:t xml:space="preserve"> letos meziročně svižně vzrostl (+16,4 %), a to </w:t>
            </w:r>
            <w:r w:rsidRPr="00A92514">
              <w:rPr>
                <w:spacing w:val="-4"/>
              </w:rPr>
              <w:t>především díky vysokému červnovému inkasu (zahrnující čtvrtletní i pololetní zálohy na dani a část úhrady daně za rok 2021</w:t>
            </w:r>
            <w:r>
              <w:rPr>
                <w:spacing w:val="-4"/>
              </w:rPr>
              <w:t>). Inkaso za tři čtvrtletí</w:t>
            </w:r>
            <w:r w:rsidRPr="00A92514">
              <w:rPr>
                <w:spacing w:val="-4"/>
              </w:rPr>
              <w:t xml:space="preserve"> významně předčilo rozpočtové očekávání, neboť </w:t>
            </w:r>
            <w:r>
              <w:rPr>
                <w:spacing w:val="-4"/>
              </w:rPr>
              <w:t>již takřka</w:t>
            </w:r>
            <w:r w:rsidRPr="00A92514">
              <w:rPr>
                <w:spacing w:val="-4"/>
              </w:rPr>
              <w:t xml:space="preserve"> </w:t>
            </w:r>
            <w:r>
              <w:rPr>
                <w:spacing w:val="-4"/>
              </w:rPr>
              <w:t>dosáhlo</w:t>
            </w:r>
            <w:r w:rsidRPr="00A92514">
              <w:rPr>
                <w:spacing w:val="-4"/>
              </w:rPr>
              <w:t xml:space="preserve"> očekávaného celoro</w:t>
            </w:r>
            <w:r>
              <w:rPr>
                <w:spacing w:val="-4"/>
              </w:rPr>
              <w:t>čního objemu a dokládalo příznivé</w:t>
            </w:r>
            <w:r w:rsidRPr="00A92514">
              <w:rPr>
                <w:spacing w:val="-4"/>
              </w:rPr>
              <w:t xml:space="preserve"> hospodářské výsledky </w:t>
            </w:r>
            <w:r>
              <w:rPr>
                <w:spacing w:val="-4"/>
              </w:rPr>
              <w:t>některých</w:t>
            </w:r>
            <w:r w:rsidRPr="00A92514">
              <w:rPr>
                <w:spacing w:val="-4"/>
              </w:rPr>
              <w:t xml:space="preserve"> velkých podniků</w:t>
            </w:r>
            <w:r>
              <w:rPr>
                <w:spacing w:val="-4"/>
              </w:rPr>
              <w:t xml:space="preserve"> (např. v oblasti energetiky či obchodu)</w:t>
            </w:r>
            <w:r w:rsidRPr="00A92514">
              <w:rPr>
                <w:spacing w:val="-4"/>
              </w:rPr>
              <w:t xml:space="preserve">. </w:t>
            </w:r>
            <w:r>
              <w:rPr>
                <w:spacing w:val="-4"/>
              </w:rPr>
              <w:t xml:space="preserve">Na výši inkasa měly ovšem vliv i dílčí </w:t>
            </w:r>
            <w:r w:rsidRPr="00A92514">
              <w:rPr>
                <w:spacing w:val="-4"/>
              </w:rPr>
              <w:t>legislativní úpravy</w:t>
            </w:r>
            <w:r w:rsidRPr="00A92514">
              <w:rPr>
                <w:rStyle w:val="Znakapoznpodarou"/>
                <w:spacing w:val="-4"/>
              </w:rPr>
              <w:footnoteReference w:id="7"/>
            </w:r>
            <w:r w:rsidRPr="00A92514">
              <w:rPr>
                <w:spacing w:val="-4"/>
              </w:rPr>
              <w:t>.</w:t>
            </w:r>
          </w:p>
        </w:tc>
      </w:tr>
      <w:tr w:rsidR="00A30EA4" w:rsidRPr="00F704D2" w14:paraId="73852D56" w14:textId="77777777" w:rsidTr="00275E43">
        <w:trPr>
          <w:trHeight w:val="170"/>
        </w:trPr>
        <w:tc>
          <w:tcPr>
            <w:tcW w:w="1780" w:type="dxa"/>
            <w:vMerge w:val="restart"/>
            <w:shd w:val="clear" w:color="auto" w:fill="auto"/>
            <w:tcMar>
              <w:left w:w="0" w:type="dxa"/>
            </w:tcMar>
          </w:tcPr>
          <w:p w14:paraId="487DCE60" w14:textId="77777777" w:rsidR="00A30EA4" w:rsidRDefault="00A30EA4" w:rsidP="00275E43">
            <w:pPr>
              <w:pStyle w:val="Marginlie"/>
            </w:pPr>
          </w:p>
        </w:tc>
        <w:tc>
          <w:tcPr>
            <w:tcW w:w="219" w:type="dxa"/>
            <w:vMerge w:val="restart"/>
            <w:shd w:val="clear" w:color="auto" w:fill="auto"/>
            <w:tcMar>
              <w:left w:w="0" w:type="dxa"/>
            </w:tcMar>
          </w:tcPr>
          <w:p w14:paraId="1D6312DE" w14:textId="77777777" w:rsidR="00A30EA4" w:rsidRDefault="00A30EA4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7CD787E4" w14:textId="77777777" w:rsidR="00A30EA4" w:rsidRPr="00B80CE9" w:rsidRDefault="00A30EA4" w:rsidP="00275E43">
            <w:pPr>
              <w:spacing w:after="0" w:line="240" w:lineRule="auto"/>
              <w:rPr>
                <w:rFonts w:cs="Arial"/>
                <w:bCs/>
              </w:rPr>
            </w:pPr>
            <w:r w:rsidRPr="00A66749">
              <w:rPr>
                <w:rFonts w:cs="Arial"/>
                <w:b/>
                <w:bCs/>
                <w:color w:val="000000"/>
                <w:spacing w:val="-4"/>
                <w:szCs w:val="20"/>
              </w:rPr>
              <w:t>Graf č. 16 Příspěvek dílčích příjmů k</w:t>
            </w:r>
            <w:r>
              <w:rPr>
                <w:rFonts w:cs="Arial"/>
                <w:b/>
                <w:bCs/>
                <w:color w:val="000000"/>
                <w:spacing w:val="-4"/>
                <w:szCs w:val="20"/>
              </w:rPr>
              <w:t> </w:t>
            </w:r>
            <w:r w:rsidRPr="00A66749">
              <w:rPr>
                <w:rFonts w:cs="Arial"/>
                <w:b/>
                <w:bCs/>
                <w:color w:val="000000"/>
                <w:spacing w:val="-4"/>
                <w:szCs w:val="20"/>
              </w:rPr>
              <w:t xml:space="preserve">růstu </w:t>
            </w:r>
            <w:r w:rsidRPr="00A66749">
              <w:rPr>
                <w:rFonts w:cs="Arial"/>
                <w:b/>
                <w:bCs/>
                <w:spacing w:val="-4"/>
                <w:szCs w:val="20"/>
              </w:rPr>
              <w:t>celostátního</w:t>
            </w:r>
            <w:r w:rsidRPr="00A66749">
              <w:rPr>
                <w:rFonts w:cs="Arial"/>
                <w:b/>
                <w:bCs/>
                <w:spacing w:val="-4"/>
              </w:rPr>
              <w:t xml:space="preserve"> daňového inkasa* </w:t>
            </w:r>
            <w:r w:rsidRPr="00A66749">
              <w:rPr>
                <w:rFonts w:cs="Arial"/>
                <w:bCs/>
                <w:spacing w:val="-4"/>
              </w:rPr>
              <w:t>(</w:t>
            </w:r>
            <w:r w:rsidRPr="00A66749">
              <w:rPr>
                <w:spacing w:val="-4"/>
              </w:rPr>
              <w:t>meziročně</w:t>
            </w:r>
            <w:r w:rsidRPr="00A66749">
              <w:rPr>
                <w:bCs/>
                <w:spacing w:val="-4"/>
              </w:rPr>
              <w:t xml:space="preserve"> v p.</w:t>
            </w:r>
            <w:r>
              <w:rPr>
                <w:bCs/>
                <w:spacing w:val="-4"/>
              </w:rPr>
              <w:t> </w:t>
            </w:r>
            <w:r w:rsidRPr="00A66749">
              <w:rPr>
                <w:bCs/>
                <w:spacing w:val="-4"/>
              </w:rPr>
              <w:t xml:space="preserve">b.) </w:t>
            </w:r>
            <w:r w:rsidRPr="00A66749">
              <w:rPr>
                <w:rFonts w:cs="Arial"/>
                <w:b/>
                <w:bCs/>
                <w:spacing w:val="-4"/>
              </w:rPr>
              <w:t>a saldo státn</w:t>
            </w:r>
            <w:r>
              <w:rPr>
                <w:rFonts w:cs="Arial"/>
                <w:b/>
                <w:bCs/>
                <w:spacing w:val="-4"/>
              </w:rPr>
              <w:t>ího rozpočtu v rámci 1.</w:t>
            </w:r>
            <w:r>
              <w:rPr>
                <w:rFonts w:cs="Arial"/>
                <w:b/>
                <w:bCs/>
                <w:spacing w:val="-2"/>
              </w:rPr>
              <w:t xml:space="preserve"> až 3. čtvrtlet</w:t>
            </w:r>
            <w:r w:rsidRPr="009E555E">
              <w:rPr>
                <w:rFonts w:cs="Arial"/>
                <w:b/>
                <w:bCs/>
                <w:spacing w:val="-2"/>
              </w:rPr>
              <w:t>í</w:t>
            </w:r>
            <w:r w:rsidRPr="00A66749">
              <w:rPr>
                <w:spacing w:val="-4"/>
              </w:rPr>
              <w:t xml:space="preserve"> </w:t>
            </w:r>
            <w:r w:rsidRPr="00A66749">
              <w:rPr>
                <w:rFonts w:cs="Arial"/>
                <w:bCs/>
                <w:spacing w:val="-4"/>
              </w:rPr>
              <w:t>(v mld. korun, pravá osa)</w:t>
            </w:r>
          </w:p>
        </w:tc>
      </w:tr>
      <w:tr w:rsidR="00A30EA4" w14:paraId="7E83C684" w14:textId="77777777" w:rsidTr="00275E43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80" w:type="dxa"/>
            <w:vMerge/>
            <w:shd w:val="clear" w:color="auto" w:fill="auto"/>
          </w:tcPr>
          <w:p w14:paraId="572931A7" w14:textId="77777777" w:rsidR="00A30EA4" w:rsidRDefault="00A30EA4" w:rsidP="00275E43">
            <w:pPr>
              <w:pStyle w:val="Marginlie"/>
            </w:pPr>
          </w:p>
        </w:tc>
        <w:tc>
          <w:tcPr>
            <w:tcW w:w="219" w:type="dxa"/>
            <w:vMerge/>
            <w:shd w:val="clear" w:color="auto" w:fill="auto"/>
          </w:tcPr>
          <w:p w14:paraId="6262C5C8" w14:textId="77777777" w:rsidR="00A30EA4" w:rsidRDefault="00A30EA4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</w:tcPr>
          <w:p w14:paraId="024A7C00" w14:textId="77777777" w:rsidR="00A30EA4" w:rsidRPr="0067514E" w:rsidRDefault="00A30EA4" w:rsidP="00275E43">
            <w:pPr>
              <w:spacing w:after="0"/>
              <w:rPr>
                <w:spacing w:val="-6"/>
              </w:rPr>
            </w:pPr>
            <w:r>
              <w:rPr>
                <w:noProof/>
              </w:rPr>
              <w:drawing>
                <wp:inline distT="0" distB="0" distL="0" distR="0" wp14:anchorId="03F0C931" wp14:editId="476307CF">
                  <wp:extent cx="4781550" cy="3255818"/>
                  <wp:effectExtent l="0" t="0" r="0" b="1905"/>
                  <wp:docPr id="15" name="Graf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A30EA4" w:rsidRPr="007B3A78" w14:paraId="6A3AE0AE" w14:textId="77777777" w:rsidTr="00275E43">
        <w:trPr>
          <w:trHeight w:val="170"/>
        </w:trPr>
        <w:tc>
          <w:tcPr>
            <w:tcW w:w="1780" w:type="dxa"/>
            <w:vMerge/>
            <w:shd w:val="clear" w:color="auto" w:fill="auto"/>
            <w:tcMar>
              <w:left w:w="0" w:type="dxa"/>
            </w:tcMar>
          </w:tcPr>
          <w:p w14:paraId="2063B0D7" w14:textId="77777777" w:rsidR="00A30EA4" w:rsidRDefault="00A30EA4" w:rsidP="00275E43">
            <w:pPr>
              <w:pStyle w:val="Marginlie"/>
            </w:pPr>
          </w:p>
        </w:tc>
        <w:tc>
          <w:tcPr>
            <w:tcW w:w="219" w:type="dxa"/>
            <w:vMerge/>
            <w:shd w:val="clear" w:color="auto" w:fill="auto"/>
            <w:tcMar>
              <w:left w:w="0" w:type="dxa"/>
            </w:tcMar>
          </w:tcPr>
          <w:p w14:paraId="2B83EE77" w14:textId="77777777" w:rsidR="00A30EA4" w:rsidRDefault="00A30EA4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7F601435" w14:textId="77777777" w:rsidR="00A30EA4" w:rsidRDefault="00A30EA4" w:rsidP="00275E43">
            <w:pPr>
              <w:tabs>
                <w:tab w:val="right" w:pos="7683"/>
              </w:tabs>
              <w:spacing w:after="0" w:line="240" w:lineRule="auto"/>
              <w:jc w:val="lef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Poznámka: Údaje očištěné o vliv prostředků z EU a Finančních mechanismů jsou k dispozici od roku 2013.</w:t>
            </w:r>
          </w:p>
          <w:p w14:paraId="23F43250" w14:textId="77777777" w:rsidR="00A30EA4" w:rsidRPr="00E52D45" w:rsidRDefault="00A30EA4" w:rsidP="00275E43">
            <w:pPr>
              <w:tabs>
                <w:tab w:val="right" w:pos="7683"/>
              </w:tabs>
              <w:spacing w:line="240" w:lineRule="auto"/>
              <w:jc w:val="lef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* Zahrnuje d</w:t>
            </w:r>
            <w:r w:rsidRPr="00A66749">
              <w:rPr>
                <w:spacing w:val="-2"/>
                <w:sz w:val="14"/>
                <w:szCs w:val="14"/>
              </w:rPr>
              <w:t>aňové příjmy bez pojistného na sociální zabezpečení.</w:t>
            </w:r>
            <w:r>
              <w:rPr>
                <w:spacing w:val="-2"/>
                <w:sz w:val="14"/>
                <w:szCs w:val="14"/>
              </w:rPr>
              <w:tab/>
            </w:r>
            <w:r w:rsidRPr="00A66749">
              <w:rPr>
                <w:spacing w:val="-2"/>
                <w:sz w:val="14"/>
                <w:szCs w:val="14"/>
              </w:rPr>
              <w:t>Zdroj: MF ČR</w:t>
            </w:r>
          </w:p>
        </w:tc>
      </w:tr>
      <w:tr w:rsidR="00A30EA4" w:rsidRPr="007B3A78" w14:paraId="2E161B7E" w14:textId="77777777" w:rsidTr="00275E43">
        <w:trPr>
          <w:trHeight w:val="170"/>
        </w:trPr>
        <w:tc>
          <w:tcPr>
            <w:tcW w:w="1780" w:type="dxa"/>
            <w:shd w:val="clear" w:color="auto" w:fill="auto"/>
            <w:tcMar>
              <w:left w:w="0" w:type="dxa"/>
            </w:tcMar>
          </w:tcPr>
          <w:p w14:paraId="6FCA6733" w14:textId="77777777" w:rsidR="00A30EA4" w:rsidRDefault="00A30EA4" w:rsidP="00275E43">
            <w:pPr>
              <w:pStyle w:val="Marginlie"/>
            </w:pPr>
            <w:r>
              <w:t>Svižný růst výběru daně z příjmů od fyzických osob odrážel rychlé zotavení trhu práce. Vlivem legislativních úprav však výběr citelně zaostával za předpandemickou úrovní.</w:t>
            </w:r>
          </w:p>
        </w:tc>
        <w:tc>
          <w:tcPr>
            <w:tcW w:w="219" w:type="dxa"/>
            <w:shd w:val="clear" w:color="auto" w:fill="auto"/>
            <w:tcMar>
              <w:left w:w="0" w:type="dxa"/>
            </w:tcMar>
          </w:tcPr>
          <w:p w14:paraId="42E5F043" w14:textId="77777777" w:rsidR="00A30EA4" w:rsidRDefault="00A30EA4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0A3F0100" w14:textId="77777777" w:rsidR="00A30EA4" w:rsidRPr="00A92514" w:rsidRDefault="00A30EA4" w:rsidP="00354502">
            <w:pPr>
              <w:rPr>
                <w:spacing w:val="-4"/>
              </w:rPr>
            </w:pPr>
            <w:r>
              <w:rPr>
                <w:spacing w:val="-4"/>
              </w:rPr>
              <w:t xml:space="preserve">Z inkasa </w:t>
            </w:r>
            <w:r w:rsidRPr="00FF192C">
              <w:rPr>
                <w:spacing w:val="-4"/>
              </w:rPr>
              <w:t>daně z příjmů od fyzických osob (DPFO</w:t>
            </w:r>
            <w:r>
              <w:rPr>
                <w:spacing w:val="-4"/>
              </w:rPr>
              <w:t xml:space="preserve">) plynulo do SR </w:t>
            </w:r>
            <w:r w:rsidRPr="00FF192C">
              <w:rPr>
                <w:spacing w:val="-4"/>
              </w:rPr>
              <w:t>meziročně</w:t>
            </w:r>
            <w:r>
              <w:rPr>
                <w:spacing w:val="-4"/>
              </w:rPr>
              <w:t xml:space="preserve"> o 14,2 % více, což souviselo především s vyšší zaměstnaností a svižným</w:t>
            </w:r>
            <w:r w:rsidRPr="00FF192C">
              <w:rPr>
                <w:spacing w:val="-4"/>
              </w:rPr>
              <w:t xml:space="preserve"> nominální</w:t>
            </w:r>
            <w:r>
              <w:rPr>
                <w:spacing w:val="-4"/>
              </w:rPr>
              <w:t>m růstem</w:t>
            </w:r>
            <w:r w:rsidRPr="00FF192C">
              <w:rPr>
                <w:spacing w:val="-4"/>
              </w:rPr>
              <w:t xml:space="preserve"> průměrných </w:t>
            </w:r>
            <w:r w:rsidRPr="00E341B7">
              <w:rPr>
                <w:spacing w:val="-6"/>
              </w:rPr>
              <w:t>mezd v soukromé sféře. Výplata kompenzačního bonusu (na pomoc drobným podnikatelům)</w:t>
            </w:r>
            <w:r w:rsidRPr="00FF192C">
              <w:rPr>
                <w:spacing w:val="-4"/>
              </w:rPr>
              <w:t xml:space="preserve"> sice stále negativně ovlivňovala výběr DPFO, ale </w:t>
            </w:r>
            <w:r>
              <w:rPr>
                <w:spacing w:val="-4"/>
              </w:rPr>
              <w:t xml:space="preserve">v </w:t>
            </w:r>
            <w:r w:rsidRPr="00FF192C">
              <w:rPr>
                <w:spacing w:val="-4"/>
              </w:rPr>
              <w:t>menší míře než vloni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br/>
              <w:t>(-9,5 mld. korun)</w:t>
            </w:r>
            <w:r w:rsidRPr="00FF192C">
              <w:rPr>
                <w:spacing w:val="-4"/>
              </w:rPr>
              <w:t>. Naopak jiné legislativní úpravy (pokračující zvyšování</w:t>
            </w:r>
            <w:r>
              <w:rPr>
                <w:spacing w:val="-4"/>
              </w:rPr>
              <w:t xml:space="preserve"> daňové slevy na poplatníka, v</w:t>
            </w:r>
            <w:r w:rsidRPr="00FF192C">
              <w:rPr>
                <w:spacing w:val="-4"/>
              </w:rPr>
              <w:t>yšší daňové zvýhodnění na děti</w:t>
            </w:r>
            <w:r>
              <w:rPr>
                <w:spacing w:val="-4"/>
              </w:rPr>
              <w:t xml:space="preserve"> či zrušení stropu na uplatnění daňového bonusu</w:t>
            </w:r>
            <w:r w:rsidRPr="00FF192C">
              <w:rPr>
                <w:spacing w:val="-4"/>
              </w:rPr>
              <w:t xml:space="preserve">) </w:t>
            </w:r>
            <w:r>
              <w:rPr>
                <w:spacing w:val="-4"/>
              </w:rPr>
              <w:t>brzdily v úhrnu letos tempo růstu výběru</w:t>
            </w:r>
            <w:r w:rsidRPr="00FF192C">
              <w:rPr>
                <w:spacing w:val="-4"/>
              </w:rPr>
              <w:t xml:space="preserve"> daně intenzivněji.</w:t>
            </w:r>
            <w:r>
              <w:rPr>
                <w:spacing w:val="-4"/>
              </w:rPr>
              <w:t xml:space="preserve"> K růstu inkasa DPFO přispěla nejvíce váhově dominantní daň placená</w:t>
            </w:r>
            <w:r w:rsidRPr="00ED755B">
              <w:rPr>
                <w:spacing w:val="-4"/>
              </w:rPr>
              <w:t xml:space="preserve"> plátci (za zaměstnance)</w:t>
            </w:r>
            <w:r>
              <w:rPr>
                <w:spacing w:val="-4"/>
              </w:rPr>
              <w:t>, jejíž výběr meziročně vzrostl o 8,6 %</w:t>
            </w:r>
            <w:r>
              <w:rPr>
                <w:rStyle w:val="Znakapoznpodarou"/>
                <w:spacing w:val="-4"/>
              </w:rPr>
              <w:footnoteReference w:id="8"/>
            </w:r>
            <w:r>
              <w:rPr>
                <w:spacing w:val="-4"/>
              </w:rPr>
              <w:t xml:space="preserve">. Dynamičtěji vzrostlo inkaso ostatních příjmových daní od fyzických osob – u daně placené </w:t>
            </w:r>
            <w:r w:rsidRPr="007A2948">
              <w:rPr>
                <w:spacing w:val="-4"/>
              </w:rPr>
              <w:t>poplatníky (za osoby podávající přiznání)</w:t>
            </w:r>
            <w:r>
              <w:rPr>
                <w:spacing w:val="-4"/>
              </w:rPr>
              <w:t xml:space="preserve"> díky loňskému hospodářskému oživení i úpravě sazby daně pro vysoké příjmy, u srážkové daně vlivem </w:t>
            </w:r>
            <w:r>
              <w:rPr>
                <w:spacing w:val="-4"/>
              </w:rPr>
              <w:lastRenderedPageBreak/>
              <w:t>růstu úrokových sazeb na vkladech i navýšení počtu osob pracujících formou dohod (související i se zapojením ukrajinských uprchlíků na tuzemský pracovní trh).</w:t>
            </w:r>
          </w:p>
        </w:tc>
      </w:tr>
      <w:tr w:rsidR="00A30EA4" w:rsidRPr="007B3A78" w14:paraId="2B94838B" w14:textId="77777777" w:rsidTr="00275E43">
        <w:trPr>
          <w:trHeight w:val="170"/>
        </w:trPr>
        <w:tc>
          <w:tcPr>
            <w:tcW w:w="1780" w:type="dxa"/>
            <w:shd w:val="clear" w:color="auto" w:fill="auto"/>
            <w:tcMar>
              <w:left w:w="0" w:type="dxa"/>
            </w:tcMar>
          </w:tcPr>
          <w:p w14:paraId="212976FC" w14:textId="77777777" w:rsidR="00A30EA4" w:rsidRDefault="00A30EA4" w:rsidP="00275E43">
            <w:pPr>
              <w:pStyle w:val="Marginlie"/>
            </w:pPr>
            <w:r>
              <w:lastRenderedPageBreak/>
              <w:t xml:space="preserve">Zatímco na počátku roku byly výdaje SR tlumeny rozpočtovým provizoriem, následně došlo k fiskální expanzi související s dopady pádivé inflace </w:t>
            </w:r>
            <w:r>
              <w:br/>
              <w:t>i válkou na Ukrajině.</w:t>
            </w:r>
          </w:p>
        </w:tc>
        <w:tc>
          <w:tcPr>
            <w:tcW w:w="219" w:type="dxa"/>
            <w:shd w:val="clear" w:color="auto" w:fill="auto"/>
            <w:tcMar>
              <w:left w:w="0" w:type="dxa"/>
            </w:tcMar>
          </w:tcPr>
          <w:p w14:paraId="4EC65C97" w14:textId="77777777" w:rsidR="00A30EA4" w:rsidRDefault="00A30EA4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2ADAEBCB" w14:textId="77777777" w:rsidR="00A30EA4" w:rsidRPr="00862F80" w:rsidRDefault="00A30EA4" w:rsidP="00275E43">
            <w:pPr>
              <w:spacing w:after="200"/>
              <w:rPr>
                <w:color w:val="0D0D0D" w:themeColor="text1" w:themeTint="F2"/>
                <w:spacing w:val="-4"/>
              </w:rPr>
            </w:pPr>
            <w:r w:rsidRPr="00862F80">
              <w:rPr>
                <w:color w:val="0D0D0D" w:themeColor="text1" w:themeTint="F2"/>
                <w:spacing w:val="-4"/>
              </w:rPr>
              <w:t>Celkové výdaje SR se za 1. až 3. čtvrtletí meziročně mírně zvýšily (+2,4 %), k čemuž přispěly jak běžné výdaje (+20,3 mld. korun), tak investice (+13,2 mld.). Čerpání výdajů během dosavadní části roku vykazovalo větší nerovnoměrnost. Zatímco v 1. čtvrtletí ho limitoval režim rozpočtového provizoria</w:t>
            </w:r>
            <w:r w:rsidRPr="00862F80">
              <w:rPr>
                <w:rStyle w:val="Znakapoznpodarou"/>
                <w:color w:val="0D0D0D" w:themeColor="text1" w:themeTint="F2"/>
                <w:spacing w:val="-4"/>
              </w:rPr>
              <w:footnoteReference w:id="9"/>
            </w:r>
            <w:r w:rsidRPr="00862F80">
              <w:rPr>
                <w:color w:val="0D0D0D" w:themeColor="text1" w:themeTint="F2"/>
                <w:spacing w:val="-4"/>
              </w:rPr>
              <w:t xml:space="preserve">, v následujícím období vyvstala potřeba mimořádných výdajů souvisejících s válečným konfliktem na Ukrajině (zahraniční pomoc, výdaje na integraci uprchlíků v Česku, krizový management v oblasti státních hmotných rezerv). Vedle toho stimulovaly fiskální expanzi dopady akcelerující inflace v Česku </w:t>
            </w:r>
            <w:r>
              <w:rPr>
                <w:color w:val="0D0D0D" w:themeColor="text1" w:themeTint="F2"/>
                <w:spacing w:val="-4"/>
              </w:rPr>
              <w:br/>
            </w:r>
            <w:r w:rsidRPr="00862F80">
              <w:rPr>
                <w:color w:val="0D0D0D" w:themeColor="text1" w:themeTint="F2"/>
                <w:spacing w:val="-4"/>
              </w:rPr>
              <w:t>i letního strmého růstu cen energií na světových trzích, které vyústily v potřebu valorizace důchodů i dalších sociálních dávek či zavedení úsporného energetického tarifu na pomoc domácnostem. Tyto výdaje spolu s doznívajícími fiskálními dopady pandemie (zejména v oblasti zdravotnictví) přispěly k tomu, že celkové běžné výdaje SR byly letos ve srovnání s rokem 2019 vyšší o 28 % (z toho v samotném 2. čtvrtletí o 39 %).</w:t>
            </w:r>
          </w:p>
        </w:tc>
      </w:tr>
      <w:tr w:rsidR="00A30EA4" w:rsidRPr="007B3A78" w14:paraId="05940570" w14:textId="77777777" w:rsidTr="00275E43">
        <w:trPr>
          <w:trHeight w:val="170"/>
        </w:trPr>
        <w:tc>
          <w:tcPr>
            <w:tcW w:w="1780" w:type="dxa"/>
            <w:shd w:val="clear" w:color="auto" w:fill="auto"/>
            <w:tcMar>
              <w:left w:w="0" w:type="dxa"/>
            </w:tcMar>
          </w:tcPr>
          <w:p w14:paraId="7B873932" w14:textId="77777777" w:rsidR="00A30EA4" w:rsidRDefault="00A30EA4" w:rsidP="00275E43">
            <w:pPr>
              <w:pStyle w:val="Marginlie"/>
            </w:pPr>
            <w:r>
              <w:t>Ve vyšších běžných výdajích se letos výrazně promítla trojí valorizace důchodů.</w:t>
            </w:r>
          </w:p>
        </w:tc>
        <w:tc>
          <w:tcPr>
            <w:tcW w:w="219" w:type="dxa"/>
            <w:shd w:val="clear" w:color="auto" w:fill="auto"/>
            <w:tcMar>
              <w:left w:w="0" w:type="dxa"/>
            </w:tcMar>
          </w:tcPr>
          <w:p w14:paraId="0DAA1ADE" w14:textId="77777777" w:rsidR="00A30EA4" w:rsidRDefault="00A30EA4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51D5791C" w14:textId="77777777" w:rsidR="00A30EA4" w:rsidRPr="00862F80" w:rsidRDefault="00A30EA4" w:rsidP="00275E43">
            <w:pPr>
              <w:spacing w:after="200"/>
              <w:rPr>
                <w:spacing w:val="-4"/>
                <w:szCs w:val="20"/>
              </w:rPr>
            </w:pPr>
            <w:r w:rsidRPr="00862F80">
              <w:rPr>
                <w:color w:val="0D0D0D" w:themeColor="text1" w:themeTint="F2"/>
                <w:spacing w:val="-4"/>
              </w:rPr>
              <w:t>Meziroční růst běžných výdajů byl letos poháněn zejména sílícími prostředky na sociální dávky. Ty vzrostly za tři čtvrtletí o 9,6 %, resp. 50 mld. kor</w:t>
            </w:r>
            <w:r>
              <w:rPr>
                <w:color w:val="0D0D0D" w:themeColor="text1" w:themeTint="F2"/>
                <w:spacing w:val="-4"/>
              </w:rPr>
              <w:t>un (z toho</w:t>
            </w:r>
            <w:r w:rsidRPr="00862F80">
              <w:rPr>
                <w:color w:val="0D0D0D" w:themeColor="text1" w:themeTint="F2"/>
                <w:spacing w:val="-4"/>
              </w:rPr>
              <w:t xml:space="preserve"> ve 3. kvartálu o 16,9 %). </w:t>
            </w:r>
            <w:r>
              <w:rPr>
                <w:color w:val="0D0D0D" w:themeColor="text1" w:themeTint="F2"/>
                <w:spacing w:val="-4"/>
              </w:rPr>
              <w:t>Zásadní roli</w:t>
            </w:r>
            <w:r w:rsidRPr="00862F80">
              <w:rPr>
                <w:color w:val="0D0D0D" w:themeColor="text1" w:themeTint="F2"/>
                <w:spacing w:val="-4"/>
              </w:rPr>
              <w:t xml:space="preserve"> mělo navý</w:t>
            </w:r>
            <w:r>
              <w:rPr>
                <w:color w:val="0D0D0D" w:themeColor="text1" w:themeTint="F2"/>
                <w:spacing w:val="-4"/>
              </w:rPr>
              <w:t xml:space="preserve">šení výdajů na důchody o 9,2 % </w:t>
            </w:r>
            <w:r w:rsidRPr="00A62FEE">
              <w:rPr>
                <w:spacing w:val="-4"/>
              </w:rPr>
              <w:t>–</w:t>
            </w:r>
            <w:r>
              <w:rPr>
                <w:spacing w:val="-4"/>
              </w:rPr>
              <w:t xml:space="preserve"> </w:t>
            </w:r>
            <w:r w:rsidRPr="00862F80">
              <w:rPr>
                <w:spacing w:val="-4"/>
                <w:szCs w:val="20"/>
              </w:rPr>
              <w:t xml:space="preserve">srovnatelným tempem přitom </w:t>
            </w:r>
            <w:r>
              <w:rPr>
                <w:spacing w:val="-4"/>
                <w:szCs w:val="20"/>
              </w:rPr>
              <w:t xml:space="preserve">rostly </w:t>
            </w:r>
            <w:r w:rsidRPr="00862F80">
              <w:rPr>
                <w:spacing w:val="-4"/>
                <w:szCs w:val="20"/>
              </w:rPr>
              <w:t>naposledy v krizovém roce 2009. Od ledna do září se letos uskutečnila trojí zákonná valorizace důchodů</w:t>
            </w:r>
            <w:r w:rsidRPr="00862F80">
              <w:rPr>
                <w:rStyle w:val="Znakapoznpodarou"/>
                <w:spacing w:val="-4"/>
                <w:szCs w:val="20"/>
              </w:rPr>
              <w:footnoteReference w:id="10"/>
            </w:r>
            <w:r w:rsidRPr="00862F80">
              <w:rPr>
                <w:spacing w:val="-4"/>
                <w:szCs w:val="20"/>
              </w:rPr>
              <w:t xml:space="preserve">. Počet příjemců důchodů třetím rokem </w:t>
            </w:r>
            <w:r>
              <w:rPr>
                <w:spacing w:val="-4"/>
                <w:szCs w:val="20"/>
              </w:rPr>
              <w:t xml:space="preserve">v </w:t>
            </w:r>
            <w:r w:rsidRPr="00862F80">
              <w:rPr>
                <w:spacing w:val="-4"/>
                <w:szCs w:val="20"/>
              </w:rPr>
              <w:t xml:space="preserve">řadě klesal, v úhrnu byl oproti </w:t>
            </w:r>
            <w:r w:rsidRPr="00791977">
              <w:rPr>
                <w:spacing w:val="-6"/>
                <w:szCs w:val="20"/>
              </w:rPr>
              <w:t xml:space="preserve">září 2019 nižší o 1,7 %, hlavně vlivem zvýšené úmrtnosti. </w:t>
            </w:r>
            <w:r w:rsidRPr="00791977">
              <w:rPr>
                <w:spacing w:val="-6"/>
              </w:rPr>
              <w:t>Dobrá kondice trhu práce se odrazila</w:t>
            </w:r>
            <w:r w:rsidRPr="00862F80">
              <w:rPr>
                <w:spacing w:val="-4"/>
              </w:rPr>
              <w:t xml:space="preserve"> v pokračujícím růstu příjmů </w:t>
            </w:r>
            <w:r w:rsidRPr="00862F80">
              <w:rPr>
                <w:rFonts w:cs="Arial"/>
                <w:color w:val="0D0D0D" w:themeColor="text1" w:themeTint="F2"/>
                <w:spacing w:val="-4"/>
              </w:rPr>
              <w:t>důchodového pojištění (+6,1 %). Deficit důchodového účtu</w:t>
            </w:r>
            <w:r w:rsidRPr="00862F80">
              <w:rPr>
                <w:rStyle w:val="Znakapoznpodarou"/>
                <w:color w:val="0D0D0D" w:themeColor="text1" w:themeTint="F2"/>
                <w:spacing w:val="-4"/>
              </w:rPr>
              <w:footnoteReference w:id="11"/>
            </w:r>
            <w:r w:rsidRPr="00862F80">
              <w:rPr>
                <w:rFonts w:cs="Arial"/>
                <w:color w:val="0D0D0D" w:themeColor="text1" w:themeTint="F2"/>
                <w:spacing w:val="-4"/>
              </w:rPr>
              <w:t xml:space="preserve"> se přesto meziročně citelně prohloubil (na 15,5 mld. korun) a</w:t>
            </w:r>
            <w:r w:rsidRPr="00862F80">
              <w:rPr>
                <w:spacing w:val="-4"/>
                <w:szCs w:val="20"/>
              </w:rPr>
              <w:t> </w:t>
            </w:r>
            <w:r w:rsidRPr="00862F80">
              <w:rPr>
                <w:rFonts w:cs="Arial"/>
                <w:color w:val="0D0D0D" w:themeColor="text1" w:themeTint="F2"/>
                <w:spacing w:val="-4"/>
              </w:rPr>
              <w:t xml:space="preserve">přetrvával již třetím rokem v řadě. </w:t>
            </w:r>
          </w:p>
        </w:tc>
      </w:tr>
      <w:tr w:rsidR="00A30EA4" w:rsidRPr="007B3A78" w14:paraId="256DE563" w14:textId="77777777" w:rsidTr="00275E43">
        <w:trPr>
          <w:trHeight w:val="170"/>
        </w:trPr>
        <w:tc>
          <w:tcPr>
            <w:tcW w:w="1780" w:type="dxa"/>
            <w:shd w:val="clear" w:color="auto" w:fill="auto"/>
            <w:tcMar>
              <w:left w:w="0" w:type="dxa"/>
            </w:tcMar>
          </w:tcPr>
          <w:p w14:paraId="1AA13A22" w14:textId="77777777" w:rsidR="00A30EA4" w:rsidRDefault="00A30EA4" w:rsidP="00275E43">
            <w:pPr>
              <w:pStyle w:val="Marginlie"/>
            </w:pPr>
            <w:r>
              <w:t xml:space="preserve">Ostatní sociální dávky rostly také svižně. Souviselo to s pomocí uprchlíkům i s vyšším čerpáním státní sociální podpory. </w:t>
            </w:r>
          </w:p>
          <w:p w14:paraId="363FF6C8" w14:textId="77777777" w:rsidR="00A30EA4" w:rsidRDefault="00A30EA4" w:rsidP="00275E43">
            <w:pPr>
              <w:pStyle w:val="Marginlie"/>
            </w:pPr>
          </w:p>
          <w:p w14:paraId="4EEB149F" w14:textId="77777777" w:rsidR="00A30EA4" w:rsidRDefault="00A30EA4" w:rsidP="00275E43">
            <w:pPr>
              <w:pStyle w:val="Marginlie"/>
            </w:pPr>
          </w:p>
          <w:p w14:paraId="2B82F9EB" w14:textId="77777777" w:rsidR="00A30EA4" w:rsidRDefault="00A30EA4" w:rsidP="00275E43">
            <w:pPr>
              <w:pStyle w:val="Marginlie"/>
            </w:pPr>
          </w:p>
          <w:p w14:paraId="5ABA8443" w14:textId="77777777" w:rsidR="00A30EA4" w:rsidRDefault="00A30EA4" w:rsidP="00275E43">
            <w:pPr>
              <w:pStyle w:val="Marginlie"/>
            </w:pPr>
            <w:r>
              <w:t>Dávky nemocenského pojištění se snížily, přesto stále převyšovaly příjmy z pojistného.</w:t>
            </w:r>
          </w:p>
        </w:tc>
        <w:tc>
          <w:tcPr>
            <w:tcW w:w="219" w:type="dxa"/>
            <w:shd w:val="clear" w:color="auto" w:fill="auto"/>
            <w:tcMar>
              <w:left w:w="0" w:type="dxa"/>
            </w:tcMar>
          </w:tcPr>
          <w:p w14:paraId="4070DAA7" w14:textId="77777777" w:rsidR="00A30EA4" w:rsidRDefault="00A30EA4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44810A1D" w14:textId="77777777" w:rsidR="00A30EA4" w:rsidRPr="008F62A2" w:rsidRDefault="00A30EA4" w:rsidP="00275E43">
            <w:pPr>
              <w:spacing w:after="200"/>
              <w:rPr>
                <w:color w:val="0D0D0D" w:themeColor="text1" w:themeTint="F2"/>
                <w:spacing w:val="-5"/>
              </w:rPr>
            </w:pPr>
            <w:r>
              <w:rPr>
                <w:rFonts w:cs="Arial"/>
                <w:color w:val="0D0D0D" w:themeColor="text1" w:themeTint="F2"/>
                <w:spacing w:val="-5"/>
              </w:rPr>
              <w:t xml:space="preserve">Na vyšších výdajích SR se letos (na rozdíl od loňského roku) významně podílely </w:t>
            </w:r>
            <w:r>
              <w:rPr>
                <w:rFonts w:cs="Arial"/>
                <w:color w:val="0D0D0D" w:themeColor="text1" w:themeTint="F2"/>
                <w:spacing w:val="-5"/>
              </w:rPr>
              <w:br/>
              <w:t xml:space="preserve">i nedůchodové sociální dávky, jež za tři čtvrtletí meziročně vzrostly o více než desetinu. Zásadní roli zde sehrály vyšší výplaty </w:t>
            </w:r>
            <w:r>
              <w:rPr>
                <w:spacing w:val="-4"/>
              </w:rPr>
              <w:t xml:space="preserve">mimořádné okamžité pomoci </w:t>
            </w:r>
            <w:r w:rsidRPr="00792C18">
              <w:rPr>
                <w:spacing w:val="-4"/>
              </w:rPr>
              <w:t>zahrnující zejména humanitární dávku</w:t>
            </w:r>
            <w:r>
              <w:rPr>
                <w:spacing w:val="-4"/>
              </w:rPr>
              <w:t xml:space="preserve"> uprchlíkům z Ukrajiny (6,7</w:t>
            </w:r>
            <w:r w:rsidRPr="00792C18">
              <w:rPr>
                <w:spacing w:val="-4"/>
              </w:rPr>
              <w:t xml:space="preserve"> mld. korun</w:t>
            </w:r>
            <w:r>
              <w:rPr>
                <w:spacing w:val="-4"/>
              </w:rPr>
              <w:t>), nárůst objemu příspěvků na péči (+2,7 mld.)</w:t>
            </w:r>
            <w:r>
              <w:rPr>
                <w:rStyle w:val="Znakapoznpodarou"/>
                <w:spacing w:val="-4"/>
              </w:rPr>
              <w:footnoteReference w:id="12"/>
            </w:r>
            <w:r>
              <w:rPr>
                <w:spacing w:val="-4"/>
              </w:rPr>
              <w:t xml:space="preserve"> a také dávek státní sociální podpory (SSP, +4,7 mld.). Tyto dávky rostly primárně vlivem výplaty jednorázového příspěvku na dítě</w:t>
            </w:r>
            <w:r>
              <w:rPr>
                <w:rStyle w:val="Znakapoznpodarou"/>
                <w:spacing w:val="-4"/>
              </w:rPr>
              <w:footnoteReference w:id="13"/>
            </w:r>
            <w:r>
              <w:rPr>
                <w:spacing w:val="-4"/>
              </w:rPr>
              <w:t>, přídavků na dítě (díky rozšíření počtu příjemců s nárokem na dávku) a příspěvků na bydlení (vlivem zvýšení nákladů uznatelných pro výplatu). Opačně působil mírný pokles čerpání u váhově dominantní položky SSP – rodičovských příspěvků (-1,8 mld. korun). O řád méně „uspořil“ SR také na dávkách v nezaměstnanosti (v samotném 3. čtvrtletí 2022 ale jejich čerpání již meziročně mírně rostlo, podobně jako u příspěvků na živobytí). Zásadní zlepšení epidemické situace vyústilo v</w:t>
            </w:r>
            <w:r w:rsidRPr="009D0086">
              <w:rPr>
                <w:spacing w:val="-4"/>
              </w:rPr>
              <w:t xml:space="preserve"> pokles výplaty ošetřovného (-2,6 mld. korun) a nemocenského (-0,7 mld.)</w:t>
            </w:r>
            <w:r>
              <w:rPr>
                <w:spacing w:val="-4"/>
              </w:rPr>
              <w:t>, oproti 1. až 3. čtvrtletí 2019 ovšem SR vydal na těchto dávkách o čtvrtinu více</w:t>
            </w:r>
            <w:r>
              <w:rPr>
                <w:rStyle w:val="Znakapoznpodarou"/>
                <w:spacing w:val="-4"/>
              </w:rPr>
              <w:footnoteReference w:id="14"/>
            </w:r>
            <w:r>
              <w:rPr>
                <w:spacing w:val="-4"/>
              </w:rPr>
              <w:t>.</w:t>
            </w:r>
          </w:p>
        </w:tc>
      </w:tr>
      <w:tr w:rsidR="00A30EA4" w:rsidRPr="008266F0" w14:paraId="7C1049E8" w14:textId="77777777" w:rsidTr="00275E43">
        <w:trPr>
          <w:trHeight w:val="145"/>
        </w:trPr>
        <w:tc>
          <w:tcPr>
            <w:tcW w:w="1780" w:type="dxa"/>
            <w:shd w:val="clear" w:color="auto" w:fill="auto"/>
            <w:tcMar>
              <w:left w:w="0" w:type="dxa"/>
            </w:tcMar>
          </w:tcPr>
          <w:p w14:paraId="0405BB32" w14:textId="77777777" w:rsidR="00A30EA4" w:rsidRDefault="00A30EA4" w:rsidP="00275E43">
            <w:pPr>
              <w:pStyle w:val="Marginlie"/>
            </w:pPr>
            <w:r>
              <w:t>Výdaje na neinvestiční nákupy státu výrazně posílily.</w:t>
            </w:r>
          </w:p>
        </w:tc>
        <w:tc>
          <w:tcPr>
            <w:tcW w:w="219" w:type="dxa"/>
            <w:shd w:val="clear" w:color="auto" w:fill="auto"/>
            <w:tcMar>
              <w:left w:w="0" w:type="dxa"/>
            </w:tcMar>
          </w:tcPr>
          <w:p w14:paraId="6AEB116D" w14:textId="77777777" w:rsidR="00A30EA4" w:rsidRDefault="00A30EA4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57087F81" w14:textId="77777777" w:rsidR="00A30EA4" w:rsidRPr="00AB5EA8" w:rsidRDefault="00A30EA4" w:rsidP="00A30EA4">
            <w:pPr>
              <w:rPr>
                <w:spacing w:val="-5"/>
              </w:rPr>
            </w:pPr>
            <w:r w:rsidRPr="00AB5EA8">
              <w:rPr>
                <w:spacing w:val="-5"/>
              </w:rPr>
              <w:t>Mimo oblast sociálních dávek přispěly k růstu celkových běžných výdajů nejvíce neinvestiční nákupy státu (+28 %, resp. 13,9 mld. korun), u</w:t>
            </w:r>
            <w:r w:rsidRPr="00AB5EA8">
              <w:rPr>
                <w:color w:val="0D0D0D" w:themeColor="text1" w:themeTint="F2"/>
                <w:spacing w:val="-5"/>
              </w:rPr>
              <w:t> </w:t>
            </w:r>
            <w:r w:rsidRPr="00AB5EA8">
              <w:rPr>
                <w:spacing w:val="-5"/>
              </w:rPr>
              <w:t xml:space="preserve">nichž se projevily vyšší výdaje na </w:t>
            </w:r>
            <w:r w:rsidRPr="00AB5EA8">
              <w:rPr>
                <w:color w:val="0D0D0D" w:themeColor="text1" w:themeTint="F2"/>
                <w:spacing w:val="-5"/>
              </w:rPr>
              <w:t xml:space="preserve">posilování státních hmotných rezerv (primárně zemního plynu), úhrada starších nákladů České poště, rostoucí ceny za spotřebované energie či </w:t>
            </w:r>
            <w:r w:rsidRPr="00AB5EA8">
              <w:rPr>
                <w:spacing w:val="-5"/>
              </w:rPr>
              <w:t xml:space="preserve">vyšší potřeba nákupu léků a zdravotnického </w:t>
            </w:r>
            <w:r w:rsidRPr="00AB5EA8">
              <w:rPr>
                <w:spacing w:val="-5"/>
              </w:rPr>
              <w:lastRenderedPageBreak/>
              <w:t>materiálu. SR letos více zatížily i dočasně zvýšené platby za tzv. státní pojištěnce (+7,2 mld. korun %)</w:t>
            </w:r>
            <w:r w:rsidRPr="00AB5EA8">
              <w:rPr>
                <w:rStyle w:val="Znakapoznpodarou"/>
                <w:spacing w:val="-5"/>
              </w:rPr>
              <w:footnoteReference w:id="15"/>
            </w:r>
            <w:r w:rsidRPr="00AB5EA8">
              <w:rPr>
                <w:spacing w:val="-5"/>
              </w:rPr>
              <w:t>. Mírněji, ale dlouhodobě rostou i povinné odvody ČR do rozpočtu EU.</w:t>
            </w:r>
          </w:p>
        </w:tc>
      </w:tr>
      <w:tr w:rsidR="00A30EA4" w:rsidRPr="008266F0" w14:paraId="56A0BACE" w14:textId="77777777" w:rsidTr="00275E43">
        <w:trPr>
          <w:trHeight w:val="145"/>
        </w:trPr>
        <w:tc>
          <w:tcPr>
            <w:tcW w:w="1780" w:type="dxa"/>
            <w:shd w:val="clear" w:color="auto" w:fill="auto"/>
            <w:tcMar>
              <w:left w:w="0" w:type="dxa"/>
            </w:tcMar>
          </w:tcPr>
          <w:p w14:paraId="17F04584" w14:textId="77777777" w:rsidR="00A30EA4" w:rsidRDefault="00A30EA4" w:rsidP="00275E43">
            <w:pPr>
              <w:pStyle w:val="Marginlie"/>
            </w:pPr>
            <w:r>
              <w:lastRenderedPageBreak/>
              <w:t>Rozpočtově očekávaný propad běžných transferů podnikatelům souvisel s útlumem záchranných programů za pandemie.</w:t>
            </w:r>
          </w:p>
          <w:p w14:paraId="77A792B8" w14:textId="77777777" w:rsidR="00A30EA4" w:rsidRDefault="00A30EA4" w:rsidP="00275E43">
            <w:pPr>
              <w:pStyle w:val="Marginlie"/>
            </w:pPr>
          </w:p>
          <w:p w14:paraId="72B49EC4" w14:textId="77777777" w:rsidR="00A30EA4" w:rsidRDefault="00A30EA4" w:rsidP="00275E43">
            <w:pPr>
              <w:pStyle w:val="Marginlie"/>
            </w:pPr>
          </w:p>
          <w:p w14:paraId="163BC436" w14:textId="77777777" w:rsidR="00A30EA4" w:rsidRDefault="00A30EA4" w:rsidP="00275E43">
            <w:pPr>
              <w:pStyle w:val="Marginlie"/>
            </w:pPr>
          </w:p>
          <w:p w14:paraId="0DE2FA9A" w14:textId="77777777" w:rsidR="00A30EA4" w:rsidRDefault="00A30EA4" w:rsidP="00275E43">
            <w:pPr>
              <w:pStyle w:val="Marginlie"/>
            </w:pPr>
          </w:p>
          <w:p w14:paraId="57B49526" w14:textId="77777777" w:rsidR="00A30EA4" w:rsidRDefault="00A30EA4" w:rsidP="00275E43">
            <w:pPr>
              <w:pStyle w:val="Marginlie"/>
            </w:pPr>
          </w:p>
          <w:p w14:paraId="45CABD47" w14:textId="77777777" w:rsidR="00A30EA4" w:rsidRDefault="00A30EA4" w:rsidP="00275E43">
            <w:pPr>
              <w:pStyle w:val="Marginlie"/>
            </w:pPr>
          </w:p>
          <w:p w14:paraId="0DCC2AE8" w14:textId="77777777" w:rsidR="00A30EA4" w:rsidRDefault="00A30EA4" w:rsidP="00275E43">
            <w:pPr>
              <w:pStyle w:val="Marginlie"/>
            </w:pPr>
          </w:p>
          <w:p w14:paraId="6C96BF26" w14:textId="77777777" w:rsidR="00A30EA4" w:rsidRDefault="00A30EA4" w:rsidP="00275E43">
            <w:pPr>
              <w:pStyle w:val="Marginlie"/>
            </w:pPr>
            <w:r>
              <w:t xml:space="preserve">Běžné transfery územním rozpočtům shodně jako výdaje na platy v organizačních složkách státu stagnovaly. </w:t>
            </w:r>
          </w:p>
        </w:tc>
        <w:tc>
          <w:tcPr>
            <w:tcW w:w="219" w:type="dxa"/>
            <w:shd w:val="clear" w:color="auto" w:fill="auto"/>
            <w:tcMar>
              <w:left w:w="0" w:type="dxa"/>
            </w:tcMar>
          </w:tcPr>
          <w:p w14:paraId="6E300FD6" w14:textId="77777777" w:rsidR="00A30EA4" w:rsidRDefault="00A30EA4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44DC6879" w14:textId="77777777" w:rsidR="00A30EA4" w:rsidRPr="00D94406" w:rsidRDefault="00A30EA4" w:rsidP="00275E43">
            <w:pPr>
              <w:spacing w:after="210"/>
              <w:rPr>
                <w:color w:val="0D0D0D" w:themeColor="text1" w:themeTint="F2"/>
                <w:spacing w:val="-5"/>
              </w:rPr>
            </w:pPr>
            <w:r w:rsidRPr="00D94406">
              <w:rPr>
                <w:color w:val="0D0D0D" w:themeColor="text1" w:themeTint="F2"/>
                <w:spacing w:val="-5"/>
              </w:rPr>
              <w:t xml:space="preserve">Ve směru poklesu běžných výdajů dle očekávání výrazně působily neinvestiční transfery podnikatelům, jež dosáhly za tři čtvrtletí jen 60 % loňské úrovně a propadly o 41 mld. korun. Projevil se zde zásadní útlum záchranných programů pro podniky zasažené dopady pandemie, dílčí vliv měla také redukce zálohových dotací na obnovitelné zdroje energie </w:t>
            </w:r>
            <w:r w:rsidRPr="00D94406">
              <w:rPr>
                <w:color w:val="0D0D0D" w:themeColor="text1" w:themeTint="F2"/>
                <w:spacing w:val="-5"/>
              </w:rPr>
              <w:br/>
              <w:t>(−3,8 mld. korun). Opačně působily nové dotace na úspory energie (tzv. energetický tarif, sloužící jako pomoc domácnostem) vyplacené letos v září (17,4 mld. korun).</w:t>
            </w:r>
            <w:r>
              <w:rPr>
                <w:color w:val="0D0D0D" w:themeColor="text1" w:themeTint="F2"/>
                <w:spacing w:val="-5"/>
              </w:rPr>
              <w:t xml:space="preserve"> Snížení dotací</w:t>
            </w:r>
            <w:r w:rsidRPr="00D94406">
              <w:rPr>
                <w:color w:val="0D0D0D" w:themeColor="text1" w:themeTint="F2"/>
                <w:spacing w:val="-5"/>
              </w:rPr>
              <w:t xml:space="preserve"> příspěvkovým organizacím (-6,9 %) lze vysvětlit vyšší loňskou základnou ovlivněnou výplatou mimořádných odměn zdravotníkům. S ústupem pandemie souvisel rovněž pokles dotací neziskovým organizacím (-10,9 %), zejména v oblasti školství a sportu.</w:t>
            </w:r>
            <w:r>
              <w:rPr>
                <w:color w:val="0D0D0D" w:themeColor="text1" w:themeTint="F2"/>
                <w:spacing w:val="-5"/>
              </w:rPr>
              <w:t xml:space="preserve"> Snížily se i</w:t>
            </w:r>
            <w:r w:rsidRPr="00D94406">
              <w:rPr>
                <w:color w:val="0D0D0D" w:themeColor="text1" w:themeTint="F2"/>
                <w:spacing w:val="-5"/>
              </w:rPr>
              <w:t> neinvestiční transfery státním fondům (13,4 %), především vlivem nižší potřeby krytí deficitu Státnímu fondu dopravní infrastruktury. Obje</w:t>
            </w:r>
            <w:r>
              <w:rPr>
                <w:color w:val="0D0D0D" w:themeColor="text1" w:themeTint="F2"/>
                <w:spacing w:val="-5"/>
              </w:rPr>
              <w:t>mově významné běžné transfery krajům a</w:t>
            </w:r>
            <w:r w:rsidRPr="00D94406">
              <w:rPr>
                <w:color w:val="0D0D0D" w:themeColor="text1" w:themeTint="F2"/>
                <w:spacing w:val="-5"/>
              </w:rPr>
              <w:t> obcím stagnovaly, neboť mírný růst platových tarifů pedagogů základních a středních škol (+2 %) byl kompenzov</w:t>
            </w:r>
            <w:r>
              <w:rPr>
                <w:color w:val="0D0D0D" w:themeColor="text1" w:themeTint="F2"/>
                <w:spacing w:val="-5"/>
              </w:rPr>
              <w:t>án snížením prostředků na sociální služ</w:t>
            </w:r>
            <w:r w:rsidRPr="00D94406">
              <w:rPr>
                <w:color w:val="0D0D0D" w:themeColor="text1" w:themeTint="F2"/>
                <w:spacing w:val="-5"/>
              </w:rPr>
              <w:t>b</w:t>
            </w:r>
            <w:r>
              <w:rPr>
                <w:color w:val="0D0D0D" w:themeColor="text1" w:themeTint="F2"/>
                <w:spacing w:val="-5"/>
              </w:rPr>
              <w:t>y či lůžkovou péči</w:t>
            </w:r>
            <w:r w:rsidRPr="00D94406">
              <w:rPr>
                <w:color w:val="0D0D0D" w:themeColor="text1" w:themeTint="F2"/>
                <w:spacing w:val="-5"/>
              </w:rPr>
              <w:t xml:space="preserve"> (související s loňskými mimořádnými odměnami). Výdaje na platy v organizačních složkách státu v souladu s rozpočtovým očekáváním druhým rokem v řadě fakticky stagnovaly. </w:t>
            </w:r>
          </w:p>
        </w:tc>
      </w:tr>
      <w:tr w:rsidR="00A30EA4" w:rsidRPr="00F704D2" w14:paraId="6C7927E9" w14:textId="77777777" w:rsidTr="00275E43">
        <w:trPr>
          <w:trHeight w:val="170"/>
        </w:trPr>
        <w:tc>
          <w:tcPr>
            <w:tcW w:w="1780" w:type="dxa"/>
            <w:vMerge w:val="restart"/>
            <w:shd w:val="clear" w:color="auto" w:fill="auto"/>
            <w:tcMar>
              <w:left w:w="0" w:type="dxa"/>
            </w:tcMar>
          </w:tcPr>
          <w:p w14:paraId="6F2B4A4C" w14:textId="77777777" w:rsidR="00A30EA4" w:rsidRDefault="00A30EA4" w:rsidP="00275E43">
            <w:pPr>
              <w:pStyle w:val="Marginlie"/>
            </w:pPr>
          </w:p>
        </w:tc>
        <w:tc>
          <w:tcPr>
            <w:tcW w:w="219" w:type="dxa"/>
            <w:vMerge w:val="restart"/>
            <w:shd w:val="clear" w:color="auto" w:fill="auto"/>
            <w:tcMar>
              <w:left w:w="0" w:type="dxa"/>
            </w:tcMar>
          </w:tcPr>
          <w:p w14:paraId="6ACE412A" w14:textId="77777777" w:rsidR="00A30EA4" w:rsidRDefault="00A30EA4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05A6D655" w14:textId="77777777" w:rsidR="00A30EA4" w:rsidRPr="0033093B" w:rsidRDefault="00A30EA4" w:rsidP="00275E43">
            <w:pPr>
              <w:spacing w:after="20" w:line="240" w:lineRule="auto"/>
              <w:jc w:val="left"/>
              <w:rPr>
                <w:rFonts w:cs="Arial"/>
                <w:bCs/>
                <w:spacing w:val="-3"/>
              </w:rPr>
            </w:pPr>
            <w:r w:rsidRPr="0033093B">
              <w:rPr>
                <w:b/>
                <w:spacing w:val="-3"/>
              </w:rPr>
              <w:t>Graf č. </w:t>
            </w:r>
            <w:proofErr w:type="gramStart"/>
            <w:r w:rsidRPr="0033093B">
              <w:rPr>
                <w:b/>
                <w:spacing w:val="-3"/>
              </w:rPr>
              <w:t xml:space="preserve">17  </w:t>
            </w:r>
            <w:r w:rsidRPr="0033093B">
              <w:rPr>
                <w:rFonts w:cs="Arial"/>
                <w:b/>
                <w:bCs/>
                <w:spacing w:val="-3"/>
              </w:rPr>
              <w:t>Vybrané</w:t>
            </w:r>
            <w:proofErr w:type="gramEnd"/>
            <w:r w:rsidRPr="0033093B">
              <w:rPr>
                <w:rFonts w:cs="Arial"/>
                <w:b/>
                <w:bCs/>
                <w:spacing w:val="-3"/>
              </w:rPr>
              <w:t xml:space="preserve"> výdaje státního rozpočtu v rámci 1. až 3. čtvrtletí</w:t>
            </w:r>
            <w:r w:rsidRPr="0033093B">
              <w:rPr>
                <w:spacing w:val="-3"/>
              </w:rPr>
              <w:t xml:space="preserve"> </w:t>
            </w:r>
            <w:r w:rsidRPr="0033093B">
              <w:rPr>
                <w:rFonts w:cs="Arial"/>
                <w:bCs/>
                <w:spacing w:val="-3"/>
              </w:rPr>
              <w:t>(v mld. korun)</w:t>
            </w:r>
          </w:p>
        </w:tc>
      </w:tr>
      <w:tr w:rsidR="00A30EA4" w14:paraId="37C44A21" w14:textId="77777777" w:rsidTr="00275E43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80" w:type="dxa"/>
            <w:vMerge/>
            <w:shd w:val="clear" w:color="auto" w:fill="auto"/>
          </w:tcPr>
          <w:p w14:paraId="7EFCF5D9" w14:textId="77777777" w:rsidR="00A30EA4" w:rsidRDefault="00A30EA4" w:rsidP="00275E43">
            <w:pPr>
              <w:pStyle w:val="Marginlie"/>
            </w:pPr>
          </w:p>
        </w:tc>
        <w:tc>
          <w:tcPr>
            <w:tcW w:w="219" w:type="dxa"/>
            <w:vMerge/>
            <w:shd w:val="clear" w:color="auto" w:fill="auto"/>
          </w:tcPr>
          <w:p w14:paraId="49708EBA" w14:textId="77777777" w:rsidR="00A30EA4" w:rsidRDefault="00A30EA4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</w:tcPr>
          <w:p w14:paraId="7E204A03" w14:textId="77777777" w:rsidR="00A30EA4" w:rsidRPr="0067514E" w:rsidRDefault="00A30EA4" w:rsidP="00275E43">
            <w:pPr>
              <w:spacing w:after="0"/>
              <w:rPr>
                <w:spacing w:val="-6"/>
              </w:rPr>
            </w:pPr>
            <w:r>
              <w:rPr>
                <w:noProof/>
              </w:rPr>
              <w:drawing>
                <wp:inline distT="0" distB="0" distL="0" distR="0" wp14:anchorId="3D2F7414" wp14:editId="608501F9">
                  <wp:extent cx="4768850" cy="3160166"/>
                  <wp:effectExtent l="0" t="0" r="0" b="2540"/>
                  <wp:docPr id="16" name="Graf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A30EA4" w:rsidRPr="00343AC1" w14:paraId="6E6FA375" w14:textId="77777777" w:rsidTr="00275E43">
        <w:trPr>
          <w:trHeight w:val="170"/>
        </w:trPr>
        <w:tc>
          <w:tcPr>
            <w:tcW w:w="1780" w:type="dxa"/>
            <w:vMerge/>
            <w:shd w:val="clear" w:color="auto" w:fill="auto"/>
            <w:tcMar>
              <w:left w:w="0" w:type="dxa"/>
            </w:tcMar>
          </w:tcPr>
          <w:p w14:paraId="005CA357" w14:textId="77777777" w:rsidR="00A30EA4" w:rsidRDefault="00A30EA4" w:rsidP="00275E43">
            <w:pPr>
              <w:pStyle w:val="Marginlie"/>
            </w:pPr>
          </w:p>
        </w:tc>
        <w:tc>
          <w:tcPr>
            <w:tcW w:w="219" w:type="dxa"/>
            <w:vMerge/>
            <w:shd w:val="clear" w:color="auto" w:fill="auto"/>
            <w:tcMar>
              <w:left w:w="0" w:type="dxa"/>
            </w:tcMar>
          </w:tcPr>
          <w:p w14:paraId="7CF301CA" w14:textId="77777777" w:rsidR="00A30EA4" w:rsidRDefault="00A30EA4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1198A3A4" w14:textId="77777777" w:rsidR="00A30EA4" w:rsidRPr="008F2BE2" w:rsidRDefault="00A30EA4" w:rsidP="00275E43">
            <w:pPr>
              <w:pStyle w:val="Textpoznpodarou"/>
              <w:rPr>
                <w:spacing w:val="-4"/>
                <w:sz w:val="14"/>
                <w:szCs w:val="14"/>
              </w:rPr>
            </w:pPr>
            <w:r w:rsidRPr="008F2BE2">
              <w:rPr>
                <w:spacing w:val="-4"/>
                <w:sz w:val="14"/>
                <w:szCs w:val="14"/>
              </w:rPr>
              <w:t>*Pokrývají výdaje na platy v organizačních složkách státu. Nezahrnují například mzdové výdaje na regionální školství.</w:t>
            </w:r>
          </w:p>
          <w:p w14:paraId="27CA72D1" w14:textId="77777777" w:rsidR="00A30EA4" w:rsidRPr="008F2BE2" w:rsidRDefault="00A30EA4" w:rsidP="00275E43">
            <w:pPr>
              <w:pStyle w:val="Textpoznpodarou"/>
              <w:rPr>
                <w:spacing w:val="-4"/>
                <w:sz w:val="14"/>
                <w:szCs w:val="14"/>
              </w:rPr>
            </w:pPr>
            <w:r w:rsidRPr="008F2BE2">
              <w:rPr>
                <w:spacing w:val="-4"/>
                <w:sz w:val="14"/>
                <w:szCs w:val="14"/>
              </w:rPr>
              <w:t>**Zahrnuje i dávky pěstounské péče.</w:t>
            </w:r>
            <w:r>
              <w:rPr>
                <w:spacing w:val="-4"/>
                <w:sz w:val="14"/>
                <w:szCs w:val="14"/>
              </w:rPr>
              <w:t xml:space="preserve">   *</w:t>
            </w:r>
            <w:r w:rsidRPr="008F2BE2">
              <w:rPr>
                <w:spacing w:val="-4"/>
                <w:sz w:val="14"/>
                <w:szCs w:val="14"/>
              </w:rPr>
              <w:t>**Zahrnují dávky pomoci v hmotné nouzi, dávky osobám se zdravotním postižením, příspěvek na péči dle zákona o soc. službách.</w:t>
            </w:r>
            <w:r>
              <w:rPr>
                <w:spacing w:val="-4"/>
                <w:sz w:val="14"/>
                <w:szCs w:val="14"/>
              </w:rPr>
              <w:t xml:space="preserve"> Jsou zde obsaženy i dávky </w:t>
            </w:r>
            <w:r w:rsidRPr="00FB6649">
              <w:rPr>
                <w:spacing w:val="-4"/>
                <w:sz w:val="14"/>
                <w:szCs w:val="14"/>
              </w:rPr>
              <w:t>humanitární pomoc</w:t>
            </w:r>
            <w:r>
              <w:rPr>
                <w:spacing w:val="-4"/>
                <w:sz w:val="14"/>
                <w:szCs w:val="14"/>
              </w:rPr>
              <w:t>i poskytnuté občanům Ukrajiny.</w:t>
            </w:r>
          </w:p>
          <w:p w14:paraId="1CA38429" w14:textId="77777777" w:rsidR="00A30EA4" w:rsidRDefault="00A30EA4" w:rsidP="00275E43">
            <w:pPr>
              <w:pStyle w:val="Textpoznpodarou"/>
              <w:rPr>
                <w:spacing w:val="-4"/>
                <w:sz w:val="14"/>
                <w:szCs w:val="14"/>
              </w:rPr>
            </w:pPr>
            <w:r w:rsidRPr="008F2BE2">
              <w:rPr>
                <w:spacing w:val="-4"/>
                <w:sz w:val="14"/>
                <w:szCs w:val="14"/>
              </w:rPr>
              <w:t>****Obsahují zejména výdaje na nákup služeb, materiálu, energií či ostatních služeb (například výdaje na opravy a udržování).</w:t>
            </w:r>
          </w:p>
          <w:p w14:paraId="4811D044" w14:textId="77777777" w:rsidR="00A30EA4" w:rsidRPr="00D94406" w:rsidRDefault="00A30EA4" w:rsidP="00275E43">
            <w:pPr>
              <w:pStyle w:val="Textpoznpodarou"/>
              <w:spacing w:after="160"/>
              <w:rPr>
                <w:sz w:val="16"/>
                <w:szCs w:val="16"/>
              </w:rPr>
            </w:pPr>
            <w:r>
              <w:rPr>
                <w:spacing w:val="-4"/>
                <w:sz w:val="14"/>
                <w:szCs w:val="14"/>
              </w:rPr>
              <w:t xml:space="preserve">*****Vyjadřuje saldo </w:t>
            </w:r>
            <w:r w:rsidRPr="00DB31A1">
              <w:rPr>
                <w:spacing w:val="-4"/>
                <w:sz w:val="14"/>
                <w:szCs w:val="14"/>
              </w:rPr>
              <w:t>rozpočtové kapitoly Státní dluh.</w:t>
            </w:r>
            <w:r>
              <w:rPr>
                <w:spacing w:val="-4"/>
                <w:sz w:val="14"/>
                <w:szCs w:val="14"/>
              </w:rPr>
              <w:t xml:space="preserve">                                                                                                 </w:t>
            </w:r>
            <w:r w:rsidRPr="000F45E7">
              <w:rPr>
                <w:spacing w:val="-4"/>
                <w:sz w:val="14"/>
                <w:szCs w:val="14"/>
              </w:rPr>
              <w:t>Zdroj: MF ČR, MPSV</w:t>
            </w:r>
          </w:p>
        </w:tc>
      </w:tr>
    </w:tbl>
    <w:p w14:paraId="4BDEA8C7" w14:textId="77777777" w:rsidR="00A30EA4" w:rsidRDefault="00A30EA4" w:rsidP="00A30EA4">
      <w:pPr>
        <w:pStyle w:val="Nadpis11"/>
        <w:rPr>
          <w:b w:val="0"/>
          <w:sz w:val="2"/>
          <w:szCs w:val="2"/>
        </w:rPr>
      </w:pPr>
    </w:p>
    <w:tbl>
      <w:tblPr>
        <w:tblW w:w="966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0"/>
        <w:gridCol w:w="219"/>
        <w:gridCol w:w="7670"/>
      </w:tblGrid>
      <w:tr w:rsidR="00A30EA4" w:rsidRPr="004B2C92" w14:paraId="08DEE461" w14:textId="77777777" w:rsidTr="00275E43">
        <w:trPr>
          <w:trHeight w:val="145"/>
        </w:trPr>
        <w:tc>
          <w:tcPr>
            <w:tcW w:w="1780" w:type="dxa"/>
            <w:shd w:val="clear" w:color="auto" w:fill="auto"/>
            <w:tcMar>
              <w:left w:w="0" w:type="dxa"/>
            </w:tcMar>
          </w:tcPr>
          <w:p w14:paraId="37FDBC13" w14:textId="77777777" w:rsidR="00A30EA4" w:rsidRDefault="00A30EA4" w:rsidP="00275E43">
            <w:pPr>
              <w:pStyle w:val="Marginlie"/>
              <w:rPr>
                <w:spacing w:val="-4"/>
              </w:rPr>
            </w:pPr>
            <w:r w:rsidRPr="00915669">
              <w:rPr>
                <w:spacing w:val="-4"/>
              </w:rPr>
              <w:t xml:space="preserve">Svižný růst investic souvisel s výdaji </w:t>
            </w:r>
            <w:r>
              <w:rPr>
                <w:spacing w:val="-4"/>
              </w:rPr>
              <w:t>na dopravní infrastrukturu</w:t>
            </w:r>
            <w:r w:rsidRPr="00915669">
              <w:rPr>
                <w:spacing w:val="-4"/>
              </w:rPr>
              <w:t xml:space="preserve"> </w:t>
            </w:r>
            <w:r>
              <w:rPr>
                <w:spacing w:val="-4"/>
              </w:rPr>
              <w:br/>
            </w:r>
            <w:proofErr w:type="gramStart"/>
            <w:r w:rsidRPr="00915669">
              <w:rPr>
                <w:spacing w:val="-4"/>
              </w:rPr>
              <w:t>i  životní</w:t>
            </w:r>
            <w:proofErr w:type="gramEnd"/>
            <w:r w:rsidRPr="00915669">
              <w:rPr>
                <w:spacing w:val="-4"/>
              </w:rPr>
              <w:t xml:space="preserve"> prostředí. </w:t>
            </w:r>
          </w:p>
          <w:p w14:paraId="1C250051" w14:textId="77777777" w:rsidR="00A30EA4" w:rsidRDefault="00A30EA4" w:rsidP="00275E43">
            <w:pPr>
              <w:pStyle w:val="Marginlie"/>
              <w:rPr>
                <w:spacing w:val="-4"/>
              </w:rPr>
            </w:pPr>
          </w:p>
          <w:p w14:paraId="5289EDFB" w14:textId="77777777" w:rsidR="00A30EA4" w:rsidRDefault="00A30EA4" w:rsidP="00275E43">
            <w:pPr>
              <w:pStyle w:val="Marginlie"/>
              <w:rPr>
                <w:spacing w:val="-4"/>
              </w:rPr>
            </w:pPr>
          </w:p>
          <w:p w14:paraId="107B85C3" w14:textId="77777777" w:rsidR="00A30EA4" w:rsidRDefault="00A30EA4" w:rsidP="00275E43">
            <w:pPr>
              <w:pStyle w:val="Marginlie"/>
              <w:rPr>
                <w:spacing w:val="-4"/>
              </w:rPr>
            </w:pPr>
          </w:p>
          <w:p w14:paraId="6DC73991" w14:textId="77777777" w:rsidR="00A30EA4" w:rsidRDefault="00A30EA4" w:rsidP="00275E43">
            <w:pPr>
              <w:pStyle w:val="Marginlie"/>
              <w:rPr>
                <w:spacing w:val="-4"/>
              </w:rPr>
            </w:pPr>
          </w:p>
          <w:p w14:paraId="0EF86491" w14:textId="77777777" w:rsidR="00A30EA4" w:rsidRDefault="00A30EA4" w:rsidP="00275E43">
            <w:pPr>
              <w:pStyle w:val="Marginlie"/>
              <w:rPr>
                <w:spacing w:val="-4"/>
              </w:rPr>
            </w:pPr>
            <w:r w:rsidRPr="00915669">
              <w:rPr>
                <w:spacing w:val="-4"/>
              </w:rPr>
              <w:t>Čerpání investic zatí</w:t>
            </w:r>
            <w:r>
              <w:rPr>
                <w:spacing w:val="-4"/>
              </w:rPr>
              <w:t>m výrazněji</w:t>
            </w:r>
            <w:r w:rsidRPr="00915669">
              <w:rPr>
                <w:spacing w:val="-4"/>
              </w:rPr>
              <w:t xml:space="preserve"> zaostávalo za rozpočtovým očekáváním, </w:t>
            </w:r>
            <w:r w:rsidRPr="00915669">
              <w:rPr>
                <w:spacing w:val="-4"/>
              </w:rPr>
              <w:lastRenderedPageBreak/>
              <w:t>zejména u společných projektů ČR a EU.</w:t>
            </w:r>
          </w:p>
        </w:tc>
        <w:tc>
          <w:tcPr>
            <w:tcW w:w="219" w:type="dxa"/>
            <w:shd w:val="clear" w:color="auto" w:fill="auto"/>
            <w:tcMar>
              <w:left w:w="0" w:type="dxa"/>
            </w:tcMar>
          </w:tcPr>
          <w:p w14:paraId="6A36CFF0" w14:textId="77777777" w:rsidR="00A30EA4" w:rsidRDefault="00A30EA4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53D40C0B" w14:textId="77777777" w:rsidR="00A30EA4" w:rsidRDefault="00A30EA4" w:rsidP="00A30EA4">
            <w:pPr>
              <w:rPr>
                <w:color w:val="0D0D0D" w:themeColor="text1" w:themeTint="F2"/>
                <w:spacing w:val="-4"/>
              </w:rPr>
            </w:pPr>
            <w:r w:rsidRPr="001B70C7">
              <w:rPr>
                <w:color w:val="0D0D0D" w:themeColor="text1" w:themeTint="F2"/>
                <w:spacing w:val="-4"/>
              </w:rPr>
              <w:t>Kapitálové výdaje SR v 1. až 3. čtvrtletí meziročně posílily o významných 13,2 %. Na růstu se z</w:t>
            </w:r>
            <w:r>
              <w:rPr>
                <w:color w:val="0D0D0D" w:themeColor="text1" w:themeTint="F2"/>
                <w:spacing w:val="-4"/>
              </w:rPr>
              <w:t>ásadně podílely transfery</w:t>
            </w:r>
            <w:r w:rsidRPr="001B70C7">
              <w:rPr>
                <w:color w:val="0D0D0D" w:themeColor="text1" w:themeTint="F2"/>
                <w:spacing w:val="-4"/>
              </w:rPr>
              <w:t xml:space="preserve"> státním fondům (zejména Fon</w:t>
            </w:r>
            <w:r>
              <w:rPr>
                <w:color w:val="0D0D0D" w:themeColor="text1" w:themeTint="F2"/>
                <w:spacing w:val="-4"/>
              </w:rPr>
              <w:t xml:space="preserve">du dopravní infrastruktury </w:t>
            </w:r>
            <w:r>
              <w:rPr>
                <w:color w:val="0D0D0D" w:themeColor="text1" w:themeTint="F2"/>
                <w:spacing w:val="-4"/>
                <w:lang w:val="en-US"/>
              </w:rPr>
              <w:t>[</w:t>
            </w:r>
            <w:r>
              <w:rPr>
                <w:color w:val="0D0D0D" w:themeColor="text1" w:themeTint="F2"/>
                <w:spacing w:val="-4"/>
              </w:rPr>
              <w:t>+9,7</w:t>
            </w:r>
            <w:r w:rsidRPr="001B70C7">
              <w:rPr>
                <w:color w:val="0D0D0D" w:themeColor="text1" w:themeTint="F2"/>
                <w:spacing w:val="-4"/>
              </w:rPr>
              <w:t> mld. korun</w:t>
            </w:r>
            <w:r>
              <w:rPr>
                <w:color w:val="0D0D0D" w:themeColor="text1" w:themeTint="F2"/>
                <w:spacing w:val="-4"/>
              </w:rPr>
              <w:t>]</w:t>
            </w:r>
            <w:r w:rsidRPr="001B70C7">
              <w:rPr>
                <w:color w:val="0D0D0D" w:themeColor="text1" w:themeTint="F2"/>
                <w:spacing w:val="-4"/>
              </w:rPr>
              <w:t xml:space="preserve"> a Fondu životního prostředí), vzrostly i investiční nákupy hmotného majetku (+3,4 mld.). Z hlediska zdroje financování přispěly k růstu nejvíce investice na projekty z výhradně národních zdrojů (+10 mld. korun, na rekordní</w:t>
            </w:r>
            <w:r>
              <w:rPr>
                <w:color w:val="0D0D0D" w:themeColor="text1" w:themeTint="F2"/>
                <w:spacing w:val="-4"/>
              </w:rPr>
              <w:t>ch 53,3 mld.), vzrostly ovšem i</w:t>
            </w:r>
            <w:r w:rsidRPr="001B70C7">
              <w:rPr>
                <w:color w:val="0D0D0D" w:themeColor="text1" w:themeTint="F2"/>
                <w:spacing w:val="-4"/>
              </w:rPr>
              <w:t xml:space="preserve"> výdaje na společné projekty ČR a EU (+5,3 mld. korun, na 57,3 mld.). Zejména </w:t>
            </w:r>
            <w:r>
              <w:rPr>
                <w:color w:val="0D0D0D" w:themeColor="text1" w:themeTint="F2"/>
                <w:spacing w:val="-4"/>
              </w:rPr>
              <w:br/>
            </w:r>
            <w:r w:rsidRPr="001B70C7">
              <w:rPr>
                <w:color w:val="0D0D0D" w:themeColor="text1" w:themeTint="F2"/>
                <w:spacing w:val="-4"/>
              </w:rPr>
              <w:t xml:space="preserve">u nich je však míra plnění (ve vazbě na schválený rozpočet) zatím slabší, což může souviset s režimem rozpočtového provizoria v 1. čtvrtletí 2022, který zvýraznil tradičně pomalejší </w:t>
            </w:r>
            <w:r w:rsidRPr="001B70C7">
              <w:rPr>
                <w:color w:val="0D0D0D" w:themeColor="text1" w:themeTint="F2"/>
                <w:spacing w:val="-4"/>
              </w:rPr>
              <w:lastRenderedPageBreak/>
              <w:t>náběh investic na počátku roku. Na konci září bylo dosud čerpáno jen 55 %</w:t>
            </w:r>
            <w:r w:rsidRPr="001B70C7">
              <w:rPr>
                <w:rStyle w:val="Znakapoznpodarou"/>
                <w:color w:val="0D0D0D" w:themeColor="text1" w:themeTint="F2"/>
                <w:spacing w:val="-4"/>
              </w:rPr>
              <w:footnoteReference w:id="16"/>
            </w:r>
            <w:r w:rsidRPr="001B70C7">
              <w:rPr>
                <w:color w:val="0D0D0D" w:themeColor="text1" w:themeTint="F2"/>
                <w:spacing w:val="-4"/>
              </w:rPr>
              <w:t xml:space="preserve"> celoročního očekávaného objemu všech investic ze SR</w:t>
            </w:r>
            <w:r w:rsidRPr="001B70C7">
              <w:rPr>
                <w:rStyle w:val="Znakapoznpodarou"/>
                <w:color w:val="0D0D0D" w:themeColor="text1" w:themeTint="F2"/>
                <w:spacing w:val="-4"/>
              </w:rPr>
              <w:footnoteReference w:id="17"/>
            </w:r>
            <w:r w:rsidRPr="001B70C7">
              <w:rPr>
                <w:color w:val="0D0D0D" w:themeColor="text1" w:themeTint="F2"/>
                <w:spacing w:val="-4"/>
              </w:rPr>
              <w:t>. Celkové investice tvořily za tři čtvrtletí</w:t>
            </w:r>
            <w:r>
              <w:rPr>
                <w:color w:val="0D0D0D" w:themeColor="text1" w:themeTint="F2"/>
                <w:spacing w:val="-4"/>
              </w:rPr>
              <w:t xml:space="preserve"> necelých 8 % všech</w:t>
            </w:r>
            <w:r w:rsidRPr="001B70C7">
              <w:rPr>
                <w:color w:val="0D0D0D" w:themeColor="text1" w:themeTint="F2"/>
                <w:spacing w:val="-4"/>
              </w:rPr>
              <w:t xml:space="preserve"> výdajů SR, což korespondovalo s dlouhodobým průměrem.</w:t>
            </w:r>
          </w:p>
        </w:tc>
      </w:tr>
      <w:tr w:rsidR="00A30EA4" w:rsidRPr="004B2C92" w14:paraId="3C1C6D75" w14:textId="77777777" w:rsidTr="00275E43">
        <w:trPr>
          <w:trHeight w:val="145"/>
        </w:trPr>
        <w:tc>
          <w:tcPr>
            <w:tcW w:w="1780" w:type="dxa"/>
            <w:shd w:val="clear" w:color="auto" w:fill="auto"/>
            <w:tcMar>
              <w:left w:w="0" w:type="dxa"/>
            </w:tcMar>
          </w:tcPr>
          <w:p w14:paraId="69EC23AB" w14:textId="77777777" w:rsidR="00A30EA4" w:rsidRDefault="00A30EA4" w:rsidP="00275E43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lastRenderedPageBreak/>
              <w:t>Letošní nárůst státního dluhu se blíží rekordní dynamice z roku 2020. Na rozdíl od předchozích let vyústil ve vyšší vnitřní, ale i vnější zadluženost.</w:t>
            </w:r>
          </w:p>
          <w:p w14:paraId="23214D6F" w14:textId="77777777" w:rsidR="00A30EA4" w:rsidRDefault="00A30EA4" w:rsidP="00275E43">
            <w:pPr>
              <w:pStyle w:val="Marginlie"/>
              <w:rPr>
                <w:spacing w:val="-4"/>
              </w:rPr>
            </w:pPr>
          </w:p>
        </w:tc>
        <w:tc>
          <w:tcPr>
            <w:tcW w:w="219" w:type="dxa"/>
            <w:shd w:val="clear" w:color="auto" w:fill="auto"/>
            <w:tcMar>
              <w:left w:w="0" w:type="dxa"/>
            </w:tcMar>
          </w:tcPr>
          <w:p w14:paraId="4FA46DE5" w14:textId="77777777" w:rsidR="00A30EA4" w:rsidRDefault="00A30EA4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7218CA79" w14:textId="77777777" w:rsidR="00A30EA4" w:rsidRPr="004E6908" w:rsidRDefault="00A30EA4" w:rsidP="00275E43">
            <w:pPr>
              <w:spacing w:after="220"/>
              <w:rPr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Hluboký rozpočtový schodek se promítl do vysoké výpůjční potřeby státu</w:t>
            </w:r>
            <w:r>
              <w:rPr>
                <w:spacing w:val="-4"/>
              </w:rPr>
              <w:t>. Státní dluh vystoupal letos na konci září na 2 890,4 mld. korun,</w:t>
            </w:r>
            <w:r w:rsidRPr="0009441E">
              <w:rPr>
                <w:spacing w:val="-4"/>
              </w:rPr>
              <w:t xml:space="preserve"> </w:t>
            </w:r>
            <w:r>
              <w:rPr>
                <w:spacing w:val="-4"/>
              </w:rPr>
              <w:t>když meziročně vzrostl o</w:t>
            </w:r>
            <w:r>
              <w:rPr>
                <w:color w:val="0D0D0D" w:themeColor="text1" w:themeTint="F2"/>
                <w:spacing w:val="-5"/>
              </w:rPr>
              <w:t> </w:t>
            </w:r>
            <w:r>
              <w:rPr>
                <w:spacing w:val="-4"/>
              </w:rPr>
              <w:t>23,8</w:t>
            </w:r>
            <w:r w:rsidRPr="001B70C7">
              <w:rPr>
                <w:color w:val="0D0D0D" w:themeColor="text1" w:themeTint="F2"/>
                <w:spacing w:val="-4"/>
              </w:rPr>
              <w:t> </w:t>
            </w:r>
            <w:r>
              <w:rPr>
                <w:spacing w:val="-4"/>
              </w:rPr>
              <w:t>%</w:t>
            </w:r>
            <w:r w:rsidRPr="0009441E">
              <w:rPr>
                <w:spacing w:val="-4"/>
              </w:rPr>
              <w:t>.</w:t>
            </w:r>
            <w:r>
              <w:rPr>
                <w:spacing w:val="-4"/>
              </w:rPr>
              <w:t xml:space="preserve"> </w:t>
            </w:r>
            <w:r w:rsidRPr="0009441E">
              <w:rPr>
                <w:spacing w:val="-4"/>
              </w:rPr>
              <w:t xml:space="preserve">Od počátku </w:t>
            </w:r>
            <w:r>
              <w:rPr>
                <w:spacing w:val="-4"/>
              </w:rPr>
              <w:t>roku se dluh navýšil o 424,6 mld., což se těšně přiblížilo rekordnímu přírůstku ze shodného období roku 2020. Stát letos za tři čtvrtletí emitoval na domácím trhu korunové dluhopisy (se splatností nad 1 rok) ve výši 390 mld. korun, čímž pokryl veškeré letošní splátky dluhu a předfinancoval významnou část očekávaného rozpočtového schodku za celý rok 2022. Emisní činnost pomocí tohoto nástroje přesto nedosáhla intenzity z let 2020 ani 2021. Stát si letos naopak vypůjčil podstatně více od domácností (emise dluhopisů dosáhla 43 mld. korun) a intenzivněji rovněž využíval krátkodobých dluhových nástrojů (pokladničních poukázek i zápůjček na eurovém peněžním trhu). Vlivem toho poprvé od roku 2013 významně vzrostla vnější zadluženost ČR (+55 % meziročně, na 254 mld. korun). Přestože od poloviny loňského roku až do letošního léta docházelo k silnému růstu úrokových sazeb na tuzemských státních dluhopisech, čisté výdaje na obsluhu státního dluhu se meziročně mírně snížily (o 7 %, na 32,2 mld. korun)</w:t>
            </w:r>
            <w:r>
              <w:rPr>
                <w:rStyle w:val="Znakapoznpodarou"/>
                <w:spacing w:val="-4"/>
              </w:rPr>
              <w:footnoteReference w:id="18"/>
            </w:r>
            <w:r>
              <w:rPr>
                <w:spacing w:val="-4"/>
              </w:rPr>
              <w:t xml:space="preserve">.  </w:t>
            </w:r>
          </w:p>
        </w:tc>
      </w:tr>
      <w:tr w:rsidR="00A30EA4" w:rsidRPr="000F45E7" w14:paraId="1A44511A" w14:textId="77777777" w:rsidTr="00275E43">
        <w:trPr>
          <w:trHeight w:val="145"/>
        </w:trPr>
        <w:tc>
          <w:tcPr>
            <w:tcW w:w="1780" w:type="dxa"/>
            <w:shd w:val="clear" w:color="auto" w:fill="auto"/>
            <w:tcMar>
              <w:left w:w="0" w:type="dxa"/>
            </w:tcMar>
          </w:tcPr>
          <w:p w14:paraId="299FF1C1" w14:textId="77777777" w:rsidR="00A30EA4" w:rsidRPr="0058030F" w:rsidRDefault="00A30EA4" w:rsidP="00275E43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Pololetní s</w:t>
            </w:r>
            <w:r w:rsidRPr="0058030F">
              <w:rPr>
                <w:spacing w:val="-4"/>
              </w:rPr>
              <w:t>chodek hospodaření sektoru vládních institucí</w:t>
            </w:r>
            <w:r>
              <w:rPr>
                <w:spacing w:val="-4"/>
              </w:rPr>
              <w:t xml:space="preserve"> v ČR se meziročně zmenšil o více než</w:t>
            </w:r>
            <w:r w:rsidRPr="0058030F">
              <w:rPr>
                <w:spacing w:val="-4"/>
              </w:rPr>
              <w:t xml:space="preserve"> polovinu, přesto zůstal hluboký. </w:t>
            </w:r>
          </w:p>
          <w:p w14:paraId="780A4131" w14:textId="77777777" w:rsidR="00A30EA4" w:rsidRPr="0058030F" w:rsidRDefault="00A30EA4" w:rsidP="00275E43">
            <w:pPr>
              <w:pStyle w:val="Marginlie"/>
              <w:rPr>
                <w:spacing w:val="-4"/>
              </w:rPr>
            </w:pPr>
          </w:p>
          <w:p w14:paraId="3C73EAF7" w14:textId="77777777" w:rsidR="00A30EA4" w:rsidRPr="0058030F" w:rsidRDefault="00A30EA4" w:rsidP="00275E43">
            <w:pPr>
              <w:pStyle w:val="Marginlie"/>
              <w:rPr>
                <w:spacing w:val="-4"/>
              </w:rPr>
            </w:pPr>
          </w:p>
          <w:p w14:paraId="4609CA71" w14:textId="77777777" w:rsidR="00A30EA4" w:rsidRPr="0058030F" w:rsidRDefault="00A30EA4" w:rsidP="00275E43">
            <w:pPr>
              <w:pStyle w:val="Marginlie"/>
              <w:rPr>
                <w:spacing w:val="-4"/>
              </w:rPr>
            </w:pPr>
          </w:p>
          <w:p w14:paraId="00A81A2F" w14:textId="77777777" w:rsidR="00A30EA4" w:rsidRPr="0058030F" w:rsidRDefault="00A30EA4" w:rsidP="00275E43">
            <w:pPr>
              <w:pStyle w:val="Marginlie"/>
              <w:rPr>
                <w:spacing w:val="-4"/>
              </w:rPr>
            </w:pPr>
          </w:p>
          <w:p w14:paraId="4C013B57" w14:textId="77777777" w:rsidR="00A30EA4" w:rsidRPr="0058030F" w:rsidRDefault="00A30EA4" w:rsidP="00275E43">
            <w:pPr>
              <w:pStyle w:val="Marginlie"/>
              <w:rPr>
                <w:spacing w:val="-4"/>
              </w:rPr>
            </w:pPr>
          </w:p>
          <w:p w14:paraId="664E5045" w14:textId="77777777" w:rsidR="00A30EA4" w:rsidRDefault="00A30EA4" w:rsidP="00275E43">
            <w:pPr>
              <w:pStyle w:val="Marginlie"/>
              <w:rPr>
                <w:spacing w:val="-4"/>
              </w:rPr>
            </w:pPr>
          </w:p>
          <w:p w14:paraId="656A604C" w14:textId="77777777" w:rsidR="00A30EA4" w:rsidRDefault="00A30EA4" w:rsidP="00275E43">
            <w:pPr>
              <w:pStyle w:val="Marginlie"/>
              <w:rPr>
                <w:spacing w:val="-4"/>
              </w:rPr>
            </w:pPr>
          </w:p>
          <w:p w14:paraId="3CFD3FC4" w14:textId="77777777" w:rsidR="00A30EA4" w:rsidRDefault="00A30EA4" w:rsidP="00275E43">
            <w:pPr>
              <w:pStyle w:val="Marginlie"/>
              <w:rPr>
                <w:spacing w:val="-4"/>
              </w:rPr>
            </w:pPr>
          </w:p>
          <w:p w14:paraId="5A841B37" w14:textId="77777777" w:rsidR="00A30EA4" w:rsidRDefault="00A30EA4" w:rsidP="00275E43">
            <w:pPr>
              <w:pStyle w:val="Marginlie"/>
              <w:rPr>
                <w:spacing w:val="-4"/>
              </w:rPr>
            </w:pPr>
          </w:p>
          <w:p w14:paraId="19150518" w14:textId="77777777" w:rsidR="00A30EA4" w:rsidRDefault="00A30EA4" w:rsidP="00275E43">
            <w:pPr>
              <w:pStyle w:val="Marginlie"/>
              <w:rPr>
                <w:spacing w:val="-4"/>
              </w:rPr>
            </w:pPr>
          </w:p>
          <w:p w14:paraId="567123B6" w14:textId="77777777" w:rsidR="00A30EA4" w:rsidRPr="0058030F" w:rsidRDefault="00A30EA4" w:rsidP="00275E43">
            <w:pPr>
              <w:pStyle w:val="Marginlie"/>
              <w:rPr>
                <w:spacing w:val="-4"/>
              </w:rPr>
            </w:pPr>
          </w:p>
          <w:p w14:paraId="4D73ED96" w14:textId="77777777" w:rsidR="00A30EA4" w:rsidRPr="0058030F" w:rsidRDefault="00A30EA4" w:rsidP="00275E43">
            <w:pPr>
              <w:pStyle w:val="Marginlie"/>
              <w:rPr>
                <w:spacing w:val="-4"/>
              </w:rPr>
            </w:pPr>
          </w:p>
          <w:p w14:paraId="736E5F9E" w14:textId="77777777" w:rsidR="00A30EA4" w:rsidRPr="0058030F" w:rsidRDefault="00A30EA4" w:rsidP="00275E43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Růst míry zadlužení</w:t>
            </w:r>
            <w:r w:rsidRPr="0058030F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sektoru </w:t>
            </w:r>
            <w:r w:rsidRPr="0058030F">
              <w:rPr>
                <w:spacing w:val="-4"/>
              </w:rPr>
              <w:t>v</w:t>
            </w:r>
            <w:r>
              <w:rPr>
                <w:spacing w:val="-4"/>
              </w:rPr>
              <w:t>ládních institucí v ČR zmírnil, převážně ale vlivem svižného růstu cen v ekonomice.</w:t>
            </w:r>
          </w:p>
        </w:tc>
        <w:tc>
          <w:tcPr>
            <w:tcW w:w="219" w:type="dxa"/>
            <w:shd w:val="clear" w:color="auto" w:fill="auto"/>
            <w:tcMar>
              <w:left w:w="0" w:type="dxa"/>
            </w:tcMar>
          </w:tcPr>
          <w:p w14:paraId="6C571F37" w14:textId="77777777" w:rsidR="00A30EA4" w:rsidRDefault="00A30EA4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655573B2" w14:textId="77777777" w:rsidR="00A30EA4" w:rsidRPr="00006754" w:rsidRDefault="00A30EA4" w:rsidP="00275E43">
            <w:pPr>
              <w:spacing w:after="220"/>
              <w:rPr>
                <w:spacing w:val="-3"/>
              </w:rPr>
            </w:pPr>
            <w:r w:rsidRPr="00006754">
              <w:rPr>
                <w:color w:val="0D0D0D" w:themeColor="text1" w:themeTint="F2"/>
                <w:spacing w:val="-3"/>
              </w:rPr>
              <w:t>Sektor vládních institucí (VI) v ČR hospodařil v 1. pololetí 2022</w:t>
            </w:r>
            <w:r w:rsidRPr="00006754">
              <w:rPr>
                <w:rStyle w:val="Znakapoznpodarou"/>
                <w:color w:val="0D0D0D" w:themeColor="text1" w:themeTint="F2"/>
                <w:spacing w:val="-3"/>
              </w:rPr>
              <w:footnoteReference w:id="19"/>
            </w:r>
            <w:r w:rsidRPr="00006754">
              <w:rPr>
                <w:color w:val="0D0D0D" w:themeColor="text1" w:themeTint="F2"/>
                <w:spacing w:val="-3"/>
                <w:vertAlign w:val="superscript"/>
              </w:rPr>
              <w:t xml:space="preserve"> </w:t>
            </w:r>
            <w:r w:rsidRPr="00006754">
              <w:rPr>
                <w:color w:val="0D0D0D" w:themeColor="text1" w:themeTint="F2"/>
                <w:spacing w:val="-3"/>
              </w:rPr>
              <w:t>se schodkem 71,5 mld. korun</w:t>
            </w:r>
            <w:r w:rsidRPr="00006754">
              <w:rPr>
                <w:rStyle w:val="Znakapoznpodarou"/>
                <w:color w:val="0D0D0D" w:themeColor="text1" w:themeTint="F2"/>
                <w:spacing w:val="-3"/>
              </w:rPr>
              <w:footnoteReference w:id="20"/>
            </w:r>
            <w:r w:rsidRPr="00006754">
              <w:rPr>
                <w:color w:val="0D0D0D" w:themeColor="text1" w:themeTint="F2"/>
                <w:spacing w:val="-3"/>
              </w:rPr>
              <w:t>. Za deficitem stál nepříznivý vývoj na počátku roku, ve 2. kvartálu bylo saldo nepatrně přebytkové (+0,5 mld. korun), poprvé od 3. čtvrtletí 2019</w:t>
            </w:r>
            <w:r w:rsidRPr="00006754">
              <w:rPr>
                <w:rStyle w:val="Znakapoznpodarou"/>
                <w:color w:val="0D0D0D" w:themeColor="text1" w:themeTint="F2"/>
                <w:spacing w:val="-3"/>
              </w:rPr>
              <w:footnoteReference w:id="21"/>
            </w:r>
            <w:r>
              <w:rPr>
                <w:color w:val="0D0D0D" w:themeColor="text1" w:themeTint="F2"/>
                <w:spacing w:val="-3"/>
              </w:rPr>
              <w:t>. Pololetní schodek se</w:t>
            </w:r>
            <w:r w:rsidRPr="00006754">
              <w:rPr>
                <w:color w:val="0D0D0D" w:themeColor="text1" w:themeTint="F2"/>
                <w:spacing w:val="-3"/>
              </w:rPr>
              <w:t xml:space="preserve"> </w:t>
            </w:r>
            <w:r>
              <w:rPr>
                <w:color w:val="0D0D0D" w:themeColor="text1" w:themeTint="F2"/>
                <w:spacing w:val="-3"/>
              </w:rPr>
              <w:t>letos meziročně o 100 mld. snížil</w:t>
            </w:r>
            <w:r w:rsidRPr="00006754">
              <w:rPr>
                <w:color w:val="0D0D0D" w:themeColor="text1" w:themeTint="F2"/>
                <w:spacing w:val="-3"/>
              </w:rPr>
              <w:t xml:space="preserve">. </w:t>
            </w:r>
            <w:r w:rsidRPr="00006754">
              <w:rPr>
                <w:spacing w:val="-3"/>
              </w:rPr>
              <w:t>Ke zlepšení ho</w:t>
            </w:r>
            <w:r>
              <w:rPr>
                <w:spacing w:val="-3"/>
              </w:rPr>
              <w:t>spodaření pomohlo významné posíle</w:t>
            </w:r>
            <w:r w:rsidRPr="00006754">
              <w:rPr>
                <w:spacing w:val="-3"/>
              </w:rPr>
              <w:t>ní</w:t>
            </w:r>
            <w:r>
              <w:rPr>
                <w:spacing w:val="-3"/>
              </w:rPr>
              <w:t xml:space="preserve"> celkových příjmů (+12 %). To souviselo se slabší loňskou základnou</w:t>
            </w:r>
            <w:r w:rsidRPr="00006754">
              <w:rPr>
                <w:spacing w:val="-3"/>
              </w:rPr>
              <w:t xml:space="preserve"> (vlivem proti</w:t>
            </w:r>
            <w:r>
              <w:rPr>
                <w:spacing w:val="-3"/>
              </w:rPr>
              <w:t>-</w:t>
            </w:r>
            <w:r w:rsidRPr="00006754">
              <w:rPr>
                <w:spacing w:val="-3"/>
              </w:rPr>
              <w:t>pandemických restrikcí), pok</w:t>
            </w:r>
            <w:r>
              <w:rPr>
                <w:spacing w:val="-3"/>
              </w:rPr>
              <w:t>račujícím hospodářským růstem a navyšováním</w:t>
            </w:r>
            <w:r w:rsidRPr="00006754">
              <w:rPr>
                <w:spacing w:val="-3"/>
              </w:rPr>
              <w:t xml:space="preserve"> cenové hladiny v ekonomice (které se odrazilo v nárůstu daňových příjmů, zejména DPH – </w:t>
            </w:r>
            <w:proofErr w:type="gramStart"/>
            <w:r w:rsidRPr="00006754">
              <w:rPr>
                <w:spacing w:val="-3"/>
              </w:rPr>
              <w:t>o  22</w:t>
            </w:r>
            <w:proofErr w:type="gramEnd"/>
            <w:r w:rsidRPr="00006754">
              <w:rPr>
                <w:spacing w:val="-3"/>
              </w:rPr>
              <w:t> %). Rostly ovšem všechny příjmové položky</w:t>
            </w:r>
            <w:r>
              <w:rPr>
                <w:spacing w:val="-3"/>
              </w:rPr>
              <w:t>,</w:t>
            </w:r>
            <w:r w:rsidRPr="00006754">
              <w:rPr>
                <w:spacing w:val="-3"/>
              </w:rPr>
              <w:t xml:space="preserve"> vyjma kapitálových transferů. Tempo růstu celkových výdajů kleslo na nejnižší úroveň za posledních šest let (3 %). Ústup pandemie </w:t>
            </w:r>
            <w:r>
              <w:rPr>
                <w:spacing w:val="-3"/>
              </w:rPr>
              <w:t>omezil potřebu mimořádných transfer</w:t>
            </w:r>
            <w:r w:rsidRPr="00006754">
              <w:rPr>
                <w:spacing w:val="-3"/>
              </w:rPr>
              <w:t xml:space="preserve">ů, což se promítlo v oblasti dotací i výdajů na platy v sektoru VI. Na druhou stranu pádivá inflace vedla k vyšší </w:t>
            </w:r>
            <w:proofErr w:type="spellStart"/>
            <w:r w:rsidRPr="00006754">
              <w:rPr>
                <w:spacing w:val="-3"/>
              </w:rPr>
              <w:t>mezispotřebě</w:t>
            </w:r>
            <w:proofErr w:type="spellEnd"/>
            <w:r w:rsidRPr="00006754">
              <w:rPr>
                <w:spacing w:val="-3"/>
              </w:rPr>
              <w:t>, zesílené nákupy plynu k růstu zásob,</w:t>
            </w:r>
            <w:r>
              <w:rPr>
                <w:spacing w:val="-3"/>
              </w:rPr>
              <w:t xml:space="preserve"> dále</w:t>
            </w:r>
            <w:r w:rsidRPr="00006754">
              <w:rPr>
                <w:spacing w:val="-3"/>
              </w:rPr>
              <w:t xml:space="preserve"> </w:t>
            </w:r>
            <w:r>
              <w:rPr>
                <w:spacing w:val="-3"/>
              </w:rPr>
              <w:t>se svižně</w:t>
            </w:r>
            <w:r w:rsidRPr="00006754">
              <w:rPr>
                <w:spacing w:val="-3"/>
              </w:rPr>
              <w:t xml:space="preserve"> navýšily také naturální sociální transfery (+14 </w:t>
            </w:r>
            <w:r>
              <w:rPr>
                <w:spacing w:val="-3"/>
              </w:rPr>
              <w:t>%) a</w:t>
            </w:r>
            <w:r>
              <w:rPr>
                <w:spacing w:val="-4"/>
              </w:rPr>
              <w:t> </w:t>
            </w:r>
            <w:r w:rsidRPr="00006754">
              <w:rPr>
                <w:spacing w:val="-3"/>
              </w:rPr>
              <w:t xml:space="preserve">mírně zrychlil i růst investičních výdajů (a to i na úrovni místních rozpočtů). Místní vládní instituce hospodařily celkově tradičně </w:t>
            </w:r>
            <w:r>
              <w:rPr>
                <w:spacing w:val="-3"/>
              </w:rPr>
              <w:t xml:space="preserve">s </w:t>
            </w:r>
            <w:r w:rsidRPr="00006754">
              <w:rPr>
                <w:spacing w:val="-3"/>
              </w:rPr>
              <w:t xml:space="preserve">přebytkem – ten druhý rok v řadě posílil (na 68,7 mld. korun). Kladného salda dosáhly </w:t>
            </w:r>
            <w:r>
              <w:rPr>
                <w:spacing w:val="-3"/>
              </w:rPr>
              <w:t>v</w:t>
            </w:r>
            <w:r w:rsidRPr="00006754">
              <w:rPr>
                <w:spacing w:val="-3"/>
              </w:rPr>
              <w:t xml:space="preserve"> 1. pololetí </w:t>
            </w:r>
            <w:r>
              <w:rPr>
                <w:spacing w:val="-3"/>
              </w:rPr>
              <w:t xml:space="preserve">2022 </w:t>
            </w:r>
            <w:r w:rsidRPr="00006754">
              <w:rPr>
                <w:spacing w:val="-3"/>
              </w:rPr>
              <w:t xml:space="preserve">i zdravotní pojišťovny (10,7 mld. korun), </w:t>
            </w:r>
            <w:r>
              <w:rPr>
                <w:spacing w:val="-3"/>
              </w:rPr>
              <w:t xml:space="preserve">ten </w:t>
            </w:r>
            <w:r w:rsidRPr="00006754">
              <w:rPr>
                <w:spacing w:val="-3"/>
              </w:rPr>
              <w:t>se ale</w:t>
            </w:r>
            <w:r>
              <w:rPr>
                <w:spacing w:val="-3"/>
              </w:rPr>
              <w:t xml:space="preserve"> meziročně</w:t>
            </w:r>
            <w:r w:rsidRPr="00006754">
              <w:rPr>
                <w:spacing w:val="-3"/>
              </w:rPr>
              <w:t xml:space="preserve"> mírně snížil. Nominální konsolidovaný dluh celého sektoru VI čítal na konci letošního 2. čtvrtletí 2 793,7 mld. korun a meziročně </w:t>
            </w:r>
            <w:r>
              <w:rPr>
                <w:spacing w:val="-3"/>
              </w:rPr>
              <w:t>vzrostl</w:t>
            </w:r>
            <w:r w:rsidRPr="00006754">
              <w:rPr>
                <w:spacing w:val="-3"/>
              </w:rPr>
              <w:t xml:space="preserve"> o 11 % (obdobně </w:t>
            </w:r>
            <w:r w:rsidRPr="007257D0">
              <w:rPr>
                <w:spacing w:val="-4"/>
              </w:rPr>
              <w:t xml:space="preserve">jako ve shodném období roku 2021). Míra zadlužení se </w:t>
            </w:r>
            <w:r>
              <w:rPr>
                <w:spacing w:val="-4"/>
              </w:rPr>
              <w:t xml:space="preserve">oproti tomu </w:t>
            </w:r>
            <w:r w:rsidRPr="007257D0">
              <w:rPr>
                <w:spacing w:val="-4"/>
              </w:rPr>
              <w:t>navýšila vlivem svižného růstu</w:t>
            </w:r>
            <w:r w:rsidRPr="007257D0">
              <w:rPr>
                <w:spacing w:val="-6"/>
              </w:rPr>
              <w:t xml:space="preserve"> nominálního HDP mírněji – z</w:t>
            </w:r>
            <w:r>
              <w:rPr>
                <w:spacing w:val="-6"/>
              </w:rPr>
              <w:t>e</w:t>
            </w:r>
            <w:r w:rsidRPr="007257D0">
              <w:rPr>
                <w:spacing w:val="-6"/>
              </w:rPr>
              <w:t> 42,6 % HDP na 43,5 %. Tempo růstu míry zadlužení zvolňovalo.</w:t>
            </w:r>
          </w:p>
        </w:tc>
      </w:tr>
      <w:tr w:rsidR="00A30EA4" w:rsidRPr="000F45E7" w14:paraId="540EDDBA" w14:textId="77777777" w:rsidTr="00275E43">
        <w:trPr>
          <w:trHeight w:val="145"/>
        </w:trPr>
        <w:tc>
          <w:tcPr>
            <w:tcW w:w="1780" w:type="dxa"/>
            <w:shd w:val="clear" w:color="auto" w:fill="auto"/>
            <w:tcMar>
              <w:left w:w="0" w:type="dxa"/>
            </w:tcMar>
          </w:tcPr>
          <w:p w14:paraId="49E81954" w14:textId="77777777" w:rsidR="00A30EA4" w:rsidRPr="0058030F" w:rsidRDefault="00A30EA4" w:rsidP="00275E43">
            <w:pPr>
              <w:pStyle w:val="Marginlie"/>
              <w:rPr>
                <w:spacing w:val="-4"/>
              </w:rPr>
            </w:pPr>
            <w:r w:rsidRPr="0058030F">
              <w:rPr>
                <w:spacing w:val="-4"/>
              </w:rPr>
              <w:t>Schodek hospodaření sektoru vlád</w:t>
            </w:r>
            <w:r>
              <w:rPr>
                <w:spacing w:val="-4"/>
              </w:rPr>
              <w:t>ních institucí v EU poklesl šestý</w:t>
            </w:r>
            <w:r w:rsidRPr="0058030F">
              <w:rPr>
                <w:spacing w:val="-4"/>
              </w:rPr>
              <w:t xml:space="preserve"> kvartál v řadě, a to na nejnižší hodnotu od počátku pandemie.</w:t>
            </w:r>
          </w:p>
        </w:tc>
        <w:tc>
          <w:tcPr>
            <w:tcW w:w="219" w:type="dxa"/>
            <w:shd w:val="clear" w:color="auto" w:fill="auto"/>
            <w:tcMar>
              <w:left w:w="0" w:type="dxa"/>
            </w:tcMar>
          </w:tcPr>
          <w:p w14:paraId="68207EE9" w14:textId="77777777" w:rsidR="00A30EA4" w:rsidRDefault="00A30EA4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41B190DA" w14:textId="77777777" w:rsidR="00A30EA4" w:rsidRPr="0058030F" w:rsidRDefault="00A30EA4" w:rsidP="00275E43">
            <w:pPr>
              <w:spacing w:after="220"/>
              <w:rPr>
                <w:color w:val="0D0D0D" w:themeColor="text1" w:themeTint="F2"/>
                <w:spacing w:val="-4"/>
              </w:rPr>
            </w:pPr>
            <w:proofErr w:type="spellStart"/>
            <w:r w:rsidRPr="0058030F">
              <w:rPr>
                <w:color w:val="0D0D0D" w:themeColor="text1" w:themeTint="F2"/>
                <w:spacing w:val="-4"/>
              </w:rPr>
              <w:t>Pokrizové</w:t>
            </w:r>
            <w:proofErr w:type="spellEnd"/>
            <w:r w:rsidRPr="0058030F">
              <w:rPr>
                <w:color w:val="0D0D0D" w:themeColor="text1" w:themeTint="F2"/>
                <w:spacing w:val="-4"/>
              </w:rPr>
              <w:t xml:space="preserve"> oživení ekonomiky spolu s výrazným útlumem mimořádných veřejných výdajů spojených s pandemií se postupně odrážejí ve zlepšeném hospodaření sektoru vládních institucí v zemích EU</w:t>
            </w:r>
            <w:r>
              <w:rPr>
                <w:color w:val="0D0D0D" w:themeColor="text1" w:themeTint="F2"/>
                <w:spacing w:val="-4"/>
              </w:rPr>
              <w:t xml:space="preserve"> i eurozóny</w:t>
            </w:r>
            <w:r w:rsidRPr="0058030F">
              <w:rPr>
                <w:color w:val="0D0D0D" w:themeColor="text1" w:themeTint="F2"/>
                <w:spacing w:val="-4"/>
              </w:rPr>
              <w:t>. Deficit hospodaření sektoru VI v Un</w:t>
            </w:r>
            <w:r>
              <w:rPr>
                <w:color w:val="0D0D0D" w:themeColor="text1" w:themeTint="F2"/>
                <w:spacing w:val="-4"/>
              </w:rPr>
              <w:t>ii se mezikvartálně snížil pošesté</w:t>
            </w:r>
            <w:r w:rsidRPr="0058030F">
              <w:rPr>
                <w:color w:val="0D0D0D" w:themeColor="text1" w:themeTint="F2"/>
                <w:spacing w:val="-4"/>
              </w:rPr>
              <w:t xml:space="preserve"> v řadě</w:t>
            </w:r>
            <w:r>
              <w:rPr>
                <w:color w:val="0D0D0D" w:themeColor="text1" w:themeTint="F2"/>
                <w:spacing w:val="-4"/>
              </w:rPr>
              <w:t xml:space="preserve"> a v letošním 2. čtvrtletí činil 1,8</w:t>
            </w:r>
            <w:r w:rsidRPr="0058030F">
              <w:rPr>
                <w:color w:val="0D0D0D" w:themeColor="text1" w:themeTint="F2"/>
                <w:spacing w:val="-4"/>
              </w:rPr>
              <w:t xml:space="preserve"> % HDP (nejméně od konce roku 2019)</w:t>
            </w:r>
            <w:r w:rsidRPr="00006754">
              <w:rPr>
                <w:rStyle w:val="Znakapoznpodarou"/>
                <w:color w:val="0D0D0D" w:themeColor="text1" w:themeTint="F2"/>
                <w:spacing w:val="-4"/>
              </w:rPr>
              <w:footnoteReference w:id="22"/>
            </w:r>
            <w:r w:rsidRPr="0058030F">
              <w:rPr>
                <w:color w:val="0D0D0D" w:themeColor="text1" w:themeTint="F2"/>
                <w:spacing w:val="-4"/>
              </w:rPr>
              <w:t xml:space="preserve">. Relativní schodek byl tak </w:t>
            </w:r>
            <w:r>
              <w:rPr>
                <w:color w:val="0D0D0D" w:themeColor="text1" w:themeTint="F2"/>
                <w:spacing w:val="-4"/>
              </w:rPr>
              <w:t xml:space="preserve">mírně nižší než v Česku (−2,3 % HDP), kde byl trend snižování schodků ve 2. polovině loňského roku dočasně zastaven. Přebytek hospodaření </w:t>
            </w:r>
            <w:r>
              <w:rPr>
                <w:color w:val="0D0D0D" w:themeColor="text1" w:themeTint="F2"/>
                <w:spacing w:val="-4"/>
              </w:rPr>
              <w:lastRenderedPageBreak/>
              <w:t>ve 2. čtvrtletí 2022 hlásila třetina států EU – zejména Portugalsko (3,0 % HDP), Nizozemsko a Švédsko (shodně 2,4 %). Na druhou stranu třetinu zemí stále sužoval deficit hlubší než 3</w:t>
            </w:r>
            <w:r w:rsidRPr="0058030F"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 xml:space="preserve">% HDP – ve Španělsku, Francii a Belgii dosahoval okolo 4 % HDP, o moc lépe na tom nebyly ani Maďarsko a Slovensko. </w:t>
            </w:r>
          </w:p>
        </w:tc>
      </w:tr>
      <w:tr w:rsidR="00A30EA4" w:rsidRPr="00D52ED2" w14:paraId="23677736" w14:textId="77777777" w:rsidTr="00275E43">
        <w:trPr>
          <w:trHeight w:val="145"/>
        </w:trPr>
        <w:tc>
          <w:tcPr>
            <w:tcW w:w="1780" w:type="dxa"/>
            <w:shd w:val="clear" w:color="auto" w:fill="auto"/>
            <w:tcMar>
              <w:left w:w="0" w:type="dxa"/>
            </w:tcMar>
          </w:tcPr>
          <w:p w14:paraId="595CFCF0" w14:textId="77777777" w:rsidR="00A30EA4" w:rsidRDefault="00A30EA4" w:rsidP="00275E43">
            <w:pPr>
              <w:pStyle w:val="Marginlie"/>
              <w:rPr>
                <w:spacing w:val="-4"/>
              </w:rPr>
            </w:pPr>
            <w:r w:rsidRPr="0058030F">
              <w:rPr>
                <w:spacing w:val="-4"/>
              </w:rPr>
              <w:lastRenderedPageBreak/>
              <w:t>Míra zadlužení v EU se po loňském absolutním vrcholu začala mírně snižovat. Pozitivní posun zaznamenaly téměř všechny členské státy.</w:t>
            </w:r>
          </w:p>
          <w:p w14:paraId="5F607141" w14:textId="77777777" w:rsidR="00A30EA4" w:rsidRDefault="00A30EA4" w:rsidP="00275E43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V Česku ale zadluženost meziročně mírně vzrostla.</w:t>
            </w:r>
          </w:p>
          <w:p w14:paraId="11E5C44D" w14:textId="77777777" w:rsidR="00A30EA4" w:rsidRDefault="00A30EA4" w:rsidP="00275E43">
            <w:pPr>
              <w:pStyle w:val="Marginlie"/>
              <w:rPr>
                <w:spacing w:val="-4"/>
              </w:rPr>
            </w:pPr>
          </w:p>
          <w:p w14:paraId="36A870DA" w14:textId="77777777" w:rsidR="00A30EA4" w:rsidRDefault="00A30EA4" w:rsidP="00275E43">
            <w:pPr>
              <w:pStyle w:val="Marginlie"/>
              <w:rPr>
                <w:spacing w:val="-4"/>
              </w:rPr>
            </w:pPr>
          </w:p>
          <w:p w14:paraId="76FE1B7B" w14:textId="77777777" w:rsidR="00A30EA4" w:rsidRDefault="00A30EA4" w:rsidP="00275E43">
            <w:pPr>
              <w:pStyle w:val="Marginlie"/>
              <w:rPr>
                <w:spacing w:val="-4"/>
              </w:rPr>
            </w:pPr>
          </w:p>
          <w:p w14:paraId="0D71380B" w14:textId="77777777" w:rsidR="00A30EA4" w:rsidRDefault="00A30EA4" w:rsidP="00275E43">
            <w:pPr>
              <w:pStyle w:val="Marginlie"/>
              <w:rPr>
                <w:spacing w:val="-4"/>
              </w:rPr>
            </w:pPr>
          </w:p>
          <w:p w14:paraId="4B7FC94C" w14:textId="77777777" w:rsidR="00A30EA4" w:rsidRPr="0058030F" w:rsidRDefault="00A30EA4" w:rsidP="00275E43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Snížit zadluženost pod úroveň minima z poslední konjunktury zatím zvládly jen Irsko, Švédsko a Dánsko.</w:t>
            </w:r>
          </w:p>
          <w:p w14:paraId="005A5782" w14:textId="77777777" w:rsidR="00A30EA4" w:rsidRPr="0058030F" w:rsidRDefault="00A30EA4" w:rsidP="00275E43">
            <w:pPr>
              <w:pStyle w:val="Marginlie"/>
              <w:rPr>
                <w:spacing w:val="-4"/>
              </w:rPr>
            </w:pPr>
          </w:p>
        </w:tc>
        <w:tc>
          <w:tcPr>
            <w:tcW w:w="219" w:type="dxa"/>
            <w:shd w:val="clear" w:color="auto" w:fill="auto"/>
            <w:tcMar>
              <w:left w:w="0" w:type="dxa"/>
            </w:tcMar>
          </w:tcPr>
          <w:p w14:paraId="24DBC31C" w14:textId="77777777" w:rsidR="00A30EA4" w:rsidRDefault="00A30EA4" w:rsidP="00275E4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1DD8DB72" w14:textId="77777777" w:rsidR="00A30EA4" w:rsidRPr="0058030F" w:rsidRDefault="00A30EA4" w:rsidP="00275E43">
            <w:pPr>
              <w:spacing w:after="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Míra zadlužení sektoru VI v EU</w:t>
            </w:r>
            <w:r w:rsidRPr="0058030F">
              <w:rPr>
                <w:color w:val="0D0D0D" w:themeColor="text1" w:themeTint="F2"/>
                <w:spacing w:val="-4"/>
              </w:rPr>
              <w:t>, která na počátku loňského roku vystoupala na historicky nejvyšší úroveň</w:t>
            </w:r>
            <w:r>
              <w:rPr>
                <w:color w:val="0D0D0D" w:themeColor="text1" w:themeTint="F2"/>
                <w:spacing w:val="-4"/>
              </w:rPr>
              <w:t>, činila letos na konci 2</w:t>
            </w:r>
            <w:r w:rsidRPr="0058030F">
              <w:rPr>
                <w:color w:val="0D0D0D" w:themeColor="text1" w:themeTint="F2"/>
                <w:spacing w:val="-4"/>
              </w:rPr>
              <w:t xml:space="preserve">. čtvrtletí </w:t>
            </w:r>
            <w:r>
              <w:rPr>
                <w:color w:val="0D0D0D" w:themeColor="text1" w:themeTint="F2"/>
                <w:spacing w:val="-4"/>
              </w:rPr>
              <w:t>86,4 % HDP a meziročně se snížila o</w:t>
            </w:r>
            <w:r w:rsidRPr="0058030F"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>4,</w:t>
            </w:r>
            <w:proofErr w:type="gramStart"/>
            <w:r>
              <w:rPr>
                <w:color w:val="0D0D0D" w:themeColor="text1" w:themeTint="F2"/>
                <w:spacing w:val="-4"/>
              </w:rPr>
              <w:t>1  p.</w:t>
            </w:r>
            <w:proofErr w:type="gramEnd"/>
            <w:r>
              <w:rPr>
                <w:color w:val="0D0D0D" w:themeColor="text1" w:themeTint="F2"/>
                <w:spacing w:val="-4"/>
              </w:rPr>
              <w:t xml:space="preserve">  b. (když klesala třetí kvartál v řadě). Největší redukci zaznamenaly některé dlouhodobě vysoce zadlužené státy – Řecko (25 p. b.) a Kypr (14 p. b.), ale také část tradičně fiskálně stabilizovaných zemí (Irsko, Dánsko). Zadluženost se zvýšila pouze ve čtyřech členských státech – v Česku, na Slovensku, v Maďarsku a v Rumunsku (vždy ale</w:t>
            </w:r>
            <w:r w:rsidRPr="0058030F">
              <w:rPr>
                <w:color w:val="0D0D0D" w:themeColor="text1" w:themeTint="F2"/>
                <w:spacing w:val="-4"/>
              </w:rPr>
              <w:t xml:space="preserve"> došlo jen k mírnému navýšení</w:t>
            </w:r>
            <w:r>
              <w:rPr>
                <w:color w:val="0D0D0D" w:themeColor="text1" w:themeTint="F2"/>
                <w:spacing w:val="-4"/>
              </w:rPr>
              <w:t>, maximálně do 1,5 p. b.</w:t>
            </w:r>
            <w:r w:rsidRPr="0058030F">
              <w:rPr>
                <w:color w:val="0D0D0D" w:themeColor="text1" w:themeTint="F2"/>
                <w:spacing w:val="-4"/>
              </w:rPr>
              <w:t>). Oproti nejnižší úrovni zadlužení z éry předpan</w:t>
            </w:r>
            <w:r>
              <w:rPr>
                <w:color w:val="0D0D0D" w:themeColor="text1" w:themeTint="F2"/>
                <w:spacing w:val="-4"/>
              </w:rPr>
              <w:t>demické konjunktury (období 2015</w:t>
            </w:r>
            <w:r w:rsidRPr="0058030F">
              <w:rPr>
                <w:color w:val="0D0D0D" w:themeColor="text1" w:themeTint="F2"/>
                <w:spacing w:val="-4"/>
              </w:rPr>
              <w:t xml:space="preserve"> až 2019</w:t>
            </w:r>
            <w:r>
              <w:rPr>
                <w:color w:val="0D0D0D" w:themeColor="text1" w:themeTint="F2"/>
                <w:spacing w:val="-4"/>
              </w:rPr>
              <w:t>) byl letos dluh v Unii vyšší o 8,</w:t>
            </w:r>
            <w:proofErr w:type="gramStart"/>
            <w:r>
              <w:rPr>
                <w:color w:val="0D0D0D" w:themeColor="text1" w:themeTint="F2"/>
                <w:spacing w:val="-4"/>
              </w:rPr>
              <w:t>9</w:t>
            </w:r>
            <w:r w:rsidRPr="0058030F">
              <w:rPr>
                <w:color w:val="0D0D0D" w:themeColor="text1" w:themeTint="F2"/>
                <w:spacing w:val="-4"/>
              </w:rPr>
              <w:t xml:space="preserve">  p.</w:t>
            </w:r>
            <w:proofErr w:type="gramEnd"/>
            <w:r>
              <w:rPr>
                <w:color w:val="0D0D0D" w:themeColor="text1" w:themeTint="F2"/>
                <w:spacing w:val="-4"/>
              </w:rPr>
              <w:t> </w:t>
            </w:r>
            <w:r w:rsidRPr="0058030F">
              <w:rPr>
                <w:color w:val="0D0D0D" w:themeColor="text1" w:themeTint="F2"/>
                <w:spacing w:val="-4"/>
              </w:rPr>
              <w:t>b., v </w:t>
            </w:r>
            <w:r>
              <w:rPr>
                <w:color w:val="0D0D0D" w:themeColor="text1" w:themeTint="F2"/>
                <w:spacing w:val="-4"/>
              </w:rPr>
              <w:t>nejpostiženějších státech (</w:t>
            </w:r>
            <w:r w:rsidRPr="0058030F">
              <w:rPr>
                <w:color w:val="0D0D0D" w:themeColor="text1" w:themeTint="F2"/>
                <w:spacing w:val="-4"/>
              </w:rPr>
              <w:t>Itálie</w:t>
            </w:r>
            <w:r>
              <w:rPr>
                <w:color w:val="0D0D0D" w:themeColor="text1" w:themeTint="F2"/>
                <w:spacing w:val="-4"/>
              </w:rPr>
              <w:t>, Španělsko, Francie) až v rozmezí 16 až 18 p. b. Nadprůměrný nárůst zasáhl i Česko (</w:t>
            </w:r>
            <w:r w:rsidRPr="0058030F">
              <w:rPr>
                <w:color w:val="0D0D0D" w:themeColor="text1" w:themeTint="F2"/>
                <w:spacing w:val="-4"/>
              </w:rPr>
              <w:t>13</w:t>
            </w:r>
            <w:r>
              <w:rPr>
                <w:color w:val="0D0D0D" w:themeColor="text1" w:themeTint="F2"/>
                <w:spacing w:val="-4"/>
              </w:rPr>
              <w:t>,5 p. b.) a dále Slovensko, Maďarsko i Rakousko (shodně okolo 12 p. b.).</w:t>
            </w:r>
            <w:r w:rsidRPr="0058030F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 xml:space="preserve">Naopak </w:t>
            </w:r>
            <w:proofErr w:type="gramStart"/>
            <w:r w:rsidRPr="0058030F">
              <w:rPr>
                <w:color w:val="0D0D0D" w:themeColor="text1" w:themeTint="F2"/>
                <w:spacing w:val="-4"/>
              </w:rPr>
              <w:t>lé</w:t>
            </w:r>
            <w:r>
              <w:rPr>
                <w:color w:val="0D0D0D" w:themeColor="text1" w:themeTint="F2"/>
                <w:spacing w:val="-4"/>
              </w:rPr>
              <w:t>pe</w:t>
            </w:r>
            <w:proofErr w:type="gramEnd"/>
            <w:r>
              <w:rPr>
                <w:color w:val="0D0D0D" w:themeColor="text1" w:themeTint="F2"/>
                <w:spacing w:val="-4"/>
              </w:rPr>
              <w:t xml:space="preserve"> než před pandemií na tom byly jen Irsko (o 5,6 p. b.) a též Dánsko se Švédskem (shodně 1,8 p. b) –</w:t>
            </w:r>
            <w:r w:rsidRPr="0058030F">
              <w:rPr>
                <w:color w:val="0D0D0D" w:themeColor="text1" w:themeTint="F2"/>
                <w:spacing w:val="-4"/>
              </w:rPr>
              <w:t xml:space="preserve"> obě země si tak upevnily svou pozici mezi nejméně zadluženými ekonomikami</w:t>
            </w:r>
            <w:r>
              <w:rPr>
                <w:color w:val="0D0D0D" w:themeColor="text1" w:themeTint="F2"/>
                <w:spacing w:val="-4"/>
              </w:rPr>
              <w:t xml:space="preserve"> Unie</w:t>
            </w:r>
            <w:r w:rsidRPr="0058030F">
              <w:rPr>
                <w:color w:val="0D0D0D" w:themeColor="text1" w:themeTint="F2"/>
                <w:spacing w:val="-4"/>
              </w:rPr>
              <w:t xml:space="preserve">. </w:t>
            </w:r>
            <w:r>
              <w:rPr>
                <w:color w:val="0D0D0D" w:themeColor="text1" w:themeTint="F2"/>
                <w:spacing w:val="-4"/>
              </w:rPr>
              <w:t>Dosažená míra zadlužení řadila Česko ve 2. čtvrtletí 2022 na osmou nejlepší pozici v EU a v rámci středoevropského regionu byla stále zřetelně nejnižší.</w:t>
            </w:r>
          </w:p>
        </w:tc>
      </w:tr>
    </w:tbl>
    <w:p w14:paraId="53552171" w14:textId="77777777" w:rsidR="00A30EA4" w:rsidRPr="00E42054" w:rsidRDefault="00A30EA4" w:rsidP="00A30EA4">
      <w:pPr>
        <w:pStyle w:val="Nadpis11"/>
        <w:rPr>
          <w:b w:val="0"/>
          <w:sz w:val="2"/>
          <w:szCs w:val="2"/>
        </w:rPr>
      </w:pPr>
    </w:p>
    <w:p w14:paraId="5BAB8EA3" w14:textId="6926CA10" w:rsidR="000663F0" w:rsidRPr="00E42054" w:rsidRDefault="000663F0" w:rsidP="00A30EA4">
      <w:pPr>
        <w:pStyle w:val="Nadpis11"/>
        <w:rPr>
          <w:b w:val="0"/>
          <w:sz w:val="2"/>
          <w:szCs w:val="2"/>
        </w:rPr>
      </w:pPr>
    </w:p>
    <w:sectPr w:rsidR="000663F0" w:rsidRPr="00E42054" w:rsidSect="00E50CEC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737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9558" w14:textId="77777777" w:rsidR="00665501" w:rsidRDefault="00665501" w:rsidP="00E71A58">
      <w:r>
        <w:separator/>
      </w:r>
    </w:p>
  </w:endnote>
  <w:endnote w:type="continuationSeparator" w:id="0">
    <w:p w14:paraId="1D4B7205" w14:textId="77777777" w:rsidR="00665501" w:rsidRDefault="0066550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6C8" w14:textId="1E100CD2" w:rsidR="00275E43" w:rsidRPr="00932443" w:rsidRDefault="00275E4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42902">
      <w:rPr>
        <w:szCs w:val="16"/>
      </w:rPr>
      <w:t>20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FAF" w14:textId="720FC4B9" w:rsidR="00275E43" w:rsidRPr="00932443" w:rsidRDefault="00275E43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až 3. čtvrtletí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42902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C823" w14:textId="77777777" w:rsidR="00665501" w:rsidRDefault="00665501" w:rsidP="00A21B4D">
      <w:pPr>
        <w:spacing w:after="0"/>
      </w:pPr>
      <w:r>
        <w:separator/>
      </w:r>
    </w:p>
  </w:footnote>
  <w:footnote w:type="continuationSeparator" w:id="0">
    <w:p w14:paraId="01B4EBFF" w14:textId="77777777" w:rsidR="00665501" w:rsidRDefault="00665501" w:rsidP="00E71A58">
      <w:r>
        <w:continuationSeparator/>
      </w:r>
    </w:p>
  </w:footnote>
  <w:footnote w:id="1">
    <w:p w14:paraId="69A99E12" w14:textId="77777777" w:rsidR="00275E43" w:rsidRPr="00AD0D96" w:rsidRDefault="00275E43" w:rsidP="00A30EA4">
      <w:pPr>
        <w:pStyle w:val="Textpoznpodarou"/>
        <w:jc w:val="both"/>
        <w:rPr>
          <w:spacing w:val="-3"/>
          <w:sz w:val="16"/>
          <w:szCs w:val="16"/>
        </w:rPr>
      </w:pPr>
      <w:r w:rsidRPr="00AD0D96">
        <w:rPr>
          <w:rStyle w:val="Znakapoznpodarou"/>
          <w:spacing w:val="-3"/>
          <w:sz w:val="16"/>
          <w:szCs w:val="16"/>
        </w:rPr>
        <w:footnoteRef/>
      </w:r>
      <w:r w:rsidRPr="00AD0D96">
        <w:rPr>
          <w:spacing w:val="-3"/>
          <w:sz w:val="16"/>
          <w:szCs w:val="16"/>
        </w:rPr>
        <w:t xml:space="preserve"> </w:t>
      </w:r>
      <w:r w:rsidRPr="00AD0D96">
        <w:rPr>
          <w:color w:val="0D0D0D" w:themeColor="text1" w:themeTint="F2"/>
          <w:spacing w:val="-3"/>
          <w:sz w:val="16"/>
          <w:szCs w:val="16"/>
        </w:rPr>
        <w:t xml:space="preserve">Pokud není uvedeno jinak, vycházejí všechny údaje týkající se státního rozpočtu </w:t>
      </w:r>
      <w:r w:rsidRPr="00AD0D96">
        <w:rPr>
          <w:rFonts w:cs="Arial"/>
          <w:color w:val="0D0D0D" w:themeColor="text1" w:themeTint="F2"/>
          <w:spacing w:val="-3"/>
          <w:sz w:val="16"/>
          <w:szCs w:val="16"/>
        </w:rPr>
        <w:t>z dat Ministerstva financí o pokladním plnění.</w:t>
      </w:r>
    </w:p>
  </w:footnote>
  <w:footnote w:id="2">
    <w:p w14:paraId="2B2218F8" w14:textId="77777777" w:rsidR="00275E43" w:rsidRDefault="00275E43" w:rsidP="00A30EA4">
      <w:pPr>
        <w:pStyle w:val="Textpoznpodarou"/>
      </w:pPr>
      <w:r w:rsidRPr="00AD0D96">
        <w:rPr>
          <w:rStyle w:val="Znakapoznpodarou"/>
          <w:sz w:val="16"/>
          <w:szCs w:val="16"/>
        </w:rPr>
        <w:footnoteRef/>
      </w:r>
      <w:r w:rsidRPr="00AD0D96">
        <w:rPr>
          <w:sz w:val="16"/>
          <w:szCs w:val="16"/>
        </w:rPr>
        <w:t xml:space="preserve"> </w:t>
      </w:r>
      <w:r w:rsidRPr="00AD0D96">
        <w:rPr>
          <w:spacing w:val="-4"/>
          <w:sz w:val="16"/>
          <w:szCs w:val="16"/>
        </w:rPr>
        <w:t xml:space="preserve">Dle zákona č. 57/2022 Sb., o státním rozpočtu, schváleného Poslaneckou sněmovnou Parlamentu ČR 10. března 2022, v němž byl celoroční schodek </w:t>
      </w:r>
      <w:r>
        <w:rPr>
          <w:spacing w:val="-4"/>
          <w:sz w:val="16"/>
          <w:szCs w:val="16"/>
        </w:rPr>
        <w:t xml:space="preserve">stanoven na 280 mld. korun. Dne 18. října došlo ke schválení novely zákona o státním rozpočtu na rok 2022, jež navýšila očekávaný schodek na 375 mld. korun. </w:t>
      </w:r>
    </w:p>
  </w:footnote>
  <w:footnote w:id="3">
    <w:p w14:paraId="5624A24E" w14:textId="77777777" w:rsidR="00275E43" w:rsidRDefault="00275E43" w:rsidP="00A30EA4">
      <w:pPr>
        <w:pStyle w:val="Textpoznpodarou"/>
      </w:pPr>
      <w:r w:rsidRPr="00EE308D">
        <w:rPr>
          <w:spacing w:val="-4"/>
          <w:sz w:val="16"/>
          <w:szCs w:val="16"/>
          <w:vertAlign w:val="superscript"/>
        </w:rPr>
        <w:footnoteRef/>
      </w:r>
      <w:r w:rsidRPr="00EE308D">
        <w:rPr>
          <w:spacing w:val="-4"/>
          <w:sz w:val="16"/>
          <w:szCs w:val="16"/>
        </w:rPr>
        <w:t xml:space="preserve"> D</w:t>
      </w:r>
      <w:r>
        <w:rPr>
          <w:spacing w:val="-4"/>
          <w:sz w:val="16"/>
          <w:szCs w:val="16"/>
        </w:rPr>
        <w:t>le z</w:t>
      </w:r>
      <w:r w:rsidRPr="00EE308D">
        <w:rPr>
          <w:spacing w:val="-4"/>
          <w:sz w:val="16"/>
          <w:szCs w:val="16"/>
        </w:rPr>
        <w:t>ákona č. 57/2022 Sb.</w:t>
      </w:r>
      <w:r>
        <w:rPr>
          <w:spacing w:val="-4"/>
          <w:sz w:val="16"/>
          <w:szCs w:val="16"/>
        </w:rPr>
        <w:t xml:space="preserve">, </w:t>
      </w:r>
      <w:r w:rsidRPr="00EE308D">
        <w:rPr>
          <w:spacing w:val="-4"/>
          <w:sz w:val="16"/>
          <w:szCs w:val="16"/>
        </w:rPr>
        <w:t>o státní</w:t>
      </w:r>
      <w:r>
        <w:rPr>
          <w:spacing w:val="-4"/>
          <w:sz w:val="16"/>
          <w:szCs w:val="16"/>
        </w:rPr>
        <w:t>m</w:t>
      </w:r>
      <w:r w:rsidRPr="00EE308D">
        <w:rPr>
          <w:spacing w:val="-4"/>
          <w:sz w:val="16"/>
          <w:szCs w:val="16"/>
        </w:rPr>
        <w:t xml:space="preserve"> rozpočtu</w:t>
      </w:r>
      <w:r>
        <w:rPr>
          <w:spacing w:val="-4"/>
          <w:sz w:val="16"/>
          <w:szCs w:val="16"/>
        </w:rPr>
        <w:t>,</w:t>
      </w:r>
      <w:r w:rsidRPr="00EE308D">
        <w:rPr>
          <w:spacing w:val="-4"/>
          <w:sz w:val="16"/>
          <w:szCs w:val="16"/>
        </w:rPr>
        <w:t xml:space="preserve"> schváleného Poslaneckou sněmovnou Parlamentu ČR 10. března 2022</w:t>
      </w:r>
      <w:r>
        <w:rPr>
          <w:spacing w:val="-4"/>
          <w:sz w:val="16"/>
          <w:szCs w:val="16"/>
        </w:rPr>
        <w:t>.</w:t>
      </w:r>
    </w:p>
  </w:footnote>
  <w:footnote w:id="4">
    <w:p w14:paraId="56737DB9" w14:textId="77777777" w:rsidR="00275E43" w:rsidRPr="00AD0D96" w:rsidRDefault="00275E43" w:rsidP="00A30EA4">
      <w:pPr>
        <w:pStyle w:val="Textpoznpodarou"/>
        <w:rPr>
          <w:sz w:val="16"/>
          <w:szCs w:val="16"/>
        </w:rPr>
      </w:pPr>
      <w:r w:rsidRPr="00AD0D96">
        <w:rPr>
          <w:rStyle w:val="Znakapoznpodarou"/>
          <w:sz w:val="16"/>
          <w:szCs w:val="16"/>
        </w:rPr>
        <w:footnoteRef/>
      </w:r>
      <w:r w:rsidRPr="00AD0D96">
        <w:rPr>
          <w:sz w:val="16"/>
          <w:szCs w:val="16"/>
        </w:rPr>
        <w:t xml:space="preserve"> Obdobně rostl v 1. až 3. čtvrtletí i celostátní výběr DPH (na úrovni všech veřejných rozpočtů), který tak dosáhl v rámci shodného období roku ne</w:t>
      </w:r>
      <w:r>
        <w:rPr>
          <w:sz w:val="16"/>
          <w:szCs w:val="16"/>
        </w:rPr>
        <w:t>jvyššího tempa po roce 2000</w:t>
      </w:r>
      <w:r w:rsidRPr="00AD0D96">
        <w:rPr>
          <w:sz w:val="16"/>
          <w:szCs w:val="16"/>
        </w:rPr>
        <w:t>.</w:t>
      </w:r>
    </w:p>
  </w:footnote>
  <w:footnote w:id="5">
    <w:p w14:paraId="27AB17EC" w14:textId="77777777" w:rsidR="00275E43" w:rsidRPr="00BC4671" w:rsidRDefault="00275E43" w:rsidP="00A30EA4">
      <w:pPr>
        <w:pStyle w:val="Textpoznpodarou"/>
        <w:rPr>
          <w:sz w:val="16"/>
          <w:szCs w:val="16"/>
        </w:rPr>
      </w:pPr>
      <w:r w:rsidRPr="00BC4671">
        <w:rPr>
          <w:rStyle w:val="Znakapoznpodarou"/>
          <w:sz w:val="16"/>
          <w:szCs w:val="16"/>
        </w:rPr>
        <w:footnoteRef/>
      </w:r>
      <w:r w:rsidRPr="00BC4671">
        <w:rPr>
          <w:sz w:val="16"/>
          <w:szCs w:val="16"/>
        </w:rPr>
        <w:t xml:space="preserve"> Na tomto významném zvolnění tempa se mohly podílet i častější výjezdy </w:t>
      </w:r>
      <w:r>
        <w:rPr>
          <w:sz w:val="16"/>
          <w:szCs w:val="16"/>
        </w:rPr>
        <w:t xml:space="preserve">rezidentů ČR na zahraniční dovolené (ty se letos v létě patrně vrátily k „předpandemickému normálu“), které se negativně odrazily na tuzemské spotřebě domácností. </w:t>
      </w:r>
    </w:p>
  </w:footnote>
  <w:footnote w:id="6">
    <w:p w14:paraId="69C179EB" w14:textId="77777777" w:rsidR="00275E43" w:rsidRPr="00123B2A" w:rsidRDefault="00275E43" w:rsidP="00A30EA4">
      <w:pPr>
        <w:pStyle w:val="Textpoznpodarou"/>
        <w:rPr>
          <w:sz w:val="16"/>
          <w:szCs w:val="16"/>
        </w:rPr>
      </w:pPr>
      <w:r w:rsidRPr="00123B2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Od 1. června do 30. září 2022 byla</w:t>
      </w:r>
      <w:r w:rsidRPr="00123B2A">
        <w:rPr>
          <w:sz w:val="16"/>
          <w:szCs w:val="16"/>
        </w:rPr>
        <w:t xml:space="preserve"> dočasně</w:t>
      </w:r>
      <w:r>
        <w:rPr>
          <w:sz w:val="16"/>
          <w:szCs w:val="16"/>
        </w:rPr>
        <w:t xml:space="preserve"> snížena</w:t>
      </w:r>
      <w:r w:rsidRPr="00123B2A">
        <w:rPr>
          <w:sz w:val="16"/>
          <w:szCs w:val="16"/>
        </w:rPr>
        <w:t xml:space="preserve"> sazba spotřební daně z benzínu a motorové nafty o 1,50 Kč na litr.</w:t>
      </w:r>
      <w:r>
        <w:rPr>
          <w:sz w:val="16"/>
          <w:szCs w:val="16"/>
        </w:rPr>
        <w:t xml:space="preserve"> U nafty bylo toto opatření následně prodlouženo až do konce roku 2023.</w:t>
      </w:r>
    </w:p>
  </w:footnote>
  <w:footnote w:id="7">
    <w:p w14:paraId="3E6F2D9F" w14:textId="77777777" w:rsidR="00275E43" w:rsidRPr="00F62C95" w:rsidRDefault="00275E43" w:rsidP="00A30EA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Calibri" w:hAnsi="Calibri" w:cs="Calibri"/>
          <w:sz w:val="16"/>
          <w:szCs w:val="16"/>
          <w:lang w:eastAsia="en-US"/>
        </w:rPr>
      </w:pPr>
      <w:r w:rsidRPr="00852DA9">
        <w:rPr>
          <w:rStyle w:val="Znakapoznpodarou"/>
          <w:sz w:val="16"/>
          <w:szCs w:val="16"/>
        </w:rPr>
        <w:footnoteRef/>
      </w:r>
      <w:r w:rsidRPr="00852DA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Vysoký meziroční růst inkasa korporátní daně byl částečně ovlivněn </w:t>
      </w:r>
      <w:r w:rsidRPr="00852DA9">
        <w:rPr>
          <w:sz w:val="16"/>
          <w:szCs w:val="16"/>
        </w:rPr>
        <w:t>loňským</w:t>
      </w:r>
      <w:r w:rsidRPr="00852DA9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Pr="00852DA9">
        <w:rPr>
          <w:sz w:val="16"/>
          <w:szCs w:val="16"/>
        </w:rPr>
        <w:t xml:space="preserve">posunem lhůty pro zaplacení </w:t>
      </w:r>
      <w:r>
        <w:rPr>
          <w:sz w:val="16"/>
          <w:szCs w:val="16"/>
        </w:rPr>
        <w:t xml:space="preserve">záloh na dani </w:t>
      </w:r>
      <w:r w:rsidRPr="00852DA9">
        <w:rPr>
          <w:sz w:val="16"/>
          <w:szCs w:val="16"/>
        </w:rPr>
        <w:t>(na základě individuální</w:t>
      </w:r>
      <w:r>
        <w:rPr>
          <w:sz w:val="16"/>
          <w:szCs w:val="16"/>
        </w:rPr>
        <w:t>ch</w:t>
      </w:r>
      <w:r w:rsidRPr="00852DA9">
        <w:rPr>
          <w:sz w:val="16"/>
          <w:szCs w:val="16"/>
        </w:rPr>
        <w:t xml:space="preserve"> žádost</w:t>
      </w:r>
      <w:r>
        <w:rPr>
          <w:sz w:val="16"/>
          <w:szCs w:val="16"/>
        </w:rPr>
        <w:t>í</w:t>
      </w:r>
      <w:r w:rsidRPr="00852DA9">
        <w:rPr>
          <w:sz w:val="16"/>
          <w:szCs w:val="16"/>
        </w:rPr>
        <w:t xml:space="preserve"> firem)</w:t>
      </w:r>
      <w:r>
        <w:rPr>
          <w:sz w:val="16"/>
          <w:szCs w:val="16"/>
        </w:rPr>
        <w:t xml:space="preserve"> s negativním dopadem na příjem této daně do SR ve výši 11,7 mld. korun (za 1. až 3. čtvrtletí 2021).</w:t>
      </w:r>
      <w:r w:rsidRPr="00B1717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Dále </w:t>
      </w:r>
      <w:r w:rsidRPr="00F62C95">
        <w:rPr>
          <w:sz w:val="16"/>
          <w:szCs w:val="16"/>
        </w:rPr>
        <w:t>šlo také o změnu ve zdanění rezerv pojišťoven.</w:t>
      </w:r>
    </w:p>
  </w:footnote>
  <w:footnote w:id="8">
    <w:p w14:paraId="4A361343" w14:textId="77777777" w:rsidR="00275E43" w:rsidRPr="00F62C95" w:rsidRDefault="00275E43" w:rsidP="00A30EA4">
      <w:pPr>
        <w:pStyle w:val="Textpoznpodarou"/>
        <w:rPr>
          <w:sz w:val="16"/>
          <w:szCs w:val="16"/>
        </w:rPr>
      </w:pPr>
      <w:r w:rsidRPr="00F62C95">
        <w:rPr>
          <w:rStyle w:val="Znakapoznpodarou"/>
          <w:sz w:val="16"/>
          <w:szCs w:val="16"/>
        </w:rPr>
        <w:footnoteRef/>
      </w:r>
      <w:r w:rsidRPr="00F62C95">
        <w:rPr>
          <w:sz w:val="16"/>
          <w:szCs w:val="16"/>
        </w:rPr>
        <w:t xml:space="preserve"> Celostátní výběr této daně (104,8 mld. korun) však letos nedosáhl ani úrovně z 1. až 3. čtvrtletí 2016 (107,5 mld.), </w:t>
      </w:r>
      <w:r>
        <w:rPr>
          <w:sz w:val="16"/>
          <w:szCs w:val="16"/>
        </w:rPr>
        <w:t xml:space="preserve">a to </w:t>
      </w:r>
      <w:r w:rsidRPr="00F62C95">
        <w:rPr>
          <w:sz w:val="16"/>
          <w:szCs w:val="16"/>
        </w:rPr>
        <w:t xml:space="preserve">zejména vlivem </w:t>
      </w:r>
      <w:r w:rsidRPr="00F62C95">
        <w:rPr>
          <w:spacing w:val="-4"/>
          <w:sz w:val="16"/>
          <w:szCs w:val="16"/>
        </w:rPr>
        <w:t>snížení</w:t>
      </w:r>
      <w:r>
        <w:rPr>
          <w:spacing w:val="-4"/>
          <w:sz w:val="16"/>
          <w:szCs w:val="16"/>
        </w:rPr>
        <w:t xml:space="preserve"> daňového zatížení práce od roku 2021 </w:t>
      </w:r>
      <w:r w:rsidRPr="00F62C95">
        <w:rPr>
          <w:spacing w:val="-4"/>
          <w:sz w:val="16"/>
          <w:szCs w:val="16"/>
        </w:rPr>
        <w:t>(v souvislosti se zrušení</w:t>
      </w:r>
      <w:r>
        <w:rPr>
          <w:spacing w:val="-4"/>
          <w:sz w:val="16"/>
          <w:szCs w:val="16"/>
        </w:rPr>
        <w:t>m</w:t>
      </w:r>
      <w:r w:rsidRPr="00F62C95">
        <w:rPr>
          <w:spacing w:val="-4"/>
          <w:sz w:val="16"/>
          <w:szCs w:val="16"/>
        </w:rPr>
        <w:t xml:space="preserve"> tzv. superhrubé mzdy).</w:t>
      </w:r>
    </w:p>
  </w:footnote>
  <w:footnote w:id="9">
    <w:p w14:paraId="178DDDC4" w14:textId="77777777" w:rsidR="00275E43" w:rsidRPr="00271248" w:rsidRDefault="00275E43" w:rsidP="00A30EA4">
      <w:pPr>
        <w:pStyle w:val="Textpoznpodarou"/>
        <w:rPr>
          <w:sz w:val="16"/>
          <w:szCs w:val="16"/>
        </w:rPr>
      </w:pPr>
      <w:r w:rsidRPr="00271248">
        <w:rPr>
          <w:rStyle w:val="Znakapoznpodarou"/>
          <w:sz w:val="16"/>
          <w:szCs w:val="16"/>
        </w:rPr>
        <w:footnoteRef/>
      </w:r>
      <w:r w:rsidRPr="00271248">
        <w:rPr>
          <w:sz w:val="16"/>
          <w:szCs w:val="16"/>
        </w:rPr>
        <w:t xml:space="preserve"> Úhrn měsíčních výdajů ve všech organi</w:t>
      </w:r>
      <w:r>
        <w:rPr>
          <w:sz w:val="16"/>
          <w:szCs w:val="16"/>
        </w:rPr>
        <w:t>začních složkách státu tak mohl</w:t>
      </w:r>
      <w:r w:rsidRPr="00271248">
        <w:rPr>
          <w:sz w:val="16"/>
          <w:szCs w:val="16"/>
        </w:rPr>
        <w:t xml:space="preserve"> dosáhnout maximálně jedné dvanáctiny celkových výdajů SR stanovených </w:t>
      </w:r>
      <w:r>
        <w:rPr>
          <w:sz w:val="16"/>
          <w:szCs w:val="16"/>
        </w:rPr>
        <w:t xml:space="preserve">dle schváleného </w:t>
      </w:r>
      <w:r w:rsidRPr="00271248">
        <w:rPr>
          <w:sz w:val="16"/>
          <w:szCs w:val="16"/>
        </w:rPr>
        <w:t>zákona o SR z roku 2021.</w:t>
      </w:r>
      <w:r>
        <w:rPr>
          <w:sz w:val="16"/>
          <w:szCs w:val="16"/>
        </w:rPr>
        <w:t xml:space="preserve"> Na</w:t>
      </w:r>
      <w:r w:rsidRPr="00EE46BC">
        <w:rPr>
          <w:sz w:val="16"/>
          <w:szCs w:val="16"/>
        </w:rPr>
        <w:t xml:space="preserve"> počátku roku </w:t>
      </w:r>
      <w:r>
        <w:rPr>
          <w:spacing w:val="-4"/>
          <w:sz w:val="16"/>
          <w:szCs w:val="16"/>
        </w:rPr>
        <w:t>došlo k omezení</w:t>
      </w:r>
      <w:r w:rsidRPr="00EE46BC">
        <w:rPr>
          <w:spacing w:val="-4"/>
          <w:sz w:val="16"/>
          <w:szCs w:val="16"/>
        </w:rPr>
        <w:t xml:space="preserve"> možnosti předfinancování některých běžných transferů a </w:t>
      </w:r>
      <w:r>
        <w:rPr>
          <w:spacing w:val="-4"/>
          <w:sz w:val="16"/>
          <w:szCs w:val="16"/>
        </w:rPr>
        <w:t>zásadně limitováno bylo rovněž použití</w:t>
      </w:r>
      <w:r w:rsidRPr="00EE46BC">
        <w:rPr>
          <w:spacing w:val="-4"/>
          <w:sz w:val="16"/>
          <w:szCs w:val="16"/>
        </w:rPr>
        <w:t xml:space="preserve"> i další</w:t>
      </w:r>
      <w:r>
        <w:rPr>
          <w:spacing w:val="-4"/>
          <w:sz w:val="16"/>
          <w:szCs w:val="16"/>
        </w:rPr>
        <w:t>ch zdrojů</w:t>
      </w:r>
      <w:r w:rsidRPr="00EE46BC">
        <w:rPr>
          <w:spacing w:val="-4"/>
          <w:sz w:val="16"/>
          <w:szCs w:val="16"/>
        </w:rPr>
        <w:t xml:space="preserve"> financování (např. </w:t>
      </w:r>
      <w:r w:rsidRPr="00EE46BC">
        <w:rPr>
          <w:sz w:val="16"/>
          <w:szCs w:val="16"/>
        </w:rPr>
        <w:t>mimorozpočtové zdroje – především nároky z nespotřebovaných výdajů z minulých le</w:t>
      </w:r>
      <w:r>
        <w:rPr>
          <w:sz w:val="16"/>
          <w:szCs w:val="16"/>
        </w:rPr>
        <w:t>t).</w:t>
      </w:r>
      <w:r w:rsidRPr="00862F80">
        <w:rPr>
          <w:sz w:val="16"/>
          <w:szCs w:val="16"/>
        </w:rPr>
        <w:t xml:space="preserve"> </w:t>
      </w:r>
      <w:r>
        <w:rPr>
          <w:sz w:val="16"/>
          <w:szCs w:val="16"/>
        </w:rPr>
        <w:t>To vedlo mj. k odkladu zbytných provozních výdajů i investic.</w:t>
      </w:r>
    </w:p>
  </w:footnote>
  <w:footnote w:id="10">
    <w:p w14:paraId="38815550" w14:textId="77777777" w:rsidR="00275E43" w:rsidRPr="00AC0B00" w:rsidRDefault="00275E43" w:rsidP="00A30EA4">
      <w:pPr>
        <w:pStyle w:val="Textpoznpodarou"/>
        <w:rPr>
          <w:sz w:val="16"/>
          <w:szCs w:val="16"/>
        </w:rPr>
      </w:pPr>
      <w:r w:rsidRPr="00AC0B00">
        <w:rPr>
          <w:rStyle w:val="Znakapoznpodarou"/>
          <w:sz w:val="16"/>
          <w:szCs w:val="16"/>
        </w:rPr>
        <w:footnoteRef/>
      </w:r>
      <w:r w:rsidRPr="00AC0B00">
        <w:rPr>
          <w:sz w:val="16"/>
          <w:szCs w:val="16"/>
        </w:rPr>
        <w:t xml:space="preserve"> </w:t>
      </w:r>
      <w:r>
        <w:rPr>
          <w:sz w:val="16"/>
          <w:szCs w:val="16"/>
        </w:rPr>
        <w:t>Řádná</w:t>
      </w:r>
      <w:r w:rsidRPr="00AC0B00">
        <w:rPr>
          <w:sz w:val="16"/>
          <w:szCs w:val="16"/>
        </w:rPr>
        <w:t xml:space="preserve"> lednová valorizace znamenala navýšení průměrného starobního důchodu o 5,2 % (805 korun), mimořádná valorizace v červnu analogicky o 6,3 % a v září pak o rovná 4 %</w:t>
      </w:r>
      <w:r>
        <w:rPr>
          <w:sz w:val="16"/>
          <w:szCs w:val="16"/>
        </w:rPr>
        <w:t>. Průměrný měsíční starobní důchod (bez souběhu s ostatními důchody) tak letos v září překročil 18 tis. korun (z toho u mužů se přiblížil hranici 20 tis. korun).</w:t>
      </w:r>
    </w:p>
  </w:footnote>
  <w:footnote w:id="11">
    <w:p w14:paraId="54B29EE0" w14:textId="77777777" w:rsidR="00275E43" w:rsidRPr="00EC2E06" w:rsidRDefault="00275E43" w:rsidP="00A30EA4">
      <w:pPr>
        <w:pStyle w:val="Textpoznpodarou"/>
        <w:jc w:val="both"/>
        <w:rPr>
          <w:spacing w:val="-4"/>
        </w:rPr>
      </w:pPr>
      <w:r w:rsidRPr="00EC2E06">
        <w:rPr>
          <w:rStyle w:val="Znakapoznpodarou"/>
          <w:spacing w:val="-4"/>
          <w:sz w:val="16"/>
          <w:szCs w:val="16"/>
        </w:rPr>
        <w:footnoteRef/>
      </w:r>
      <w:r>
        <w:rPr>
          <w:spacing w:val="-4"/>
          <w:sz w:val="16"/>
          <w:szCs w:val="16"/>
        </w:rPr>
        <w:t xml:space="preserve"> R</w:t>
      </w:r>
      <w:r w:rsidRPr="00EC2E06">
        <w:rPr>
          <w:rFonts w:cs="Arial"/>
          <w:color w:val="000000" w:themeColor="text1"/>
          <w:spacing w:val="-4"/>
          <w:sz w:val="16"/>
          <w:szCs w:val="16"/>
        </w:rPr>
        <w:t xml:space="preserve">ozdíl mezi příjmy a výdaji na důchody ze SR. Ve výdajích nejsou zahrnuty náklady na správu systému důchodového </w:t>
      </w:r>
      <w:r w:rsidRPr="00EC2E06">
        <w:rPr>
          <w:rFonts w:cs="Arial"/>
          <w:color w:val="0D0D0D" w:themeColor="text1" w:themeTint="F2"/>
          <w:spacing w:val="-4"/>
          <w:sz w:val="16"/>
          <w:szCs w:val="16"/>
        </w:rPr>
        <w:t>pojištění.</w:t>
      </w:r>
    </w:p>
  </w:footnote>
  <w:footnote w:id="12">
    <w:p w14:paraId="6385D5C8" w14:textId="77777777" w:rsidR="00275E43" w:rsidRPr="0095169D" w:rsidRDefault="00275E43" w:rsidP="00A30EA4">
      <w:pPr>
        <w:pStyle w:val="Textpoznpodarou"/>
        <w:rPr>
          <w:sz w:val="16"/>
          <w:szCs w:val="16"/>
        </w:rPr>
      </w:pPr>
      <w:r w:rsidRPr="0095169D">
        <w:rPr>
          <w:rStyle w:val="Znakapoznpodarou"/>
          <w:sz w:val="16"/>
          <w:szCs w:val="16"/>
        </w:rPr>
        <w:footnoteRef/>
      </w:r>
      <w:r w:rsidRPr="0095169D">
        <w:rPr>
          <w:sz w:val="16"/>
          <w:szCs w:val="16"/>
        </w:rPr>
        <w:t xml:space="preserve"> K tomu došlo zejména vlivem zákonného navýšení příspěvku pro </w:t>
      </w:r>
      <w:r>
        <w:rPr>
          <w:sz w:val="16"/>
          <w:szCs w:val="16"/>
        </w:rPr>
        <w:t xml:space="preserve">postižené </w:t>
      </w:r>
      <w:r w:rsidRPr="0095169D">
        <w:rPr>
          <w:sz w:val="16"/>
          <w:szCs w:val="16"/>
        </w:rPr>
        <w:t xml:space="preserve">osoby ve dvou nejtěžších stupních závislosti. </w:t>
      </w:r>
    </w:p>
  </w:footnote>
  <w:footnote w:id="13">
    <w:p w14:paraId="206754C4" w14:textId="77777777" w:rsidR="00275E43" w:rsidRPr="00AB5EA8" w:rsidRDefault="00275E43" w:rsidP="00A30EA4">
      <w:pPr>
        <w:pStyle w:val="Textpoznpodarou"/>
        <w:rPr>
          <w:sz w:val="16"/>
          <w:szCs w:val="16"/>
        </w:rPr>
      </w:pPr>
      <w:r w:rsidRPr="00694DF8">
        <w:rPr>
          <w:rStyle w:val="Znakapoznpodarou"/>
          <w:sz w:val="16"/>
          <w:szCs w:val="16"/>
        </w:rPr>
        <w:footnoteRef/>
      </w:r>
      <w:r w:rsidRPr="00694DF8">
        <w:rPr>
          <w:sz w:val="16"/>
          <w:szCs w:val="16"/>
        </w:rPr>
        <w:t xml:space="preserve"> Ten je vyplácen letos od srpna (ve výši 5 tis. korun za každé dítě) rodinám se středními a nižšími příjmy s cílem částečně kompenzovat rostoucí ceny energií, potravin a dalších potřeb </w:t>
      </w:r>
      <w:r w:rsidRPr="00AB5EA8">
        <w:rPr>
          <w:sz w:val="16"/>
          <w:szCs w:val="16"/>
        </w:rPr>
        <w:t>těmto rodinám.</w:t>
      </w:r>
    </w:p>
  </w:footnote>
  <w:footnote w:id="14">
    <w:p w14:paraId="372BA764" w14:textId="77777777" w:rsidR="00275E43" w:rsidRPr="006B6115" w:rsidRDefault="00275E43" w:rsidP="00A30EA4">
      <w:pPr>
        <w:pStyle w:val="Textpoznpodarou"/>
        <w:rPr>
          <w:sz w:val="16"/>
          <w:szCs w:val="16"/>
        </w:rPr>
      </w:pPr>
      <w:r w:rsidRPr="00AB5EA8">
        <w:rPr>
          <w:rStyle w:val="Znakapoznpodarou"/>
          <w:sz w:val="16"/>
          <w:szCs w:val="16"/>
        </w:rPr>
        <w:footnoteRef/>
      </w:r>
      <w:r w:rsidRPr="00AB5EA8">
        <w:rPr>
          <w:sz w:val="16"/>
          <w:szCs w:val="16"/>
        </w:rPr>
        <w:t xml:space="preserve"> Výdaje na dávky nemocenského pojištění tak letos za tři čtvrtletí převýšil</w:t>
      </w:r>
      <w:r w:rsidRPr="006B6115">
        <w:rPr>
          <w:sz w:val="16"/>
          <w:szCs w:val="16"/>
        </w:rPr>
        <w:t xml:space="preserve">y příjmy plynoucí na nemocenské pojištění o 7 mld. korun. To značilo lepší výsledek než ve shodném období let 2021 (-11,7 mld.) a 2020 (-18,1 mld.). Přebytek v oblasti nemocenského pojištění byl naposledy zaznamenán v roce 2018 (+0,4 mld.). </w:t>
      </w:r>
    </w:p>
  </w:footnote>
  <w:footnote w:id="15">
    <w:p w14:paraId="20C1660C" w14:textId="77777777" w:rsidR="00275E43" w:rsidRPr="003C31FB" w:rsidRDefault="00275E43" w:rsidP="00A30EA4">
      <w:pPr>
        <w:pStyle w:val="Textpoznpodarou"/>
        <w:rPr>
          <w:sz w:val="16"/>
          <w:szCs w:val="16"/>
        </w:rPr>
      </w:pPr>
      <w:r w:rsidRPr="003C31FB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Měsíční platby státu se od</w:t>
      </w:r>
      <w:r w:rsidRPr="003C31FB">
        <w:rPr>
          <w:sz w:val="16"/>
          <w:szCs w:val="16"/>
        </w:rPr>
        <w:t xml:space="preserve"> ledna 2022 zvýšily z 1767 korun na 1967 korun na osobu. Podle později schválené novely zákon</w:t>
      </w:r>
      <w:r>
        <w:rPr>
          <w:sz w:val="16"/>
          <w:szCs w:val="16"/>
        </w:rPr>
        <w:t>a</w:t>
      </w:r>
      <w:r w:rsidRPr="003C31FB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3C31FB">
        <w:rPr>
          <w:sz w:val="16"/>
          <w:szCs w:val="16"/>
        </w:rPr>
        <w:t>o veřejn</w:t>
      </w:r>
      <w:r>
        <w:rPr>
          <w:sz w:val="16"/>
          <w:szCs w:val="16"/>
        </w:rPr>
        <w:t>ém zdravotním pojištění však došlo</w:t>
      </w:r>
      <w:r w:rsidRPr="003C31FB">
        <w:rPr>
          <w:sz w:val="16"/>
          <w:szCs w:val="16"/>
        </w:rPr>
        <w:t xml:space="preserve"> o</w:t>
      </w:r>
      <w:r>
        <w:rPr>
          <w:sz w:val="16"/>
          <w:szCs w:val="16"/>
        </w:rPr>
        <w:t>d září</w:t>
      </w:r>
      <w:r w:rsidRPr="003C31FB">
        <w:rPr>
          <w:sz w:val="16"/>
          <w:szCs w:val="16"/>
        </w:rPr>
        <w:t xml:space="preserve"> 2022 k poklesu platby na </w:t>
      </w:r>
      <w:r>
        <w:rPr>
          <w:sz w:val="16"/>
          <w:szCs w:val="16"/>
        </w:rPr>
        <w:t>1 487 korun.</w:t>
      </w:r>
    </w:p>
  </w:footnote>
  <w:footnote w:id="16">
    <w:p w14:paraId="36748F1C" w14:textId="77777777" w:rsidR="00275E43" w:rsidRPr="004B2C92" w:rsidRDefault="00275E43" w:rsidP="00A30EA4">
      <w:pPr>
        <w:pStyle w:val="Textpoznpodarou"/>
        <w:rPr>
          <w:sz w:val="16"/>
          <w:szCs w:val="16"/>
        </w:rPr>
      </w:pPr>
      <w:r w:rsidRPr="004B2C92">
        <w:rPr>
          <w:rStyle w:val="Znakapoznpodarou"/>
          <w:sz w:val="16"/>
          <w:szCs w:val="16"/>
        </w:rPr>
        <w:footnoteRef/>
      </w:r>
      <w:r w:rsidRPr="004B2C92">
        <w:rPr>
          <w:sz w:val="16"/>
          <w:szCs w:val="16"/>
        </w:rPr>
        <w:t xml:space="preserve"> To bylo nepatrně více než ve stejném období loňského roku. Nicméně v posledních deseti letech se míra </w:t>
      </w:r>
      <w:r>
        <w:rPr>
          <w:sz w:val="16"/>
          <w:szCs w:val="16"/>
        </w:rPr>
        <w:t xml:space="preserve">celoročního </w:t>
      </w:r>
      <w:r w:rsidRPr="004B2C92">
        <w:rPr>
          <w:sz w:val="16"/>
          <w:szCs w:val="16"/>
        </w:rPr>
        <w:t xml:space="preserve">plnění investic na konci září zpravidla pohybovala nad 60 %. </w:t>
      </w:r>
    </w:p>
  </w:footnote>
  <w:footnote w:id="17">
    <w:p w14:paraId="30A2FA37" w14:textId="77777777" w:rsidR="00275E43" w:rsidRPr="004B2C92" w:rsidRDefault="00275E43" w:rsidP="00A30EA4">
      <w:pPr>
        <w:pStyle w:val="Textpoznpodarou"/>
        <w:rPr>
          <w:sz w:val="16"/>
          <w:szCs w:val="16"/>
        </w:rPr>
      </w:pPr>
      <w:r w:rsidRPr="004B2C92">
        <w:rPr>
          <w:rStyle w:val="Znakapoznpodarou"/>
          <w:sz w:val="16"/>
          <w:szCs w:val="16"/>
        </w:rPr>
        <w:footnoteRef/>
      </w:r>
      <w:r w:rsidRPr="004B2C92">
        <w:rPr>
          <w:sz w:val="16"/>
          <w:szCs w:val="16"/>
        </w:rPr>
        <w:t xml:space="preserve"> Ten </w:t>
      </w:r>
      <w:r>
        <w:rPr>
          <w:sz w:val="16"/>
          <w:szCs w:val="16"/>
        </w:rPr>
        <w:t>je</w:t>
      </w:r>
      <w:r w:rsidRPr="004B2C9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letos </w:t>
      </w:r>
      <w:r w:rsidRPr="004B2C92">
        <w:rPr>
          <w:sz w:val="16"/>
          <w:szCs w:val="16"/>
        </w:rPr>
        <w:t>rozpočtován v rekordní výši 204 mld. korun.</w:t>
      </w:r>
    </w:p>
  </w:footnote>
  <w:footnote w:id="18">
    <w:p w14:paraId="7765F009" w14:textId="77777777" w:rsidR="00275E43" w:rsidRPr="00614788" w:rsidRDefault="00275E43" w:rsidP="00A30EA4">
      <w:pPr>
        <w:pStyle w:val="Textpoznpodarou"/>
        <w:rPr>
          <w:spacing w:val="-2"/>
          <w:sz w:val="16"/>
          <w:szCs w:val="16"/>
        </w:rPr>
      </w:pPr>
      <w:r w:rsidRPr="00614788">
        <w:rPr>
          <w:rStyle w:val="Znakapoznpodarou"/>
          <w:spacing w:val="-2"/>
          <w:sz w:val="16"/>
          <w:szCs w:val="16"/>
        </w:rPr>
        <w:footnoteRef/>
      </w:r>
      <w:r w:rsidRPr="00614788">
        <w:rPr>
          <w:spacing w:val="-2"/>
          <w:sz w:val="16"/>
          <w:szCs w:val="16"/>
        </w:rPr>
        <w:t xml:space="preserve"> Čisté výdaje odpovídají saldu rozpočtové kapitoly Státní dluh (č. 396). Výdaje na státní dluh v posledních šesti letech fakticky stagnovaly.</w:t>
      </w:r>
    </w:p>
  </w:footnote>
  <w:footnote w:id="19">
    <w:p w14:paraId="1CB6843B" w14:textId="77777777" w:rsidR="00275E43" w:rsidRDefault="00275E43" w:rsidP="00A30EA4">
      <w:pPr>
        <w:pStyle w:val="Textpoznpodarou"/>
        <w:rPr>
          <w:sz w:val="16"/>
          <w:szCs w:val="16"/>
        </w:rPr>
      </w:pPr>
      <w:r w:rsidRPr="008C2F4A">
        <w:rPr>
          <w:rStyle w:val="Znakapoznpodarou"/>
          <w:sz w:val="16"/>
          <w:szCs w:val="16"/>
        </w:rPr>
        <w:footnoteRef/>
      </w:r>
      <w:r w:rsidRPr="008C2F4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Údaje o hospodaření vládních institucí za 3. čtvrtletí 2022 zveřejní ČSÚ 10. ledna 2023, </w:t>
      </w:r>
      <w:proofErr w:type="spellStart"/>
      <w:r>
        <w:rPr>
          <w:sz w:val="16"/>
          <w:szCs w:val="16"/>
        </w:rPr>
        <w:t>Eurostat</w:t>
      </w:r>
      <w:proofErr w:type="spellEnd"/>
      <w:r>
        <w:rPr>
          <w:sz w:val="16"/>
          <w:szCs w:val="16"/>
        </w:rPr>
        <w:t xml:space="preserve"> následně 23. ledna 2023. Detailnější zhodnocení vývoje za 2. čtvrtletí 20222 je obsaženo v publikaci Analýza sektorových účtů:</w:t>
      </w:r>
    </w:p>
    <w:p w14:paraId="20FB81C2" w14:textId="77777777" w:rsidR="00275E43" w:rsidRPr="00900B2B" w:rsidRDefault="00E50CEC" w:rsidP="00A30EA4">
      <w:pPr>
        <w:pStyle w:val="Textpoznpodarou"/>
        <w:rPr>
          <w:sz w:val="16"/>
          <w:szCs w:val="16"/>
        </w:rPr>
      </w:pPr>
      <w:hyperlink r:id="rId1" w:history="1">
        <w:r w:rsidR="00275E43" w:rsidRPr="007327EF">
          <w:rPr>
            <w:rStyle w:val="Hypertextovodkaz"/>
            <w:sz w:val="16"/>
            <w:szCs w:val="16"/>
          </w:rPr>
          <w:t>https://www.czso.cz/csu/czso/cri/analyza-ctvrtletnich-sektorovych-uctu-2-ctvrtleti-2022</w:t>
        </w:r>
      </w:hyperlink>
    </w:p>
  </w:footnote>
  <w:footnote w:id="20">
    <w:p w14:paraId="6BADBD66" w14:textId="77777777" w:rsidR="00275E43" w:rsidRPr="00654E54" w:rsidRDefault="00275E43" w:rsidP="00A30EA4">
      <w:pPr>
        <w:pStyle w:val="Textpoznpodarou"/>
        <w:rPr>
          <w:sz w:val="16"/>
          <w:szCs w:val="16"/>
        </w:rPr>
      </w:pPr>
      <w:r w:rsidRPr="00654E54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Ú</w:t>
      </w:r>
      <w:r w:rsidRPr="00654E54">
        <w:rPr>
          <w:sz w:val="16"/>
          <w:szCs w:val="16"/>
        </w:rPr>
        <w:t xml:space="preserve">daje o hospodaření sektoru VI v ČR </w:t>
      </w:r>
      <w:r>
        <w:rPr>
          <w:sz w:val="16"/>
          <w:szCs w:val="16"/>
        </w:rPr>
        <w:t xml:space="preserve">jsou </w:t>
      </w:r>
      <w:r w:rsidRPr="00654E54">
        <w:rPr>
          <w:sz w:val="16"/>
          <w:szCs w:val="16"/>
        </w:rPr>
        <w:t>uvedeny bez sezónního očištění.</w:t>
      </w:r>
    </w:p>
  </w:footnote>
  <w:footnote w:id="21">
    <w:p w14:paraId="0347EEAA" w14:textId="77777777" w:rsidR="00275E43" w:rsidRPr="00B07783" w:rsidRDefault="00275E43" w:rsidP="00A30EA4">
      <w:pPr>
        <w:pStyle w:val="Textpoznpodarou"/>
        <w:rPr>
          <w:sz w:val="16"/>
          <w:szCs w:val="16"/>
        </w:rPr>
      </w:pPr>
      <w:r w:rsidRPr="00B07783">
        <w:rPr>
          <w:rStyle w:val="Znakapoznpodarou"/>
          <w:sz w:val="16"/>
          <w:szCs w:val="16"/>
        </w:rPr>
        <w:footnoteRef/>
      </w:r>
      <w:r w:rsidRPr="00B07783">
        <w:rPr>
          <w:sz w:val="16"/>
          <w:szCs w:val="16"/>
        </w:rPr>
        <w:t xml:space="preserve"> Před rokem 2020 byl </w:t>
      </w:r>
      <w:r>
        <w:rPr>
          <w:sz w:val="16"/>
          <w:szCs w:val="16"/>
        </w:rPr>
        <w:t xml:space="preserve">zpravidla </w:t>
      </w:r>
      <w:r w:rsidRPr="00B07783">
        <w:rPr>
          <w:sz w:val="16"/>
          <w:szCs w:val="16"/>
        </w:rPr>
        <w:t>druhý kvartál roku obdobím, kdy v rámci roku dosahovalo hospodaření VI nejpříznivějších výsledků.</w:t>
      </w:r>
    </w:p>
  </w:footnote>
  <w:footnote w:id="22">
    <w:p w14:paraId="799BA5EE" w14:textId="77777777" w:rsidR="00275E43" w:rsidRPr="00A274FC" w:rsidRDefault="00275E43" w:rsidP="00A30EA4">
      <w:pPr>
        <w:pStyle w:val="Textpoznpodarou"/>
        <w:rPr>
          <w:sz w:val="16"/>
          <w:szCs w:val="16"/>
        </w:rPr>
      </w:pPr>
      <w:r w:rsidRPr="00A274FC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Údaje o saldu hospodaření</w:t>
      </w:r>
      <w:r w:rsidRPr="00A274FC">
        <w:rPr>
          <w:sz w:val="16"/>
          <w:szCs w:val="16"/>
        </w:rPr>
        <w:t xml:space="preserve"> sektoru VI </w:t>
      </w:r>
      <w:r>
        <w:rPr>
          <w:sz w:val="16"/>
          <w:szCs w:val="16"/>
        </w:rPr>
        <w:t>v zemích EU vyjádřené</w:t>
      </w:r>
      <w:r w:rsidRPr="00A274FC">
        <w:rPr>
          <w:sz w:val="16"/>
          <w:szCs w:val="16"/>
        </w:rPr>
        <w:t xml:space="preserve"> po sezónním očištění.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4A67" w14:textId="77777777" w:rsidR="00275E43" w:rsidRDefault="00275E43" w:rsidP="00937AE2">
    <w:pPr>
      <w:pStyle w:val="Zhlav"/>
    </w:pPr>
    <w:r>
      <w:t>Vývoj ekonomiky České republiky</w:t>
    </w:r>
  </w:p>
  <w:p w14:paraId="3E881AB3" w14:textId="77777777" w:rsidR="00275E43" w:rsidRPr="006F5416" w:rsidRDefault="00275E43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3DB" w14:textId="77777777" w:rsidR="00275E43" w:rsidRDefault="00275E43" w:rsidP="00937AE2">
    <w:pPr>
      <w:pStyle w:val="Zhlav"/>
    </w:pPr>
    <w:r>
      <w:t>Vývoj ekonomiky České republiky</w:t>
    </w:r>
  </w:p>
  <w:p w14:paraId="57266714" w14:textId="77777777" w:rsidR="00275E43" w:rsidRPr="006F5416" w:rsidRDefault="00275E43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4337598">
    <w:abstractNumId w:val="24"/>
  </w:num>
  <w:num w:numId="2" w16cid:durableId="352264853">
    <w:abstractNumId w:val="8"/>
  </w:num>
  <w:num w:numId="3" w16cid:durableId="1115095472">
    <w:abstractNumId w:val="3"/>
  </w:num>
  <w:num w:numId="4" w16cid:durableId="1962372938">
    <w:abstractNumId w:val="2"/>
  </w:num>
  <w:num w:numId="5" w16cid:durableId="1958753753">
    <w:abstractNumId w:val="1"/>
  </w:num>
  <w:num w:numId="6" w16cid:durableId="125127467">
    <w:abstractNumId w:val="0"/>
  </w:num>
  <w:num w:numId="7" w16cid:durableId="113912191">
    <w:abstractNumId w:val="9"/>
  </w:num>
  <w:num w:numId="8" w16cid:durableId="625045448">
    <w:abstractNumId w:val="7"/>
  </w:num>
  <w:num w:numId="9" w16cid:durableId="1352488717">
    <w:abstractNumId w:val="6"/>
  </w:num>
  <w:num w:numId="10" w16cid:durableId="987368208">
    <w:abstractNumId w:val="5"/>
  </w:num>
  <w:num w:numId="11" w16cid:durableId="1039932949">
    <w:abstractNumId w:val="4"/>
  </w:num>
  <w:num w:numId="12" w16cid:durableId="1043288693">
    <w:abstractNumId w:val="14"/>
  </w:num>
  <w:num w:numId="13" w16cid:durableId="72968187">
    <w:abstractNumId w:val="26"/>
  </w:num>
  <w:num w:numId="14" w16cid:durableId="1649672820">
    <w:abstractNumId w:val="13"/>
  </w:num>
  <w:num w:numId="15" w16cid:durableId="1176924891">
    <w:abstractNumId w:val="19"/>
  </w:num>
  <w:num w:numId="16" w16cid:durableId="752629986">
    <w:abstractNumId w:val="15"/>
  </w:num>
  <w:num w:numId="17" w16cid:durableId="22023024">
    <w:abstractNumId w:val="27"/>
  </w:num>
  <w:num w:numId="18" w16cid:durableId="1387415516">
    <w:abstractNumId w:val="20"/>
  </w:num>
  <w:num w:numId="19" w16cid:durableId="676268872">
    <w:abstractNumId w:val="28"/>
  </w:num>
  <w:num w:numId="20" w16cid:durableId="429356725">
    <w:abstractNumId w:val="29"/>
  </w:num>
  <w:num w:numId="21" w16cid:durableId="909655302">
    <w:abstractNumId w:val="25"/>
  </w:num>
  <w:num w:numId="22" w16cid:durableId="1461801755">
    <w:abstractNumId w:val="18"/>
  </w:num>
  <w:num w:numId="23" w16cid:durableId="103696176">
    <w:abstractNumId w:val="16"/>
  </w:num>
  <w:num w:numId="24" w16cid:durableId="1816952523">
    <w:abstractNumId w:val="17"/>
  </w:num>
  <w:num w:numId="25" w16cid:durableId="1339426053">
    <w:abstractNumId w:val="12"/>
  </w:num>
  <w:num w:numId="26" w16cid:durableId="230043571">
    <w:abstractNumId w:val="22"/>
  </w:num>
  <w:num w:numId="27" w16cid:durableId="1841390614">
    <w:abstractNumId w:val="21"/>
  </w:num>
  <w:num w:numId="28" w16cid:durableId="347297665">
    <w:abstractNumId w:val="10"/>
  </w:num>
  <w:num w:numId="29" w16cid:durableId="1643383695">
    <w:abstractNumId w:val="29"/>
  </w:num>
  <w:num w:numId="30" w16cid:durableId="1728843360">
    <w:abstractNumId w:val="23"/>
  </w:num>
  <w:num w:numId="31" w16cid:durableId="1247303207">
    <w:abstractNumId w:val="11"/>
  </w:num>
  <w:num w:numId="32" w16cid:durableId="1867449779">
    <w:abstractNumId w:val="30"/>
  </w:num>
  <w:num w:numId="33" w16cid:durableId="4588386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370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6077F"/>
    <w:rsid w:val="00360A35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1E"/>
    <w:rsid w:val="007450BF"/>
    <w:rsid w:val="0074599A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0EBE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2E83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8A9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0FA7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32F0"/>
    <w:rsid w:val="00D95302"/>
    <w:rsid w:val="00D95889"/>
    <w:rsid w:val="00D95C5D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3E5D"/>
    <w:rsid w:val="00DE450F"/>
    <w:rsid w:val="00DE4865"/>
    <w:rsid w:val="00DE5CA6"/>
    <w:rsid w:val="00DE5E55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CE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730A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9CE"/>
    <w:rsid w:val="00F24FAA"/>
    <w:rsid w:val="00F25040"/>
    <w:rsid w:val="00F269D7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cri/analyza-ctvrtletnich-sektorovych-uctu-2-ctvrtleti-202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Q-makro-2022\3.%20&#269;tvrtlet&#237;%202022\Grafy-st&#225;tn&#237;%20rozpo&#269;et-3q-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polecne\JKAM%20CSU\PUBLIKACE\PUBLIKACE\2022\Q-Makro\3.%20&#269;tvrtlet&#237;%202022\Grafy-st&#225;tn&#237;%20rozpo&#269;et-3q-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94180770150867E-2"/>
          <c:y val="1.7107238390107422E-2"/>
          <c:w val="0.84230585710151396"/>
          <c:h val="0.79619777907171629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'G1-Státní rozpočet-příjmy-2020'!$A$30</c:f>
              <c:strCache>
                <c:ptCount val="1"/>
                <c:pt idx="0">
                  <c:v>Ostatní daně a poplatky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noFill/>
              <a:prstDash val="solid"/>
            </a:ln>
          </c:spPr>
          <c:invertIfNegative val="0"/>
          <c:cat>
            <c:numRef>
              <c:f>'G1-Státní rozpočet-příjmy-2020'!$D$28:$S$28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'G1-Státní rozpočet-příjmy-2020'!$D$30:$S$30</c:f>
              <c:numCache>
                <c:formatCode>0.0</c:formatCode>
                <c:ptCount val="16"/>
                <c:pt idx="0">
                  <c:v>0.41301975218814735</c:v>
                </c:pt>
                <c:pt idx="1">
                  <c:v>0.39922458302144492</c:v>
                </c:pt>
                <c:pt idx="2">
                  <c:v>-0.52138580751874442</c:v>
                </c:pt>
                <c:pt idx="3">
                  <c:v>0.38494174134398523</c:v>
                </c:pt>
                <c:pt idx="4">
                  <c:v>0.75782132576051064</c:v>
                </c:pt>
                <c:pt idx="5">
                  <c:v>0.20431008938392781</c:v>
                </c:pt>
                <c:pt idx="6">
                  <c:v>-0.31949620849206295</c:v>
                </c:pt>
                <c:pt idx="7">
                  <c:v>3.5798749491447214E-2</c:v>
                </c:pt>
                <c:pt idx="8">
                  <c:v>0.40823718281484206</c:v>
                </c:pt>
                <c:pt idx="9">
                  <c:v>0.44161079131733499</c:v>
                </c:pt>
                <c:pt idx="10">
                  <c:v>0.24214568841864642</c:v>
                </c:pt>
                <c:pt idx="11">
                  <c:v>0.18312368925754777</c:v>
                </c:pt>
                <c:pt idx="12">
                  <c:v>0.47861875769007417</c:v>
                </c:pt>
                <c:pt idx="13">
                  <c:v>-1.6740814890995943E-2</c:v>
                </c:pt>
                <c:pt idx="14">
                  <c:v>0.1646798744334079</c:v>
                </c:pt>
                <c:pt idx="15">
                  <c:v>0.55414942838224612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42-45A4-8C19-2BF15DED971F}"/>
            </c:ext>
          </c:extLst>
        </c:ser>
        <c:ser>
          <c:idx val="3"/>
          <c:order val="2"/>
          <c:tx>
            <c:strRef>
              <c:f>'G1-Státní rozpočet-příjmy-2020'!$A$31</c:f>
              <c:strCache>
                <c:ptCount val="1"/>
                <c:pt idx="0">
                  <c:v>Daně z příjmů fyzických osob</c:v>
                </c:pt>
              </c:strCache>
            </c:strRef>
          </c:tx>
          <c:spPr>
            <a:solidFill>
              <a:srgbClr val="EA6C75"/>
            </a:solidFill>
            <a:ln w="19050">
              <a:noFill/>
              <a:prstDash val="sysDot"/>
            </a:ln>
          </c:spPr>
          <c:invertIfNegative val="0"/>
          <c:cat>
            <c:numRef>
              <c:f>'G1-Státní rozpočet-příjmy-2020'!$D$28:$S$28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'G1-Státní rozpočet-příjmy-2020'!$D$31:$S$31</c:f>
              <c:numCache>
                <c:formatCode>0.0</c:formatCode>
                <c:ptCount val="16"/>
                <c:pt idx="0">
                  <c:v>2.1378587172847721</c:v>
                </c:pt>
                <c:pt idx="1">
                  <c:v>-0.89057791597090286</c:v>
                </c:pt>
                <c:pt idx="2">
                  <c:v>-2.3911831862066477</c:v>
                </c:pt>
                <c:pt idx="3">
                  <c:v>0.45944659450733683</c:v>
                </c:pt>
                <c:pt idx="4">
                  <c:v>0.27425503773438153</c:v>
                </c:pt>
                <c:pt idx="5">
                  <c:v>0.5658832314748945</c:v>
                </c:pt>
                <c:pt idx="6">
                  <c:v>0.76653574247405765</c:v>
                </c:pt>
                <c:pt idx="7">
                  <c:v>1.1680102450225207</c:v>
                </c:pt>
                <c:pt idx="8">
                  <c:v>0.24848817893269884</c:v>
                </c:pt>
                <c:pt idx="9">
                  <c:v>2.4022988925870408</c:v>
                </c:pt>
                <c:pt idx="10">
                  <c:v>2.1715995496398643</c:v>
                </c:pt>
                <c:pt idx="11">
                  <c:v>2.8466827137894786</c:v>
                </c:pt>
                <c:pt idx="12">
                  <c:v>2.8423893336720392</c:v>
                </c:pt>
                <c:pt idx="13">
                  <c:v>-2.1733753383442047</c:v>
                </c:pt>
                <c:pt idx="14">
                  <c:v>-5.5933052113723694</c:v>
                </c:pt>
                <c:pt idx="15">
                  <c:v>2.2392017771771804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42-45A4-8C19-2BF15DED971F}"/>
            </c:ext>
          </c:extLst>
        </c:ser>
        <c:ser>
          <c:idx val="4"/>
          <c:order val="3"/>
          <c:tx>
            <c:strRef>
              <c:f>'G1-Státní rozpočet-příjmy-2020'!$A$32</c:f>
              <c:strCache>
                <c:ptCount val="1"/>
                <c:pt idx="0">
                  <c:v>Daně z příjmů právnických osob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19050">
              <a:noFill/>
            </a:ln>
          </c:spPr>
          <c:invertIfNegative val="0"/>
          <c:cat>
            <c:numRef>
              <c:f>'G1-Státní rozpočet-příjmy-2020'!$D$28:$S$28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'G1-Státní rozpočet-příjmy-2020'!$D$32:$S$32</c:f>
              <c:numCache>
                <c:formatCode>0.0</c:formatCode>
                <c:ptCount val="16"/>
                <c:pt idx="0">
                  <c:v>4.6694771983136834</c:v>
                </c:pt>
                <c:pt idx="1">
                  <c:v>4.0018425749985633</c:v>
                </c:pt>
                <c:pt idx="2">
                  <c:v>-9.4748386400819857</c:v>
                </c:pt>
                <c:pt idx="3">
                  <c:v>1.069972474595916</c:v>
                </c:pt>
                <c:pt idx="4">
                  <c:v>-1.1806582120905686</c:v>
                </c:pt>
                <c:pt idx="5">
                  <c:v>1.5944142400339956</c:v>
                </c:pt>
                <c:pt idx="6">
                  <c:v>-1.1178646244413311</c:v>
                </c:pt>
                <c:pt idx="7">
                  <c:v>1.5408961448419181</c:v>
                </c:pt>
                <c:pt idx="8">
                  <c:v>2.0070199067641155</c:v>
                </c:pt>
                <c:pt idx="9">
                  <c:v>2.4996667023494781</c:v>
                </c:pt>
                <c:pt idx="10">
                  <c:v>4.1642889091102545E-2</c:v>
                </c:pt>
                <c:pt idx="11">
                  <c:v>0.43384885916488108</c:v>
                </c:pt>
                <c:pt idx="12">
                  <c:v>1.5935221228717715</c:v>
                </c:pt>
                <c:pt idx="13">
                  <c:v>-3.6005022371045392</c:v>
                </c:pt>
                <c:pt idx="14">
                  <c:v>5.8351210797303699</c:v>
                </c:pt>
                <c:pt idx="15">
                  <c:v>3.5015705407711231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42-45A4-8C19-2BF15DED971F}"/>
            </c:ext>
          </c:extLst>
        </c:ser>
        <c:ser>
          <c:idx val="2"/>
          <c:order val="4"/>
          <c:tx>
            <c:strRef>
              <c:f>'G1-Státní rozpočet-příjmy-2020'!$A$33</c:f>
              <c:strCache>
                <c:ptCount val="1"/>
                <c:pt idx="0">
                  <c:v>Spotřební daň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cat>
            <c:numRef>
              <c:f>'G1-Státní rozpočet-příjmy-2020'!$D$28:$S$28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'G1-Státní rozpočet-příjmy-2020'!$D$33:$S$33</c:f>
              <c:numCache>
                <c:formatCode>0.0</c:formatCode>
                <c:ptCount val="16"/>
                <c:pt idx="0">
                  <c:v>0.88381946970832059</c:v>
                </c:pt>
                <c:pt idx="1">
                  <c:v>0.59883687453215728</c:v>
                </c:pt>
                <c:pt idx="2">
                  <c:v>-0.61307779435824561</c:v>
                </c:pt>
                <c:pt idx="3">
                  <c:v>1.3452265154494092</c:v>
                </c:pt>
                <c:pt idx="4">
                  <c:v>1.240955418968342</c:v>
                </c:pt>
                <c:pt idx="5">
                  <c:v>-0.30205929247646662</c:v>
                </c:pt>
                <c:pt idx="6">
                  <c:v>-0.71956664060677211</c:v>
                </c:pt>
                <c:pt idx="7">
                  <c:v>0.39847610863053273</c:v>
                </c:pt>
                <c:pt idx="8">
                  <c:v>0.80107028313269024</c:v>
                </c:pt>
                <c:pt idx="9">
                  <c:v>1.2070250899860806</c:v>
                </c:pt>
                <c:pt idx="10">
                  <c:v>0.53056125360519424</c:v>
                </c:pt>
                <c:pt idx="11">
                  <c:v>0.2623272171694625</c:v>
                </c:pt>
                <c:pt idx="12">
                  <c:v>-3.9196048823818816E-2</c:v>
                </c:pt>
                <c:pt idx="13">
                  <c:v>-0.40403836868730231</c:v>
                </c:pt>
                <c:pt idx="14">
                  <c:v>-0.90340003396450952</c:v>
                </c:pt>
                <c:pt idx="15">
                  <c:v>1.201751777795012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742-45A4-8C19-2BF15DED971F}"/>
            </c:ext>
          </c:extLst>
        </c:ser>
        <c:ser>
          <c:idx val="5"/>
          <c:order val="5"/>
          <c:tx>
            <c:strRef>
              <c:f>'G1-Státní rozpočet-příjmy-2020'!$A$34</c:f>
              <c:strCache>
                <c:ptCount val="1"/>
                <c:pt idx="0">
                  <c:v>DPH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</c:spPr>
          <c:invertIfNegative val="0"/>
          <c:cat>
            <c:numRef>
              <c:f>'G1-Státní rozpočet-příjmy-2020'!$D$28:$S$28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'G1-Státní rozpočet-příjmy-2020'!$D$34:$S$34</c:f>
              <c:numCache>
                <c:formatCode>0.0</c:formatCode>
                <c:ptCount val="16"/>
                <c:pt idx="0">
                  <c:v>3.3918979648612186</c:v>
                </c:pt>
                <c:pt idx="1">
                  <c:v>2.6467822114738673</c:v>
                </c:pt>
                <c:pt idx="2">
                  <c:v>-0.12764962873734884</c:v>
                </c:pt>
                <c:pt idx="3">
                  <c:v>3.1416213083880091</c:v>
                </c:pt>
                <c:pt idx="4">
                  <c:v>0.64965377732825402</c:v>
                </c:pt>
                <c:pt idx="5">
                  <c:v>-0.30588282782426718</c:v>
                </c:pt>
                <c:pt idx="6">
                  <c:v>4.1746137739640954</c:v>
                </c:pt>
                <c:pt idx="7">
                  <c:v>2.047216704890801</c:v>
                </c:pt>
                <c:pt idx="8">
                  <c:v>4.5179668896857879E-2</c:v>
                </c:pt>
                <c:pt idx="9">
                  <c:v>2.2948585507802108</c:v>
                </c:pt>
                <c:pt idx="10">
                  <c:v>4.0193099619044688</c:v>
                </c:pt>
                <c:pt idx="11">
                  <c:v>2.915867913922086</c:v>
                </c:pt>
                <c:pt idx="12">
                  <c:v>1.9070905134623093</c:v>
                </c:pt>
                <c:pt idx="13">
                  <c:v>-0.75630542506162945</c:v>
                </c:pt>
                <c:pt idx="14">
                  <c:v>3.0448827044485705</c:v>
                </c:pt>
                <c:pt idx="15">
                  <c:v>7.9524262275546294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42-45A4-8C19-2BF15DED97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77256576"/>
        <c:axId val="77258112"/>
      </c:barChart>
      <c:lineChart>
        <c:grouping val="standard"/>
        <c:varyColors val="0"/>
        <c:ser>
          <c:idx val="0"/>
          <c:order val="0"/>
          <c:tx>
            <c:strRef>
              <c:f>'G1-Státní rozpočet-příjmy-2020'!$A$29</c:f>
              <c:strCache>
                <c:ptCount val="1"/>
                <c:pt idx="0">
                  <c:v>Celk. daňové příjmy (bez pojistného na SZ)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6"/>
            <c:spPr>
              <a:solidFill>
                <a:schemeClr val="bg1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numRef>
              <c:f>'G1-Státní rozpočet-příjmy-2020'!$D$28:$S$28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'G1-Státní rozpočet-příjmy-2020'!$D$29:$S$29</c:f>
              <c:numCache>
                <c:formatCode>0.0</c:formatCode>
                <c:ptCount val="16"/>
                <c:pt idx="0">
                  <c:v>11.496073102356128</c:v>
                </c:pt>
                <c:pt idx="1">
                  <c:v>6.7561083280551344</c:v>
                </c:pt>
                <c:pt idx="2">
                  <c:v>-13.128135056902977</c:v>
                </c:pt>
                <c:pt idx="3">
                  <c:v>6.4012086342846661</c:v>
                </c:pt>
                <c:pt idx="4">
                  <c:v>1.7420273477009258</c:v>
                </c:pt>
                <c:pt idx="5">
                  <c:v>1.7566654405920734</c:v>
                </c:pt>
                <c:pt idx="6">
                  <c:v>2.7842220428979987</c:v>
                </c:pt>
                <c:pt idx="7">
                  <c:v>5.1903979528772162</c:v>
                </c:pt>
                <c:pt idx="8">
                  <c:v>3.5099952205412142</c:v>
                </c:pt>
                <c:pt idx="9">
                  <c:v>8.8454600270201453</c:v>
                </c:pt>
                <c:pt idx="10">
                  <c:v>7.0052593426592722</c:v>
                </c:pt>
                <c:pt idx="11">
                  <c:v>6.6418503933034572</c:v>
                </c:pt>
                <c:pt idx="12">
                  <c:v>6.7824246788723741</c:v>
                </c:pt>
                <c:pt idx="13">
                  <c:v>-6.9509621840886746</c:v>
                </c:pt>
                <c:pt idx="14">
                  <c:v>2.547978413275473</c:v>
                </c:pt>
                <c:pt idx="15">
                  <c:v>15.44909975168018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742-45A4-8C19-2BF15DED97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256576"/>
        <c:axId val="77258112"/>
      </c:lineChart>
      <c:lineChart>
        <c:grouping val="standard"/>
        <c:varyColors val="0"/>
        <c:ser>
          <c:idx val="6"/>
          <c:order val="6"/>
          <c:tx>
            <c:strRef>
              <c:f>'G1-Státní rozpočet-příjmy-2020'!$A$35</c:f>
              <c:strCache>
                <c:ptCount val="1"/>
                <c:pt idx="0">
                  <c:v>Saldo státního rozpočtu (pravá osa)</c:v>
                </c:pt>
              </c:strCache>
            </c:strRef>
          </c:tx>
          <c:spPr>
            <a:ln w="19050"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ymbol val="none"/>
          </c:marker>
          <c:cat>
            <c:numRef>
              <c:f>'G1-Státní rozpočet-příjmy-2020'!$D$28:$S$28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'G1-Státní rozpočet-příjmy-2020'!$D$35:$S$35</c:f>
              <c:numCache>
                <c:formatCode>#\ ##0.0</c:formatCode>
                <c:ptCount val="16"/>
                <c:pt idx="0">
                  <c:v>36.316000000000003</c:v>
                </c:pt>
                <c:pt idx="1">
                  <c:v>10.473000000000004</c:v>
                </c:pt>
                <c:pt idx="2">
                  <c:v>-87.296000000000006</c:v>
                </c:pt>
                <c:pt idx="3">
                  <c:v>-99.554999999999993</c:v>
                </c:pt>
                <c:pt idx="4">
                  <c:v>-105.13800000000001</c:v>
                </c:pt>
                <c:pt idx="5">
                  <c:v>-71.412000000000006</c:v>
                </c:pt>
                <c:pt idx="6">
                  <c:v>-38.241</c:v>
                </c:pt>
                <c:pt idx="7">
                  <c:v>-34.39</c:v>
                </c:pt>
                <c:pt idx="8">
                  <c:v>-2.77</c:v>
                </c:pt>
                <c:pt idx="9">
                  <c:v>82.27</c:v>
                </c:pt>
                <c:pt idx="10">
                  <c:v>17.399999999999999</c:v>
                </c:pt>
                <c:pt idx="11">
                  <c:v>16.77</c:v>
                </c:pt>
                <c:pt idx="12">
                  <c:v>-20.99</c:v>
                </c:pt>
                <c:pt idx="13">
                  <c:v>-252.66738666548997</c:v>
                </c:pt>
                <c:pt idx="14">
                  <c:v>-326.27150374008011</c:v>
                </c:pt>
                <c:pt idx="15">
                  <c:v>-270.87650309327927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742-45A4-8C19-2BF15DED971F}"/>
            </c:ext>
          </c:extLst>
        </c:ser>
        <c:ser>
          <c:idx val="7"/>
          <c:order val="7"/>
          <c:tx>
            <c:strRef>
              <c:f>'G1-Státní rozpočet-příjmy-2020'!$A$36</c:f>
              <c:strCache>
                <c:ptCount val="1"/>
                <c:pt idx="0">
                  <c:v>Saldo SR očišť. o vliv EU a FM (pr. osa)</c:v>
                </c:pt>
              </c:strCache>
            </c:strRef>
          </c:tx>
          <c:spPr>
            <a:ln w="19050">
              <a:solidFill>
                <a:schemeClr val="bg1">
                  <a:lumMod val="50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'G1-Státní rozpočet-příjmy-2020'!$D$28:$S$28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'G1-Státní rozpočet-příjmy-2020'!$D$36:$S$36</c:f>
              <c:numCache>
                <c:formatCode>General</c:formatCode>
                <c:ptCount val="16"/>
                <c:pt idx="6" formatCode="#\ ##0.0">
                  <c:v>-65.2</c:v>
                </c:pt>
                <c:pt idx="7" formatCode="#\ ##0.0">
                  <c:v>-52.7</c:v>
                </c:pt>
                <c:pt idx="8" formatCode="#\ ##0.0">
                  <c:v>-40.5</c:v>
                </c:pt>
                <c:pt idx="9" formatCode="#\ ##0.0">
                  <c:v>-7.2</c:v>
                </c:pt>
                <c:pt idx="10" formatCode="#\ ##0.0">
                  <c:v>0.9</c:v>
                </c:pt>
                <c:pt idx="11" formatCode="#\ ##0.0">
                  <c:v>-4.8</c:v>
                </c:pt>
                <c:pt idx="12" formatCode="#\ ##0.0">
                  <c:v>-19</c:v>
                </c:pt>
                <c:pt idx="13" formatCode="#\ ##0.0">
                  <c:v>-256.58390719528029</c:v>
                </c:pt>
                <c:pt idx="14" formatCode="#\ ##0.0">
                  <c:v>-325.0604759008105</c:v>
                </c:pt>
                <c:pt idx="15" formatCode="#\ ##0.0">
                  <c:v>-255.5572431768494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4742-45A4-8C19-2BF15DED97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664256"/>
        <c:axId val="77624832"/>
      </c:lineChart>
      <c:catAx>
        <c:axId val="77256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800" b="0" i="0"/>
            </a:pPr>
            <a:endParaRPr lang="cs-CZ"/>
          </a:p>
        </c:txPr>
        <c:crossAx val="77258112"/>
        <c:crosses val="autoZero"/>
        <c:auto val="1"/>
        <c:lblAlgn val="ctr"/>
        <c:lblOffset val="0"/>
        <c:noMultiLvlLbl val="0"/>
      </c:catAx>
      <c:valAx>
        <c:axId val="77258112"/>
        <c:scaling>
          <c:orientation val="minMax"/>
          <c:max val="16"/>
          <c:min val="-28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cs-CZ" b="0"/>
                  <a:t>Příspěvek k růstu celkových daňových příjmů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800" b="0" i="0"/>
            </a:pPr>
            <a:endParaRPr lang="cs-CZ"/>
          </a:p>
        </c:txPr>
        <c:crossAx val="77256576"/>
        <c:crosses val="autoZero"/>
        <c:crossBetween val="between"/>
        <c:majorUnit val="4"/>
      </c:valAx>
      <c:valAx>
        <c:axId val="77624832"/>
        <c:scaling>
          <c:orientation val="minMax"/>
          <c:max val="200"/>
          <c:min val="-350"/>
        </c:scaling>
        <c:delete val="0"/>
        <c:axPos val="r"/>
        <c:title>
          <c:tx>
            <c:rich>
              <a:bodyPr/>
              <a:lstStyle/>
              <a:p>
                <a:pPr>
                  <a:defRPr b="0"/>
                </a:pPr>
                <a:r>
                  <a:rPr lang="cs-CZ" b="0"/>
                  <a:t>Saldo státního rozpočtu</a:t>
                </a:r>
              </a:p>
            </c:rich>
          </c:tx>
          <c:layout>
            <c:manualLayout>
              <c:xMode val="edge"/>
              <c:yMode val="edge"/>
              <c:x val="0.97036646544776517"/>
              <c:y val="0.20963215506367219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 b="0" i="0"/>
            </a:pPr>
            <a:endParaRPr lang="cs-CZ"/>
          </a:p>
        </c:txPr>
        <c:crossAx val="77664256"/>
        <c:crosses val="max"/>
        <c:crossBetween val="between"/>
        <c:majorUnit val="50"/>
      </c:valAx>
      <c:catAx>
        <c:axId val="776642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7624832"/>
        <c:crosses val="autoZero"/>
        <c:auto val="1"/>
        <c:lblAlgn val="ctr"/>
        <c:lblOffset val="100"/>
        <c:noMultiLvlLbl val="0"/>
      </c:catAx>
      <c:spPr>
        <a:ln w="6350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0646178276027379E-2"/>
          <c:y val="0.86844331714374456"/>
          <c:w val="0.98608481551790739"/>
          <c:h val="0.1242422828760682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750" b="0" i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 b="1" i="1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888679630405102E-2"/>
          <c:y val="1.7112323287741892E-2"/>
          <c:w val="0.8430501130701733"/>
          <c:h val="0.76067747074773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'G2-St.rozpočet-výdaje-1q'!$B$35</c:f>
              <c:strCache>
                <c:ptCount val="1"/>
                <c:pt idx="0">
                  <c:v>Běžné výdaje celkem (pravá osa)</c:v>
                </c:pt>
              </c:strCache>
            </c:strRef>
          </c:tx>
          <c:spPr>
            <a:solidFill>
              <a:srgbClr val="D3D3D3"/>
            </a:solidFill>
            <a:ln>
              <a:noFill/>
            </a:ln>
          </c:spPr>
          <c:invertIfNegative val="0"/>
          <c:cat>
            <c:numRef>
              <c:f>'G2-St.rozpočet-výdaje-1q'!$A$38:$A$53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'G2-St.rozpočet-výdaje-1q'!$B$38:$B$53</c:f>
              <c:numCache>
                <c:formatCode>0.0</c:formatCode>
                <c:ptCount val="16"/>
                <c:pt idx="0">
                  <c:v>657.35999999999956</c:v>
                </c:pt>
                <c:pt idx="1">
                  <c:v>707.04</c:v>
                </c:pt>
                <c:pt idx="2">
                  <c:v>734.05</c:v>
                </c:pt>
                <c:pt idx="3">
                  <c:v>754.15</c:v>
                </c:pt>
                <c:pt idx="4">
                  <c:v>764.93</c:v>
                </c:pt>
                <c:pt idx="5">
                  <c:v>755.57</c:v>
                </c:pt>
                <c:pt idx="6">
                  <c:v>786.27000000000044</c:v>
                </c:pt>
                <c:pt idx="7">
                  <c:v>801.1</c:v>
                </c:pt>
                <c:pt idx="8">
                  <c:v>822.78000000000043</c:v>
                </c:pt>
                <c:pt idx="9">
                  <c:v>831.32999999999959</c:v>
                </c:pt>
                <c:pt idx="10">
                  <c:v>881.38</c:v>
                </c:pt>
                <c:pt idx="11">
                  <c:v>946.49</c:v>
                </c:pt>
                <c:pt idx="12">
                  <c:v>1039.0999999999999</c:v>
                </c:pt>
                <c:pt idx="13">
                  <c:v>1205.0999999999999</c:v>
                </c:pt>
                <c:pt idx="14">
                  <c:v>1305.6640510130499</c:v>
                </c:pt>
                <c:pt idx="15">
                  <c:v>1325.9885927240009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B9-4C56-AEC5-5365453C0F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09055360"/>
        <c:axId val="109053440"/>
      </c:barChart>
      <c:lineChart>
        <c:grouping val="standard"/>
        <c:varyColors val="0"/>
        <c:ser>
          <c:idx val="1"/>
          <c:order val="1"/>
          <c:tx>
            <c:strRef>
              <c:f>'G2-St.rozpočet-výdaje-1q'!$C$35</c:f>
              <c:strCache>
                <c:ptCount val="1"/>
                <c:pt idx="0">
                  <c:v>Platy státních zaměstnanců*</c:v>
                </c:pt>
              </c:strCache>
            </c:strRef>
          </c:tx>
          <c:spPr>
            <a:ln w="15875">
              <a:solidFill>
                <a:srgbClr val="F8A124"/>
              </a:solidFill>
            </a:ln>
          </c:spPr>
          <c:marker>
            <c:symbol val="none"/>
          </c:marker>
          <c:cat>
            <c:numRef>
              <c:f>'G2-St.rozpočet-výdaje-1q'!$A$38:$A$53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'G2-St.rozpočet-výdaje-1q'!$C$38:$C$53</c:f>
              <c:numCache>
                <c:formatCode>0.0</c:formatCode>
                <c:ptCount val="16"/>
                <c:pt idx="0">
                  <c:v>61.35</c:v>
                </c:pt>
                <c:pt idx="1">
                  <c:v>61.44</c:v>
                </c:pt>
                <c:pt idx="2">
                  <c:v>63.790000000000013</c:v>
                </c:pt>
                <c:pt idx="3">
                  <c:v>63.5</c:v>
                </c:pt>
                <c:pt idx="4">
                  <c:v>57.88</c:v>
                </c:pt>
                <c:pt idx="5">
                  <c:v>58.77</c:v>
                </c:pt>
                <c:pt idx="6">
                  <c:v>60.04</c:v>
                </c:pt>
                <c:pt idx="7">
                  <c:v>61.89</c:v>
                </c:pt>
                <c:pt idx="8">
                  <c:v>67.66</c:v>
                </c:pt>
                <c:pt idx="9">
                  <c:v>70.25</c:v>
                </c:pt>
                <c:pt idx="10">
                  <c:v>76.149999999999991</c:v>
                </c:pt>
                <c:pt idx="11">
                  <c:v>86.54</c:v>
                </c:pt>
                <c:pt idx="12">
                  <c:v>93.2</c:v>
                </c:pt>
                <c:pt idx="13">
                  <c:v>97.9</c:v>
                </c:pt>
                <c:pt idx="14">
                  <c:v>99.897257290169975</c:v>
                </c:pt>
                <c:pt idx="15">
                  <c:v>99.177095956479889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3B9-4C56-AEC5-5365453C0FDA}"/>
            </c:ext>
          </c:extLst>
        </c:ser>
        <c:ser>
          <c:idx val="6"/>
          <c:order val="2"/>
          <c:tx>
            <c:strRef>
              <c:f>'G2-St.rozpočet-výdaje-1q'!$D$35</c:f>
              <c:strCache>
                <c:ptCount val="1"/>
                <c:pt idx="0">
                  <c:v>Podpora v nezaměstnanosti</c:v>
                </c:pt>
              </c:strCache>
            </c:strRef>
          </c:tx>
          <c:spPr>
            <a:ln w="15875">
              <a:solidFill>
                <a:srgbClr val="48AEE7"/>
              </a:solidFill>
            </a:ln>
          </c:spPr>
          <c:marker>
            <c:symbol val="none"/>
          </c:marker>
          <c:cat>
            <c:numRef>
              <c:f>'G2-St.rozpočet-výdaje-1q'!$A$38:$A$53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'G2-St.rozpočet-výdaje-1q'!$D$38:$D$53</c:f>
              <c:numCache>
                <c:formatCode>0.0</c:formatCode>
                <c:ptCount val="16"/>
                <c:pt idx="0">
                  <c:v>5.44</c:v>
                </c:pt>
                <c:pt idx="1">
                  <c:v>5.29</c:v>
                </c:pt>
                <c:pt idx="2">
                  <c:v>11.41</c:v>
                </c:pt>
                <c:pt idx="3">
                  <c:v>10.65</c:v>
                </c:pt>
                <c:pt idx="4">
                  <c:v>8.3600000000000048</c:v>
                </c:pt>
                <c:pt idx="5">
                  <c:v>6.78</c:v>
                </c:pt>
                <c:pt idx="6">
                  <c:v>7.53</c:v>
                </c:pt>
                <c:pt idx="7">
                  <c:v>7.33</c:v>
                </c:pt>
                <c:pt idx="8">
                  <c:v>6.46</c:v>
                </c:pt>
                <c:pt idx="9">
                  <c:v>6.39</c:v>
                </c:pt>
                <c:pt idx="10">
                  <c:v>6.1099999999999985</c:v>
                </c:pt>
                <c:pt idx="11">
                  <c:v>5.7700000000000014</c:v>
                </c:pt>
                <c:pt idx="12">
                  <c:v>6.1899999999999995</c:v>
                </c:pt>
                <c:pt idx="13">
                  <c:v>7.9929069491999947</c:v>
                </c:pt>
                <c:pt idx="14">
                  <c:v>7.7627423478799962</c:v>
                </c:pt>
                <c:pt idx="15">
                  <c:v>7.4674833824899975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3B9-4C56-AEC5-5365453C0FDA}"/>
            </c:ext>
          </c:extLst>
        </c:ser>
        <c:ser>
          <c:idx val="7"/>
          <c:order val="3"/>
          <c:tx>
            <c:strRef>
              <c:f>'G2-St.rozpočet-výdaje-1q'!$E$35</c:f>
              <c:strCache>
                <c:ptCount val="1"/>
                <c:pt idx="0">
                  <c:v>Státní sociální podpora**</c:v>
                </c:pt>
              </c:strCache>
            </c:strRef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'G2-St.rozpočet-výdaje-1q'!$A$38:$A$53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'G2-St.rozpočet-výdaje-1q'!$E$38:$E$53</c:f>
              <c:numCache>
                <c:formatCode>0.0</c:formatCode>
                <c:ptCount val="16"/>
                <c:pt idx="0">
                  <c:v>36.410000000000004</c:v>
                </c:pt>
                <c:pt idx="1">
                  <c:v>31.979999999999986</c:v>
                </c:pt>
                <c:pt idx="2">
                  <c:v>30.95</c:v>
                </c:pt>
                <c:pt idx="3">
                  <c:v>30.85</c:v>
                </c:pt>
                <c:pt idx="4">
                  <c:v>27.32</c:v>
                </c:pt>
                <c:pt idx="5">
                  <c:v>26.77</c:v>
                </c:pt>
                <c:pt idx="6">
                  <c:v>28.04</c:v>
                </c:pt>
                <c:pt idx="7">
                  <c:v>28.22</c:v>
                </c:pt>
                <c:pt idx="8">
                  <c:v>28.27</c:v>
                </c:pt>
                <c:pt idx="9">
                  <c:v>28.38</c:v>
                </c:pt>
                <c:pt idx="10">
                  <c:v>28.02</c:v>
                </c:pt>
                <c:pt idx="11">
                  <c:v>29.32</c:v>
                </c:pt>
                <c:pt idx="12">
                  <c:v>28.279999999999987</c:v>
                </c:pt>
                <c:pt idx="13">
                  <c:v>38.692716178420063</c:v>
                </c:pt>
                <c:pt idx="14">
                  <c:v>36.585763589110002</c:v>
                </c:pt>
                <c:pt idx="15">
                  <c:v>42.267435564380001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3B9-4C56-AEC5-5365453C0FDA}"/>
            </c:ext>
          </c:extLst>
        </c:ser>
        <c:ser>
          <c:idx val="2"/>
          <c:order val="4"/>
          <c:tx>
            <c:strRef>
              <c:f>'G2-St.rozpočet-výdaje-1q'!$F$35</c:f>
              <c:strCache>
                <c:ptCount val="1"/>
                <c:pt idx="0">
                  <c:v>Dávky nemocenského pojištění</c:v>
                </c:pt>
              </c:strCache>
            </c:strRef>
          </c:tx>
          <c:spPr>
            <a:ln w="15875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'G2-St.rozpočet-výdaje-1q'!$A$38:$A$53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'G2-St.rozpočet-výdaje-1q'!$F$38:$F$53</c:f>
              <c:numCache>
                <c:formatCode>0.0</c:formatCode>
                <c:ptCount val="16"/>
                <c:pt idx="0">
                  <c:v>26.130000000000013</c:v>
                </c:pt>
                <c:pt idx="1">
                  <c:v>24.12</c:v>
                </c:pt>
                <c:pt idx="2">
                  <c:v>20.07</c:v>
                </c:pt>
                <c:pt idx="3">
                  <c:v>16.8</c:v>
                </c:pt>
                <c:pt idx="4">
                  <c:v>16.82</c:v>
                </c:pt>
                <c:pt idx="5">
                  <c:v>14.84</c:v>
                </c:pt>
                <c:pt idx="6">
                  <c:v>15.44</c:v>
                </c:pt>
                <c:pt idx="7">
                  <c:v>16.649999999999999</c:v>
                </c:pt>
                <c:pt idx="8">
                  <c:v>18.23</c:v>
                </c:pt>
                <c:pt idx="9">
                  <c:v>19.88</c:v>
                </c:pt>
                <c:pt idx="10">
                  <c:v>21.43</c:v>
                </c:pt>
                <c:pt idx="11">
                  <c:v>25.479999999999986</c:v>
                </c:pt>
                <c:pt idx="12">
                  <c:v>29.3</c:v>
                </c:pt>
                <c:pt idx="13">
                  <c:v>43.2</c:v>
                </c:pt>
                <c:pt idx="14">
                  <c:v>39.6</c:v>
                </c:pt>
                <c:pt idx="15">
                  <c:v>36.6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3B9-4C56-AEC5-5365453C0FDA}"/>
            </c:ext>
          </c:extLst>
        </c:ser>
        <c:ser>
          <c:idx val="3"/>
          <c:order val="5"/>
          <c:tx>
            <c:strRef>
              <c:f>'G2-St.rozpočet-výdaje-1q'!$G$35</c:f>
              <c:strCache>
                <c:ptCount val="1"/>
                <c:pt idx="0">
                  <c:v>Dávky sociální péče***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'G2-St.rozpočet-výdaje-1q'!$A$38:$A$53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'G2-St.rozpočet-výdaje-1q'!$G$38:$G$53</c:f>
              <c:numCache>
                <c:formatCode>0.0</c:formatCode>
                <c:ptCount val="16"/>
                <c:pt idx="0">
                  <c:v>16.7</c:v>
                </c:pt>
                <c:pt idx="1">
                  <c:v>18.600000000000001</c:v>
                </c:pt>
                <c:pt idx="2">
                  <c:v>18.899999999999999</c:v>
                </c:pt>
                <c:pt idx="3">
                  <c:v>19.600000000000001</c:v>
                </c:pt>
                <c:pt idx="4">
                  <c:v>19.100000000000001</c:v>
                </c:pt>
                <c:pt idx="5">
                  <c:v>20.309999999999999</c:v>
                </c:pt>
                <c:pt idx="6">
                  <c:v>23.73</c:v>
                </c:pt>
                <c:pt idx="7">
                  <c:v>25.18</c:v>
                </c:pt>
                <c:pt idx="8">
                  <c:v>25.259999999999987</c:v>
                </c:pt>
                <c:pt idx="9">
                  <c:v>25.4</c:v>
                </c:pt>
                <c:pt idx="10">
                  <c:v>25.959999999999987</c:v>
                </c:pt>
                <c:pt idx="11">
                  <c:v>25.547999999999988</c:v>
                </c:pt>
                <c:pt idx="12">
                  <c:v>27.04</c:v>
                </c:pt>
                <c:pt idx="13">
                  <c:v>30.3</c:v>
                </c:pt>
                <c:pt idx="14">
                  <c:v>30.5</c:v>
                </c:pt>
                <c:pt idx="15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3B9-4C56-AEC5-5365453C0FDA}"/>
            </c:ext>
          </c:extLst>
        </c:ser>
        <c:ser>
          <c:idx val="4"/>
          <c:order val="6"/>
          <c:tx>
            <c:strRef>
              <c:f>'G2-St.rozpočet-výdaje-1q'!$H$35</c:f>
              <c:strCache>
                <c:ptCount val="1"/>
                <c:pt idx="0">
                  <c:v>Neinvestič. nákupy a souvis. výdaje****</c:v>
                </c:pt>
              </c:strCache>
            </c:strRef>
          </c:tx>
          <c:spPr>
            <a:ln w="15875">
              <a:solidFill>
                <a:srgbClr val="D5D000"/>
              </a:solidFill>
              <a:prstDash val="solid"/>
            </a:ln>
          </c:spPr>
          <c:marker>
            <c:symbol val="none"/>
          </c:marker>
          <c:cat>
            <c:numRef>
              <c:f>'G2-St.rozpočet-výdaje-1q'!$A$38:$A$53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'G2-St.rozpočet-výdaje-1q'!$H$38:$H$53</c:f>
              <c:numCache>
                <c:formatCode>0.0</c:formatCode>
                <c:ptCount val="16"/>
                <c:pt idx="0">
                  <c:v>41.124000000000002</c:v>
                </c:pt>
                <c:pt idx="1">
                  <c:v>46.384999999999998</c:v>
                </c:pt>
                <c:pt idx="2">
                  <c:v>46.423000000000002</c:v>
                </c:pt>
                <c:pt idx="3">
                  <c:v>43.067</c:v>
                </c:pt>
                <c:pt idx="4">
                  <c:v>38.64</c:v>
                </c:pt>
                <c:pt idx="5">
                  <c:v>34.99</c:v>
                </c:pt>
                <c:pt idx="6">
                  <c:v>33.93</c:v>
                </c:pt>
                <c:pt idx="7">
                  <c:v>33.94</c:v>
                </c:pt>
                <c:pt idx="8">
                  <c:v>38.31</c:v>
                </c:pt>
                <c:pt idx="9">
                  <c:v>36.660000000000011</c:v>
                </c:pt>
                <c:pt idx="10">
                  <c:v>41.17</c:v>
                </c:pt>
                <c:pt idx="11">
                  <c:v>42.379999999999995</c:v>
                </c:pt>
                <c:pt idx="12">
                  <c:v>43.46</c:v>
                </c:pt>
                <c:pt idx="13">
                  <c:v>50.548159175920013</c:v>
                </c:pt>
                <c:pt idx="14">
                  <c:v>49.815340486699995</c:v>
                </c:pt>
                <c:pt idx="15">
                  <c:v>63.740723337000013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B3B9-4C56-AEC5-5365453C0FDA}"/>
            </c:ext>
          </c:extLst>
        </c:ser>
        <c:ser>
          <c:idx val="5"/>
          <c:order val="7"/>
          <c:tx>
            <c:strRef>
              <c:f>'G2-St.rozpočet-výdaje-1q'!$I$35</c:f>
              <c:strCache>
                <c:ptCount val="1"/>
                <c:pt idx="0">
                  <c:v>Státní dluh (čisté výdaje)*****</c:v>
                </c:pt>
              </c:strCache>
            </c:strRef>
          </c:tx>
          <c:spPr>
            <a:ln w="15875">
              <a:solidFill>
                <a:srgbClr val="996633"/>
              </a:solidFill>
              <a:prstDash val="sysDash"/>
            </a:ln>
          </c:spPr>
          <c:marker>
            <c:symbol val="none"/>
          </c:marker>
          <c:cat>
            <c:numRef>
              <c:f>'G2-St.rozpočet-výdaje-1q'!$A$38:$A$53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'G2-St.rozpočet-výdaje-1q'!$I$38:$I$53</c:f>
              <c:numCache>
                <c:formatCode>0.0</c:formatCode>
                <c:ptCount val="16"/>
                <c:pt idx="0">
                  <c:v>25.084</c:v>
                </c:pt>
                <c:pt idx="1">
                  <c:v>24.459999999999987</c:v>
                </c:pt>
                <c:pt idx="2">
                  <c:v>33.33</c:v>
                </c:pt>
                <c:pt idx="3">
                  <c:v>24.919999999999987</c:v>
                </c:pt>
                <c:pt idx="4">
                  <c:v>35.89</c:v>
                </c:pt>
                <c:pt idx="5">
                  <c:v>35.86</c:v>
                </c:pt>
                <c:pt idx="6">
                  <c:v>44.55</c:v>
                </c:pt>
                <c:pt idx="7">
                  <c:v>43.160000000000011</c:v>
                </c:pt>
                <c:pt idx="8">
                  <c:v>41.03</c:v>
                </c:pt>
                <c:pt idx="9">
                  <c:v>38.1</c:v>
                </c:pt>
                <c:pt idx="10">
                  <c:v>33.849999999999994</c:v>
                </c:pt>
                <c:pt idx="11">
                  <c:v>32.617000000000004</c:v>
                </c:pt>
                <c:pt idx="12">
                  <c:v>33.350999999999999</c:v>
                </c:pt>
                <c:pt idx="13">
                  <c:v>32.136847667729974</c:v>
                </c:pt>
                <c:pt idx="14">
                  <c:v>34.590381461649955</c:v>
                </c:pt>
                <c:pt idx="15">
                  <c:v>32.168013688010035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3B9-4C56-AEC5-5365453C0FDA}"/>
            </c:ext>
          </c:extLst>
        </c:ser>
        <c:ser>
          <c:idx val="8"/>
          <c:order val="8"/>
          <c:tx>
            <c:strRef>
              <c:f>'G2-St.rozpočet-výdaje-1q'!$J$35</c:f>
              <c:strCache>
                <c:ptCount val="1"/>
                <c:pt idx="0">
                  <c:v>Neinvestič. transfery podnikatelům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'G2-St.rozpočet-výdaje-1q'!$A$38:$A$53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'G2-St.rozpočet-výdaje-1q'!$J$38:$J$53</c:f>
              <c:numCache>
                <c:formatCode>General</c:formatCode>
                <c:ptCount val="16"/>
                <c:pt idx="0" formatCode="0.0">
                  <c:v>10.618</c:v>
                </c:pt>
                <c:pt idx="1">
                  <c:v>11.3</c:v>
                </c:pt>
                <c:pt idx="2" formatCode="0.0">
                  <c:v>11.452000000000007</c:v>
                </c:pt>
                <c:pt idx="3" formatCode="0.0">
                  <c:v>11.497</c:v>
                </c:pt>
                <c:pt idx="4" formatCode="0.0">
                  <c:v>15.079000000000002</c:v>
                </c:pt>
                <c:pt idx="5" formatCode="0.0">
                  <c:v>25.56</c:v>
                </c:pt>
                <c:pt idx="6" formatCode="0.0">
                  <c:v>24.34</c:v>
                </c:pt>
                <c:pt idx="7" formatCode="0.0">
                  <c:v>27.89</c:v>
                </c:pt>
                <c:pt idx="8" formatCode="0.0">
                  <c:v>27.62</c:v>
                </c:pt>
                <c:pt idx="9" formatCode="0.0">
                  <c:v>26.25</c:v>
                </c:pt>
                <c:pt idx="10" formatCode="0.0">
                  <c:v>33.24</c:v>
                </c:pt>
                <c:pt idx="11" formatCode="0.0">
                  <c:v>40.24</c:v>
                </c:pt>
                <c:pt idx="12" formatCode="0.0">
                  <c:v>40.870000000000005</c:v>
                </c:pt>
                <c:pt idx="13" formatCode="0.0">
                  <c:v>73.104724736179989</c:v>
                </c:pt>
                <c:pt idx="14" formatCode="0.0">
                  <c:v>106.18042459115</c:v>
                </c:pt>
                <c:pt idx="15" formatCode="0.0">
                  <c:v>64.933555084700075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B3B9-4C56-AEC5-5365453C0FDA}"/>
            </c:ext>
          </c:extLst>
        </c:ser>
        <c:ser>
          <c:idx val="9"/>
          <c:order val="9"/>
          <c:tx>
            <c:strRef>
              <c:f>'G2-St.rozpočet-výdaje-1q'!$K$35</c:f>
              <c:strCache>
                <c:ptCount val="1"/>
                <c:pt idx="0">
                  <c:v>Kapitálové výdaje</c:v>
                </c:pt>
              </c:strCache>
            </c:strRef>
          </c:tx>
          <c:spPr>
            <a:ln w="9525">
              <a:solidFill>
                <a:srgbClr val="C00000"/>
              </a:solidFill>
              <a:prstDash val="sysDot"/>
            </a:ln>
          </c:spPr>
          <c:marker>
            <c:symbol val="circle"/>
            <c:size val="4"/>
            <c:spPr>
              <a:solidFill>
                <a:srgbClr val="C00000"/>
              </a:solidFill>
              <a:ln>
                <a:noFill/>
              </a:ln>
            </c:spPr>
          </c:marker>
          <c:cat>
            <c:numRef>
              <c:f>'G2-St.rozpočet-výdaje-1q'!$A$38:$A$53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'G2-St.rozpočet-výdaje-1q'!$K$38:$K$53</c:f>
              <c:numCache>
                <c:formatCode>0.0</c:formatCode>
                <c:ptCount val="16"/>
                <c:pt idx="0">
                  <c:v>54.85</c:v>
                </c:pt>
                <c:pt idx="1">
                  <c:v>76.95</c:v>
                </c:pt>
                <c:pt idx="2">
                  <c:v>80.024000000000001</c:v>
                </c:pt>
                <c:pt idx="3">
                  <c:v>91.36</c:v>
                </c:pt>
                <c:pt idx="4">
                  <c:v>82.07</c:v>
                </c:pt>
                <c:pt idx="5">
                  <c:v>72.98</c:v>
                </c:pt>
                <c:pt idx="6">
                  <c:v>58.39</c:v>
                </c:pt>
                <c:pt idx="7">
                  <c:v>59.67</c:v>
                </c:pt>
                <c:pt idx="8">
                  <c:v>88.53</c:v>
                </c:pt>
                <c:pt idx="9">
                  <c:v>51.6</c:v>
                </c:pt>
                <c:pt idx="10">
                  <c:v>41.37</c:v>
                </c:pt>
                <c:pt idx="11">
                  <c:v>60.93</c:v>
                </c:pt>
                <c:pt idx="12">
                  <c:v>85.1</c:v>
                </c:pt>
                <c:pt idx="13">
                  <c:v>105.9</c:v>
                </c:pt>
                <c:pt idx="14">
                  <c:v>99.658233900700012</c:v>
                </c:pt>
                <c:pt idx="15">
                  <c:v>112.81934098769995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B3B9-4C56-AEC5-5365453C0F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006848"/>
        <c:axId val="109009152"/>
      </c:lineChart>
      <c:catAx>
        <c:axId val="10900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crossAx val="109009152"/>
        <c:crosses val="autoZero"/>
        <c:auto val="1"/>
        <c:lblAlgn val="ctr"/>
        <c:lblOffset val="20"/>
        <c:noMultiLvlLbl val="0"/>
      </c:catAx>
      <c:valAx>
        <c:axId val="109009152"/>
        <c:scaling>
          <c:orientation val="minMax"/>
          <c:max val="140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Vybrané</a:t>
                </a:r>
                <a:r>
                  <a:rPr lang="cs-CZ" sz="700" b="0" i="1" baseline="0"/>
                  <a:t> </a:t>
                </a:r>
                <a:r>
                  <a:rPr lang="cs-CZ" sz="700" b="0" i="1"/>
                  <a:t>výdaje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crossAx val="109006848"/>
        <c:crosses val="autoZero"/>
        <c:crossBetween val="between"/>
        <c:majorUnit val="10"/>
      </c:valAx>
      <c:valAx>
        <c:axId val="109053440"/>
        <c:scaling>
          <c:orientation val="minMax"/>
          <c:max val="1400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Běžné výdaje celkem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9055360"/>
        <c:crosses val="max"/>
        <c:crossBetween val="between"/>
        <c:majorUnit val="100"/>
        <c:minorUnit val="10"/>
      </c:valAx>
      <c:catAx>
        <c:axId val="1090553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9053440"/>
        <c:crosses val="autoZero"/>
        <c:auto val="1"/>
        <c:lblAlgn val="ctr"/>
        <c:lblOffset val="100"/>
        <c:noMultiLvlLbl val="0"/>
      </c:catAx>
      <c:spPr>
        <a:ln w="6350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7248029150339215E-2"/>
          <c:y val="0.82695581191689693"/>
          <c:w val="0.93094378929198951"/>
          <c:h val="0.1658548997830193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2" ma:contentTypeDescription="Vytvoří nový dokument" ma:contentTypeScope="" ma:versionID="eb01c1c0223ab0a1c9372071ddfa2e5f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3d4f44d82d427914eb8ec1afbd279452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02EAB-49C7-4DE4-9ED7-50D36407C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79350-D56E-4794-82D9-60659CC7F9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67AC12-87A8-47C0-AD81-BCEF9FD78629}"/>
</file>

<file path=customXml/itemProps4.xml><?xml version="1.0" encoding="utf-8"?>
<ds:datastoreItem xmlns:ds="http://schemas.openxmlformats.org/officeDocument/2006/customXml" ds:itemID="{0C11A619-0581-4444-8253-6A1D526B43A3}"/>
</file>

<file path=customXml/itemProps5.xml><?xml version="1.0" encoding="utf-8"?>
<ds:datastoreItem xmlns:ds="http://schemas.openxmlformats.org/officeDocument/2006/customXml" ds:itemID="{AD74DB79-DEB0-40A9-8CB6-4ED2DB7949C8}"/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2</TotalTime>
  <Pages>6</Pages>
  <Words>2870</Words>
  <Characters>16937</Characters>
  <Application>Microsoft Office Word</Application>
  <DocSecurity>0</DocSecurity>
  <Lines>141</Lines>
  <Paragraphs>39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19768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3</cp:revision>
  <cp:lastPrinted>2019-04-08T10:52:00Z</cp:lastPrinted>
  <dcterms:created xsi:type="dcterms:W3CDTF">2022-12-15T09:52:00Z</dcterms:created>
  <dcterms:modified xsi:type="dcterms:W3CDTF">2022-12-15T10:02:00Z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