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9BE5" w14:textId="77777777" w:rsidR="00E41131" w:rsidRPr="009110F7" w:rsidRDefault="00E41131" w:rsidP="00E41131">
      <w:pPr>
        <w:pStyle w:val="Nadpis1"/>
      </w:pPr>
      <w:bookmarkStart w:id="0" w:name="_Toc114134045"/>
      <w:bookmarkStart w:id="1" w:name="_Toc58605374"/>
      <w:bookmarkStart w:id="2" w:name="_Toc66719930"/>
      <w:bookmarkStart w:id="3" w:name="_Toc532558287"/>
      <w:bookmarkStart w:id="4" w:name="_Toc58605375"/>
      <w:bookmarkStart w:id="5" w:name="_Toc82508186"/>
      <w:bookmarkStart w:id="6" w:name="_Toc121993818"/>
      <w:r w:rsidRPr="0077605B">
        <w:t>2</w:t>
      </w:r>
      <w:r>
        <w:t>. </w:t>
      </w:r>
      <w:r w:rsidRPr="0077605B">
        <w:t>Souhrnná výkonnost</w:t>
      </w:r>
      <w:bookmarkEnd w:id="0"/>
      <w:bookmarkEnd w:id="6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E41131" w:rsidRPr="009110F7" w14:paraId="136ACAEE" w14:textId="77777777" w:rsidTr="002036E6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9088712" w14:textId="77777777" w:rsidR="00E41131" w:rsidRDefault="00E41131" w:rsidP="002036E6">
            <w:pPr>
              <w:pStyle w:val="Marginlie"/>
            </w:pPr>
            <w:r>
              <w:t>Ochlazení domácí poptávky vedlo k mezičtvrtletnímu poklesu HDP.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7328026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76B1E00" w14:textId="77777777" w:rsidR="00E41131" w:rsidRPr="00014ED0" w:rsidRDefault="00E41131" w:rsidP="002036E6">
            <w:pPr>
              <w:rPr>
                <w:spacing w:val="-2"/>
              </w:rPr>
            </w:pPr>
            <w:r>
              <w:rPr>
                <w:spacing w:val="-2"/>
              </w:rPr>
              <w:t>Meziroční růst české ekonomiky ve 3. čtvrtletí 2022 výrazně zpomalil a hrubý domácí produkt (HDP) dosáhl přírůstku 1,7 %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 xml:space="preserve">. Zvolnění je výsledkem prudkého ochlazení domácí spotřeby. Zejména domácnosti totiž v prostředí výrazného růstu cenové hladiny a reálného poklesu jejich příjmů omezovaly výdaje. Investice dál meziročně rostly, ale k růstu už tak silně nepřispívala změna zásob, která růst HDP ovlivňovala v předchozím roce a půl. Po čtyřech čtvrtletích negativních příspěvků meziroční růst HDP opět výrazně podpořila zahraniční poptávka. Ve srovnání se 2. čtvrtletím 2022 se HDP snížil o 0,2 %. Jde o první pokles od začátku roku 2021, který ovlivnily protipandemické restrikce služeb a maloobchodu. Na mezičtvrtletním poklesu HDP se podílela zejména domácí poptávka, naopak zahraniční poptávka působila ve směru ekonomického oživení.  </w:t>
            </w:r>
          </w:p>
        </w:tc>
      </w:tr>
      <w:tr w:rsidR="00E41131" w:rsidRPr="009110F7" w14:paraId="510707EA" w14:textId="77777777" w:rsidTr="002036E6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02F7D9A4" w14:textId="77777777" w:rsidR="00E41131" w:rsidRDefault="00E41131" w:rsidP="002036E6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79651F7F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77650D0" w14:textId="77777777" w:rsidR="00E41131" w:rsidRPr="00D721B4" w:rsidRDefault="00E41131" w:rsidP="002036E6">
            <w:pPr>
              <w:spacing w:after="0"/>
              <w:rPr>
                <w:b/>
                <w:szCs w:val="20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očištěno o sezónní a kalendářní vlivy, v %)</w:t>
            </w:r>
          </w:p>
        </w:tc>
      </w:tr>
      <w:tr w:rsidR="00E41131" w:rsidRPr="009110F7" w14:paraId="0001CA5F" w14:textId="77777777" w:rsidTr="00B674C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15C7795F" w14:textId="77777777" w:rsidR="00E41131" w:rsidRPr="009110F7" w:rsidRDefault="00E41131" w:rsidP="002036E6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2087F16E" w14:textId="77777777" w:rsidR="00E41131" w:rsidRPr="009110F7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A45BA1E" w14:textId="58CCD19E" w:rsidR="00E41131" w:rsidRPr="009110F7" w:rsidRDefault="00B674C7" w:rsidP="002036E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4927C68" wp14:editId="42BB6BBC">
                  <wp:extent cx="4734425" cy="3375400"/>
                  <wp:effectExtent l="0" t="0" r="0" b="0"/>
                  <wp:docPr id="6" name="Graf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41131" w:rsidRPr="009110F7" w14:paraId="281F56BE" w14:textId="77777777" w:rsidTr="002036E6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5FBD5E33" w14:textId="77777777" w:rsidR="00E41131" w:rsidRPr="009110F7" w:rsidRDefault="00E41131" w:rsidP="002036E6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7ED3B380" w14:textId="77777777" w:rsidR="00E41131" w:rsidRPr="009110F7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A9A2F90" w14:textId="77777777" w:rsidR="00E41131" w:rsidRPr="009110F7" w:rsidRDefault="00E41131" w:rsidP="002036E6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E41131" w:rsidRPr="009110F7" w14:paraId="47C745B0" w14:textId="77777777" w:rsidTr="002036E6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54F900A" w14:textId="77777777" w:rsidR="00E41131" w:rsidRDefault="00E41131" w:rsidP="002036E6">
            <w:pPr>
              <w:pStyle w:val="Marginlie"/>
            </w:pPr>
            <w:r>
              <w:t xml:space="preserve">V Evropské unii HDP rostl meziročně </w:t>
            </w:r>
            <w:r>
              <w:br/>
              <w:t>i mezičtvrtletně.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855A161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81CE699" w14:textId="688F93FC" w:rsidR="00E41131" w:rsidRDefault="00E41131" w:rsidP="006C7981">
            <w:r>
              <w:t>Hrubý domácí produkt v EU ve 3. čtvrtletí meziročně vzrostl o 2,</w:t>
            </w:r>
            <w:r w:rsidR="006C7981">
              <w:t>5</w:t>
            </w:r>
            <w:r>
              <w:t xml:space="preserve"> %</w:t>
            </w:r>
            <w:r>
              <w:rPr>
                <w:rStyle w:val="Znakapoznpodarou"/>
              </w:rPr>
              <w:footnoteReference w:id="2"/>
            </w:r>
            <w:r>
              <w:t>. Podobně jako v Česku tak růst zpomalil. Česko patřilo také mezi nemnohé výjimky, kde meziročně klesla spotřeba – v naprosté většině ekonomik EU se růst udržel a podobně také dál rostly kapitálové výdaje. Nejsilněji se HDP zvyšoval v</w:t>
            </w:r>
            <w:r w:rsidR="006C7981">
              <w:t xml:space="preserve"> Irsku (10,6 %), </w:t>
            </w:r>
            <w:r>
              <w:t>Chorvatsku (5,5</w:t>
            </w:r>
            <w:r w:rsidR="006C7981">
              <w:t> </w:t>
            </w:r>
            <w:r>
              <w:t>%)</w:t>
            </w:r>
            <w:r w:rsidR="006C7981">
              <w:t xml:space="preserve"> a </w:t>
            </w:r>
            <w:r>
              <w:t>na Kypru (5,4 %). Naopak v Estonsku (−2,3 %) a Lotyšsku (−0,4 %) HDP meziročně klesl. Také mezičtvrtletní dynamika HDP v EU oslabila, evropská ekonomika si ale udržela slabý růst ve výši 0,</w:t>
            </w:r>
            <w:r w:rsidR="006C7981">
              <w:t>4</w:t>
            </w:r>
            <w:r>
              <w:t xml:space="preserve"> %. Většina z jednotlivých ekonomik vykázala pozitivní přírůstek HDP a také růst spotřeby. Naopak přibližně u poloviny ekonomik mezičtvrtletně klesly výdaje na tvorbu hrubého kapitálu. Nejsilněji mezičtvrtletně rostly ekonomiky </w:t>
            </w:r>
            <w:r w:rsidR="006C7981">
              <w:t xml:space="preserve">Irska (2,3 %) a dále </w:t>
            </w:r>
            <w:r>
              <w:t>Kypru a Rumunska (shodně o 1,3 %)</w:t>
            </w:r>
            <w:r w:rsidR="006C7981">
              <w:t>.</w:t>
            </w:r>
            <w:r>
              <w:t xml:space="preserve"> </w:t>
            </w:r>
            <w:r w:rsidR="006C7981">
              <w:t>Osm</w:t>
            </w:r>
            <w:r>
              <w:t xml:space="preserve"> ekonomik mezičtvrtletně oslabilo, z toho nejvýrazněji Estonsko (−1,8 %), Lotyšsko (−1,7 %) a Slovinsko (−1,4 %). </w:t>
            </w:r>
          </w:p>
        </w:tc>
      </w:tr>
      <w:tr w:rsidR="00E41131" w:rsidRPr="009110F7" w14:paraId="00FED463" w14:textId="77777777" w:rsidTr="002036E6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2C93D11" w14:textId="77777777" w:rsidR="00E41131" w:rsidRDefault="00E41131" w:rsidP="002036E6">
            <w:pPr>
              <w:pStyle w:val="Marginlie"/>
            </w:pPr>
            <w:r>
              <w:t>Nadále se hluboce reálně propadaly mzdy a platy.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D387DA2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B387C21" w14:textId="77777777" w:rsidR="00E41131" w:rsidRPr="00014ED0" w:rsidRDefault="00E41131" w:rsidP="002036E6">
            <w:pPr>
              <w:rPr>
                <w:spacing w:val="-2"/>
              </w:rPr>
            </w:pPr>
            <w:r>
              <w:rPr>
                <w:spacing w:val="-2"/>
              </w:rPr>
              <w:t xml:space="preserve">Výše zmíněné ochlazení domácí poptávky, zejména spotřeby, je těsně spjato s vývojem výdělků domácností. Objem vyplacených mezd a platů se ve 3. čtvrtletí meziročně zvýšil </w:t>
            </w:r>
            <w:r>
              <w:rPr>
                <w:spacing w:val="-2"/>
              </w:rPr>
              <w:lastRenderedPageBreak/>
              <w:t>o 7,7 %. To je navzdory mírnému oslabení solidní tempo srovnatelné s úrovní roku 2019. V prostředí mimořádně silného cenového růstu to ale představovalo reálný propad mezd a platů o 9,7 %</w:t>
            </w:r>
            <w:r>
              <w:rPr>
                <w:rStyle w:val="Znakapoznpodarou"/>
                <w:spacing w:val="-2"/>
              </w:rPr>
              <w:footnoteReference w:id="3"/>
            </w:r>
            <w:r>
              <w:rPr>
                <w:spacing w:val="-2"/>
              </w:rPr>
              <w:t>. Celková zaměstnanost se ve 3. čtvrtletí meziročně zvýšila o 1,8 %</w:t>
            </w:r>
            <w:r w:rsidRPr="00014ED0"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2"/>
              </w:rPr>
              <w:t>. Výrazně nadprůměrné meziroční tempo růstu objemu vyplacených mezd a platů zaznamenaly činnosti v oblasti nemovitostí (19,2 % za současného růstu zaměstnanosti o 3,2 %), informační a komunikační činnosti (12,1 %, zaměstnanost byla vyšší o 3,1 %), uskupení obchod, doprava, ubytování a pohostinství (10,6 %, zaměstnanost o 1,8 %) a stavebnictví (10,4 % při růstu zaměstnanosti o 3,4 %). Ve zpracovatelském průmyslu objem vyplacených mezd a platů meziročně vzrostl o 7,9 %, ale zaměstnanost byla vyšší o 0,7 %, což je nejmírnější posun ze všech sekcí. V profesních, vědeckých, technických a administrativních činnostech mzdy a platy vzrostly o 7,7 % (zaměstnanost o 1,3 %). Pod průměrem celé ekonomiky pak byl přírůstek mezd a platů v peněžnictví a pojišťovnictví (7,1 % při výrazném růstu zaměstnanosti o 3,1 %), ostatních činnostech (6,3 % při růstu zaměstnanosti o 3,1 %) a zemědělství, lesnictví a rybářství (6,2 %, zaměstnanost o 1,1 %). Nejpomaleji se zvyšovaly mzdy a platy v odvětvích s převahou vládního sektoru</w:t>
            </w:r>
            <w:r>
              <w:rPr>
                <w:rStyle w:val="Znakapoznpodarou"/>
                <w:spacing w:val="-2"/>
              </w:rPr>
              <w:footnoteReference w:id="5"/>
            </w:r>
            <w:r>
              <w:rPr>
                <w:spacing w:val="-2"/>
              </w:rPr>
              <w:t xml:space="preserve"> (3,1 %), kde se zaměstnanost zároveň zvýšila o 2,3 %. </w:t>
            </w:r>
          </w:p>
        </w:tc>
      </w:tr>
      <w:tr w:rsidR="00E41131" w:rsidRPr="009110F7" w14:paraId="0E89E805" w14:textId="77777777" w:rsidTr="002036E6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B2677A3" w14:textId="77777777" w:rsidR="00E41131" w:rsidRDefault="00E41131" w:rsidP="002036E6">
            <w:pPr>
              <w:pStyle w:val="Marginlie"/>
            </w:pPr>
            <w:r>
              <w:lastRenderedPageBreak/>
              <w:t>Mezičtvrtletní přírůstek mezd a platů byl velmi slabý.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DC87F5C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FCAB4E1" w14:textId="77777777" w:rsidR="00E41131" w:rsidRDefault="00E41131" w:rsidP="002036E6">
            <w:pPr>
              <w:rPr>
                <w:spacing w:val="-2"/>
              </w:rPr>
            </w:pPr>
            <w:r>
              <w:rPr>
                <w:spacing w:val="-2"/>
              </w:rPr>
              <w:t>Mezičtvrtletní přírůstek objemu mezd a platů výrazně zpomalil na 0,3 % za současné stagnace zaměstnanosti (−0,1 %). Mzdy a platy reálně mezičtvrtletně klesly o 3,6 %. Hluboký mezičtvrtletní pokles mezd a platů zaznamenaly ostatní činnosti</w:t>
            </w:r>
            <w:r>
              <w:rPr>
                <w:rStyle w:val="Znakapoznpodarou"/>
                <w:spacing w:val="-2"/>
              </w:rPr>
              <w:footnoteReference w:id="6"/>
            </w:r>
            <w:r>
              <w:rPr>
                <w:spacing w:val="-2"/>
              </w:rPr>
              <w:t xml:space="preserve"> (−6,7 %) </w:t>
            </w:r>
            <w:r>
              <w:rPr>
                <w:spacing w:val="-2"/>
              </w:rPr>
              <w:br/>
              <w:t xml:space="preserve">a nižší byly i výdělky v profesních, vědeckých, technických a administrativních činnostech (−0,7 %) a také v odvětvích s převahou vládního sektoru (−0,6 %). Stagnovaly informační a komunikační činnosti a jen mírný byl růst mezd a platů v zemědělství, lesnictví a rybářství (0,4 %), ve váhově významném uskupení obchod, doprava, ubytování a pohostinství (0,7 %) a ve stavebnictví (0,9 %). V činnostech v oblasti nemovitostí mzdy a platy vzrostly o 1,7 %, ve zpracovatelském průmyslu o 1,3 % (u obou ale zároveň došlo k poklesu zaměstnanosti). Výrazný nárůst byl zaznamenán pouze v peněžnictví a pojišťovnictví (při mezičtvrtletním růstu zaměstnanosti o 3,1 %). </w:t>
            </w:r>
          </w:p>
        </w:tc>
      </w:tr>
      <w:tr w:rsidR="00E41131" w:rsidRPr="009110F7" w14:paraId="2D8C12BD" w14:textId="77777777" w:rsidTr="002036E6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B96B7D8" w14:textId="77777777" w:rsidR="00E41131" w:rsidRDefault="00E41131" w:rsidP="002036E6">
            <w:pPr>
              <w:pStyle w:val="Marginlie"/>
            </w:pPr>
            <w:r>
              <w:t>Domácí spotřeba růst HDP výrazně brzdila.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017C3DE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AC1F2CA" w14:textId="77777777" w:rsidR="00E41131" w:rsidRDefault="00E41131" w:rsidP="002036E6">
            <w:pPr>
              <w:rPr>
                <w:spacing w:val="-2"/>
              </w:rPr>
            </w:pPr>
            <w:r>
              <w:rPr>
                <w:spacing w:val="-2"/>
              </w:rPr>
              <w:t>Domácí spotřeba se ve 3. čtvrtletí meziročně propadla o 4,4 %. To je nejvýraznější pokles od covidového 4. čtvrtletí 2020. Spotřeba působila 3,3 p. b.</w:t>
            </w:r>
            <w:r w:rsidRPr="00014ED0">
              <w:rPr>
                <w:rStyle w:val="Znakapoznpodarou"/>
                <w:spacing w:val="-2"/>
              </w:rPr>
              <w:footnoteReference w:id="7"/>
            </w:r>
            <w:r>
              <w:rPr>
                <w:spacing w:val="-2"/>
              </w:rPr>
              <w:t xml:space="preserve"> ve směru meziročního poklesu HDP. Z naprosté většiny ovlivňovala snížení HDP spotřeba domácností, která byla meziročně nižší o 5,9 %, což byl nejvýraznější propad od 1. kvartálu 2021 ovlivněného omezeními obchodu a služeb spojenými s pandemií. Meziročně klesla i spotřeba vládních institucí (−1,2 %). Mezičtvrtletně se celková spotřeba snížila o 2,4 % a opět na tom měla hlavní zásluhu spotřeba domácností (−3,2 %) a vládní spotřeba klesala mírněji (−0,8 %). Výdaje na konečnou spotřebu domácností podle trvanlivosti</w:t>
            </w:r>
            <w:r>
              <w:rPr>
                <w:rStyle w:val="Znakapoznpodarou"/>
              </w:rPr>
              <w:footnoteReference w:id="8"/>
            </w:r>
            <w:r>
              <w:rPr>
                <w:spacing w:val="-2"/>
              </w:rPr>
              <w:t xml:space="preserve"> ukazují na pokles výdajů u všech druhů zboží. Spotřeba předmětů dlouhodobé i střednědobé spotřeby meziročně klesla shodně o 12,7 %. Výdaje na netrvanlivé statky ale byly nižší o 7,9 %. Šlo o nejvýraznější zaznamenaný propad a pokračování netypicky výrazného útlumu spotřeby v kategorii, která z velké části zahrnuje nezbytné zboží (potraviny, léky, apod.). Naopak se udržel mírný meziroční růst spotřeby služeb (1,4 %). Mezičtvrtletně se nejvíce propadly výdaje na střednědobé statky (−6,5 %), služby (−6,4 %) a pak netrvanlivé zboží (−2,2 %). Po hlubokém poklesu v předchozím kvartálu se spotřeba dlouhodobých statků ve 3. čtvrtletí mezičtvrtletně snížila o 1,1 %.     </w:t>
            </w:r>
          </w:p>
        </w:tc>
      </w:tr>
      <w:tr w:rsidR="00E41131" w:rsidRPr="009110F7" w14:paraId="0CC89D19" w14:textId="77777777" w:rsidTr="002036E6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1B7B0F4" w14:textId="77777777" w:rsidR="00E41131" w:rsidRDefault="00E41131" w:rsidP="002036E6">
            <w:pPr>
              <w:pStyle w:val="Marginlie"/>
            </w:pPr>
            <w:r>
              <w:t xml:space="preserve">Investiční aktivita byla meziročně vyšší, </w:t>
            </w:r>
            <w:r>
              <w:lastRenderedPageBreak/>
              <w:t>mezičtvrtletně ale mírně klesla.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F0C67BE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9F4BB78" w14:textId="77777777" w:rsidR="00E41131" w:rsidRDefault="00E41131" w:rsidP="002036E6">
            <w:pPr>
              <w:rPr>
                <w:spacing w:val="-2"/>
              </w:rPr>
            </w:pPr>
            <w:r>
              <w:t xml:space="preserve">Výdaje na tvorbu hrubého kapitálu se meziročně zvýšily o 5,1 % a k růstu HDP tak přispěly 1,4 p. b. Přitom samotné výdaje na tvorbu hrubého fixního kapitálu (investiční </w:t>
            </w:r>
            <w:r>
              <w:lastRenderedPageBreak/>
              <w:t>aktivita) byly vyšší o 4,6 % a přispěly 1,0 p. b. Po šesti čtvrtletích tak oslabil vliv tvorby zásob, který růst HDP v uplynulém období značně podporoval</w:t>
            </w:r>
            <w:r>
              <w:rPr>
                <w:rStyle w:val="Znakapoznpodarou"/>
              </w:rPr>
              <w:footnoteReference w:id="9"/>
            </w:r>
            <w:r>
              <w:t xml:space="preserve">. Mezičtvrtletně se výdaje na tvorbu hrubého kapitálu po sedmi kvartálech přírůstků snížily o 0,4 %. Mírně klesla i samotná investiční aktivita (−0,3 %). Podle věcného členění investiční aktivity meziroční růst tvorby hrubého fixního kapitálu podpořily výdaje na ostatní budovy a stavby (12,2 %), dopravní prostředky a zařízení (11,5 %), ICT a ostatní stroje a zařízení (5,4 %) a na produkty duševního vlastnictví (3,5 %). Naopak se hluboce propadly výdaje na obydlí (−8,9 %), za kterými z naprosté většiny stojí domácnosti. Ty se výrazně propadly také mezičtvrtletně (−11,4 %) a nižší byly i výdaje na dopravní prostředky a zařízení (−0,4 %). Mezičtvrtletně stagnovaly investice do produktů duševního vlastnictví (0,2 %) a rostly výdaje na ostatní budovy a stavby (4,6 %) a ICT, ostatní stroje a zařízení (2,0 %).       </w:t>
            </w:r>
          </w:p>
        </w:tc>
      </w:tr>
      <w:tr w:rsidR="00E41131" w:rsidRPr="009110F7" w14:paraId="6CCBA998" w14:textId="77777777" w:rsidTr="002036E6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073F8BE5" w14:textId="77777777" w:rsidR="00E41131" w:rsidRDefault="00E41131" w:rsidP="002036E6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2BE6926E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78C4F51" w14:textId="77777777" w:rsidR="00E41131" w:rsidRPr="00D721B4" w:rsidRDefault="00E41131" w:rsidP="002036E6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2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výdajových složek k reálné změně HDP*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růst, příspěvky v p. b., HDP v %)</w:t>
            </w:r>
          </w:p>
        </w:tc>
      </w:tr>
      <w:tr w:rsidR="00E41131" w:rsidRPr="009110F7" w14:paraId="11661C44" w14:textId="77777777" w:rsidTr="002036E6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5C361DE2" w14:textId="77777777" w:rsidR="00E41131" w:rsidRDefault="00E41131" w:rsidP="002036E6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23255613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6A63CAC0" w14:textId="77777777" w:rsidR="00E41131" w:rsidRDefault="00E41131" w:rsidP="002036E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B1CDCAB" wp14:editId="1D4A90AC">
                  <wp:extent cx="4737600" cy="3553200"/>
                  <wp:effectExtent l="0" t="0" r="6350" b="0"/>
                  <wp:docPr id="9" name="Graf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41131" w:rsidRPr="009110F7" w14:paraId="7BCD5C7D" w14:textId="77777777" w:rsidTr="002036E6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1557217D" w14:textId="77777777" w:rsidR="00E41131" w:rsidRDefault="00E41131" w:rsidP="002036E6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4AAC8882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7FDC3BC" w14:textId="77777777" w:rsidR="00E41131" w:rsidRDefault="00E41131" w:rsidP="002036E6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3D4ADB57" w14:textId="77777777" w:rsidR="00E41131" w:rsidRDefault="00E41131" w:rsidP="002036E6">
            <w:r>
              <w:rPr>
                <w:sz w:val="14"/>
                <w:szCs w:val="14"/>
              </w:rPr>
              <w:t>* po vyloučení dovozu pro konečné užití</w:t>
            </w:r>
          </w:p>
        </w:tc>
      </w:tr>
      <w:tr w:rsidR="00E41131" w:rsidRPr="009110F7" w14:paraId="6B8A868A" w14:textId="77777777" w:rsidTr="002036E6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06216FB" w14:textId="77777777" w:rsidR="00E41131" w:rsidRDefault="00E41131" w:rsidP="002036E6">
            <w:pPr>
              <w:pStyle w:val="Marginlie"/>
            </w:pPr>
            <w:r>
              <w:t>Zahraniční poptávka výrazně přispěla k růstu HDP.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E18607F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83A9C4A" w14:textId="77777777" w:rsidR="00E41131" w:rsidRDefault="00E41131" w:rsidP="002036E6">
            <w:r>
              <w:t>K růstu HDP přispívala pozitivně zahraniční poptávka. Její příspěvek k meziročnímu růstu HDP celkem dosáhl 3,6 p. b. Po několika čtvrtletích slabých výsledků, kdy dynamika vývozu zaostávala za dovozem, se situace obrátila. Reálný meziroční přírůstek vývozu zboží a služeb značně posílil na 10,5 %</w:t>
            </w:r>
            <w:r w:rsidRPr="009110F7">
              <w:rPr>
                <w:rStyle w:val="Znakapoznpodarou"/>
              </w:rPr>
              <w:footnoteReference w:id="10"/>
            </w:r>
            <w:r>
              <w:t xml:space="preserve">. Z toho export zboží byl vyšší o 9,5 % a služeb o 15,9 %. Dovoz meziročně vzrostl o 6,2 %. Z toho se import zboží navýšil o 4,1 % a služeb o 20,4 %. Také mezičtvrtletní vývoj byl příznivý. Export zboží a služeb byl oproti 2. kvartálu reálně vyšší o 4,7 % (vývoz zboží o 5,1 % a služeb o 2,4 %). Dovezlo se reálně mezičtvrtletně o 2,7 % více. Z toho import zboží vzrostl o 3,1 %, zatímco služby stagnovaly. Bilance zahraničního obchodu se zbožím a službami dosáhla celkově přebytku 9,9 mld. korun (v běžných cenách) a ten se meziročně propadl o 6,8 mld. Obchod se zbožím setrval v deficitu 28,7 mld. korun </w:t>
            </w:r>
            <w:r>
              <w:lastRenderedPageBreak/>
              <w:t>(meziročně o 16,3 mld. horší výsledek), a naopak přebytek zahraničního obchodu se službami se zvýšil o 9,5 mld. korun na 38,6 mld.</w:t>
            </w:r>
          </w:p>
        </w:tc>
      </w:tr>
      <w:tr w:rsidR="00E41131" w:rsidRPr="009110F7" w14:paraId="2FC07F4B" w14:textId="77777777" w:rsidTr="002036E6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C585D29" w14:textId="77777777" w:rsidR="00E41131" w:rsidRDefault="00E41131" w:rsidP="002036E6">
            <w:pPr>
              <w:pStyle w:val="Marginlie"/>
            </w:pPr>
            <w:r>
              <w:lastRenderedPageBreak/>
              <w:t>Odvětví služeb pocítila silný pokles domácí poptávky.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4FABFA5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296D6F0" w14:textId="77777777" w:rsidR="00E41131" w:rsidRPr="00F93F2C" w:rsidRDefault="00E41131" w:rsidP="002036E6">
            <w:r>
              <w:t xml:space="preserve">Hrubá přidaná hodnota (HPH) se ve 3. čtvrtletí 2022 meziročně zvýšila o 1,4 %. Podobně jako u HDP tak došlo k silnému propadu její dynamiky. Hlavním důvodem je zpomalení růstu či pokles HDP u většiny odvětví služeb, a to těch závislých na poptávce domácností i podniků. Meziročně se snížila HPH v uskupení obchod, doprava, ubytování a pohostinství (−1,3 %), na kterém se asi nejvíce projevil propad spotřeby domácností. Zmírnil se přírůstek HPH u informačních a komunikačních činností (4,6 %), profesních, vědeckých, technických a administrativních činností (2,5 %), ostatních činností (1,5 %) a v peněžnictví a pojišťovnictví (1,0 %). Posílil růst HPH činností v oblasti nemovitostí (1,2 %) a mírně vyšší byl i přírůstek u veřejné správy a obrany, vzdělávání, zdravotní a sociální péče (1,2 %). Naopak zpracovatelský průmysl po období slabších výsledků rostl meziročně o solidních 3,2 %. Meziročně nižší byla ale HPH v zemědělství, lesnictví a rybářství (−2,4 %) i ve stavebnictví (−0,7 %).  </w:t>
            </w:r>
          </w:p>
        </w:tc>
      </w:tr>
      <w:tr w:rsidR="00E41131" w:rsidRPr="009110F7" w14:paraId="328438ED" w14:textId="77777777" w:rsidTr="002036E6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6E02C61" w14:textId="77777777" w:rsidR="00E41131" w:rsidRDefault="00E41131" w:rsidP="002036E6">
            <w:pPr>
              <w:pStyle w:val="Marginlie"/>
            </w:pPr>
            <w:r>
              <w:t>Mezičtvrtletně se dařilo zpracovatelskému průmyslu, naopak služby závislé na poptávce domácností se propadly.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1132754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6D8B428" w14:textId="77777777" w:rsidR="00E41131" w:rsidRDefault="00E41131" w:rsidP="002036E6">
            <w:r>
              <w:t xml:space="preserve">Mezičtvrtletně se HPH snížila o 0,2 %. Výsledek je odrazem protichůdného vývoje v jednotlivých odvětvích ekonomiky. V uskupení obchod, doprava, ubytování a pohostinství (−4,4 %) ovlivněném propadem spotřeby domácností a podobně také ve stavebnictví (−4,5 %) došlo k výraznému propadu HPH ve srovnání s 2. kvartálem. Oživení ve zpracovatelském průmyslu (1,8 %) naopak tyto poklesy vyvažovalo. Mírně rostla HPH v odvětvích s převahou vládního sektoru (1,3 %), v peněžnictví a pojišťovnictví (0,9 %), ostatních činnostech (0,8 %) a v činnostech v oblasti nemovitostí (0,6 %). Značně zpomalil přírůstek HPH v informačních a komunikačních činnostech (0,3 %) a pokles zaznamenaly profesní, vědecké, technické a administrativní činnosti (−0,6 %) a zemědělství, lesnictví a rybářství (−3,0 %). </w:t>
            </w:r>
          </w:p>
        </w:tc>
      </w:tr>
      <w:tr w:rsidR="00E41131" w:rsidRPr="009110F7" w14:paraId="050D1E49" w14:textId="77777777" w:rsidTr="002036E6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1588A023" w14:textId="77777777" w:rsidR="00E41131" w:rsidRDefault="00E41131" w:rsidP="002036E6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35740F7E" w14:textId="77777777" w:rsidR="00E41131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0833821" w14:textId="77777777" w:rsidR="00E41131" w:rsidRPr="00D721B4" w:rsidRDefault="00E41131" w:rsidP="002036E6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3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odvětví k reálné změně HPH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příspěvky v p. b., HPH v %)</w:t>
            </w:r>
          </w:p>
        </w:tc>
      </w:tr>
      <w:tr w:rsidR="00E41131" w:rsidRPr="009110F7" w14:paraId="637A999E" w14:textId="77777777" w:rsidTr="002036E6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634F9741" w14:textId="77777777" w:rsidR="00E41131" w:rsidRPr="009110F7" w:rsidRDefault="00E41131" w:rsidP="002036E6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7F6A966A" w14:textId="77777777" w:rsidR="00E41131" w:rsidRPr="009110F7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37195FBD" w14:textId="77777777" w:rsidR="00E41131" w:rsidRPr="009110F7" w:rsidRDefault="00E41131" w:rsidP="002036E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09CD666" wp14:editId="2BD9DE93">
                  <wp:extent cx="4737600" cy="3486525"/>
                  <wp:effectExtent l="0" t="0" r="6350" b="0"/>
                  <wp:docPr id="10" name="Graf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41131" w:rsidRPr="009110F7" w14:paraId="54A74E52" w14:textId="77777777" w:rsidTr="002036E6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716438EF" w14:textId="77777777" w:rsidR="00E41131" w:rsidRPr="009110F7" w:rsidRDefault="00E41131" w:rsidP="002036E6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2CE9104D" w14:textId="77777777" w:rsidR="00E41131" w:rsidRPr="009110F7" w:rsidRDefault="00E41131" w:rsidP="002036E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4232DF9" w14:textId="77777777" w:rsidR="00E41131" w:rsidRPr="009110F7" w:rsidRDefault="00E41131" w:rsidP="002036E6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  <w:bookmarkEnd w:id="1"/>
      <w:bookmarkEnd w:id="2"/>
      <w:bookmarkEnd w:id="3"/>
      <w:bookmarkEnd w:id="4"/>
      <w:bookmarkEnd w:id="5"/>
    </w:tbl>
    <w:p w14:paraId="53552171" w14:textId="77777777" w:rsidR="00A30EA4" w:rsidRPr="00E42054" w:rsidRDefault="00A30EA4" w:rsidP="00A30EA4">
      <w:pPr>
        <w:pStyle w:val="Nadpis11"/>
        <w:rPr>
          <w:b w:val="0"/>
          <w:sz w:val="2"/>
          <w:szCs w:val="2"/>
        </w:rPr>
      </w:pPr>
    </w:p>
    <w:p w14:paraId="5BAB8EA3" w14:textId="6926CA10" w:rsidR="000663F0" w:rsidRPr="00E42054" w:rsidRDefault="000663F0" w:rsidP="00A30EA4">
      <w:pPr>
        <w:pStyle w:val="Nadpis11"/>
        <w:rPr>
          <w:b w:val="0"/>
          <w:sz w:val="2"/>
          <w:szCs w:val="2"/>
        </w:rPr>
      </w:pPr>
    </w:p>
    <w:sectPr w:rsidR="000663F0" w:rsidRPr="00E42054" w:rsidSect="001A764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9558" w14:textId="77777777" w:rsidR="00665501" w:rsidRDefault="00665501" w:rsidP="00E71A58">
      <w:r>
        <w:separator/>
      </w:r>
    </w:p>
  </w:endnote>
  <w:endnote w:type="continuationSeparator" w:id="0">
    <w:p w14:paraId="1D4B7205" w14:textId="77777777" w:rsidR="00665501" w:rsidRDefault="0066550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1E100CD2" w:rsidR="00275E43" w:rsidRPr="00932443" w:rsidRDefault="00275E4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42902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720FC4B9" w:rsidR="00275E43" w:rsidRPr="00932443" w:rsidRDefault="00275E4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42902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C823" w14:textId="77777777" w:rsidR="00665501" w:rsidRDefault="00665501" w:rsidP="00A21B4D">
      <w:pPr>
        <w:spacing w:after="0"/>
      </w:pPr>
      <w:r>
        <w:separator/>
      </w:r>
    </w:p>
  </w:footnote>
  <w:footnote w:type="continuationSeparator" w:id="0">
    <w:p w14:paraId="01B4EBFF" w14:textId="77777777" w:rsidR="00665501" w:rsidRDefault="00665501" w:rsidP="00E71A58">
      <w:r>
        <w:continuationSeparator/>
      </w:r>
    </w:p>
  </w:footnote>
  <w:footnote w:id="1">
    <w:p w14:paraId="603C66DF" w14:textId="77777777" w:rsidR="00275E43" w:rsidRPr="000348AF" w:rsidRDefault="00275E43" w:rsidP="00E41131">
      <w:pPr>
        <w:pStyle w:val="Textpoznpodarou"/>
        <w:rPr>
          <w:sz w:val="16"/>
          <w:szCs w:val="16"/>
        </w:rPr>
      </w:pPr>
      <w:r w:rsidRPr="000348AF">
        <w:rPr>
          <w:rStyle w:val="Znakapoznpodarou"/>
          <w:sz w:val="16"/>
          <w:szCs w:val="16"/>
        </w:rPr>
        <w:footnoteRef/>
      </w:r>
      <w:r w:rsidRPr="000348AF">
        <w:rPr>
          <w:sz w:val="16"/>
          <w:szCs w:val="16"/>
        </w:rPr>
        <w:t xml:space="preserve"> Vývoj HDP, hrubé přidané hodnoty a jejich složek je vyjádřen prostřednictvím objemových indexů (tj. očištěn o vliv cen) a po očištění o sezónní a kalendářní vlivy. Údaje jsou platné ke 2. 12. 202</w:t>
      </w:r>
      <w:r>
        <w:rPr>
          <w:sz w:val="16"/>
          <w:szCs w:val="16"/>
        </w:rPr>
        <w:t>2</w:t>
      </w:r>
      <w:r w:rsidRPr="000348AF">
        <w:rPr>
          <w:sz w:val="16"/>
          <w:szCs w:val="16"/>
        </w:rPr>
        <w:t>.</w:t>
      </w:r>
    </w:p>
  </w:footnote>
  <w:footnote w:id="2">
    <w:p w14:paraId="08435F11" w14:textId="72A36F05" w:rsidR="00275E43" w:rsidRPr="001E74E3" w:rsidRDefault="00275E43" w:rsidP="00E41131">
      <w:pPr>
        <w:pStyle w:val="Textpoznpodarou"/>
        <w:rPr>
          <w:sz w:val="16"/>
          <w:szCs w:val="16"/>
        </w:rPr>
      </w:pPr>
      <w:r w:rsidRPr="001E74E3">
        <w:rPr>
          <w:rStyle w:val="Znakapoznpodarou"/>
          <w:sz w:val="16"/>
          <w:szCs w:val="16"/>
        </w:rPr>
        <w:footnoteRef/>
      </w:r>
      <w:r w:rsidRPr="001E74E3">
        <w:rPr>
          <w:sz w:val="16"/>
          <w:szCs w:val="16"/>
        </w:rPr>
        <w:t xml:space="preserve"> Data za </w:t>
      </w:r>
      <w:r>
        <w:rPr>
          <w:sz w:val="16"/>
          <w:szCs w:val="16"/>
        </w:rPr>
        <w:t xml:space="preserve">Bulharsko a Řecko </w:t>
      </w:r>
      <w:r w:rsidRPr="001E74E3">
        <w:rPr>
          <w:sz w:val="16"/>
          <w:szCs w:val="16"/>
        </w:rPr>
        <w:t>nebyla dostupná.</w:t>
      </w:r>
    </w:p>
  </w:footnote>
  <w:footnote w:id="3">
    <w:p w14:paraId="1BA2D1CA" w14:textId="77777777" w:rsidR="00275E43" w:rsidRPr="005F75B1" w:rsidRDefault="00275E43" w:rsidP="00E41131">
      <w:pPr>
        <w:pStyle w:val="Textpoznpodarou"/>
        <w:rPr>
          <w:sz w:val="16"/>
          <w:szCs w:val="16"/>
        </w:rPr>
      </w:pPr>
      <w:r w:rsidRPr="005F75B1">
        <w:rPr>
          <w:rStyle w:val="Znakapoznpodarou"/>
          <w:sz w:val="16"/>
          <w:szCs w:val="16"/>
        </w:rPr>
        <w:footnoteRef/>
      </w:r>
      <w:r w:rsidRPr="005F75B1">
        <w:rPr>
          <w:sz w:val="16"/>
          <w:szCs w:val="16"/>
        </w:rPr>
        <w:t xml:space="preserve"> Do reálného vyjádření převedeno s pomocí deflátoru spotřeby domácností.</w:t>
      </w:r>
    </w:p>
  </w:footnote>
  <w:footnote w:id="4">
    <w:p w14:paraId="5056F837" w14:textId="77777777" w:rsidR="00275E43" w:rsidRDefault="00275E43" w:rsidP="00E41131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5">
    <w:p w14:paraId="337D3AE9" w14:textId="77777777" w:rsidR="00275E43" w:rsidRPr="00771972" w:rsidRDefault="00275E43" w:rsidP="00E41131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  <w:footnote w:id="6">
    <w:p w14:paraId="6649C9D2" w14:textId="77777777" w:rsidR="00275E43" w:rsidRPr="0053191D" w:rsidRDefault="00275E43" w:rsidP="00E41131">
      <w:pPr>
        <w:pStyle w:val="Textpoznpodarou"/>
        <w:rPr>
          <w:sz w:val="16"/>
          <w:szCs w:val="16"/>
        </w:rPr>
      </w:pPr>
      <w:r w:rsidRPr="0053191D">
        <w:rPr>
          <w:rStyle w:val="Znakapoznpodarou"/>
          <w:sz w:val="16"/>
          <w:szCs w:val="16"/>
        </w:rPr>
        <w:footnoteRef/>
      </w:r>
      <w:r w:rsidRPr="0053191D">
        <w:rPr>
          <w:sz w:val="16"/>
          <w:szCs w:val="16"/>
        </w:rPr>
        <w:t xml:space="preserve"> Tato sekce zahrnuje činnosti organizací sdružujících osoby za účelem prosazování společných zájmů, opravy počítačů a výrobků pro osobní potřebu a převážně pro domácnost a řadu jiných osobních služeb</w:t>
      </w:r>
      <w:r>
        <w:rPr>
          <w:sz w:val="16"/>
          <w:szCs w:val="16"/>
        </w:rPr>
        <w:t xml:space="preserve"> (kosmetické, kadeřnické, apod.).</w:t>
      </w:r>
    </w:p>
  </w:footnote>
  <w:footnote w:id="7">
    <w:p w14:paraId="37D05A93" w14:textId="77777777" w:rsidR="00275E43" w:rsidRPr="009C6EA8" w:rsidRDefault="00275E43" w:rsidP="00E41131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8">
    <w:p w14:paraId="4F2F98B6" w14:textId="77777777" w:rsidR="00275E43" w:rsidRPr="00954992" w:rsidRDefault="00275E43" w:rsidP="00E41131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</w:t>
      </w:r>
      <w:r>
        <w:rPr>
          <w:sz w:val="16"/>
          <w:szCs w:val="16"/>
        </w:rPr>
        <w:t>.</w:t>
      </w:r>
    </w:p>
  </w:footnote>
  <w:footnote w:id="9">
    <w:p w14:paraId="700259C0" w14:textId="77777777" w:rsidR="00275E43" w:rsidRPr="004831F6" w:rsidRDefault="00275E43" w:rsidP="00E41131">
      <w:pPr>
        <w:pStyle w:val="Textpoznpodarou"/>
        <w:rPr>
          <w:sz w:val="16"/>
          <w:szCs w:val="16"/>
        </w:rPr>
      </w:pPr>
      <w:r w:rsidRPr="004831F6">
        <w:rPr>
          <w:rStyle w:val="Znakapoznpodarou"/>
          <w:sz w:val="16"/>
          <w:szCs w:val="16"/>
        </w:rPr>
        <w:footnoteRef/>
      </w:r>
      <w:r w:rsidRPr="004831F6">
        <w:rPr>
          <w:sz w:val="16"/>
          <w:szCs w:val="16"/>
        </w:rPr>
        <w:t xml:space="preserve"> Změna zásob</w:t>
      </w:r>
      <w:r>
        <w:rPr>
          <w:sz w:val="16"/>
          <w:szCs w:val="16"/>
        </w:rPr>
        <w:t xml:space="preserve"> (v běžných cenách a sezónně očištěná)</w:t>
      </w:r>
      <w:r w:rsidRPr="004831F6">
        <w:rPr>
          <w:sz w:val="16"/>
          <w:szCs w:val="16"/>
        </w:rPr>
        <w:t xml:space="preserve"> dosáhla</w:t>
      </w:r>
      <w:r>
        <w:rPr>
          <w:sz w:val="16"/>
          <w:szCs w:val="16"/>
        </w:rPr>
        <w:t xml:space="preserve"> ve 3. čtvrtletí 111,5 mld. korun. Ve stálých cenách ale ukazatel jen mírně překonal loňskou úroveň.</w:t>
      </w:r>
    </w:p>
  </w:footnote>
  <w:footnote w:id="10">
    <w:p w14:paraId="253A2093" w14:textId="77777777" w:rsidR="00275E43" w:rsidRPr="00167B30" w:rsidRDefault="00275E43" w:rsidP="00E41131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 xml:space="preserve">. Bilance zahraničního obchodu v běžných cenách </w:t>
      </w:r>
      <w:r>
        <w:rPr>
          <w:sz w:val="16"/>
          <w:szCs w:val="16"/>
        </w:rPr>
        <w:br/>
        <w:t>a po sezónním očištění.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275E43" w:rsidRDefault="00275E43" w:rsidP="00937AE2">
    <w:pPr>
      <w:pStyle w:val="Zhlav"/>
    </w:pPr>
    <w:r>
      <w:t>Vývoj ekonomiky České republiky</w:t>
    </w:r>
  </w:p>
  <w:p w14:paraId="3E881AB3" w14:textId="77777777" w:rsidR="00275E43" w:rsidRPr="006F5416" w:rsidRDefault="00275E4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275E43" w:rsidRDefault="00275E43" w:rsidP="00937AE2">
    <w:pPr>
      <w:pStyle w:val="Zhlav"/>
    </w:pPr>
    <w:r>
      <w:t>Vývoj ekonomiky České republiky</w:t>
    </w:r>
  </w:p>
  <w:p w14:paraId="57266714" w14:textId="77777777" w:rsidR="00275E43" w:rsidRPr="006F5416" w:rsidRDefault="00275E4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337598">
    <w:abstractNumId w:val="24"/>
  </w:num>
  <w:num w:numId="2" w16cid:durableId="352264853">
    <w:abstractNumId w:val="8"/>
  </w:num>
  <w:num w:numId="3" w16cid:durableId="1115095472">
    <w:abstractNumId w:val="3"/>
  </w:num>
  <w:num w:numId="4" w16cid:durableId="1962372938">
    <w:abstractNumId w:val="2"/>
  </w:num>
  <w:num w:numId="5" w16cid:durableId="1958753753">
    <w:abstractNumId w:val="1"/>
  </w:num>
  <w:num w:numId="6" w16cid:durableId="125127467">
    <w:abstractNumId w:val="0"/>
  </w:num>
  <w:num w:numId="7" w16cid:durableId="113912191">
    <w:abstractNumId w:val="9"/>
  </w:num>
  <w:num w:numId="8" w16cid:durableId="625045448">
    <w:abstractNumId w:val="7"/>
  </w:num>
  <w:num w:numId="9" w16cid:durableId="1352488717">
    <w:abstractNumId w:val="6"/>
  </w:num>
  <w:num w:numId="10" w16cid:durableId="987368208">
    <w:abstractNumId w:val="5"/>
  </w:num>
  <w:num w:numId="11" w16cid:durableId="1039932949">
    <w:abstractNumId w:val="4"/>
  </w:num>
  <w:num w:numId="12" w16cid:durableId="1043288693">
    <w:abstractNumId w:val="14"/>
  </w:num>
  <w:num w:numId="13" w16cid:durableId="72968187">
    <w:abstractNumId w:val="26"/>
  </w:num>
  <w:num w:numId="14" w16cid:durableId="1649672820">
    <w:abstractNumId w:val="13"/>
  </w:num>
  <w:num w:numId="15" w16cid:durableId="1176924891">
    <w:abstractNumId w:val="19"/>
  </w:num>
  <w:num w:numId="16" w16cid:durableId="752629986">
    <w:abstractNumId w:val="15"/>
  </w:num>
  <w:num w:numId="17" w16cid:durableId="22023024">
    <w:abstractNumId w:val="27"/>
  </w:num>
  <w:num w:numId="18" w16cid:durableId="1387415516">
    <w:abstractNumId w:val="20"/>
  </w:num>
  <w:num w:numId="19" w16cid:durableId="676268872">
    <w:abstractNumId w:val="28"/>
  </w:num>
  <w:num w:numId="20" w16cid:durableId="429356725">
    <w:abstractNumId w:val="29"/>
  </w:num>
  <w:num w:numId="21" w16cid:durableId="909655302">
    <w:abstractNumId w:val="25"/>
  </w:num>
  <w:num w:numId="22" w16cid:durableId="1461801755">
    <w:abstractNumId w:val="18"/>
  </w:num>
  <w:num w:numId="23" w16cid:durableId="103696176">
    <w:abstractNumId w:val="16"/>
  </w:num>
  <w:num w:numId="24" w16cid:durableId="1816952523">
    <w:abstractNumId w:val="17"/>
  </w:num>
  <w:num w:numId="25" w16cid:durableId="1339426053">
    <w:abstractNumId w:val="12"/>
  </w:num>
  <w:num w:numId="26" w16cid:durableId="230043571">
    <w:abstractNumId w:val="22"/>
  </w:num>
  <w:num w:numId="27" w16cid:durableId="1841390614">
    <w:abstractNumId w:val="21"/>
  </w:num>
  <w:num w:numId="28" w16cid:durableId="347297665">
    <w:abstractNumId w:val="10"/>
  </w:num>
  <w:num w:numId="29" w16cid:durableId="1643383695">
    <w:abstractNumId w:val="29"/>
  </w:num>
  <w:num w:numId="30" w16cid:durableId="1728843360">
    <w:abstractNumId w:val="23"/>
  </w:num>
  <w:num w:numId="31" w16cid:durableId="1247303207">
    <w:abstractNumId w:val="11"/>
  </w:num>
  <w:num w:numId="32" w16cid:durableId="1867449779">
    <w:abstractNumId w:val="30"/>
  </w:num>
  <w:num w:numId="33" w16cid:durableId="4588386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46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2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nal&#253;za\Q\2022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nal&#253;za\Q\2022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1'!$A$25:$B$47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1'!$C$25:$C$47</c:f>
              <c:numCache>
                <c:formatCode>#\ ##0.0</c:formatCode>
                <c:ptCount val="23"/>
                <c:pt idx="0">
                  <c:v>3.695024939296502</c:v>
                </c:pt>
                <c:pt idx="1">
                  <c:v>5.9154748938585584</c:v>
                </c:pt>
                <c:pt idx="2">
                  <c:v>5.8516412927584582</c:v>
                </c:pt>
                <c:pt idx="3">
                  <c:v>5.8958110920111153</c:v>
                </c:pt>
                <c:pt idx="4">
                  <c:v>4.7409332982438741</c:v>
                </c:pt>
                <c:pt idx="5" formatCode="General">
                  <c:v>2.821338885097731</c:v>
                </c:pt>
                <c:pt idx="6" formatCode="General">
                  <c:v>2.6959141687858903</c:v>
                </c:pt>
                <c:pt idx="7">
                  <c:v>2.6197437017841025</c:v>
                </c:pt>
                <c:pt idx="8">
                  <c:v>2.9978799448777949</c:v>
                </c:pt>
                <c:pt idx="9" formatCode="General">
                  <c:v>3.0712313540949907</c:v>
                </c:pt>
                <c:pt idx="10" formatCode="General">
                  <c:v>3.0292239015638387</c:v>
                </c:pt>
                <c:pt idx="11" formatCode="General">
                  <c:v>2.7681270582493624</c:v>
                </c:pt>
                <c:pt idx="12" formatCode="General">
                  <c:v>-1.4629386956710846</c:v>
                </c:pt>
                <c:pt idx="13" formatCode="General">
                  <c:v>-10.78290466571336</c:v>
                </c:pt>
                <c:pt idx="14" formatCode="General">
                  <c:v>-5.2159569739525011</c:v>
                </c:pt>
                <c:pt idx="15" formatCode="General">
                  <c:v>-4.5960804470275178</c:v>
                </c:pt>
                <c:pt idx="16" formatCode="General">
                  <c:v>-1.9073894441670518</c:v>
                </c:pt>
                <c:pt idx="17" formatCode="General">
                  <c:v>9.1293353391871648</c:v>
                </c:pt>
                <c:pt idx="18" formatCode="General">
                  <c:v>3.7680361202100983</c:v>
                </c:pt>
                <c:pt idx="19" formatCode="General">
                  <c:v>3.4666809246014765</c:v>
                </c:pt>
                <c:pt idx="20" formatCode="General">
                  <c:v>4.6485227451269537</c:v>
                </c:pt>
                <c:pt idx="21" formatCode="General">
                  <c:v>3.5808692948439784</c:v>
                </c:pt>
                <c:pt idx="22" formatCode="General">
                  <c:v>1.6868646332076622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F-4683-ABDB-FBA71D797C90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1'!$A$25:$B$47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1'!$D$25:$D$47</c:f>
              <c:numCache>
                <c:formatCode>#\ ##0.##########</c:formatCode>
                <c:ptCount val="23"/>
                <c:pt idx="0">
                  <c:v>2.4</c:v>
                </c:pt>
                <c:pt idx="1">
                  <c:v>2.9</c:v>
                </c:pt>
                <c:pt idx="2">
                  <c:v>3.3</c:v>
                </c:pt>
                <c:pt idx="3">
                  <c:v>3.3</c:v>
                </c:pt>
                <c:pt idx="4">
                  <c:v>2.6</c:v>
                </c:pt>
                <c:pt idx="5">
                  <c:v>2.4</c:v>
                </c:pt>
                <c:pt idx="6">
                  <c:v>1.7</c:v>
                </c:pt>
                <c:pt idx="7">
                  <c:v>1.5</c:v>
                </c:pt>
                <c:pt idx="8">
                  <c:v>2.1</c:v>
                </c:pt>
                <c:pt idx="9">
                  <c:v>1.8</c:v>
                </c:pt>
                <c:pt idx="10" formatCode="#\ ##0.0">
                  <c:v>2</c:v>
                </c:pt>
                <c:pt idx="11">
                  <c:v>1.4</c:v>
                </c:pt>
                <c:pt idx="12">
                  <c:v>-2.2000000000000002</c:v>
                </c:pt>
                <c:pt idx="13">
                  <c:v>-13.4</c:v>
                </c:pt>
                <c:pt idx="14">
                  <c:v>-3.7</c:v>
                </c:pt>
                <c:pt idx="15">
                  <c:v>-3.9</c:v>
                </c:pt>
                <c:pt idx="16">
                  <c:v>-0.8</c:v>
                </c:pt>
                <c:pt idx="17">
                  <c:v>13.7</c:v>
                </c:pt>
                <c:pt idx="18">
                  <c:v>4.2</c:v>
                </c:pt>
                <c:pt idx="19" formatCode="#\ ##0.0">
                  <c:v>5.0999999999999996</c:v>
                </c:pt>
                <c:pt idx="20">
                  <c:v>5.6</c:v>
                </c:pt>
                <c:pt idx="21">
                  <c:v>4.3</c:v>
                </c:pt>
                <c:pt idx="22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CF-4683-ABDB-FBA71D797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1'!$A$25:$B$47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1'!$E$25:$E$47</c:f>
              <c:numCache>
                <c:formatCode>#\ ##0.0</c:formatCode>
                <c:ptCount val="23"/>
                <c:pt idx="0">
                  <c:v>1.6501768420245781</c:v>
                </c:pt>
                <c:pt idx="1">
                  <c:v>2.4798258472657153</c:v>
                </c:pt>
                <c:pt idx="2">
                  <c:v>0.83559458693113697</c:v>
                </c:pt>
                <c:pt idx="3">
                  <c:v>0.81343215586227302</c:v>
                </c:pt>
                <c:pt idx="4">
                  <c:v>0.54160105647851253</c:v>
                </c:pt>
                <c:pt idx="5">
                  <c:v>0.60167090858045924</c:v>
                </c:pt>
                <c:pt idx="6">
                  <c:v>0.71259214422481421</c:v>
                </c:pt>
                <c:pt idx="7">
                  <c:v>0.73865794240386151</c:v>
                </c:pt>
                <c:pt idx="8">
                  <c:v>0.91207969856712623</c:v>
                </c:pt>
                <c:pt idx="9" formatCode="General">
                  <c:v>0.67331582335634721</c:v>
                </c:pt>
                <c:pt idx="10" formatCode="General">
                  <c:v>0.67154597277419725</c:v>
                </c:pt>
                <c:pt idx="11" formatCode="General">
                  <c:v>0.4833658554360909</c:v>
                </c:pt>
                <c:pt idx="12" formatCode="General">
                  <c:v>-3.2425707440500986</c:v>
                </c:pt>
                <c:pt idx="13" formatCode="General">
                  <c:v>-8.8487042688318525</c:v>
                </c:pt>
                <c:pt idx="14" formatCode="General">
                  <c:v>6.9532258277307903</c:v>
                </c:pt>
                <c:pt idx="15" formatCode="General">
                  <c:v>1.1405152853573952</c:v>
                </c:pt>
                <c:pt idx="16" formatCode="General">
                  <c:v>-0.51573487903165471</c:v>
                </c:pt>
                <c:pt idx="17" formatCode="General">
                  <c:v>1.4070301736563096</c:v>
                </c:pt>
                <c:pt idx="18" formatCode="General">
                  <c:v>1.6988343818829179</c:v>
                </c:pt>
                <c:pt idx="19" formatCode="General">
                  <c:v>0.84679073483712841</c:v>
                </c:pt>
                <c:pt idx="20" formatCode="General">
                  <c:v>0.62061804109229968</c:v>
                </c:pt>
                <c:pt idx="21" formatCode="General">
                  <c:v>0.37244733571660049</c:v>
                </c:pt>
                <c:pt idx="22" formatCode="General">
                  <c:v>-0.1607567541402517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CF-4683-ABDB-FBA71D797C90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1'!$A$25:$B$47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1'!$F$25:$F$47</c:f>
              <c:numCache>
                <c:formatCode>#\ ##0.##########</c:formatCode>
                <c:ptCount val="23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0.1</c:v>
                </c:pt>
                <c:pt idx="5">
                  <c:v>0.6</c:v>
                </c:pt>
                <c:pt idx="6">
                  <c:v>0.1</c:v>
                </c:pt>
                <c:pt idx="7">
                  <c:v>0.7</c:v>
                </c:pt>
                <c:pt idx="8">
                  <c:v>0.7</c:v>
                </c:pt>
                <c:pt idx="9">
                  <c:v>0.4</c:v>
                </c:pt>
                <c:pt idx="10">
                  <c:v>0.3</c:v>
                </c:pt>
                <c:pt idx="11">
                  <c:v>0.1</c:v>
                </c:pt>
                <c:pt idx="12" formatCode="#\ ##0.0">
                  <c:v>-2.9</c:v>
                </c:pt>
                <c:pt idx="13">
                  <c:v>-11.1</c:v>
                </c:pt>
                <c:pt idx="14">
                  <c:v>11.5</c:v>
                </c:pt>
                <c:pt idx="15">
                  <c:v>-0.1</c:v>
                </c:pt>
                <c:pt idx="16">
                  <c:v>0.2</c:v>
                </c:pt>
                <c:pt idx="17" formatCode="#\ ##0.0">
                  <c:v>1.9</c:v>
                </c:pt>
                <c:pt idx="18">
                  <c:v>2.2000000000000002</c:v>
                </c:pt>
                <c:pt idx="19">
                  <c:v>0.7</c:v>
                </c:pt>
                <c:pt idx="20">
                  <c:v>0.7</c:v>
                </c:pt>
                <c:pt idx="21">
                  <c:v>0.7</c:v>
                </c:pt>
                <c:pt idx="22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3CF-4683-ABDB-FBA71D797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  <c:max val="15"/>
          <c:min val="-1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72E-2"/>
          <c:y val="2.8458510079622041E-2"/>
          <c:w val="0.93688386524822698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3'!$D$26:$D$48</c:f>
              <c:numCache>
                <c:formatCode>#\ ##0.0</c:formatCode>
                <c:ptCount val="23"/>
                <c:pt idx="0">
                  <c:v>1.1724461062125429</c:v>
                </c:pt>
                <c:pt idx="1">
                  <c:v>1.3838280833932579</c:v>
                </c:pt>
                <c:pt idx="2">
                  <c:v>1.3029633342515596</c:v>
                </c:pt>
                <c:pt idx="3">
                  <c:v>1.0570981809373126</c:v>
                </c:pt>
                <c:pt idx="4">
                  <c:v>1.5755125159315497</c:v>
                </c:pt>
                <c:pt idx="5">
                  <c:v>1.2433932618107362</c:v>
                </c:pt>
                <c:pt idx="6">
                  <c:v>0.98503190180886568</c:v>
                </c:pt>
                <c:pt idx="7">
                  <c:v>0.86242373693181429</c:v>
                </c:pt>
                <c:pt idx="8">
                  <c:v>0.93405360633092538</c:v>
                </c:pt>
                <c:pt idx="9">
                  <c:v>1.3264749570937773</c:v>
                </c:pt>
                <c:pt idx="10">
                  <c:v>1.0320858874492613</c:v>
                </c:pt>
                <c:pt idx="11">
                  <c:v>1.1072516380596786</c:v>
                </c:pt>
                <c:pt idx="12">
                  <c:v>-1.02008988814419</c:v>
                </c:pt>
                <c:pt idx="13">
                  <c:v>-3.319130632152298</c:v>
                </c:pt>
                <c:pt idx="14">
                  <c:v>-1.7922184957520035</c:v>
                </c:pt>
                <c:pt idx="15">
                  <c:v>-4.4205469928881964</c:v>
                </c:pt>
                <c:pt idx="16">
                  <c:v>-3.0401890570142882</c:v>
                </c:pt>
                <c:pt idx="17">
                  <c:v>1.8966230839871685</c:v>
                </c:pt>
                <c:pt idx="18">
                  <c:v>1.8963311636525795</c:v>
                </c:pt>
                <c:pt idx="19">
                  <c:v>3.3087731869590207</c:v>
                </c:pt>
                <c:pt idx="20">
                  <c:v>3.2739647443452307</c:v>
                </c:pt>
                <c:pt idx="21">
                  <c:v>0.10935883533289308</c:v>
                </c:pt>
                <c:pt idx="22">
                  <c:v>-3.0355928753805514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01-4240-BC51-43E12FA58E41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3'!$E$26:$E$48</c:f>
              <c:numCache>
                <c:formatCode>#\ ##0.0</c:formatCode>
                <c:ptCount val="23"/>
                <c:pt idx="0">
                  <c:v>0.43568874146674708</c:v>
                </c:pt>
                <c:pt idx="1">
                  <c:v>0.31651507948948115</c:v>
                </c:pt>
                <c:pt idx="2">
                  <c:v>0.23074272942367355</c:v>
                </c:pt>
                <c:pt idx="3">
                  <c:v>0.28553793240162245</c:v>
                </c:pt>
                <c:pt idx="4">
                  <c:v>0.57412630446352575</c:v>
                </c:pt>
                <c:pt idx="5">
                  <c:v>0.65995211680089272</c:v>
                </c:pt>
                <c:pt idx="6">
                  <c:v>0.81778085262984579</c:v>
                </c:pt>
                <c:pt idx="7">
                  <c:v>0.8108648897803995</c:v>
                </c:pt>
                <c:pt idx="8">
                  <c:v>0.45281581800869158</c:v>
                </c:pt>
                <c:pt idx="9">
                  <c:v>0.47909637272946881</c:v>
                </c:pt>
                <c:pt idx="10">
                  <c:v>0.44460153705879735</c:v>
                </c:pt>
                <c:pt idx="11">
                  <c:v>0.33726571383782206</c:v>
                </c:pt>
                <c:pt idx="12">
                  <c:v>0.80451284992688032</c:v>
                </c:pt>
                <c:pt idx="13">
                  <c:v>0.70708681585804789</c:v>
                </c:pt>
                <c:pt idx="14">
                  <c:v>0.41395179326421955</c:v>
                </c:pt>
                <c:pt idx="15">
                  <c:v>1.2239863422317081</c:v>
                </c:pt>
                <c:pt idx="16">
                  <c:v>0.23876321267224979</c:v>
                </c:pt>
                <c:pt idx="17">
                  <c:v>0.14798139922500297</c:v>
                </c:pt>
                <c:pt idx="18">
                  <c:v>0.72276006050732244</c:v>
                </c:pt>
                <c:pt idx="19">
                  <c:v>-1.5205554772728589E-2</c:v>
                </c:pt>
                <c:pt idx="20">
                  <c:v>0.43825331667962947</c:v>
                </c:pt>
                <c:pt idx="21">
                  <c:v>0.37419493131713782</c:v>
                </c:pt>
                <c:pt idx="22">
                  <c:v>-0.27960649892480444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01-4240-BC51-43E12FA58E41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3'!$G$26:$G$48</c:f>
              <c:numCache>
                <c:formatCode>#\ ##0.0</c:formatCode>
                <c:ptCount val="23"/>
                <c:pt idx="0">
                  <c:v>-0.96460420103508682</c:v>
                </c:pt>
                <c:pt idx="1">
                  <c:v>0.50244635297633933</c:v>
                </c:pt>
                <c:pt idx="2">
                  <c:v>1.4868373962562362</c:v>
                </c:pt>
                <c:pt idx="3">
                  <c:v>2.3482189542959593</c:v>
                </c:pt>
                <c:pt idx="4">
                  <c:v>2.6506947871686037</c:v>
                </c:pt>
                <c:pt idx="5">
                  <c:v>1.708177336511435</c:v>
                </c:pt>
                <c:pt idx="6">
                  <c:v>1.9279335844788141</c:v>
                </c:pt>
                <c:pt idx="7">
                  <c:v>0.6722990284973398</c:v>
                </c:pt>
                <c:pt idx="8">
                  <c:v>1.5906650874354977</c:v>
                </c:pt>
                <c:pt idx="9">
                  <c:v>-0.19146224798983871</c:v>
                </c:pt>
                <c:pt idx="10">
                  <c:v>0.25415698160207922</c:v>
                </c:pt>
                <c:pt idx="11">
                  <c:v>2.4122891717477368</c:v>
                </c:pt>
                <c:pt idx="12">
                  <c:v>0.69791730489126835</c:v>
                </c:pt>
                <c:pt idx="13">
                  <c:v>0.95595711935685235</c:v>
                </c:pt>
                <c:pt idx="14">
                  <c:v>-2.7554209500001341</c:v>
                </c:pt>
                <c:pt idx="15">
                  <c:v>-3.482468456540178</c:v>
                </c:pt>
                <c:pt idx="16">
                  <c:v>1.1011189473188194</c:v>
                </c:pt>
                <c:pt idx="17">
                  <c:v>2.8854783221045768</c:v>
                </c:pt>
                <c:pt idx="18">
                  <c:v>6.8433224518195184</c:v>
                </c:pt>
                <c:pt idx="19">
                  <c:v>6.5998296681056825</c:v>
                </c:pt>
                <c:pt idx="20">
                  <c:v>3.8125560653605937</c:v>
                </c:pt>
                <c:pt idx="21">
                  <c:v>3.2423795254364793</c:v>
                </c:pt>
                <c:pt idx="22">
                  <c:v>1.3611433773455637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01-4240-BC51-43E12FA58E41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3'!$F$26:$F$48</c:f>
              <c:numCache>
                <c:formatCode>#\ ##0.0</c:formatCode>
                <c:ptCount val="23"/>
                <c:pt idx="0">
                  <c:v>2.9754675891551932</c:v>
                </c:pt>
                <c:pt idx="1">
                  <c:v>3.63036253408232</c:v>
                </c:pt>
                <c:pt idx="2">
                  <c:v>2.7474075811976943</c:v>
                </c:pt>
                <c:pt idx="3">
                  <c:v>2.1271051366721982</c:v>
                </c:pt>
                <c:pt idx="4">
                  <c:v>-0.18190275978441589</c:v>
                </c:pt>
                <c:pt idx="5">
                  <c:v>-0.9011007424628219</c:v>
                </c:pt>
                <c:pt idx="6">
                  <c:v>-1.1419594143316307</c:v>
                </c:pt>
                <c:pt idx="7">
                  <c:v>0.16780244720397519</c:v>
                </c:pt>
                <c:pt idx="8">
                  <c:v>-3.0487770722796199E-2</c:v>
                </c:pt>
                <c:pt idx="9">
                  <c:v>1.401018621045631</c:v>
                </c:pt>
                <c:pt idx="10">
                  <c:v>1.245438224612009</c:v>
                </c:pt>
                <c:pt idx="11">
                  <c:v>-1.1377389757832601</c:v>
                </c:pt>
                <c:pt idx="12">
                  <c:v>-1.982621142964861</c:v>
                </c:pt>
                <c:pt idx="13">
                  <c:v>-9.1465234127285502</c:v>
                </c:pt>
                <c:pt idx="14">
                  <c:v>-1.0987632014143376</c:v>
                </c:pt>
                <c:pt idx="15">
                  <c:v>2.0622607746427408</c:v>
                </c:pt>
                <c:pt idx="16">
                  <c:v>-0.24354289734345663</c:v>
                </c:pt>
                <c:pt idx="17">
                  <c:v>4.1602944561301305</c:v>
                </c:pt>
                <c:pt idx="18">
                  <c:v>-5.7268617561215125</c:v>
                </c:pt>
                <c:pt idx="19">
                  <c:v>-6.4551933605702825</c:v>
                </c:pt>
                <c:pt idx="20">
                  <c:v>-2.8651052852945993</c:v>
                </c:pt>
                <c:pt idx="21">
                  <c:v>-0.1761527674677659</c:v>
                </c:pt>
                <c:pt idx="22">
                  <c:v>3.633393580222311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01-4240-BC51-43E12FA58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14295552"/>
        <c:axId val="114297088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3'!$C$26:$C$48</c:f>
              <c:numCache>
                <c:formatCode>#\ ##0.0</c:formatCode>
                <c:ptCount val="23"/>
                <c:pt idx="0">
                  <c:v>3.6950522088079945</c:v>
                </c:pt>
                <c:pt idx="1">
                  <c:v>5.9154979768352085</c:v>
                </c:pt>
                <c:pt idx="2">
                  <c:v>5.8516739490936533</c:v>
                </c:pt>
                <c:pt idx="3">
                  <c:v>5.8958373145450755</c:v>
                </c:pt>
                <c:pt idx="4">
                  <c:v>4.7409433615299719</c:v>
                </c:pt>
                <c:pt idx="5">
                  <c:v>2.8213141032059932</c:v>
                </c:pt>
                <c:pt idx="6">
                  <c:v>2.6958490566037767</c:v>
                </c:pt>
                <c:pt idx="7">
                  <c:v>2.6197232600124938</c:v>
                </c:pt>
                <c:pt idx="8">
                  <c:v>2.997816378260354</c:v>
                </c:pt>
                <c:pt idx="9">
                  <c:v>3.0711985153536427</c:v>
                </c:pt>
                <c:pt idx="10">
                  <c:v>3.0292786172026638</c:v>
                </c:pt>
                <c:pt idx="11">
                  <c:v>2.7680914244993042</c:v>
                </c:pt>
                <c:pt idx="12">
                  <c:v>-1.4628912343715539</c:v>
                </c:pt>
                <c:pt idx="13">
                  <c:v>-10.782881996253849</c:v>
                </c:pt>
                <c:pt idx="14">
                  <c:v>-5.2160051898008977</c:v>
                </c:pt>
                <c:pt idx="15">
                  <c:v>-4.5960486594733538</c:v>
                </c:pt>
                <c:pt idx="16">
                  <c:v>-1.9074265997161177</c:v>
                </c:pt>
                <c:pt idx="17">
                  <c:v>9.1293352142031097</c:v>
                </c:pt>
                <c:pt idx="18">
                  <c:v>3.7680592280892995</c:v>
                </c:pt>
                <c:pt idx="19">
                  <c:v>3.4667113627178603</c:v>
                </c:pt>
                <c:pt idx="20">
                  <c:v>4.6485281301099795</c:v>
                </c:pt>
                <c:pt idx="21">
                  <c:v>3.5808918690836293</c:v>
                </c:pt>
                <c:pt idx="22">
                  <c:v>1.6868698666581141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501-4240-BC51-43E12FA58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95552"/>
        <c:axId val="114297088"/>
      </c:lineChart>
      <c:catAx>
        <c:axId val="1142955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4297088"/>
        <c:crosses val="autoZero"/>
        <c:auto val="1"/>
        <c:lblAlgn val="ctr"/>
        <c:lblOffset val="100"/>
        <c:noMultiLvlLbl val="0"/>
      </c:catAx>
      <c:valAx>
        <c:axId val="114297088"/>
        <c:scaling>
          <c:orientation val="minMax"/>
          <c:max val="10"/>
          <c:min val="-1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429555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79301446583361457"/>
          <c:w val="0.9378159827760891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75E-2"/>
          <c:y val="2.9499886988623544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4'!$C$26:$C$48</c:f>
              <c:numCache>
                <c:formatCode>#\ ##0.0</c:formatCode>
                <c:ptCount val="23"/>
                <c:pt idx="0">
                  <c:v>-1.3480202956280746E-2</c:v>
                </c:pt>
                <c:pt idx="1">
                  <c:v>-0.10834731479250073</c:v>
                </c:pt>
                <c:pt idx="2">
                  <c:v>-0.17283036507391236</c:v>
                </c:pt>
                <c:pt idx="3">
                  <c:v>-5.7499524058591905E-2</c:v>
                </c:pt>
                <c:pt idx="4">
                  <c:v>3.3101048510961691E-2</c:v>
                </c:pt>
                <c:pt idx="5">
                  <c:v>7.1756948575291107E-2</c:v>
                </c:pt>
                <c:pt idx="6">
                  <c:v>0.13149584386693969</c:v>
                </c:pt>
                <c:pt idx="7">
                  <c:v>0.13446361914513513</c:v>
                </c:pt>
                <c:pt idx="8">
                  <c:v>7.2918853884007803E-2</c:v>
                </c:pt>
                <c:pt idx="9">
                  <c:v>8.5676115253478527E-2</c:v>
                </c:pt>
                <c:pt idx="10">
                  <c:v>0.11352421571245842</c:v>
                </c:pt>
                <c:pt idx="11">
                  <c:v>0.1297955956354544</c:v>
                </c:pt>
                <c:pt idx="12">
                  <c:v>0.21206913343969144</c:v>
                </c:pt>
                <c:pt idx="13">
                  <c:v>0.23393026126693053</c:v>
                </c:pt>
                <c:pt idx="14">
                  <c:v>0.24441243980560465</c:v>
                </c:pt>
                <c:pt idx="15">
                  <c:v>0.21978387176272146</c:v>
                </c:pt>
                <c:pt idx="16">
                  <c:v>-0.18194845399556908</c:v>
                </c:pt>
                <c:pt idx="17">
                  <c:v>-0.33768164627213537</c:v>
                </c:pt>
                <c:pt idx="18">
                  <c:v>-0.36813605985710435</c:v>
                </c:pt>
                <c:pt idx="19">
                  <c:v>-0.39400715540029935</c:v>
                </c:pt>
                <c:pt idx="20">
                  <c:v>-0.10994257097185264</c:v>
                </c:pt>
                <c:pt idx="21">
                  <c:v>1.3825805970472818E-2</c:v>
                </c:pt>
                <c:pt idx="22">
                  <c:v>-5.1816505022774462E-2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42-4F29-B780-696BD7841C8D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4'!$D$26:$D$48</c:f>
              <c:numCache>
                <c:formatCode>#\ ##0.0</c:formatCode>
                <c:ptCount val="23"/>
                <c:pt idx="0">
                  <c:v>1.4029354561354297</c:v>
                </c:pt>
                <c:pt idx="1">
                  <c:v>3.052112169616799</c:v>
                </c:pt>
                <c:pt idx="2">
                  <c:v>3.068994740968527</c:v>
                </c:pt>
                <c:pt idx="3">
                  <c:v>2.3434131051105536</c:v>
                </c:pt>
                <c:pt idx="4">
                  <c:v>1.4988954552402798</c:v>
                </c:pt>
                <c:pt idx="5">
                  <c:v>0.14865466019918347</c:v>
                </c:pt>
                <c:pt idx="6">
                  <c:v>8.6548845664065881E-3</c:v>
                </c:pt>
                <c:pt idx="7">
                  <c:v>0.32252729120432627</c:v>
                </c:pt>
                <c:pt idx="8">
                  <c:v>0.78403714445772932</c:v>
                </c:pt>
                <c:pt idx="9">
                  <c:v>1.3396178430313301</c:v>
                </c:pt>
                <c:pt idx="10">
                  <c:v>1.4312708537266536</c:v>
                </c:pt>
                <c:pt idx="11">
                  <c:v>0.95608213895270111</c:v>
                </c:pt>
                <c:pt idx="12">
                  <c:v>-1.2099063790338638</c:v>
                </c:pt>
                <c:pt idx="13">
                  <c:v>-5.9215879942171474</c:v>
                </c:pt>
                <c:pt idx="14">
                  <c:v>-2.4830139549614358</c:v>
                </c:pt>
                <c:pt idx="15">
                  <c:v>-1.8545602201995735</c:v>
                </c:pt>
                <c:pt idx="16">
                  <c:v>0.14475123724007066</c:v>
                </c:pt>
                <c:pt idx="17">
                  <c:v>4.8361073743358629</c:v>
                </c:pt>
                <c:pt idx="18">
                  <c:v>0.14490824443150033</c:v>
                </c:pt>
                <c:pt idx="19">
                  <c:v>-0.36463732746079763</c:v>
                </c:pt>
                <c:pt idx="20">
                  <c:v>-9.1495292683194715E-2</c:v>
                </c:pt>
                <c:pt idx="21">
                  <c:v>8.3273176199987226E-2</c:v>
                </c:pt>
                <c:pt idx="22">
                  <c:v>0.75115411667827903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42-4F29-B780-696BD7841C8D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4'!$E$26:$E$48</c:f>
              <c:numCache>
                <c:formatCode>#\ ##0.0</c:formatCode>
                <c:ptCount val="23"/>
                <c:pt idx="0">
                  <c:v>0.20896030591717263</c:v>
                </c:pt>
                <c:pt idx="1">
                  <c:v>7.609302170335E-2</c:v>
                </c:pt>
                <c:pt idx="2">
                  <c:v>0.11363564757057359</c:v>
                </c:pt>
                <c:pt idx="3">
                  <c:v>-2.1455946351557575E-2</c:v>
                </c:pt>
                <c:pt idx="4">
                  <c:v>-7.5503829252544313E-2</c:v>
                </c:pt>
                <c:pt idx="5">
                  <c:v>-2.1457218474246786E-4</c:v>
                </c:pt>
                <c:pt idx="6" formatCode="General">
                  <c:v>0.11499031724354705</c:v>
                </c:pt>
                <c:pt idx="7" formatCode="General">
                  <c:v>-5.8063785050184689E-2</c:v>
                </c:pt>
                <c:pt idx="8" formatCode="General">
                  <c:v>-0.20753253585572426</c:v>
                </c:pt>
                <c:pt idx="9" formatCode="General">
                  <c:v>-0.39259990964881186</c:v>
                </c:pt>
                <c:pt idx="10" formatCode="General">
                  <c:v>-0.67997190068436786</c:v>
                </c:pt>
                <c:pt idx="11" formatCode="General">
                  <c:v>-0.47224783032630291</c:v>
                </c:pt>
                <c:pt idx="12" formatCode="General">
                  <c:v>-0.35554388462432995</c:v>
                </c:pt>
                <c:pt idx="13" formatCode="General">
                  <c:v>-0.29945450798864243</c:v>
                </c:pt>
                <c:pt idx="14" formatCode="General">
                  <c:v>8.9909890553686894E-2</c:v>
                </c:pt>
                <c:pt idx="15" formatCode="General">
                  <c:v>0.40350778052436731</c:v>
                </c:pt>
                <c:pt idx="16" formatCode="General">
                  <c:v>0.12665493966344515</c:v>
                </c:pt>
                <c:pt idx="17" formatCode="General">
                  <c:v>0.22679919998026948</c:v>
                </c:pt>
                <c:pt idx="18" formatCode="General">
                  <c:v>-5.9676233810593326E-4</c:v>
                </c:pt>
                <c:pt idx="19" formatCode="General">
                  <c:v>-0.29674507348686718</c:v>
                </c:pt>
                <c:pt idx="20" formatCode="General">
                  <c:v>-2.274853427494327E-2</c:v>
                </c:pt>
                <c:pt idx="21" formatCode="General">
                  <c:v>-5.5954150515274852E-2</c:v>
                </c:pt>
                <c:pt idx="22" formatCode="General">
                  <c:v>0.14037656230159273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42-4F29-B780-696BD7841C8D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4'!$F$26:$F$48</c:f>
              <c:numCache>
                <c:formatCode>#\ ##0.0</c:formatCode>
                <c:ptCount val="23"/>
                <c:pt idx="0">
                  <c:v>-0.11971252971432786</c:v>
                </c:pt>
                <c:pt idx="1">
                  <c:v>0.12513537674207531</c:v>
                </c:pt>
                <c:pt idx="2">
                  <c:v>7.5639144896938418E-2</c:v>
                </c:pt>
                <c:pt idx="3">
                  <c:v>0.16915702258933868</c:v>
                </c:pt>
                <c:pt idx="4">
                  <c:v>0.12251647468928518</c:v>
                </c:pt>
                <c:pt idx="5">
                  <c:v>4.4465884869504145E-3</c:v>
                </c:pt>
                <c:pt idx="6">
                  <c:v>-1.6359859988612904E-2</c:v>
                </c:pt>
                <c:pt idx="7">
                  <c:v>-0.12156128779443696</c:v>
                </c:pt>
                <c:pt idx="8">
                  <c:v>-0.15734451118480144</c:v>
                </c:pt>
                <c:pt idx="9">
                  <c:v>-4.5532361519053814E-2</c:v>
                </c:pt>
                <c:pt idx="10">
                  <c:v>-9.8757103245276603E-2</c:v>
                </c:pt>
                <c:pt idx="11">
                  <c:v>-0.10368709258279592</c:v>
                </c:pt>
                <c:pt idx="12">
                  <c:v>-0.34540850854541616</c:v>
                </c:pt>
                <c:pt idx="13">
                  <c:v>-0.70801073477756959</c:v>
                </c:pt>
                <c:pt idx="14">
                  <c:v>-0.63145687961935903</c:v>
                </c:pt>
                <c:pt idx="15">
                  <c:v>-0.60465596754463613</c:v>
                </c:pt>
                <c:pt idx="16">
                  <c:v>-0.5621453748945191</c:v>
                </c:pt>
                <c:pt idx="17">
                  <c:v>-0.11692747497662004</c:v>
                </c:pt>
                <c:pt idx="18">
                  <c:v>-2.3744641328194087E-2</c:v>
                </c:pt>
                <c:pt idx="19">
                  <c:v>6.3997671725291846E-2</c:v>
                </c:pt>
                <c:pt idx="20">
                  <c:v>0.44573641172078676</c:v>
                </c:pt>
                <c:pt idx="21">
                  <c:v>0.33353230157643166</c:v>
                </c:pt>
                <c:pt idx="22">
                  <c:v>-4.0253589393298352E-2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42-4F29-B780-696BD7841C8D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4'!$G$26:$G$48</c:f>
              <c:numCache>
                <c:formatCode>#\ ##0.0</c:formatCode>
                <c:ptCount val="23"/>
                <c:pt idx="0">
                  <c:v>2.2567846902239754</c:v>
                </c:pt>
                <c:pt idx="1">
                  <c:v>2.9186309791713847</c:v>
                </c:pt>
                <c:pt idx="2">
                  <c:v>2.9697548900570792</c:v>
                </c:pt>
                <c:pt idx="3">
                  <c:v>3.2819135077275554</c:v>
                </c:pt>
                <c:pt idx="4">
                  <c:v>3.1084812332896234</c:v>
                </c:pt>
                <c:pt idx="5">
                  <c:v>2.7563352038547313</c:v>
                </c:pt>
                <c:pt idx="6" formatCode="General">
                  <c:v>2.6924043929265342</c:v>
                </c:pt>
                <c:pt idx="7" formatCode="General">
                  <c:v>2.6316200146897137</c:v>
                </c:pt>
                <c:pt idx="8" formatCode="General">
                  <c:v>2.491900392623644</c:v>
                </c:pt>
                <c:pt idx="9" formatCode="General">
                  <c:v>2.2093063938623412</c:v>
                </c:pt>
                <c:pt idx="10" formatCode="General">
                  <c:v>2.1316318226048487</c:v>
                </c:pt>
                <c:pt idx="11" formatCode="General">
                  <c:v>2.1602853151609636</c:v>
                </c:pt>
                <c:pt idx="12" formatCode="General">
                  <c:v>0.60230691969475514</c:v>
                </c:pt>
                <c:pt idx="13" formatCode="General">
                  <c:v>-4.2582563012779078</c:v>
                </c:pt>
                <c:pt idx="14" formatCode="General">
                  <c:v>-2.0902678469504177</c:v>
                </c:pt>
                <c:pt idx="15" formatCode="General">
                  <c:v>-2.3497385311278536</c:v>
                </c:pt>
                <c:pt idx="16" formatCode="General">
                  <c:v>-1.3712021908072103</c:v>
                </c:pt>
                <c:pt idx="17" formatCode="General">
                  <c:v>4.7512811953342799</c:v>
                </c:pt>
                <c:pt idx="18" formatCode="General">
                  <c:v>3.6631661011885033</c:v>
                </c:pt>
                <c:pt idx="19" formatCode="General">
                  <c:v>4.0145526999127279</c:v>
                </c:pt>
                <c:pt idx="20" formatCode="General">
                  <c:v>3.7760025615952122</c:v>
                </c:pt>
                <c:pt idx="21" formatCode="General">
                  <c:v>2.9168299003719569</c:v>
                </c:pt>
                <c:pt idx="22" formatCode="General">
                  <c:v>0.63064526066744075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42-4F29-B780-696BD7841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14678016"/>
        <c:axId val="114712576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4'!$H$26:$H$48</c:f>
              <c:numCache>
                <c:formatCode>#\ ##0.0</c:formatCode>
                <c:ptCount val="23"/>
                <c:pt idx="0">
                  <c:v>3.7354703358596737</c:v>
                </c:pt>
                <c:pt idx="1">
                  <c:v>6.0635693129024588</c:v>
                </c:pt>
                <c:pt idx="2">
                  <c:v>6.0551704530576114</c:v>
                </c:pt>
                <c:pt idx="3">
                  <c:v>5.7157111017319409</c:v>
                </c:pt>
                <c:pt idx="4">
                  <c:v>4.7985438750560263</c:v>
                </c:pt>
                <c:pt idx="5">
                  <c:v>2.9808255360502329</c:v>
                </c:pt>
                <c:pt idx="6">
                  <c:v>2.9311807438003408</c:v>
                </c:pt>
                <c:pt idx="7">
                  <c:v>2.9093096332303503</c:v>
                </c:pt>
                <c:pt idx="8">
                  <c:v>2.9841391815935912</c:v>
                </c:pt>
                <c:pt idx="9">
                  <c:v>3.1966587652537282</c:v>
                </c:pt>
                <c:pt idx="10">
                  <c:v>2.8977411942901767</c:v>
                </c:pt>
                <c:pt idx="11">
                  <c:v>2.6699223236542764</c:v>
                </c:pt>
                <c:pt idx="12">
                  <c:v>-1.0965543495417909</c:v>
                </c:pt>
                <c:pt idx="13">
                  <c:v>-10.953400191597822</c:v>
                </c:pt>
                <c:pt idx="14">
                  <c:v>-4.8704580385287244</c:v>
                </c:pt>
                <c:pt idx="15">
                  <c:v>-4.1854633683910549</c:v>
                </c:pt>
                <c:pt idx="16">
                  <c:v>-1.8438705492779799</c:v>
                </c:pt>
                <c:pt idx="17">
                  <c:v>9.3597124602441717</c:v>
                </c:pt>
                <c:pt idx="18">
                  <c:v>3.4156908050202182</c:v>
                </c:pt>
                <c:pt idx="19">
                  <c:v>3.0229281746453722</c:v>
                </c:pt>
                <c:pt idx="20">
                  <c:v>3.9977741356299106</c:v>
                </c:pt>
                <c:pt idx="21">
                  <c:v>3.2914435881516377</c:v>
                </c:pt>
                <c:pt idx="22">
                  <c:v>1.4301709451619757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242-4F29-B780-696BD7841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678016"/>
        <c:axId val="114712576"/>
      </c:lineChart>
      <c:catAx>
        <c:axId val="11467801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4712576"/>
        <c:crosses val="autoZero"/>
        <c:auto val="1"/>
        <c:lblAlgn val="ctr"/>
        <c:lblOffset val="100"/>
        <c:noMultiLvlLbl val="0"/>
      </c:catAx>
      <c:valAx>
        <c:axId val="114712576"/>
        <c:scaling>
          <c:orientation val="minMax"/>
          <c:max val="10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467801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3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02EAB-49C7-4DE4-9ED7-50D36407C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79350-D56E-4794-82D9-60659CC7F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25F6A8-0B20-4174-8624-1EFE6C5D8259}"/>
</file>

<file path=customXml/itemProps4.xml><?xml version="1.0" encoding="utf-8"?>
<ds:datastoreItem xmlns:ds="http://schemas.openxmlformats.org/officeDocument/2006/customXml" ds:itemID="{A0F54DC7-840B-45E3-9031-D9E2B6BA5880}"/>
</file>

<file path=customXml/itemProps5.xml><?xml version="1.0" encoding="utf-8"?>
<ds:datastoreItem xmlns:ds="http://schemas.openxmlformats.org/officeDocument/2006/customXml" ds:itemID="{830B5408-E72A-4213-AA39-54F7B92014DA}"/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4</Pages>
  <Words>1521</Words>
  <Characters>8979</Characters>
  <Application>Microsoft Office Word</Application>
  <DocSecurity>0</DocSecurity>
  <Lines>74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10480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2022-12-15T09:52:00Z</dcterms:created>
  <dcterms:modified xsi:type="dcterms:W3CDTF">2022-12-15T09:56:00Z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