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0647" w14:textId="72E8F2A4" w:rsidR="003A4797" w:rsidRPr="00A008B7" w:rsidRDefault="00D35845">
      <w:pPr>
        <w:jc w:val="both"/>
        <w:rPr>
          <w:rFonts w:ascii="Arial" w:hAnsi="Arial" w:cs="Arial"/>
          <w:b/>
          <w:bCs/>
          <w:i/>
          <w:iCs/>
          <w:sz w:val="20"/>
          <w:lang w:val="en-GB"/>
        </w:rPr>
      </w:pPr>
      <w:r w:rsidRPr="00A008B7">
        <w:rPr>
          <w:rFonts w:ascii="Arial" w:hAnsi="Arial" w:cs="Arial"/>
          <w:b/>
          <w:bCs/>
          <w:i/>
          <w:iCs/>
          <w:sz w:val="20"/>
          <w:lang w:val="en-GB"/>
        </w:rPr>
        <w:t>2</w:t>
      </w:r>
      <w:r w:rsidR="001E5136" w:rsidRPr="00A008B7">
        <w:rPr>
          <w:rFonts w:ascii="Arial" w:hAnsi="Arial" w:cs="Arial"/>
          <w:b/>
          <w:bCs/>
          <w:i/>
          <w:iCs/>
          <w:sz w:val="20"/>
          <w:lang w:val="en-GB"/>
        </w:rPr>
        <w:t>  </w:t>
      </w:r>
      <w:r w:rsidRPr="00A008B7">
        <w:rPr>
          <w:rFonts w:ascii="Arial" w:hAnsi="Arial" w:cs="Arial"/>
          <w:b/>
          <w:bCs/>
          <w:i/>
          <w:iCs/>
          <w:sz w:val="20"/>
          <w:lang w:val="en-GB"/>
        </w:rPr>
        <w:t>HEALTH</w:t>
      </w:r>
    </w:p>
    <w:p w14:paraId="400AB6A6" w14:textId="77777777" w:rsidR="003A4797" w:rsidRPr="00A008B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14:paraId="760DC482" w14:textId="77777777" w:rsidR="003A4797" w:rsidRPr="00A008B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14:paraId="6301F6FA" w14:textId="22E5F8EB" w:rsidR="00361650" w:rsidRPr="00B12763" w:rsidRDefault="00D35845">
      <w:pPr>
        <w:autoSpaceDE w:val="0"/>
        <w:autoSpaceDN w:val="0"/>
        <w:adjustRightInd w:val="0"/>
        <w:ind w:firstLine="680"/>
        <w:jc w:val="both"/>
        <w:rPr>
          <w:rFonts w:ascii="Arial" w:hAnsi="Arial" w:cs="Arial"/>
          <w:i/>
          <w:iCs/>
          <w:sz w:val="20"/>
          <w:szCs w:val="17"/>
          <w:lang w:val="en-GB"/>
        </w:rPr>
      </w:pPr>
      <w:r w:rsidRPr="00A008B7">
        <w:rPr>
          <w:rFonts w:ascii="Arial" w:hAnsi="Arial" w:cs="Arial"/>
          <w:i/>
          <w:iCs/>
          <w:sz w:val="20"/>
          <w:szCs w:val="17"/>
          <w:lang w:val="en-GB"/>
        </w:rPr>
        <w:t>Data on the state of health of the population</w:t>
      </w:r>
      <w:r w:rsidR="006E47C7" w:rsidRPr="00A008B7">
        <w:rPr>
          <w:rFonts w:ascii="Arial" w:hAnsi="Arial" w:cs="Arial"/>
          <w:i/>
          <w:iCs/>
          <w:sz w:val="20"/>
          <w:szCs w:val="17"/>
          <w:lang w:val="en-GB"/>
        </w:rPr>
        <w:t xml:space="preserve"> (Tables 2–1 through 2–1</w:t>
      </w:r>
      <w:r w:rsidR="00C73763">
        <w:rPr>
          <w:rFonts w:ascii="Arial" w:hAnsi="Arial" w:cs="Arial"/>
          <w:i/>
          <w:iCs/>
          <w:sz w:val="20"/>
          <w:szCs w:val="17"/>
          <w:lang w:val="en-GB"/>
        </w:rPr>
        <w:t>7</w:t>
      </w:r>
      <w:r w:rsidR="006E47C7" w:rsidRPr="00A008B7">
        <w:rPr>
          <w:rFonts w:ascii="Arial" w:hAnsi="Arial" w:cs="Arial"/>
          <w:i/>
          <w:iCs/>
          <w:sz w:val="20"/>
          <w:szCs w:val="17"/>
          <w:lang w:val="en-GB"/>
        </w:rPr>
        <w:t>)</w:t>
      </w:r>
      <w:r w:rsidRPr="00A008B7">
        <w:rPr>
          <w:rFonts w:ascii="Arial" w:hAnsi="Arial" w:cs="Arial"/>
          <w:i/>
          <w:iCs/>
          <w:sz w:val="20"/>
          <w:szCs w:val="17"/>
          <w:lang w:val="en-GB"/>
        </w:rPr>
        <w:t xml:space="preserve"> and on activities of the health service providers are </w:t>
      </w:r>
      <w:r w:rsidR="00276F09" w:rsidRPr="00A008B7">
        <w:rPr>
          <w:rFonts w:ascii="Arial" w:hAnsi="Arial" w:cs="Arial"/>
          <w:i/>
          <w:iCs/>
          <w:sz w:val="20"/>
          <w:szCs w:val="17"/>
          <w:lang w:val="en-GB"/>
        </w:rPr>
        <w:t xml:space="preserve">received </w:t>
      </w:r>
      <w:r w:rsidRPr="00A008B7">
        <w:rPr>
          <w:rFonts w:ascii="Arial" w:hAnsi="Arial" w:cs="Arial"/>
          <w:i/>
          <w:iCs/>
          <w:sz w:val="20"/>
          <w:szCs w:val="17"/>
          <w:lang w:val="en-GB"/>
        </w:rPr>
        <w:t>from the National Health Information System (hereinafter</w:t>
      </w:r>
      <w:r w:rsidR="00276F09" w:rsidRPr="00A008B7">
        <w:rPr>
          <w:rFonts w:ascii="Arial" w:hAnsi="Arial" w:cs="Arial"/>
          <w:i/>
          <w:iCs/>
          <w:sz w:val="20"/>
          <w:szCs w:val="17"/>
          <w:lang w:val="en-GB"/>
        </w:rPr>
        <w:t xml:space="preserve"> only referred to</w:t>
      </w:r>
      <w:r w:rsidRPr="00A008B7">
        <w:rPr>
          <w:rFonts w:ascii="Arial" w:hAnsi="Arial" w:cs="Arial"/>
          <w:i/>
          <w:iCs/>
          <w:sz w:val="20"/>
          <w:szCs w:val="17"/>
          <w:lang w:val="en-GB"/>
        </w:rPr>
        <w:t xml:space="preserve"> as the NHIS)</w:t>
      </w:r>
      <w:r w:rsidR="007E7827" w:rsidRPr="00A008B7">
        <w:rPr>
          <w:rFonts w:ascii="Arial" w:hAnsi="Arial" w:cs="Arial"/>
          <w:i/>
          <w:iCs/>
          <w:sz w:val="20"/>
          <w:szCs w:val="17"/>
          <w:lang w:val="en-GB"/>
        </w:rPr>
        <w:t xml:space="preserve">. The NHIS </w:t>
      </w:r>
      <w:r w:rsidR="00CB7EF8" w:rsidRPr="00A008B7">
        <w:rPr>
          <w:rFonts w:ascii="Arial" w:hAnsi="Arial" w:cs="Arial"/>
          <w:i/>
          <w:iCs/>
          <w:sz w:val="20"/>
          <w:szCs w:val="17"/>
          <w:lang w:val="en-GB"/>
        </w:rPr>
        <w:t xml:space="preserve">is defined in the Act on Health Services and Conditions of Their Provision. </w:t>
      </w:r>
      <w:r w:rsidR="00CB7EF8" w:rsidRPr="00B12763">
        <w:rPr>
          <w:rFonts w:ascii="Arial" w:hAnsi="Arial" w:cs="Arial"/>
          <w:i/>
          <w:iCs/>
          <w:sz w:val="20"/>
          <w:szCs w:val="17"/>
          <w:lang w:val="en-GB"/>
        </w:rPr>
        <w:t>The NHIS is determined for keeping national health registers and processing of data kept therein. The administration of the NHIS has been delegated by the Ministry of Health to the Institute of Health Information and Statistics of the Czech Republic (IHIS CR)</w:t>
      </w:r>
      <w:r w:rsidR="002673C8" w:rsidRPr="00A008B7">
        <w:rPr>
          <w:rFonts w:ascii="Arial" w:hAnsi="Arial" w:cs="Arial"/>
          <w:i/>
          <w:iCs/>
          <w:sz w:val="20"/>
          <w:szCs w:val="17"/>
          <w:lang w:val="en-GB"/>
        </w:rPr>
        <w:t xml:space="preserve">. </w:t>
      </w:r>
      <w:r w:rsidR="002673C8" w:rsidRPr="00B12763">
        <w:rPr>
          <w:rFonts w:ascii="Arial" w:hAnsi="Arial" w:cs="Arial"/>
          <w:i/>
          <w:sz w:val="20"/>
          <w:szCs w:val="20"/>
          <w:lang w:val="en-GB"/>
        </w:rPr>
        <w:t xml:space="preserve">Data </w:t>
      </w:r>
      <w:r w:rsidR="00361650" w:rsidRPr="00B12763">
        <w:rPr>
          <w:rFonts w:ascii="Arial" w:hAnsi="Arial" w:cs="Arial"/>
          <w:i/>
          <w:sz w:val="20"/>
          <w:szCs w:val="20"/>
          <w:lang w:val="en-GB"/>
        </w:rPr>
        <w:t>for the Table</w:t>
      </w:r>
      <w:r w:rsidR="002673C8" w:rsidRPr="00B12763">
        <w:rPr>
          <w:rFonts w:ascii="Arial" w:hAnsi="Arial" w:cs="Arial"/>
          <w:i/>
          <w:sz w:val="20"/>
          <w:szCs w:val="20"/>
          <w:lang w:val="en-GB"/>
        </w:rPr>
        <w:t xml:space="preserve"> 2</w:t>
      </w:r>
      <w:r w:rsidR="00361650" w:rsidRPr="00B12763">
        <w:rPr>
          <w:rFonts w:ascii="Arial" w:hAnsi="Arial" w:cs="Arial"/>
          <w:i/>
          <w:iCs/>
          <w:sz w:val="20"/>
          <w:szCs w:val="17"/>
          <w:lang w:val="en-GB"/>
        </w:rPr>
        <w:t>–</w:t>
      </w:r>
      <w:r w:rsidR="002673C8" w:rsidRPr="00B12763">
        <w:rPr>
          <w:rFonts w:ascii="Arial" w:hAnsi="Arial" w:cs="Arial"/>
          <w:i/>
          <w:sz w:val="20"/>
          <w:szCs w:val="20"/>
          <w:lang w:val="en-GB"/>
        </w:rPr>
        <w:t xml:space="preserve">22 </w:t>
      </w:r>
      <w:r w:rsidR="00361650" w:rsidRPr="00B12763">
        <w:rPr>
          <w:rFonts w:ascii="Arial" w:hAnsi="Arial" w:cs="Arial"/>
          <w:i/>
          <w:iCs/>
          <w:sz w:val="20"/>
          <w:szCs w:val="17"/>
          <w:lang w:val="en-GB"/>
        </w:rPr>
        <w:t>– Number of health care personnel</w:t>
      </w:r>
      <w:r w:rsidR="000B10C0" w:rsidRPr="00B12763">
        <w:rPr>
          <w:rFonts w:ascii="Arial" w:hAnsi="Arial" w:cs="Arial"/>
          <w:i/>
          <w:iCs/>
          <w:sz w:val="20"/>
          <w:szCs w:val="17"/>
          <w:lang w:val="en-GB"/>
        </w:rPr>
        <w:t xml:space="preserve"> – are collected by means of statistical reports (questionnaires) from the Programme of Statistical Surveys from health service providers. The </w:t>
      </w:r>
      <w:r w:rsidR="001B21D3" w:rsidRPr="00B12763">
        <w:rPr>
          <w:rFonts w:ascii="Arial" w:hAnsi="Arial" w:cs="Arial"/>
          <w:i/>
          <w:iCs/>
          <w:sz w:val="20"/>
          <w:szCs w:val="17"/>
          <w:lang w:val="en-GB"/>
        </w:rPr>
        <w:t xml:space="preserve">Institute of Health Information and Statistics of the CR (IHIS CR) also administers the data. </w:t>
      </w:r>
    </w:p>
    <w:p w14:paraId="5FD13392" w14:textId="4FC80731" w:rsidR="007351F3" w:rsidRPr="00A008B7" w:rsidRDefault="00012AB5" w:rsidP="00BD6842">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sz w:val="20"/>
          <w:lang w:val="en-GB"/>
        </w:rPr>
      </w:pPr>
      <w:r w:rsidRPr="00A008B7">
        <w:rPr>
          <w:rFonts w:ascii="Arial" w:hAnsi="Arial" w:cs="Arial"/>
          <w:i/>
          <w:sz w:val="20"/>
          <w:lang w:val="en-GB"/>
        </w:rPr>
        <w:t>The Czech Statistical Office</w:t>
      </w:r>
      <w:r w:rsidR="00AD145F" w:rsidRPr="00A008B7">
        <w:rPr>
          <w:rFonts w:ascii="Arial" w:hAnsi="Arial" w:cs="Arial"/>
          <w:i/>
          <w:sz w:val="20"/>
          <w:lang w:val="en-GB"/>
        </w:rPr>
        <w:t xml:space="preserve"> (CZSO)</w:t>
      </w:r>
      <w:r w:rsidRPr="00A008B7">
        <w:rPr>
          <w:rFonts w:ascii="Arial" w:hAnsi="Arial" w:cs="Arial"/>
          <w:i/>
          <w:sz w:val="20"/>
          <w:lang w:val="en-GB"/>
        </w:rPr>
        <w:t xml:space="preserve"> in cooperation with the Czech Social Security Administration </w:t>
      </w:r>
      <w:r w:rsidRPr="00A008B7">
        <w:rPr>
          <w:rFonts w:ascii="Arial" w:hAnsi="Arial" w:cs="Arial"/>
          <w:i/>
          <w:iCs/>
          <w:sz w:val="20"/>
          <w:lang w:val="en-GB"/>
        </w:rPr>
        <w:t>(CSSA)</w:t>
      </w:r>
      <w:r w:rsidRPr="00A008B7">
        <w:rPr>
          <w:rFonts w:ascii="Arial" w:hAnsi="Arial" w:cs="Arial"/>
          <w:i/>
          <w:sz w:val="20"/>
          <w:lang w:val="en-GB"/>
        </w:rPr>
        <w:t xml:space="preserve"> ensures data on new reported cases of incapacity for work due to disease or injury </w:t>
      </w:r>
      <w:r w:rsidR="000153BA" w:rsidRPr="00A008B7">
        <w:rPr>
          <w:rFonts w:ascii="Arial" w:hAnsi="Arial" w:cs="Arial"/>
          <w:sz w:val="20"/>
          <w:szCs w:val="20"/>
        </w:rPr>
        <w:t>–</w:t>
      </w:r>
      <w:r w:rsidR="000153BA" w:rsidRPr="00A008B7" w:rsidDel="000153BA">
        <w:rPr>
          <w:rFonts w:ascii="Arial" w:hAnsi="Arial" w:cs="Arial"/>
          <w:i/>
          <w:sz w:val="20"/>
          <w:lang w:val="en-GB"/>
        </w:rPr>
        <w:t xml:space="preserve"> </w:t>
      </w:r>
      <w:r w:rsidRPr="00A008B7">
        <w:rPr>
          <w:rFonts w:ascii="Arial" w:hAnsi="Arial" w:cs="Arial"/>
          <w:i/>
          <w:sz w:val="20"/>
          <w:lang w:val="en-GB"/>
        </w:rPr>
        <w:t>Tables</w:t>
      </w:r>
      <w:r w:rsidR="00116730" w:rsidRPr="00A008B7">
        <w:rPr>
          <w:rFonts w:ascii="Arial" w:hAnsi="Arial" w:cs="Arial"/>
          <w:i/>
          <w:sz w:val="20"/>
          <w:lang w:val="en-GB"/>
        </w:rPr>
        <w:t xml:space="preserve"> 2</w:t>
      </w:r>
      <w:r w:rsidR="00116730" w:rsidRPr="00A008B7">
        <w:rPr>
          <w:rFonts w:ascii="Arial" w:hAnsi="Arial" w:cs="Arial"/>
          <w:i/>
          <w:iCs/>
          <w:sz w:val="20"/>
          <w:szCs w:val="17"/>
          <w:lang w:val="en-GB"/>
        </w:rPr>
        <w:t>–</w:t>
      </w:r>
      <w:r w:rsidR="000153BA" w:rsidRPr="00A008B7">
        <w:rPr>
          <w:rFonts w:ascii="Arial" w:hAnsi="Arial" w:cs="Arial"/>
          <w:i/>
          <w:sz w:val="20"/>
          <w:lang w:val="en-GB"/>
        </w:rPr>
        <w:t xml:space="preserve">34 through </w:t>
      </w:r>
      <w:r w:rsidRPr="00A008B7">
        <w:rPr>
          <w:rFonts w:ascii="Arial" w:hAnsi="Arial" w:cs="Arial"/>
          <w:i/>
          <w:sz w:val="20"/>
          <w:lang w:val="en-GB"/>
        </w:rPr>
        <w:t>2</w:t>
      </w:r>
      <w:r w:rsidRPr="00A008B7">
        <w:rPr>
          <w:rFonts w:ascii="Arial" w:hAnsi="Arial" w:cs="Arial"/>
          <w:i/>
          <w:iCs/>
          <w:sz w:val="20"/>
          <w:szCs w:val="17"/>
          <w:lang w:val="en-GB"/>
        </w:rPr>
        <w:t>–</w:t>
      </w:r>
      <w:r w:rsidR="000153BA" w:rsidRPr="00A008B7">
        <w:rPr>
          <w:rFonts w:ascii="Arial" w:hAnsi="Arial" w:cs="Arial"/>
          <w:i/>
          <w:sz w:val="20"/>
          <w:lang w:val="en-GB"/>
        </w:rPr>
        <w:t>4</w:t>
      </w:r>
      <w:r w:rsidR="00C73763">
        <w:rPr>
          <w:rFonts w:ascii="Arial" w:hAnsi="Arial" w:cs="Arial"/>
          <w:i/>
          <w:sz w:val="20"/>
          <w:lang w:val="en-GB"/>
        </w:rPr>
        <w:t>0</w:t>
      </w:r>
      <w:r w:rsidRPr="00A008B7">
        <w:rPr>
          <w:rFonts w:ascii="Arial" w:hAnsi="Arial" w:cs="Arial"/>
          <w:i/>
          <w:sz w:val="20"/>
          <w:lang w:val="en-GB"/>
        </w:rPr>
        <w:t>.</w:t>
      </w:r>
    </w:p>
    <w:p w14:paraId="5A1C3D3A" w14:textId="680CAFC5" w:rsidR="00D107FB" w:rsidRPr="00A008B7" w:rsidRDefault="006E366B" w:rsidP="00B12763">
      <w:pPr>
        <w:spacing w:before="120"/>
        <w:ind w:firstLine="680"/>
        <w:jc w:val="both"/>
        <w:rPr>
          <w:rFonts w:ascii="Arial" w:hAnsi="Arial" w:cs="Arial"/>
          <w:i/>
          <w:sz w:val="20"/>
          <w:szCs w:val="20"/>
          <w:lang w:val="en-GB"/>
        </w:rPr>
      </w:pPr>
      <w:r w:rsidRPr="00A008B7">
        <w:rPr>
          <w:rFonts w:ascii="Arial" w:hAnsi="Arial" w:cs="Arial"/>
          <w:i/>
          <w:sz w:val="20"/>
          <w:lang w:val="en-GB"/>
        </w:rPr>
        <w:t xml:space="preserve">Information on health care expenditure (according to the System of Health Accounts </w:t>
      </w:r>
      <w:r w:rsidRPr="00A008B7">
        <w:rPr>
          <w:rFonts w:ascii="Arial" w:hAnsi="Arial" w:cs="Arial"/>
          <w:i/>
          <w:sz w:val="20"/>
          <w:szCs w:val="20"/>
          <w:lang w:val="en-GB"/>
        </w:rPr>
        <w:t>– Tables 2</w:t>
      </w:r>
      <w:r w:rsidRPr="00A008B7">
        <w:rPr>
          <w:rFonts w:ascii="Arial" w:hAnsi="Arial" w:cs="Arial"/>
          <w:i/>
          <w:iCs/>
          <w:sz w:val="20"/>
          <w:szCs w:val="17"/>
          <w:lang w:val="en-GB"/>
        </w:rPr>
        <w:t>–</w:t>
      </w:r>
      <w:r w:rsidR="00846EF5" w:rsidRPr="00A008B7">
        <w:rPr>
          <w:rFonts w:ascii="Arial" w:hAnsi="Arial" w:cs="Arial"/>
          <w:i/>
          <w:sz w:val="20"/>
          <w:lang w:val="en-GB"/>
        </w:rPr>
        <w:t>1</w:t>
      </w:r>
      <w:r w:rsidR="00AD145F" w:rsidRPr="00A008B7">
        <w:rPr>
          <w:rFonts w:ascii="Arial" w:hAnsi="Arial" w:cs="Arial"/>
          <w:i/>
          <w:sz w:val="20"/>
          <w:lang w:val="en-GB"/>
        </w:rPr>
        <w:t>8</w:t>
      </w:r>
      <w:r w:rsidRPr="00A008B7">
        <w:rPr>
          <w:rFonts w:ascii="Arial" w:hAnsi="Arial" w:cs="Arial"/>
          <w:i/>
          <w:sz w:val="20"/>
          <w:lang w:val="en-GB"/>
        </w:rPr>
        <w:t xml:space="preserve"> through </w:t>
      </w:r>
      <w:r w:rsidRPr="00A008B7">
        <w:rPr>
          <w:rFonts w:ascii="Arial" w:hAnsi="Arial" w:cs="Arial"/>
          <w:i/>
          <w:sz w:val="20"/>
          <w:szCs w:val="20"/>
          <w:lang w:val="en-GB"/>
        </w:rPr>
        <w:t>2</w:t>
      </w:r>
      <w:r w:rsidRPr="00A008B7">
        <w:rPr>
          <w:rFonts w:ascii="Arial" w:hAnsi="Arial" w:cs="Arial"/>
          <w:i/>
          <w:iCs/>
          <w:sz w:val="20"/>
          <w:szCs w:val="17"/>
          <w:lang w:val="en-GB"/>
        </w:rPr>
        <w:t>–</w:t>
      </w:r>
      <w:r w:rsidR="00AD145F" w:rsidRPr="00A008B7">
        <w:rPr>
          <w:rFonts w:ascii="Arial" w:hAnsi="Arial" w:cs="Arial"/>
          <w:i/>
          <w:sz w:val="20"/>
          <w:lang w:val="en-GB"/>
        </w:rPr>
        <w:t>21</w:t>
      </w:r>
      <w:r w:rsidRPr="00A008B7">
        <w:rPr>
          <w:rFonts w:ascii="Arial" w:hAnsi="Arial" w:cs="Arial"/>
          <w:i/>
          <w:sz w:val="20"/>
          <w:lang w:val="en-GB"/>
        </w:rPr>
        <w:t>) is derived from data of the</w:t>
      </w:r>
      <w:r w:rsidR="00AD145F" w:rsidRPr="00A008B7">
        <w:rPr>
          <w:rFonts w:ascii="Arial" w:hAnsi="Arial" w:cs="Arial"/>
          <w:i/>
          <w:sz w:val="20"/>
          <w:lang w:val="en-GB"/>
        </w:rPr>
        <w:t xml:space="preserve"> Ministry of Health, the</w:t>
      </w:r>
      <w:r w:rsidRPr="00A008B7">
        <w:rPr>
          <w:rFonts w:ascii="Arial" w:hAnsi="Arial" w:cs="Arial"/>
          <w:i/>
          <w:sz w:val="20"/>
          <w:lang w:val="en-GB"/>
        </w:rPr>
        <w:t xml:space="preserve"> Ministry of Finance, the Ministry of Labour and Social Affairs, </w:t>
      </w:r>
      <w:r w:rsidR="006058FD" w:rsidRPr="00B12763">
        <w:rPr>
          <w:rFonts w:ascii="Arial" w:hAnsi="Arial" w:cs="Arial"/>
          <w:i/>
          <w:sz w:val="20"/>
          <w:lang w:val="en-GB"/>
        </w:rPr>
        <w:t>the National Register of Reimbursed Health Services (</w:t>
      </w:r>
      <w:r w:rsidR="006058FD" w:rsidRPr="00B12763">
        <w:rPr>
          <w:rFonts w:ascii="Arial" w:hAnsi="Arial" w:cs="Arial"/>
          <w:sz w:val="20"/>
        </w:rPr>
        <w:t>Národní registr hrazených zdravotních služeb</w:t>
      </w:r>
      <w:r w:rsidR="006058FD" w:rsidRPr="00B12763">
        <w:rPr>
          <w:rFonts w:ascii="Arial" w:hAnsi="Arial" w:cs="Arial"/>
          <w:i/>
          <w:sz w:val="20"/>
          <w:lang w:val="en-GB"/>
        </w:rPr>
        <w:t xml:space="preserve"> – NRHZS), which is part of the NHIS, </w:t>
      </w:r>
      <w:r w:rsidRPr="00A008B7">
        <w:rPr>
          <w:rFonts w:ascii="Arial" w:hAnsi="Arial" w:cs="Arial"/>
          <w:i/>
          <w:sz w:val="20"/>
          <w:lang w:val="en-GB"/>
        </w:rPr>
        <w:t xml:space="preserve">and data sources of the CZSO. </w:t>
      </w:r>
    </w:p>
    <w:p w14:paraId="6ACD321D" w14:textId="1D253539" w:rsidR="00A126CD" w:rsidRPr="00A008B7" w:rsidRDefault="004212F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eastAsia="en-US"/>
        </w:rPr>
      </w:pPr>
      <w:r w:rsidRPr="00A008B7">
        <w:rPr>
          <w:rFonts w:ascii="Arial" w:hAnsi="Arial" w:cs="Arial"/>
          <w:i/>
          <w:sz w:val="20"/>
          <w:szCs w:val="20"/>
          <w:lang w:val="en-GB" w:eastAsia="en-US"/>
        </w:rPr>
        <w:t xml:space="preserve">Besides the aforementioned sources, this Chapter uses </w:t>
      </w:r>
      <w:r w:rsidRPr="00B12763">
        <w:rPr>
          <w:rFonts w:ascii="Arial" w:hAnsi="Arial" w:cs="Arial"/>
          <w:i/>
          <w:sz w:val="20"/>
          <w:szCs w:val="20"/>
          <w:lang w:val="en-GB" w:eastAsia="en-US"/>
        </w:rPr>
        <w:t>structural</w:t>
      </w:r>
      <w:r w:rsidR="00E21107" w:rsidRPr="00B12763">
        <w:rPr>
          <w:rFonts w:ascii="Arial" w:hAnsi="Arial" w:cs="Arial"/>
          <w:i/>
          <w:sz w:val="20"/>
          <w:szCs w:val="20"/>
          <w:lang w:val="en-GB" w:eastAsia="en-US"/>
        </w:rPr>
        <w:t xml:space="preserve"> </w:t>
      </w:r>
      <w:r w:rsidR="00A263EC" w:rsidRPr="00B12763">
        <w:rPr>
          <w:rFonts w:ascii="Arial" w:hAnsi="Arial" w:cs="Arial"/>
          <w:i/>
          <w:sz w:val="20"/>
          <w:szCs w:val="20"/>
          <w:lang w:val="en-GB" w:eastAsia="en-US"/>
        </w:rPr>
        <w:t>employee</w:t>
      </w:r>
      <w:r w:rsidRPr="00B12763">
        <w:rPr>
          <w:rFonts w:ascii="Arial" w:hAnsi="Arial" w:cs="Arial"/>
          <w:i/>
          <w:sz w:val="20"/>
          <w:szCs w:val="20"/>
          <w:lang w:val="en-GB" w:eastAsia="en-US"/>
        </w:rPr>
        <w:t xml:space="preserve"> wage statistics</w:t>
      </w:r>
      <w:r w:rsidRPr="00A008B7">
        <w:rPr>
          <w:rFonts w:ascii="Arial" w:hAnsi="Arial" w:cs="Arial"/>
          <w:i/>
          <w:sz w:val="20"/>
          <w:szCs w:val="20"/>
          <w:lang w:val="en-GB" w:eastAsia="en-US"/>
        </w:rPr>
        <w:t xml:space="preserve">, namely in case of data on the average gross monthly wage of </w:t>
      </w:r>
      <w:r w:rsidR="0030386D" w:rsidRPr="00A008B7">
        <w:rPr>
          <w:rFonts w:ascii="Arial" w:hAnsi="Arial" w:cs="Arial"/>
          <w:i/>
          <w:sz w:val="20"/>
          <w:szCs w:val="20"/>
          <w:lang w:val="en-GB" w:eastAsia="en-US"/>
        </w:rPr>
        <w:t>medical doctors</w:t>
      </w:r>
      <w:r w:rsidRPr="00A008B7">
        <w:rPr>
          <w:rFonts w:ascii="Arial" w:hAnsi="Arial" w:cs="Arial"/>
          <w:i/>
          <w:sz w:val="20"/>
          <w:szCs w:val="20"/>
          <w:lang w:val="en-GB" w:eastAsia="en-US"/>
        </w:rPr>
        <w:t xml:space="preserve"> and nurses and midwives </w:t>
      </w:r>
      <w:r w:rsidR="005C0B55" w:rsidRPr="00A008B7">
        <w:rPr>
          <w:rFonts w:ascii="Arial" w:hAnsi="Arial" w:cs="Arial"/>
          <w:i/>
          <w:sz w:val="20"/>
          <w:szCs w:val="20"/>
          <w:lang w:val="en-GB" w:eastAsia="en-US"/>
        </w:rPr>
        <w:t>(</w:t>
      </w:r>
      <w:r w:rsidRPr="00A008B7">
        <w:rPr>
          <w:rFonts w:ascii="Arial" w:hAnsi="Arial" w:cs="Arial"/>
          <w:i/>
          <w:sz w:val="20"/>
          <w:szCs w:val="20"/>
          <w:lang w:val="en-GB" w:eastAsia="en-US"/>
        </w:rPr>
        <w:t>Tables </w:t>
      </w:r>
      <w:r w:rsidRPr="00A008B7">
        <w:rPr>
          <w:rFonts w:ascii="Arial" w:hAnsi="Arial" w:cs="Arial"/>
          <w:bCs/>
          <w:i/>
          <w:sz w:val="20"/>
          <w:szCs w:val="20"/>
          <w:lang w:val="en-GB" w:eastAsia="en-US"/>
        </w:rPr>
        <w:t>2</w:t>
      </w:r>
      <w:r w:rsidR="002F3F6E" w:rsidRPr="00A008B7">
        <w:rPr>
          <w:rFonts w:ascii="Arial" w:hAnsi="Arial" w:cs="Arial"/>
          <w:i/>
          <w:iCs/>
          <w:sz w:val="20"/>
          <w:szCs w:val="17"/>
          <w:lang w:val="en-GB"/>
        </w:rPr>
        <w:t>–</w:t>
      </w:r>
      <w:r w:rsidR="00A126CD" w:rsidRPr="00A008B7">
        <w:rPr>
          <w:rFonts w:ascii="Arial" w:hAnsi="Arial" w:cs="Arial"/>
          <w:bCs/>
          <w:i/>
          <w:sz w:val="20"/>
          <w:szCs w:val="20"/>
          <w:lang w:val="en-GB" w:eastAsia="en-US"/>
        </w:rPr>
        <w:t xml:space="preserve">30 </w:t>
      </w:r>
      <w:r w:rsidRPr="00A008B7">
        <w:rPr>
          <w:rFonts w:ascii="Arial" w:hAnsi="Arial" w:cs="Arial"/>
          <w:bCs/>
          <w:i/>
          <w:sz w:val="20"/>
          <w:szCs w:val="20"/>
          <w:lang w:val="en-GB" w:eastAsia="en-US"/>
        </w:rPr>
        <w:t xml:space="preserve">through </w:t>
      </w:r>
      <w:r w:rsidRPr="00A008B7">
        <w:rPr>
          <w:rFonts w:ascii="Arial" w:hAnsi="Arial" w:cs="Arial"/>
          <w:i/>
          <w:sz w:val="20"/>
          <w:szCs w:val="20"/>
          <w:lang w:val="en-GB" w:eastAsia="en-US"/>
        </w:rPr>
        <w:t>2</w:t>
      </w:r>
      <w:r w:rsidR="002F3F6E" w:rsidRPr="00A008B7">
        <w:rPr>
          <w:rFonts w:ascii="Arial" w:hAnsi="Arial" w:cs="Arial"/>
          <w:i/>
          <w:iCs/>
          <w:sz w:val="20"/>
          <w:szCs w:val="17"/>
          <w:lang w:val="en-GB"/>
        </w:rPr>
        <w:t>–</w:t>
      </w:r>
      <w:r w:rsidR="00A126CD" w:rsidRPr="00A008B7">
        <w:rPr>
          <w:rFonts w:ascii="Arial" w:hAnsi="Arial" w:cs="Arial"/>
          <w:i/>
          <w:sz w:val="20"/>
          <w:szCs w:val="20"/>
          <w:lang w:val="en-GB" w:eastAsia="en-US"/>
        </w:rPr>
        <w:t>33</w:t>
      </w:r>
      <w:r w:rsidRPr="00A008B7">
        <w:rPr>
          <w:rFonts w:ascii="Arial" w:hAnsi="Arial" w:cs="Arial"/>
          <w:i/>
          <w:sz w:val="20"/>
          <w:szCs w:val="20"/>
          <w:lang w:val="en-GB" w:eastAsia="en-US"/>
        </w:rPr>
        <w:t>).</w:t>
      </w:r>
      <w:r w:rsidR="00F83430" w:rsidRPr="00A008B7">
        <w:rPr>
          <w:rFonts w:ascii="Arial" w:hAnsi="Arial" w:cs="Arial"/>
          <w:i/>
          <w:sz w:val="20"/>
          <w:szCs w:val="20"/>
          <w:lang w:val="en-GB" w:eastAsia="en-US"/>
        </w:rPr>
        <w:t xml:space="preserve"> </w:t>
      </w:r>
    </w:p>
    <w:p w14:paraId="0865C1DA" w14:textId="6F5E73C2" w:rsidR="008B1914" w:rsidRPr="00A008B7" w:rsidRDefault="00F83430">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eastAsia="en-US"/>
        </w:rPr>
      </w:pPr>
      <w:r w:rsidRPr="00A008B7">
        <w:rPr>
          <w:rFonts w:ascii="Arial" w:hAnsi="Arial" w:cs="Arial"/>
          <w:i/>
          <w:sz w:val="20"/>
          <w:szCs w:val="20"/>
          <w:lang w:val="en-GB" w:eastAsia="en-US"/>
        </w:rPr>
        <w:t>Data on students</w:t>
      </w:r>
      <w:r w:rsidR="00B2352F" w:rsidRPr="00A008B7">
        <w:rPr>
          <w:rFonts w:ascii="Arial" w:hAnsi="Arial" w:cs="Arial"/>
          <w:i/>
          <w:sz w:val="20"/>
          <w:szCs w:val="20"/>
          <w:lang w:val="en-GB" w:eastAsia="en-US"/>
        </w:rPr>
        <w:t xml:space="preserve"> of</w:t>
      </w:r>
      <w:r w:rsidRPr="00A008B7">
        <w:rPr>
          <w:rFonts w:ascii="Arial" w:hAnsi="Arial" w:cs="Arial"/>
          <w:i/>
          <w:sz w:val="20"/>
          <w:szCs w:val="20"/>
          <w:lang w:val="en-GB" w:eastAsia="en-US"/>
        </w:rPr>
        <w:t xml:space="preserve"> and graduates from health </w:t>
      </w:r>
      <w:r w:rsidR="00B2352F" w:rsidRPr="00A008B7">
        <w:rPr>
          <w:rFonts w:ascii="Arial" w:hAnsi="Arial" w:cs="Arial"/>
          <w:i/>
          <w:sz w:val="20"/>
          <w:szCs w:val="20"/>
          <w:lang w:val="en-GB" w:eastAsia="en-US"/>
        </w:rPr>
        <w:t>fields of education</w:t>
      </w:r>
      <w:r w:rsidRPr="00A008B7">
        <w:rPr>
          <w:rFonts w:ascii="Arial" w:hAnsi="Arial" w:cs="Arial"/>
          <w:i/>
          <w:sz w:val="20"/>
          <w:szCs w:val="20"/>
          <w:lang w:val="en-GB" w:eastAsia="en-US"/>
        </w:rPr>
        <w:t xml:space="preserve"> </w:t>
      </w:r>
      <w:r w:rsidR="00B2352F" w:rsidRPr="00A008B7">
        <w:rPr>
          <w:rFonts w:ascii="Arial" w:hAnsi="Arial" w:cs="Arial"/>
          <w:i/>
          <w:sz w:val="20"/>
          <w:szCs w:val="20"/>
          <w:lang w:val="en-GB" w:eastAsia="en-US"/>
        </w:rPr>
        <w:t>at</w:t>
      </w:r>
      <w:r w:rsidRPr="00A008B7">
        <w:rPr>
          <w:rFonts w:ascii="Arial" w:hAnsi="Arial" w:cs="Arial"/>
          <w:i/>
          <w:sz w:val="20"/>
          <w:szCs w:val="20"/>
          <w:lang w:val="en-GB" w:eastAsia="en-US"/>
        </w:rPr>
        <w:t xml:space="preserve"> universities in Czechia were obtained from data sources of the Ministry of Education, Youth, and Sports, namely from the system o</w:t>
      </w:r>
      <w:r w:rsidR="008B1914" w:rsidRPr="00A008B7">
        <w:rPr>
          <w:rFonts w:ascii="Arial" w:hAnsi="Arial" w:cs="Arial"/>
          <w:i/>
          <w:sz w:val="20"/>
          <w:szCs w:val="20"/>
          <w:lang w:val="en-GB" w:eastAsia="en-US"/>
        </w:rPr>
        <w:t xml:space="preserve">f the </w:t>
      </w:r>
      <w:r w:rsidR="008B1914" w:rsidRPr="00B12763">
        <w:rPr>
          <w:rFonts w:ascii="Arial" w:hAnsi="Arial" w:cs="Arial"/>
          <w:i/>
          <w:sz w:val="20"/>
          <w:szCs w:val="20"/>
          <w:lang w:val="en-GB" w:eastAsia="en-US"/>
        </w:rPr>
        <w:t>Union Information from Students’ Registers</w:t>
      </w:r>
      <w:r w:rsidR="008B1914" w:rsidRPr="00A008B7">
        <w:rPr>
          <w:rFonts w:ascii="Arial" w:hAnsi="Arial" w:cs="Arial"/>
          <w:i/>
          <w:sz w:val="20"/>
          <w:szCs w:val="20"/>
          <w:lang w:val="en-GB" w:eastAsia="en-US"/>
        </w:rPr>
        <w:t xml:space="preserve"> (the </w:t>
      </w:r>
      <w:r w:rsidR="008B1914" w:rsidRPr="00A008B7">
        <w:rPr>
          <w:rFonts w:ascii="Arial" w:hAnsi="Arial" w:cs="Arial"/>
          <w:sz w:val="20"/>
          <w:szCs w:val="20"/>
          <w:lang w:val="en-GB" w:eastAsia="en-US"/>
        </w:rPr>
        <w:t>SIMS</w:t>
      </w:r>
      <w:r w:rsidR="008B1914" w:rsidRPr="00A008B7">
        <w:rPr>
          <w:rFonts w:ascii="Arial" w:hAnsi="Arial" w:cs="Arial"/>
          <w:i/>
          <w:sz w:val="20"/>
          <w:szCs w:val="20"/>
          <w:lang w:val="en-GB" w:eastAsia="en-US"/>
        </w:rPr>
        <w:t xml:space="preserve"> database)</w:t>
      </w:r>
      <w:r w:rsidR="00230EC3" w:rsidRPr="00A008B7">
        <w:rPr>
          <w:rFonts w:ascii="Arial" w:hAnsi="Arial" w:cs="Arial"/>
          <w:i/>
          <w:sz w:val="20"/>
          <w:szCs w:val="20"/>
          <w:lang w:val="en-GB" w:eastAsia="en-US"/>
        </w:rPr>
        <w:t xml:space="preserve"> </w:t>
      </w:r>
      <w:r w:rsidR="00230EC3" w:rsidRPr="00B12763">
        <w:rPr>
          <w:rFonts w:ascii="Arial" w:hAnsi="Arial" w:cs="Arial"/>
          <w:i/>
          <w:sz w:val="20"/>
          <w:szCs w:val="20"/>
        </w:rPr>
        <w:t>– Table</w:t>
      </w:r>
      <w:r w:rsidR="00230EC3" w:rsidRPr="00A008B7">
        <w:rPr>
          <w:rFonts w:ascii="Arial" w:hAnsi="Arial" w:cs="Arial"/>
          <w:sz w:val="20"/>
          <w:szCs w:val="20"/>
        </w:rPr>
        <w:t xml:space="preserve"> </w:t>
      </w:r>
      <w:r w:rsidR="00230EC3" w:rsidRPr="00A008B7">
        <w:rPr>
          <w:rFonts w:ascii="Arial" w:hAnsi="Arial" w:cs="Arial"/>
          <w:i/>
          <w:sz w:val="20"/>
          <w:szCs w:val="20"/>
          <w:lang w:val="en-GB" w:eastAsia="en-US"/>
        </w:rPr>
        <w:t>2</w:t>
      </w:r>
      <w:r w:rsidR="00230EC3" w:rsidRPr="00B12763">
        <w:rPr>
          <w:rFonts w:ascii="Arial" w:hAnsi="Arial" w:cs="Arial"/>
          <w:i/>
          <w:sz w:val="20"/>
          <w:szCs w:val="20"/>
        </w:rPr>
        <w:t>–25</w:t>
      </w:r>
      <w:r w:rsidR="008B1914" w:rsidRPr="00A008B7">
        <w:rPr>
          <w:rFonts w:ascii="Arial" w:hAnsi="Arial" w:cs="Arial"/>
          <w:i/>
          <w:sz w:val="20"/>
          <w:szCs w:val="20"/>
          <w:lang w:val="en-GB" w:eastAsia="en-US"/>
        </w:rPr>
        <w:t>.</w:t>
      </w:r>
    </w:p>
    <w:p w14:paraId="17F80224" w14:textId="6109EB24" w:rsidR="00DA02C1" w:rsidRPr="00B12763" w:rsidRDefault="008B1914" w:rsidP="00B1276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color w:val="000000"/>
          <w:sz w:val="20"/>
          <w:szCs w:val="20"/>
          <w:lang w:val="en-GB" w:eastAsia="en-US"/>
        </w:rPr>
      </w:pPr>
      <w:r w:rsidRPr="00A008B7">
        <w:rPr>
          <w:rFonts w:ascii="Arial" w:hAnsi="Arial" w:cs="Arial"/>
          <w:i/>
          <w:sz w:val="20"/>
          <w:szCs w:val="20"/>
          <w:lang w:val="en-GB" w:eastAsia="en-US"/>
        </w:rPr>
        <w:t>Data on international comparisons come from the database of Eurostat</w:t>
      </w:r>
      <w:r w:rsidR="00F4652F" w:rsidRPr="00A008B7">
        <w:rPr>
          <w:rFonts w:ascii="Arial" w:hAnsi="Arial" w:cs="Arial"/>
          <w:i/>
          <w:sz w:val="20"/>
          <w:szCs w:val="20"/>
          <w:lang w:val="en-GB" w:eastAsia="en-US"/>
        </w:rPr>
        <w:t xml:space="preserve"> </w:t>
      </w:r>
      <w:r w:rsidR="00F4652F" w:rsidRPr="00B12763">
        <w:rPr>
          <w:rFonts w:ascii="Arial" w:hAnsi="Arial" w:cs="Arial"/>
          <w:i/>
          <w:sz w:val="20"/>
          <w:szCs w:val="20"/>
          <w:lang w:val="en-GB"/>
        </w:rPr>
        <w:t>(</w:t>
      </w:r>
      <w:r w:rsidR="006058FD" w:rsidRPr="00B12763">
        <w:rPr>
          <w:rFonts w:ascii="Arial" w:hAnsi="Arial" w:cs="Arial"/>
          <w:i/>
          <w:sz w:val="20"/>
          <w:szCs w:val="20"/>
          <w:lang w:val="en-GB"/>
        </w:rPr>
        <w:t>Tables</w:t>
      </w:r>
      <w:r w:rsidR="00F4652F" w:rsidRPr="00B12763">
        <w:rPr>
          <w:rFonts w:ascii="Arial" w:hAnsi="Arial" w:cs="Arial"/>
          <w:i/>
          <w:sz w:val="20"/>
          <w:szCs w:val="20"/>
          <w:lang w:val="en-GB"/>
        </w:rPr>
        <w:t xml:space="preserve"> 2</w:t>
      </w:r>
      <w:r w:rsidR="006058FD" w:rsidRPr="00B12763">
        <w:rPr>
          <w:rFonts w:ascii="Arial" w:hAnsi="Arial" w:cs="Arial"/>
          <w:i/>
          <w:sz w:val="20"/>
          <w:szCs w:val="20"/>
          <w:lang w:val="en-GB"/>
        </w:rPr>
        <w:t>–</w:t>
      </w:r>
      <w:r w:rsidR="00F4652F" w:rsidRPr="00B12763">
        <w:rPr>
          <w:rFonts w:ascii="Arial" w:hAnsi="Arial" w:cs="Arial"/>
          <w:i/>
          <w:sz w:val="20"/>
          <w:szCs w:val="20"/>
          <w:lang w:val="en-GB"/>
        </w:rPr>
        <w:t xml:space="preserve">26 </w:t>
      </w:r>
      <w:r w:rsidR="006058FD" w:rsidRPr="00B12763">
        <w:rPr>
          <w:rFonts w:ascii="Arial" w:hAnsi="Arial" w:cs="Arial"/>
          <w:i/>
          <w:sz w:val="20"/>
          <w:szCs w:val="20"/>
          <w:lang w:val="en-GB"/>
        </w:rPr>
        <w:t>through</w:t>
      </w:r>
      <w:r w:rsidR="00F4652F" w:rsidRPr="00B12763">
        <w:rPr>
          <w:rFonts w:ascii="Arial" w:hAnsi="Arial" w:cs="Arial"/>
          <w:i/>
          <w:sz w:val="20"/>
          <w:szCs w:val="20"/>
          <w:lang w:val="en-GB"/>
        </w:rPr>
        <w:t xml:space="preserve"> 2</w:t>
      </w:r>
      <w:r w:rsidR="006058FD" w:rsidRPr="00B12763">
        <w:rPr>
          <w:rFonts w:ascii="Arial" w:hAnsi="Arial" w:cs="Arial"/>
          <w:i/>
          <w:sz w:val="20"/>
          <w:szCs w:val="20"/>
          <w:lang w:val="en-GB"/>
        </w:rPr>
        <w:t>–</w:t>
      </w:r>
      <w:r w:rsidR="00F4652F" w:rsidRPr="00B12763">
        <w:rPr>
          <w:rFonts w:ascii="Arial" w:hAnsi="Arial" w:cs="Arial"/>
          <w:i/>
          <w:sz w:val="20"/>
          <w:szCs w:val="20"/>
          <w:lang w:val="en-GB"/>
        </w:rPr>
        <w:t>29 a</w:t>
      </w:r>
      <w:r w:rsidR="006058FD" w:rsidRPr="00B12763">
        <w:rPr>
          <w:rFonts w:ascii="Arial" w:hAnsi="Arial" w:cs="Arial"/>
          <w:i/>
          <w:sz w:val="20"/>
          <w:szCs w:val="20"/>
          <w:lang w:val="en-GB"/>
        </w:rPr>
        <w:t>nd</w:t>
      </w:r>
      <w:r w:rsidR="00F4652F" w:rsidRPr="00B12763">
        <w:rPr>
          <w:rFonts w:ascii="Arial" w:hAnsi="Arial" w:cs="Arial"/>
          <w:i/>
          <w:sz w:val="20"/>
          <w:szCs w:val="20"/>
          <w:lang w:val="en-GB"/>
        </w:rPr>
        <w:t xml:space="preserve"> 2</w:t>
      </w:r>
      <w:r w:rsidR="006058FD" w:rsidRPr="00B12763">
        <w:rPr>
          <w:rFonts w:ascii="Arial" w:hAnsi="Arial" w:cs="Arial"/>
          <w:i/>
          <w:sz w:val="20"/>
          <w:szCs w:val="20"/>
          <w:lang w:val="en-GB"/>
        </w:rPr>
        <w:t>–</w:t>
      </w:r>
      <w:r w:rsidR="00F4652F" w:rsidRPr="00B12763">
        <w:rPr>
          <w:rFonts w:ascii="Arial" w:hAnsi="Arial" w:cs="Arial"/>
          <w:i/>
          <w:sz w:val="20"/>
          <w:szCs w:val="20"/>
          <w:lang w:val="en-GB"/>
        </w:rPr>
        <w:t>41)</w:t>
      </w:r>
      <w:r w:rsidRPr="00A008B7">
        <w:rPr>
          <w:rFonts w:ascii="Arial" w:hAnsi="Arial" w:cs="Arial"/>
          <w:i/>
          <w:sz w:val="20"/>
          <w:szCs w:val="20"/>
          <w:lang w:val="en-GB" w:eastAsia="en-US"/>
        </w:rPr>
        <w:t xml:space="preserve">. In some cases, data on international comparisons may slightly differ, due to methodological reasons, from </w:t>
      </w:r>
      <w:r w:rsidRPr="00A008B7">
        <w:rPr>
          <w:rFonts w:ascii="Arial" w:hAnsi="Arial" w:cs="Arial"/>
          <w:i/>
          <w:color w:val="000000"/>
          <w:sz w:val="20"/>
          <w:szCs w:val="20"/>
          <w:lang w:val="en-GB" w:eastAsia="en-US"/>
        </w:rPr>
        <w:t xml:space="preserve">data presented in tables solely for the Czech Republic. </w:t>
      </w:r>
    </w:p>
    <w:p w14:paraId="58D7598F" w14:textId="42A47E29" w:rsidR="00DA02C1" w:rsidRPr="00D7470B" w:rsidRDefault="00DA02C1"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D11D50C" w14:textId="0383ECAC" w:rsidR="00F4318E" w:rsidRPr="00B12763" w:rsidRDefault="00F4318E" w:rsidP="00F4318E">
      <w:pPr>
        <w:pStyle w:val="Zkladntextodsazen"/>
        <w:ind w:firstLine="720"/>
        <w:rPr>
          <w:b/>
          <w:bCs/>
          <w:i/>
          <w:color w:val="auto"/>
          <w:sz w:val="24"/>
          <w:szCs w:val="24"/>
          <w:u w:val="single"/>
          <w:lang w:val="en-GB"/>
        </w:rPr>
      </w:pPr>
      <w:r w:rsidRPr="00B12763">
        <w:rPr>
          <w:b/>
          <w:bCs/>
          <w:i/>
          <w:color w:val="auto"/>
          <w:sz w:val="24"/>
          <w:szCs w:val="24"/>
          <w:u w:val="single"/>
          <w:lang w:val="en-GB"/>
        </w:rPr>
        <w:t xml:space="preserve">Inpatient care </w:t>
      </w:r>
      <w:r w:rsidRPr="00B12763">
        <w:rPr>
          <w:b/>
          <w:i/>
          <w:color w:val="auto"/>
          <w:sz w:val="24"/>
          <w:szCs w:val="24"/>
          <w:u w:val="single"/>
          <w:lang w:val="en-GB"/>
        </w:rPr>
        <w:t>(</w:t>
      </w:r>
      <w:r w:rsidRPr="00B12763">
        <w:rPr>
          <w:b/>
          <w:bCs/>
          <w:i/>
          <w:color w:val="auto"/>
          <w:sz w:val="24"/>
          <w:szCs w:val="24"/>
          <w:u w:val="single"/>
          <w:lang w:val="en-GB" w:eastAsia="en-US"/>
        </w:rPr>
        <w:t>Tables 2</w:t>
      </w:r>
      <w:r w:rsidRPr="00B12763">
        <w:rPr>
          <w:b/>
          <w:i/>
          <w:iCs/>
          <w:color w:val="auto"/>
          <w:sz w:val="24"/>
          <w:szCs w:val="24"/>
          <w:u w:val="single"/>
          <w:lang w:val="en-GB"/>
        </w:rPr>
        <w:t>–1</w:t>
      </w:r>
      <w:r w:rsidRPr="00B12763">
        <w:rPr>
          <w:b/>
          <w:bCs/>
          <w:i/>
          <w:color w:val="auto"/>
          <w:sz w:val="24"/>
          <w:szCs w:val="24"/>
          <w:u w:val="single"/>
          <w:lang w:val="en-GB" w:eastAsia="en-US"/>
        </w:rPr>
        <w:t xml:space="preserve"> through 2</w:t>
      </w:r>
      <w:r w:rsidRPr="00B12763">
        <w:rPr>
          <w:b/>
          <w:i/>
          <w:iCs/>
          <w:color w:val="auto"/>
          <w:sz w:val="24"/>
          <w:szCs w:val="24"/>
          <w:u w:val="single"/>
          <w:lang w:val="en-GB"/>
        </w:rPr>
        <w:t>–9</w:t>
      </w:r>
      <w:r w:rsidRPr="00B12763">
        <w:rPr>
          <w:b/>
          <w:i/>
          <w:color w:val="auto"/>
          <w:sz w:val="24"/>
          <w:szCs w:val="24"/>
          <w:u w:val="single"/>
          <w:lang w:val="en-GB"/>
        </w:rPr>
        <w:t>)</w:t>
      </w:r>
    </w:p>
    <w:p w14:paraId="302726E5" w14:textId="77777777" w:rsidR="00F4318E" w:rsidRPr="00A008B7" w:rsidRDefault="00F4318E" w:rsidP="00F4318E">
      <w:pPr>
        <w:pStyle w:val="Zkladntextodsazen"/>
        <w:ind w:firstLine="720"/>
        <w:rPr>
          <w:b/>
          <w:bCs/>
          <w:i/>
          <w:color w:val="auto"/>
        </w:rPr>
      </w:pPr>
    </w:p>
    <w:p w14:paraId="690BEAA4" w14:textId="77777777" w:rsidR="00F4318E" w:rsidRPr="00A008B7" w:rsidRDefault="00F4318E" w:rsidP="00F4318E">
      <w:pPr>
        <w:pStyle w:val="Zkladntextodsazen"/>
        <w:ind w:firstLine="720"/>
        <w:rPr>
          <w:b/>
          <w:bCs/>
          <w:i/>
          <w:color w:val="auto"/>
          <w:lang w:val="en-GB"/>
        </w:rPr>
      </w:pPr>
      <w:r w:rsidRPr="00A008B7">
        <w:rPr>
          <w:i/>
          <w:color w:val="auto"/>
          <w:lang w:val="en-GB"/>
        </w:rPr>
        <w:t>The National Register of Hospitalised Patients (NRHOSP) is the data source.</w:t>
      </w:r>
    </w:p>
    <w:p w14:paraId="4699A860" w14:textId="1890C2DA" w:rsidR="000953D6" w:rsidRPr="00A008B7" w:rsidRDefault="00F4318E" w:rsidP="00B12763">
      <w:pPr>
        <w:spacing w:before="120"/>
        <w:jc w:val="both"/>
        <w:rPr>
          <w:rFonts w:ascii="Arial" w:hAnsi="Arial" w:cs="Arial"/>
          <w:i/>
          <w:sz w:val="20"/>
          <w:szCs w:val="20"/>
          <w:lang w:val="en-GB"/>
        </w:rPr>
      </w:pPr>
      <w:r w:rsidRPr="00A008B7">
        <w:rPr>
          <w:rFonts w:ascii="Arial" w:hAnsi="Arial" w:cs="Arial"/>
          <w:i/>
          <w:sz w:val="20"/>
          <w:szCs w:val="20"/>
          <w:lang w:val="en-GB"/>
        </w:rPr>
        <w:t xml:space="preserve">Providers of </w:t>
      </w:r>
      <w:r w:rsidRPr="00A008B7">
        <w:rPr>
          <w:rFonts w:ascii="Arial" w:hAnsi="Arial" w:cs="Arial"/>
          <w:b/>
          <w:i/>
          <w:sz w:val="20"/>
          <w:szCs w:val="20"/>
          <w:lang w:val="en-GB"/>
        </w:rPr>
        <w:t>acute inpatient care</w:t>
      </w:r>
      <w:r w:rsidRPr="00A008B7">
        <w:rPr>
          <w:rFonts w:ascii="Arial" w:hAnsi="Arial" w:cs="Arial"/>
          <w:i/>
          <w:sz w:val="20"/>
          <w:szCs w:val="20"/>
          <w:lang w:val="en-GB"/>
        </w:rPr>
        <w:t xml:space="preserve"> are as follows: </w:t>
      </w:r>
      <w:r w:rsidRPr="00A008B7">
        <w:rPr>
          <w:rFonts w:ascii="Arial" w:hAnsi="Arial" w:cs="Arial"/>
          <w:i/>
          <w:color w:val="000000"/>
          <w:sz w:val="20"/>
          <w:szCs w:val="20"/>
          <w:lang w:val="en-GB" w:eastAsia="en-US"/>
        </w:rPr>
        <w:t>university/teaching hospitals</w:t>
      </w:r>
      <w:r w:rsidRPr="00A008B7">
        <w:rPr>
          <w:rFonts w:ascii="Arial" w:hAnsi="Arial" w:cs="Arial"/>
          <w:i/>
          <w:sz w:val="20"/>
          <w:szCs w:val="20"/>
          <w:lang w:val="en-GB"/>
        </w:rPr>
        <w:t>, other hospitals providing acute care, specialised hospitals, and some mental health hospitals.</w:t>
      </w:r>
      <w:r w:rsidR="000953D6" w:rsidRPr="00A008B7">
        <w:rPr>
          <w:rFonts w:ascii="Arial" w:hAnsi="Arial" w:cs="Arial"/>
          <w:i/>
          <w:sz w:val="20"/>
          <w:szCs w:val="20"/>
          <w:lang w:val="en-GB"/>
        </w:rPr>
        <w:t xml:space="preserve"> Inpatient care includes formal reception of a patient to a health establishment for treatment and/or care for which an overnight stay is expected.  </w:t>
      </w:r>
      <w:r w:rsidRPr="00A008B7">
        <w:rPr>
          <w:rFonts w:ascii="Arial" w:hAnsi="Arial" w:cs="Arial"/>
          <w:i/>
          <w:sz w:val="20"/>
          <w:szCs w:val="20"/>
          <w:lang w:val="en-GB"/>
        </w:rPr>
        <w:t xml:space="preserve"> </w:t>
      </w:r>
    </w:p>
    <w:p w14:paraId="220C9A64" w14:textId="0638601E" w:rsidR="00625206" w:rsidRPr="00B12763" w:rsidRDefault="00C73763" w:rsidP="00F4318E">
      <w:pPr>
        <w:spacing w:before="120"/>
        <w:ind w:firstLine="714"/>
        <w:jc w:val="both"/>
        <w:rPr>
          <w:rFonts w:ascii="Arial" w:hAnsi="Arial" w:cs="Arial"/>
          <w:i/>
          <w:sz w:val="20"/>
          <w:szCs w:val="20"/>
          <w:lang w:val="en-GB"/>
        </w:rPr>
      </w:pPr>
      <w:r>
        <w:rPr>
          <w:rFonts w:ascii="Arial" w:hAnsi="Arial" w:cs="Arial"/>
          <w:b/>
          <w:i/>
          <w:sz w:val="20"/>
          <w:szCs w:val="20"/>
          <w:lang w:val="en-GB"/>
        </w:rPr>
        <w:t>Long</w:t>
      </w:r>
      <w:r w:rsidR="00625206" w:rsidRPr="00B12763">
        <w:rPr>
          <w:rFonts w:ascii="Arial" w:hAnsi="Arial" w:cs="Arial"/>
          <w:b/>
          <w:i/>
          <w:sz w:val="20"/>
          <w:szCs w:val="20"/>
          <w:lang w:val="en-GB"/>
        </w:rPr>
        <w:t>-</w:t>
      </w:r>
      <w:r>
        <w:rPr>
          <w:rFonts w:ascii="Arial" w:hAnsi="Arial" w:cs="Arial"/>
          <w:b/>
          <w:i/>
          <w:sz w:val="20"/>
          <w:szCs w:val="20"/>
          <w:lang w:val="en-GB"/>
        </w:rPr>
        <w:t>term</w:t>
      </w:r>
      <w:r w:rsidR="00625206" w:rsidRPr="00B12763">
        <w:rPr>
          <w:rFonts w:ascii="Arial" w:hAnsi="Arial" w:cs="Arial"/>
          <w:b/>
          <w:i/>
          <w:sz w:val="20"/>
          <w:szCs w:val="20"/>
          <w:lang w:val="en-GB"/>
        </w:rPr>
        <w:t xml:space="preserve"> care</w:t>
      </w:r>
      <w:r w:rsidR="00625206" w:rsidRPr="00B12763">
        <w:rPr>
          <w:rFonts w:ascii="Arial" w:hAnsi="Arial" w:cs="Arial"/>
          <w:i/>
          <w:sz w:val="20"/>
          <w:szCs w:val="20"/>
          <w:lang w:val="en-GB"/>
        </w:rPr>
        <w:t xml:space="preserve"> is provided to a patient </w:t>
      </w:r>
      <w:r w:rsidR="00104C0C" w:rsidRPr="00B12763">
        <w:rPr>
          <w:rFonts w:ascii="Arial" w:hAnsi="Arial" w:cs="Arial"/>
          <w:i/>
          <w:sz w:val="20"/>
          <w:szCs w:val="20"/>
          <w:lang w:val="en-GB"/>
        </w:rPr>
        <w:t xml:space="preserve">to </w:t>
      </w:r>
      <w:r w:rsidR="006A0196" w:rsidRPr="00B12763">
        <w:rPr>
          <w:rFonts w:ascii="Arial" w:hAnsi="Arial" w:cs="Arial"/>
          <w:i/>
          <w:sz w:val="20"/>
          <w:szCs w:val="20"/>
          <w:lang w:val="en-GB"/>
        </w:rPr>
        <w:t>who</w:t>
      </w:r>
      <w:r w:rsidR="00104C0C" w:rsidRPr="00B12763">
        <w:rPr>
          <w:rFonts w:ascii="Arial" w:hAnsi="Arial" w:cs="Arial"/>
          <w:i/>
          <w:sz w:val="20"/>
          <w:szCs w:val="20"/>
          <w:lang w:val="en-GB"/>
        </w:rPr>
        <w:t>m</w:t>
      </w:r>
      <w:r w:rsidR="006A0196" w:rsidRPr="00B12763">
        <w:rPr>
          <w:rFonts w:ascii="Arial" w:hAnsi="Arial" w:cs="Arial"/>
          <w:i/>
          <w:sz w:val="20"/>
          <w:szCs w:val="20"/>
          <w:lang w:val="en-GB"/>
        </w:rPr>
        <w:t xml:space="preserve"> a basic diagnosis</w:t>
      </w:r>
      <w:r w:rsidR="001D5EC6" w:rsidRPr="00B12763">
        <w:rPr>
          <w:rFonts w:ascii="Arial" w:hAnsi="Arial" w:cs="Arial"/>
          <w:i/>
          <w:sz w:val="20"/>
          <w:szCs w:val="20"/>
          <w:lang w:val="en-GB"/>
        </w:rPr>
        <w:t xml:space="preserve"> has been </w:t>
      </w:r>
      <w:r w:rsidR="00104C0C" w:rsidRPr="00B12763">
        <w:rPr>
          <w:rFonts w:ascii="Arial" w:hAnsi="Arial" w:cs="Arial"/>
          <w:i/>
          <w:sz w:val="20"/>
          <w:szCs w:val="20"/>
          <w:lang w:val="en-GB"/>
        </w:rPr>
        <w:t>made</w:t>
      </w:r>
      <w:r w:rsidR="006A0196" w:rsidRPr="00B12763">
        <w:rPr>
          <w:rFonts w:ascii="Arial" w:hAnsi="Arial" w:cs="Arial"/>
          <w:i/>
          <w:sz w:val="20"/>
          <w:szCs w:val="20"/>
          <w:lang w:val="en-GB"/>
        </w:rPr>
        <w:t xml:space="preserve"> and whose</w:t>
      </w:r>
      <w:r w:rsidR="000173FF" w:rsidRPr="00B12763">
        <w:rPr>
          <w:rFonts w:ascii="Arial" w:hAnsi="Arial" w:cs="Arial"/>
          <w:i/>
          <w:sz w:val="20"/>
          <w:szCs w:val="20"/>
          <w:lang w:val="en-GB"/>
        </w:rPr>
        <w:t xml:space="preserve"> state of</w:t>
      </w:r>
      <w:r w:rsidR="006A0196" w:rsidRPr="00B12763">
        <w:rPr>
          <w:rFonts w:ascii="Arial" w:hAnsi="Arial" w:cs="Arial"/>
          <w:i/>
          <w:sz w:val="20"/>
          <w:szCs w:val="20"/>
          <w:lang w:val="en-GB"/>
        </w:rPr>
        <w:t xml:space="preserve"> health has been stabilised, a sudden illness or a sudden worsening of a chronic </w:t>
      </w:r>
      <w:r w:rsidR="001D5EC6" w:rsidRPr="00B12763">
        <w:rPr>
          <w:rFonts w:ascii="Arial" w:hAnsi="Arial" w:cs="Arial"/>
          <w:i/>
          <w:sz w:val="20"/>
          <w:szCs w:val="20"/>
          <w:lang w:val="en-GB"/>
        </w:rPr>
        <w:t>disease</w:t>
      </w:r>
      <w:r w:rsidR="006A0196" w:rsidRPr="00B12763">
        <w:rPr>
          <w:rFonts w:ascii="Arial" w:hAnsi="Arial" w:cs="Arial"/>
          <w:i/>
          <w:sz w:val="20"/>
          <w:szCs w:val="20"/>
          <w:lang w:val="en-GB"/>
        </w:rPr>
        <w:t xml:space="preserve"> was dealt with, and whose health </w:t>
      </w:r>
      <w:r w:rsidR="00104C0C" w:rsidRPr="00B12763">
        <w:rPr>
          <w:rFonts w:ascii="Arial" w:hAnsi="Arial" w:cs="Arial"/>
          <w:i/>
          <w:sz w:val="20"/>
          <w:szCs w:val="20"/>
          <w:lang w:val="en-GB"/>
        </w:rPr>
        <w:t>status requires a follow-up</w:t>
      </w:r>
      <w:r w:rsidR="006A0196" w:rsidRPr="00B12763">
        <w:rPr>
          <w:rFonts w:ascii="Arial" w:hAnsi="Arial" w:cs="Arial"/>
          <w:i/>
          <w:sz w:val="20"/>
          <w:szCs w:val="20"/>
          <w:lang w:val="en-GB"/>
        </w:rPr>
        <w:t> </w:t>
      </w:r>
      <w:r w:rsidR="00B40794" w:rsidRPr="00B12763">
        <w:rPr>
          <w:rFonts w:ascii="Arial" w:hAnsi="Arial" w:cs="Arial"/>
          <w:i/>
          <w:sz w:val="20"/>
          <w:szCs w:val="20"/>
          <w:lang w:val="en-GB"/>
        </w:rPr>
        <w:t>treatment</w:t>
      </w:r>
      <w:r w:rsidR="006A0196" w:rsidRPr="00B12763">
        <w:rPr>
          <w:rFonts w:ascii="Arial" w:hAnsi="Arial" w:cs="Arial"/>
          <w:i/>
          <w:sz w:val="20"/>
          <w:szCs w:val="20"/>
          <w:lang w:val="en-GB"/>
        </w:rPr>
        <w:t xml:space="preserve"> or </w:t>
      </w:r>
      <w:r w:rsidR="00B40794" w:rsidRPr="00B12763">
        <w:rPr>
          <w:rFonts w:ascii="Arial" w:hAnsi="Arial" w:cs="Arial"/>
          <w:i/>
          <w:sz w:val="20"/>
          <w:szCs w:val="20"/>
          <w:lang w:val="en-GB"/>
        </w:rPr>
        <w:t>provision</w:t>
      </w:r>
      <w:r w:rsidR="006A0196" w:rsidRPr="00B12763">
        <w:rPr>
          <w:rFonts w:ascii="Arial" w:hAnsi="Arial" w:cs="Arial"/>
          <w:i/>
          <w:sz w:val="20"/>
          <w:szCs w:val="20"/>
          <w:lang w:val="en-GB"/>
        </w:rPr>
        <w:t xml:space="preserve"> of</w:t>
      </w:r>
      <w:r w:rsidR="00B40794" w:rsidRPr="00B12763">
        <w:rPr>
          <w:rFonts w:ascii="Arial" w:hAnsi="Arial" w:cs="Arial"/>
          <w:i/>
          <w:sz w:val="20"/>
          <w:szCs w:val="20"/>
          <w:lang w:val="en-GB"/>
        </w:rPr>
        <w:t xml:space="preserve"> mainly</w:t>
      </w:r>
      <w:r w:rsidR="00C65561" w:rsidRPr="00B12763">
        <w:rPr>
          <w:rFonts w:ascii="Arial" w:hAnsi="Arial" w:cs="Arial"/>
          <w:i/>
          <w:sz w:val="20"/>
          <w:szCs w:val="20"/>
          <w:lang w:val="en-GB"/>
        </w:rPr>
        <w:t xml:space="preserve"> curative</w:t>
      </w:r>
      <w:r w:rsidR="00492506" w:rsidRPr="00B12763">
        <w:rPr>
          <w:rFonts w:ascii="Arial" w:hAnsi="Arial" w:cs="Arial"/>
          <w:i/>
          <w:sz w:val="20"/>
          <w:szCs w:val="20"/>
          <w:lang w:val="en-GB"/>
        </w:rPr>
        <w:t xml:space="preserve"> (and)</w:t>
      </w:r>
      <w:r w:rsidR="00C65561" w:rsidRPr="00B12763">
        <w:rPr>
          <w:rFonts w:ascii="Arial" w:hAnsi="Arial" w:cs="Arial"/>
          <w:i/>
          <w:sz w:val="20"/>
          <w:szCs w:val="20"/>
          <w:lang w:val="en-GB"/>
        </w:rPr>
        <w:t xml:space="preserve"> rehabilitative</w:t>
      </w:r>
      <w:r w:rsidR="006A0196" w:rsidRPr="00B12763">
        <w:rPr>
          <w:rFonts w:ascii="Arial" w:hAnsi="Arial" w:cs="Arial"/>
          <w:i/>
          <w:sz w:val="20"/>
          <w:szCs w:val="20"/>
          <w:lang w:val="en-GB"/>
        </w:rPr>
        <w:t xml:space="preserve"> care</w:t>
      </w:r>
      <w:r w:rsidR="004D1056" w:rsidRPr="00B12763">
        <w:rPr>
          <w:rFonts w:ascii="Arial" w:hAnsi="Arial" w:cs="Arial"/>
          <w:i/>
          <w:sz w:val="20"/>
          <w:szCs w:val="20"/>
          <w:lang w:val="en-GB"/>
        </w:rPr>
        <w:t xml:space="preserve">. </w:t>
      </w:r>
      <w:r w:rsidR="00631F94" w:rsidRPr="00B12763">
        <w:rPr>
          <w:rFonts w:ascii="Arial" w:hAnsi="Arial" w:cs="Arial"/>
          <w:i/>
          <w:sz w:val="20"/>
          <w:szCs w:val="20"/>
          <w:lang w:val="en-GB"/>
        </w:rPr>
        <w:t>Within this inpatient care, follow-up intensive care may</w:t>
      </w:r>
      <w:r w:rsidR="00C65561" w:rsidRPr="00B12763">
        <w:rPr>
          <w:rFonts w:ascii="Arial" w:hAnsi="Arial" w:cs="Arial"/>
          <w:i/>
          <w:sz w:val="20"/>
          <w:szCs w:val="20"/>
          <w:lang w:val="en-GB"/>
        </w:rPr>
        <w:t xml:space="preserve"> also</w:t>
      </w:r>
      <w:r w:rsidR="00631F94" w:rsidRPr="00B12763">
        <w:rPr>
          <w:rFonts w:ascii="Arial" w:hAnsi="Arial" w:cs="Arial"/>
          <w:i/>
          <w:sz w:val="20"/>
          <w:szCs w:val="20"/>
          <w:lang w:val="en-GB"/>
        </w:rPr>
        <w:t xml:space="preserve"> be provided to patients who are partially or fully dependent on the support o</w:t>
      </w:r>
      <w:r w:rsidR="00C65561" w:rsidRPr="00B12763">
        <w:rPr>
          <w:rFonts w:ascii="Arial" w:hAnsi="Arial" w:cs="Arial"/>
          <w:i/>
          <w:sz w:val="20"/>
          <w:szCs w:val="20"/>
          <w:lang w:val="en-GB"/>
        </w:rPr>
        <w:t xml:space="preserve">f vital functions. </w:t>
      </w:r>
      <w:r w:rsidR="00631F94" w:rsidRPr="00B12763">
        <w:rPr>
          <w:rFonts w:ascii="Arial" w:hAnsi="Arial" w:cs="Arial"/>
          <w:i/>
          <w:sz w:val="20"/>
          <w:szCs w:val="20"/>
          <w:lang w:val="en-GB"/>
        </w:rPr>
        <w:t xml:space="preserve"> </w:t>
      </w:r>
    </w:p>
    <w:p w14:paraId="684A0D43" w14:textId="0E8C7BDF" w:rsidR="0025023C" w:rsidRPr="00B12763" w:rsidRDefault="00180760">
      <w:pPr>
        <w:spacing w:before="120"/>
        <w:ind w:firstLine="714"/>
        <w:jc w:val="both"/>
        <w:rPr>
          <w:rFonts w:ascii="Arial" w:hAnsi="Arial" w:cs="Arial"/>
          <w:i/>
          <w:sz w:val="20"/>
          <w:szCs w:val="20"/>
        </w:rPr>
      </w:pPr>
      <w:r w:rsidRPr="00B12763">
        <w:rPr>
          <w:rFonts w:ascii="Arial" w:hAnsi="Arial" w:cs="Arial"/>
          <w:b/>
          <w:i/>
          <w:sz w:val="20"/>
          <w:szCs w:val="20"/>
          <w:lang w:val="en-GB"/>
        </w:rPr>
        <w:t>Inpatient care in</w:t>
      </w:r>
      <w:r w:rsidR="0025023C" w:rsidRPr="00B12763">
        <w:rPr>
          <w:rFonts w:ascii="Arial" w:hAnsi="Arial" w:cs="Arial"/>
          <w:b/>
          <w:i/>
          <w:sz w:val="20"/>
          <w:szCs w:val="20"/>
          <w:lang w:val="en-GB"/>
        </w:rPr>
        <w:t xml:space="preserve"> psychiatric</w:t>
      </w:r>
      <w:r w:rsidR="00F016AC" w:rsidRPr="00B12763">
        <w:rPr>
          <w:rFonts w:ascii="Arial" w:hAnsi="Arial" w:cs="Arial"/>
          <w:b/>
          <w:i/>
          <w:sz w:val="20"/>
          <w:szCs w:val="20"/>
          <w:lang w:val="en-GB"/>
        </w:rPr>
        <w:t xml:space="preserve"> (mental)</w:t>
      </w:r>
      <w:r w:rsidR="00162F6D" w:rsidRPr="00B12763">
        <w:rPr>
          <w:rFonts w:ascii="Arial" w:hAnsi="Arial" w:cs="Arial"/>
          <w:b/>
          <w:i/>
          <w:sz w:val="20"/>
          <w:szCs w:val="20"/>
          <w:lang w:val="en-GB"/>
        </w:rPr>
        <w:t xml:space="preserve"> hospitals and</w:t>
      </w:r>
      <w:r w:rsidR="00F016AC" w:rsidRPr="00B12763">
        <w:rPr>
          <w:rFonts w:ascii="Arial" w:hAnsi="Arial" w:cs="Arial"/>
          <w:b/>
          <w:i/>
          <w:sz w:val="20"/>
          <w:szCs w:val="20"/>
          <w:lang w:val="en-GB"/>
        </w:rPr>
        <w:t xml:space="preserve"> </w:t>
      </w:r>
      <w:r w:rsidR="00C73763">
        <w:rPr>
          <w:rFonts w:ascii="Arial" w:hAnsi="Arial" w:cs="Arial"/>
          <w:b/>
          <w:i/>
          <w:sz w:val="20"/>
          <w:szCs w:val="20"/>
          <w:lang w:val="en-GB"/>
        </w:rPr>
        <w:t>facilities</w:t>
      </w:r>
      <w:r w:rsidR="0025023C" w:rsidRPr="00B12763">
        <w:rPr>
          <w:rFonts w:ascii="Arial" w:hAnsi="Arial" w:cs="Arial"/>
          <w:b/>
          <w:i/>
          <w:sz w:val="20"/>
          <w:szCs w:val="20"/>
          <w:lang w:val="en-GB"/>
        </w:rPr>
        <w:t xml:space="preserve"> </w:t>
      </w:r>
      <w:r w:rsidR="00F32E89" w:rsidRPr="00B12763">
        <w:rPr>
          <w:rFonts w:ascii="Arial" w:hAnsi="Arial" w:cs="Arial"/>
          <w:i/>
          <w:sz w:val="20"/>
          <w:szCs w:val="20"/>
          <w:lang w:val="en-GB"/>
        </w:rPr>
        <w:t xml:space="preserve">is provided to patients with a mental illness or to persons addicted to toxic substances. </w:t>
      </w:r>
      <w:r w:rsidR="00DA0FC3" w:rsidRPr="00B12763">
        <w:rPr>
          <w:rFonts w:ascii="Arial" w:hAnsi="Arial" w:cs="Arial"/>
          <w:i/>
          <w:sz w:val="20"/>
          <w:szCs w:val="20"/>
          <w:lang w:val="en-GB"/>
        </w:rPr>
        <w:t>B</w:t>
      </w:r>
      <w:r w:rsidR="00F32E89" w:rsidRPr="00B12763">
        <w:rPr>
          <w:rFonts w:ascii="Arial" w:hAnsi="Arial" w:cs="Arial"/>
          <w:i/>
          <w:sz w:val="20"/>
          <w:szCs w:val="20"/>
          <w:lang w:val="en-GB"/>
        </w:rPr>
        <w:t>oth types of</w:t>
      </w:r>
      <w:r w:rsidR="00DA0FC3" w:rsidRPr="00B12763">
        <w:rPr>
          <w:rFonts w:ascii="Arial" w:hAnsi="Arial" w:cs="Arial"/>
          <w:i/>
          <w:sz w:val="20"/>
          <w:szCs w:val="20"/>
          <w:lang w:val="en-GB"/>
        </w:rPr>
        <w:t xml:space="preserve"> care are</w:t>
      </w:r>
      <w:r w:rsidR="00F32E89" w:rsidRPr="00B12763">
        <w:rPr>
          <w:rFonts w:ascii="Arial" w:hAnsi="Arial" w:cs="Arial"/>
          <w:i/>
          <w:sz w:val="20"/>
          <w:szCs w:val="20"/>
          <w:lang w:val="en-GB"/>
        </w:rPr>
        <w:t xml:space="preserve"> provided </w:t>
      </w:r>
      <w:r w:rsidR="00F32E89" w:rsidRPr="00B12763">
        <w:rPr>
          <w:rFonts w:ascii="Arial" w:hAnsi="Arial" w:cs="Arial"/>
          <w:i/>
          <w:iCs/>
          <w:sz w:val="20"/>
          <w:lang w:val="en-GB"/>
        </w:rPr>
        <w:t xml:space="preserve">– acute care and long-term care. </w:t>
      </w:r>
    </w:p>
    <w:p w14:paraId="7E6F3991" w14:textId="57E681C9" w:rsidR="00D07F08" w:rsidRPr="00A008B7" w:rsidRDefault="00F4318E">
      <w:pPr>
        <w:spacing w:before="120"/>
        <w:ind w:firstLine="714"/>
        <w:jc w:val="both"/>
        <w:rPr>
          <w:rFonts w:ascii="Arial" w:hAnsi="Arial" w:cs="Arial"/>
          <w:i/>
          <w:sz w:val="20"/>
          <w:szCs w:val="20"/>
          <w:lang w:val="en-GB"/>
        </w:rPr>
      </w:pPr>
      <w:r w:rsidRPr="00A008B7">
        <w:rPr>
          <w:rFonts w:ascii="Arial" w:hAnsi="Arial" w:cs="Arial"/>
          <w:b/>
          <w:i/>
          <w:sz w:val="20"/>
          <w:szCs w:val="20"/>
          <w:lang w:val="en-GB"/>
        </w:rPr>
        <w:t>Cases of hospitalisation</w:t>
      </w:r>
      <w:r w:rsidRPr="00A008B7">
        <w:rPr>
          <w:rFonts w:ascii="Arial" w:hAnsi="Arial" w:cs="Arial"/>
          <w:i/>
          <w:sz w:val="20"/>
          <w:szCs w:val="20"/>
          <w:lang w:val="en-GB"/>
        </w:rPr>
        <w:t xml:space="preserve"> </w:t>
      </w:r>
      <w:r w:rsidR="00041578" w:rsidRPr="00B12763">
        <w:rPr>
          <w:rFonts w:ascii="Arial" w:hAnsi="Arial" w:cs="Arial"/>
          <w:i/>
          <w:iCs/>
          <w:sz w:val="20"/>
        </w:rPr>
        <w:t>–</w:t>
      </w:r>
      <w:r w:rsidR="00E03DFE" w:rsidRPr="00A008B7">
        <w:rPr>
          <w:rFonts w:ascii="Arial" w:hAnsi="Arial" w:cs="Arial"/>
          <w:i/>
          <w:iCs/>
          <w:sz w:val="20"/>
        </w:rPr>
        <w:t xml:space="preserve"> </w:t>
      </w:r>
      <w:r w:rsidR="00E03DFE" w:rsidRPr="00A008B7">
        <w:rPr>
          <w:rFonts w:ascii="Arial" w:hAnsi="Arial" w:cs="Arial"/>
          <w:i/>
          <w:sz w:val="20"/>
          <w:szCs w:val="20"/>
          <w:lang w:val="en-GB"/>
        </w:rPr>
        <w:t>h</w:t>
      </w:r>
      <w:r w:rsidR="00E03DFE" w:rsidRPr="00B12763">
        <w:rPr>
          <w:rFonts w:ascii="Arial" w:hAnsi="Arial" w:cs="Arial"/>
          <w:i/>
          <w:sz w:val="20"/>
          <w:szCs w:val="20"/>
          <w:lang w:val="en-GB"/>
        </w:rPr>
        <w:t>ospitalisation statistics is based on individual reports on terminated cases of hospitalisation. Every inpatient department of health establishments in the Czech Republic except for</w:t>
      </w:r>
      <w:r w:rsidR="00C73763">
        <w:rPr>
          <w:rFonts w:ascii="Arial" w:hAnsi="Arial" w:cs="Arial"/>
          <w:i/>
          <w:sz w:val="20"/>
          <w:szCs w:val="20"/>
          <w:lang w:val="en-GB"/>
        </w:rPr>
        <w:t> </w:t>
      </w:r>
      <w:r w:rsidR="00E03DFE" w:rsidRPr="00B12763">
        <w:rPr>
          <w:rFonts w:ascii="Arial" w:hAnsi="Arial" w:cs="Arial"/>
          <w:i/>
          <w:sz w:val="20"/>
          <w:szCs w:val="20"/>
          <w:lang w:val="en-GB"/>
        </w:rPr>
        <w:t xml:space="preserve">convalescent homes (recovery centres) and balneological institutions is a reporting unit. </w:t>
      </w:r>
      <w:r w:rsidRPr="00A008B7">
        <w:rPr>
          <w:rFonts w:ascii="Arial" w:hAnsi="Arial" w:cs="Arial"/>
          <w:i/>
          <w:sz w:val="20"/>
          <w:szCs w:val="20"/>
          <w:lang w:val="en-GB"/>
        </w:rPr>
        <w:t>One case of</w:t>
      </w:r>
      <w:r w:rsidR="00C73763">
        <w:rPr>
          <w:rFonts w:ascii="Arial" w:hAnsi="Arial" w:cs="Arial"/>
          <w:i/>
          <w:sz w:val="20"/>
          <w:szCs w:val="20"/>
          <w:lang w:val="en-GB"/>
        </w:rPr>
        <w:t> </w:t>
      </w:r>
      <w:r w:rsidRPr="00A008B7">
        <w:rPr>
          <w:rFonts w:ascii="Arial" w:hAnsi="Arial" w:cs="Arial"/>
          <w:i/>
          <w:sz w:val="20"/>
          <w:szCs w:val="20"/>
          <w:lang w:val="en-GB"/>
        </w:rPr>
        <w:t>hospitalisation shall mean every terminated hospitalisation at one department of acute inpatient care either it has been terminated by a release or decease of a patient or the patient has been relocated to other department of the hospital or to other health establishment.</w:t>
      </w:r>
    </w:p>
    <w:p w14:paraId="0D493F68" w14:textId="0D623B72" w:rsidR="00D07F08" w:rsidRPr="00B12763" w:rsidRDefault="00EF0B3D" w:rsidP="00B12763">
      <w:pPr>
        <w:pStyle w:val="Zkladntext3"/>
        <w:spacing w:before="120"/>
        <w:ind w:firstLine="709"/>
        <w:rPr>
          <w:szCs w:val="20"/>
        </w:rPr>
      </w:pPr>
      <w:r w:rsidRPr="00B12763">
        <w:rPr>
          <w:rFonts w:ascii="Arial" w:hAnsi="Arial" w:cs="Arial"/>
          <w:b/>
          <w:i/>
          <w:iCs/>
          <w:sz w:val="20"/>
          <w:szCs w:val="24"/>
          <w:lang w:val="en-GB"/>
        </w:rPr>
        <w:t>Hospitalised persons</w:t>
      </w:r>
      <w:r w:rsidRPr="00A008B7">
        <w:rPr>
          <w:rFonts w:ascii="Arial" w:hAnsi="Arial" w:cs="Arial"/>
          <w:b/>
          <w:i/>
          <w:iCs/>
          <w:sz w:val="20"/>
          <w:szCs w:val="24"/>
          <w:lang w:val="en-GB"/>
        </w:rPr>
        <w:t xml:space="preserve"> </w:t>
      </w:r>
      <w:r w:rsidRPr="00B12763">
        <w:rPr>
          <w:rFonts w:ascii="Arial" w:hAnsi="Arial" w:cs="Arial"/>
          <w:i/>
          <w:sz w:val="20"/>
          <w:szCs w:val="20"/>
          <w:lang w:val="en-GB"/>
        </w:rPr>
        <w:t>– the number of persons (every person only included once) hospitalised in a given health establishment or in a given department, including foreigners and newborns.</w:t>
      </w:r>
    </w:p>
    <w:p w14:paraId="4E121E05" w14:textId="213EA287" w:rsidR="00D07F08" w:rsidRPr="00B12763" w:rsidRDefault="005D0567" w:rsidP="00B12763">
      <w:pPr>
        <w:pStyle w:val="Zkladntext3"/>
        <w:spacing w:before="120"/>
        <w:ind w:firstLine="709"/>
        <w:rPr>
          <w:szCs w:val="20"/>
          <w:lang w:val="en-GB"/>
        </w:rPr>
      </w:pPr>
      <w:r w:rsidRPr="00B12763">
        <w:rPr>
          <w:rFonts w:ascii="Arial" w:hAnsi="Arial" w:cs="Arial"/>
          <w:b/>
          <w:i/>
          <w:iCs/>
          <w:sz w:val="20"/>
          <w:szCs w:val="24"/>
          <w:lang w:val="en-GB"/>
        </w:rPr>
        <w:t xml:space="preserve">Days of treatment </w:t>
      </w:r>
      <w:r w:rsidRPr="00B12763">
        <w:rPr>
          <w:rFonts w:ascii="Arial" w:hAnsi="Arial" w:cs="Arial"/>
          <w:i/>
          <w:sz w:val="20"/>
          <w:szCs w:val="20"/>
          <w:lang w:val="en-GB"/>
        </w:rPr>
        <w:t>– one day of treatment shall mean a whole calendar day, on which a patient has received all services, which the health services provider provides, i.e. including accommodation and board.</w:t>
      </w:r>
    </w:p>
    <w:p w14:paraId="665331D3" w14:textId="4F3BD7C5" w:rsidR="00F4318E" w:rsidRPr="00D7470B" w:rsidRDefault="00F4318E" w:rsidP="00F4318E">
      <w:pPr>
        <w:spacing w:before="120"/>
        <w:ind w:firstLine="714"/>
        <w:jc w:val="both"/>
        <w:rPr>
          <w:rFonts w:ascii="Arial" w:hAnsi="Arial" w:cs="Arial"/>
          <w:bCs/>
          <w:i/>
          <w:sz w:val="20"/>
          <w:szCs w:val="20"/>
          <w:lang w:val="en-GB"/>
        </w:rPr>
      </w:pPr>
      <w:r w:rsidRPr="00A008B7">
        <w:rPr>
          <w:rFonts w:ascii="Arial" w:hAnsi="Arial" w:cs="Arial"/>
          <w:i/>
          <w:sz w:val="20"/>
          <w:szCs w:val="20"/>
          <w:lang w:val="en-GB"/>
        </w:rPr>
        <w:t xml:space="preserve">The </w:t>
      </w:r>
      <w:r w:rsidRPr="00A008B7">
        <w:rPr>
          <w:rFonts w:ascii="Arial" w:hAnsi="Arial" w:cs="Arial"/>
          <w:b/>
          <w:i/>
          <w:sz w:val="20"/>
          <w:szCs w:val="20"/>
          <w:lang w:val="en-GB"/>
        </w:rPr>
        <w:t xml:space="preserve">average </w:t>
      </w:r>
      <w:r w:rsidR="009F78A4" w:rsidRPr="00B12763">
        <w:rPr>
          <w:rFonts w:ascii="Arial" w:hAnsi="Arial" w:cs="Arial"/>
          <w:b/>
          <w:i/>
          <w:sz w:val="20"/>
          <w:szCs w:val="20"/>
          <w:lang w:val="en-GB"/>
        </w:rPr>
        <w:t>length of stay (days</w:t>
      </w:r>
      <w:r w:rsidRPr="00A008B7">
        <w:rPr>
          <w:rFonts w:ascii="Arial" w:hAnsi="Arial" w:cs="Arial"/>
          <w:b/>
          <w:i/>
          <w:sz w:val="20"/>
          <w:szCs w:val="20"/>
          <w:lang w:val="en-GB"/>
        </w:rPr>
        <w:t xml:space="preserve"> of treatment</w:t>
      </w:r>
      <w:r w:rsidR="009F78A4" w:rsidRPr="00B12763">
        <w:rPr>
          <w:rFonts w:ascii="Arial" w:hAnsi="Arial" w:cs="Arial"/>
          <w:b/>
          <w:i/>
          <w:sz w:val="20"/>
          <w:szCs w:val="20"/>
          <w:lang w:val="en-GB"/>
        </w:rPr>
        <w:t>)</w:t>
      </w:r>
      <w:r w:rsidRPr="00A008B7">
        <w:rPr>
          <w:rFonts w:ascii="Arial" w:hAnsi="Arial" w:cs="Arial"/>
          <w:i/>
          <w:sz w:val="20"/>
          <w:szCs w:val="20"/>
          <w:lang w:val="en-GB"/>
        </w:rPr>
        <w:t xml:space="preserve"> </w:t>
      </w:r>
      <w:r w:rsidR="00D07F08" w:rsidRPr="00B12763">
        <w:rPr>
          <w:rFonts w:ascii="Arial" w:hAnsi="Arial" w:cs="Arial"/>
          <w:i/>
          <w:iCs/>
          <w:sz w:val="20"/>
        </w:rPr>
        <w:t>–</w:t>
      </w:r>
      <w:r w:rsidR="00D07F08" w:rsidRPr="00A008B7">
        <w:rPr>
          <w:rFonts w:ascii="Arial" w:hAnsi="Arial" w:cs="Arial"/>
          <w:i/>
          <w:iCs/>
          <w:sz w:val="20"/>
        </w:rPr>
        <w:t xml:space="preserve"> </w:t>
      </w:r>
      <w:r w:rsidR="009F78A4" w:rsidRPr="00D7470B">
        <w:rPr>
          <w:rFonts w:ascii="Arial" w:hAnsi="Arial" w:cs="Arial"/>
          <w:bCs/>
          <w:i/>
          <w:sz w:val="20"/>
          <w:szCs w:val="20"/>
          <w:lang w:val="en-GB"/>
        </w:rPr>
        <w:t xml:space="preserve">it </w:t>
      </w:r>
      <w:r w:rsidR="009F78A4" w:rsidRPr="00B12763">
        <w:rPr>
          <w:rFonts w:ascii="Arial" w:hAnsi="Arial" w:cs="Arial"/>
          <w:bCs/>
          <w:i/>
          <w:sz w:val="20"/>
          <w:szCs w:val="20"/>
          <w:lang w:val="en-GB"/>
        </w:rPr>
        <w:t>is the average length of stay in a hospital department in days. It is calculated as an average number of days of treatment per one case of</w:t>
      </w:r>
      <w:r w:rsidR="00C73763">
        <w:rPr>
          <w:rFonts w:ascii="Arial" w:hAnsi="Arial" w:cs="Arial"/>
          <w:bCs/>
          <w:i/>
          <w:sz w:val="20"/>
          <w:szCs w:val="20"/>
          <w:lang w:val="en-GB"/>
        </w:rPr>
        <w:t> </w:t>
      </w:r>
      <w:r w:rsidR="009F78A4" w:rsidRPr="00B12763">
        <w:rPr>
          <w:rFonts w:ascii="Arial" w:hAnsi="Arial" w:cs="Arial"/>
          <w:bCs/>
          <w:i/>
          <w:sz w:val="20"/>
          <w:szCs w:val="20"/>
          <w:lang w:val="en-GB"/>
        </w:rPr>
        <w:t>hospitalised patients in a department</w:t>
      </w:r>
      <w:r w:rsidRPr="00D7470B">
        <w:rPr>
          <w:rFonts w:ascii="Arial" w:hAnsi="Arial" w:cs="Arial"/>
          <w:bCs/>
          <w:i/>
          <w:sz w:val="20"/>
          <w:szCs w:val="20"/>
          <w:lang w:val="en-GB"/>
        </w:rPr>
        <w:t>.</w:t>
      </w:r>
    </w:p>
    <w:p w14:paraId="20AB4F62" w14:textId="67842633" w:rsidR="00F4318E" w:rsidRPr="00A008B7" w:rsidRDefault="00F4318E" w:rsidP="00F4318E">
      <w:pPr>
        <w:spacing w:before="120"/>
        <w:ind w:firstLine="714"/>
        <w:jc w:val="both"/>
        <w:rPr>
          <w:rFonts w:ascii="Arial" w:hAnsi="Arial" w:cs="Arial"/>
          <w:bCs/>
          <w:i/>
          <w:sz w:val="20"/>
          <w:szCs w:val="20"/>
          <w:lang w:val="en-GB"/>
        </w:rPr>
      </w:pPr>
      <w:r w:rsidRPr="00A008B7">
        <w:rPr>
          <w:rFonts w:ascii="Arial" w:hAnsi="Arial" w:cs="Arial"/>
          <w:bCs/>
          <w:i/>
          <w:sz w:val="20"/>
          <w:szCs w:val="20"/>
          <w:lang w:val="en-GB"/>
        </w:rPr>
        <w:lastRenderedPageBreak/>
        <w:t>The</w:t>
      </w:r>
      <w:r w:rsidRPr="00A008B7">
        <w:rPr>
          <w:rFonts w:ascii="Arial" w:hAnsi="Arial" w:cs="Arial"/>
          <w:b/>
          <w:bCs/>
          <w:i/>
          <w:sz w:val="20"/>
          <w:szCs w:val="20"/>
          <w:lang w:val="en-GB"/>
        </w:rPr>
        <w:t xml:space="preserve"> average age of hospitalised patients </w:t>
      </w:r>
      <w:r w:rsidRPr="00A008B7">
        <w:rPr>
          <w:rFonts w:ascii="Arial" w:hAnsi="Arial" w:cs="Arial"/>
          <w:bCs/>
          <w:i/>
          <w:sz w:val="20"/>
          <w:szCs w:val="20"/>
          <w:lang w:val="en-GB"/>
        </w:rPr>
        <w:t xml:space="preserve">is the arithmetic mean of the age of all hospitalised patients during the calendar year for a given diagnosis (a group of diseases defined according to the ICD-10 classification). </w:t>
      </w:r>
    </w:p>
    <w:p w14:paraId="264B09CD" w14:textId="77777777" w:rsidR="0062506B" w:rsidRPr="00B12763" w:rsidRDefault="0062506B" w:rsidP="0062506B">
      <w:pPr>
        <w:pStyle w:val="Zkladntextodsazen"/>
        <w:ind w:firstLine="720"/>
        <w:rPr>
          <w:b/>
          <w:i/>
          <w:color w:val="auto"/>
          <w:sz w:val="24"/>
          <w:szCs w:val="24"/>
          <w:lang w:val="en-GB"/>
        </w:rPr>
      </w:pPr>
    </w:p>
    <w:p w14:paraId="2ED3CF84" w14:textId="7B66800A" w:rsidR="0062506B" w:rsidRPr="00B12763" w:rsidRDefault="0062506B" w:rsidP="0062506B">
      <w:pPr>
        <w:pStyle w:val="Zkladntextodsazen"/>
        <w:ind w:firstLine="720"/>
        <w:rPr>
          <w:b/>
          <w:i/>
          <w:color w:val="auto"/>
          <w:sz w:val="24"/>
          <w:szCs w:val="24"/>
          <w:u w:val="single"/>
          <w:lang w:val="en-GB"/>
        </w:rPr>
      </w:pPr>
      <w:r w:rsidRPr="00B12763">
        <w:rPr>
          <w:b/>
          <w:i/>
          <w:color w:val="auto"/>
          <w:sz w:val="24"/>
          <w:szCs w:val="24"/>
          <w:u w:val="single"/>
          <w:lang w:val="en-GB"/>
        </w:rPr>
        <w:t>Outpatient care (</w:t>
      </w:r>
      <w:r w:rsidRPr="00B12763">
        <w:rPr>
          <w:b/>
          <w:bCs/>
          <w:i/>
          <w:color w:val="auto"/>
          <w:sz w:val="24"/>
          <w:szCs w:val="24"/>
          <w:u w:val="single"/>
          <w:lang w:val="en-GB" w:eastAsia="en-US"/>
        </w:rPr>
        <w:t>Tables 2</w:t>
      </w:r>
      <w:r w:rsidRPr="00B12763">
        <w:rPr>
          <w:b/>
          <w:i/>
          <w:iCs/>
          <w:color w:val="auto"/>
          <w:sz w:val="24"/>
          <w:szCs w:val="24"/>
          <w:u w:val="single"/>
          <w:lang w:val="en-GB"/>
        </w:rPr>
        <w:t>–10</w:t>
      </w:r>
      <w:r w:rsidRPr="00B12763">
        <w:rPr>
          <w:b/>
          <w:bCs/>
          <w:i/>
          <w:color w:val="auto"/>
          <w:sz w:val="24"/>
          <w:szCs w:val="24"/>
          <w:u w:val="single"/>
          <w:lang w:val="en-GB" w:eastAsia="en-US"/>
        </w:rPr>
        <w:t xml:space="preserve"> through 2</w:t>
      </w:r>
      <w:r w:rsidRPr="00B12763">
        <w:rPr>
          <w:b/>
          <w:i/>
          <w:iCs/>
          <w:color w:val="auto"/>
          <w:sz w:val="24"/>
          <w:szCs w:val="24"/>
          <w:u w:val="single"/>
          <w:lang w:val="en-GB"/>
        </w:rPr>
        <w:t>–13</w:t>
      </w:r>
      <w:r w:rsidRPr="00B12763">
        <w:rPr>
          <w:b/>
          <w:i/>
          <w:color w:val="auto"/>
          <w:sz w:val="24"/>
          <w:szCs w:val="24"/>
          <w:u w:val="single"/>
          <w:lang w:val="en-GB"/>
        </w:rPr>
        <w:t>)</w:t>
      </w:r>
    </w:p>
    <w:p w14:paraId="0ECCD984" w14:textId="611D2DC9" w:rsidR="0062506B" w:rsidRDefault="0062506B" w:rsidP="0062506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A008B7">
        <w:rPr>
          <w:rFonts w:ascii="Arial" w:hAnsi="Arial" w:cs="Arial"/>
          <w:i/>
          <w:sz w:val="20"/>
          <w:szCs w:val="20"/>
          <w:lang w:val="en-GB"/>
        </w:rPr>
        <w:t xml:space="preserve">The  National Register of Reimbursed Health Services </w:t>
      </w:r>
      <w:r w:rsidRPr="00A008B7">
        <w:rPr>
          <w:rFonts w:ascii="Arial" w:hAnsi="Arial" w:cs="Arial"/>
          <w:sz w:val="20"/>
          <w:szCs w:val="20"/>
          <w:lang w:val="en-GB"/>
        </w:rPr>
        <w:t>(</w:t>
      </w:r>
      <w:r w:rsidRPr="00A008B7">
        <w:rPr>
          <w:rFonts w:ascii="Arial" w:hAnsi="Arial" w:cs="Arial"/>
          <w:sz w:val="20"/>
          <w:szCs w:val="20"/>
        </w:rPr>
        <w:t>Národní registr hrazených zdravotních služeb</w:t>
      </w:r>
      <w:r w:rsidRPr="00A008B7">
        <w:rPr>
          <w:rFonts w:ascii="Arial" w:hAnsi="Arial" w:cs="Arial"/>
          <w:sz w:val="20"/>
          <w:szCs w:val="20"/>
          <w:lang w:val="en-GB"/>
        </w:rPr>
        <w:t xml:space="preserve"> – NRHZS </w:t>
      </w:r>
      <w:r w:rsidRPr="00A008B7">
        <w:rPr>
          <w:rFonts w:ascii="Arial" w:hAnsi="Arial" w:cs="Arial"/>
          <w:i/>
          <w:sz w:val="20"/>
          <w:szCs w:val="20"/>
          <w:lang w:val="en-GB"/>
        </w:rPr>
        <w:t>in Czech</w:t>
      </w:r>
      <w:r w:rsidRPr="00A008B7">
        <w:rPr>
          <w:rFonts w:ascii="Arial" w:hAnsi="Arial" w:cs="Arial"/>
          <w:sz w:val="20"/>
          <w:szCs w:val="20"/>
          <w:lang w:val="en-GB"/>
        </w:rPr>
        <w:t>)</w:t>
      </w:r>
      <w:r w:rsidRPr="00A008B7">
        <w:rPr>
          <w:rFonts w:ascii="Arial" w:hAnsi="Arial" w:cs="Arial"/>
          <w:i/>
          <w:sz w:val="20"/>
          <w:szCs w:val="20"/>
          <w:lang w:val="en-GB"/>
        </w:rPr>
        <w:t xml:space="preserve">, which collects data reported to health insurance companies by all health care providers, is the source of information. </w:t>
      </w:r>
      <w:r w:rsidR="00BB720E" w:rsidRPr="00B12763">
        <w:rPr>
          <w:rFonts w:ascii="Arial" w:hAnsi="Arial" w:cs="Arial"/>
          <w:i/>
          <w:sz w:val="20"/>
          <w:szCs w:val="20"/>
          <w:lang w:val="en-GB"/>
        </w:rPr>
        <w:t>A</w:t>
      </w:r>
      <w:r w:rsidRPr="00A008B7">
        <w:rPr>
          <w:rFonts w:ascii="Arial" w:hAnsi="Arial" w:cs="Arial"/>
          <w:i/>
          <w:sz w:val="20"/>
          <w:szCs w:val="20"/>
          <w:lang w:val="en-GB"/>
        </w:rPr>
        <w:t>ll health insurance companies in the Czech Republic, which reimburse health care services provided to their policy holders (sickness-insured persons) from resources of the public health insurance system</w:t>
      </w:r>
      <w:r w:rsidR="00BB720E" w:rsidRPr="00B12763">
        <w:rPr>
          <w:rFonts w:ascii="Arial" w:hAnsi="Arial" w:cs="Arial"/>
          <w:i/>
          <w:sz w:val="20"/>
          <w:szCs w:val="20"/>
          <w:lang w:val="en-GB"/>
        </w:rPr>
        <w:t xml:space="preserve"> are the reporting units</w:t>
      </w:r>
      <w:r w:rsidRPr="00A008B7">
        <w:rPr>
          <w:rFonts w:ascii="Arial" w:hAnsi="Arial" w:cs="Arial"/>
          <w:i/>
          <w:sz w:val="20"/>
          <w:szCs w:val="20"/>
          <w:lang w:val="en-GB"/>
        </w:rPr>
        <w:t>.</w:t>
      </w:r>
    </w:p>
    <w:p w14:paraId="3772518F" w14:textId="77777777" w:rsidR="000D4FFD" w:rsidRPr="00B12763" w:rsidRDefault="000D4FFD" w:rsidP="0062506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p>
    <w:p w14:paraId="368FC9D4" w14:textId="0A1DDAA0" w:rsidR="003C23A3" w:rsidRPr="00B12763" w:rsidRDefault="005D3733"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rPr>
      </w:pPr>
      <w:r w:rsidRPr="00B12763">
        <w:rPr>
          <w:b/>
          <w:lang w:val="cs-CZ"/>
        </w:rPr>
        <w:tab/>
      </w:r>
      <w:r w:rsidR="00AF760F" w:rsidRPr="00D7470B">
        <w:rPr>
          <w:b/>
          <w:iCs w:val="0"/>
          <w:szCs w:val="20"/>
        </w:rPr>
        <w:t>Outpatient care establishments</w:t>
      </w:r>
      <w:r w:rsidR="003C23A3" w:rsidRPr="00B12763">
        <w:rPr>
          <w:b/>
          <w:lang w:val="cs-CZ"/>
        </w:rPr>
        <w:t xml:space="preserve"> </w:t>
      </w:r>
      <w:r w:rsidR="003C23A3" w:rsidRPr="00B12763">
        <w:rPr>
          <w:szCs w:val="20"/>
        </w:rPr>
        <w:t>–</w:t>
      </w:r>
      <w:r w:rsidR="003C23A3" w:rsidRPr="00B12763">
        <w:rPr>
          <w:i w:val="0"/>
          <w:szCs w:val="20"/>
        </w:rPr>
        <w:t xml:space="preserve"> </w:t>
      </w:r>
      <w:r w:rsidR="003C23A3" w:rsidRPr="00D7470B">
        <w:rPr>
          <w:iCs w:val="0"/>
          <w:szCs w:val="20"/>
        </w:rPr>
        <w:t>they</w:t>
      </w:r>
      <w:r w:rsidR="003C23A3" w:rsidRPr="00B81C20">
        <w:rPr>
          <w:iCs w:val="0"/>
          <w:szCs w:val="20"/>
        </w:rPr>
        <w:t xml:space="preserve"> include (independent) surgeries of general practitioners (GPs) for adults, GPs for children and adolescents, surgeries of dentists, gynaecologists, and other medical specialists (an ophthalmologist, ENT (ear, nose and throat), a gastroenterologist, etc.) </w:t>
      </w:r>
      <w:r w:rsidR="003C23A3" w:rsidRPr="002068E8">
        <w:rPr>
          <w:iCs w:val="0"/>
          <w:szCs w:val="20"/>
        </w:rPr>
        <w:t>as well as non-physicians (a psychologist, a speech therapist, a physiotherapist, etc.), in which a patient does not stay overnight.</w:t>
      </w:r>
    </w:p>
    <w:p w14:paraId="63C15945" w14:textId="0F016896" w:rsidR="0062506B" w:rsidRPr="00A008B7" w:rsidRDefault="0062506B" w:rsidP="0062506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A008B7">
        <w:rPr>
          <w:rFonts w:ascii="Arial" w:hAnsi="Arial" w:cs="Arial"/>
          <w:b/>
          <w:i/>
          <w:sz w:val="20"/>
          <w:szCs w:val="20"/>
          <w:lang w:val="en-GB"/>
        </w:rPr>
        <w:t xml:space="preserve">Visits to (contacts with) outpatient care establishments </w:t>
      </w:r>
      <w:r w:rsidRPr="00A008B7">
        <w:rPr>
          <w:rFonts w:ascii="Arial" w:hAnsi="Arial" w:cs="Arial"/>
          <w:i/>
          <w:sz w:val="20"/>
          <w:szCs w:val="20"/>
          <w:lang w:val="en-GB"/>
        </w:rPr>
        <w:t>– a visit (contact) is a set of all acts made when treating a natural person in an outpatient care establishment during a single patient’</w:t>
      </w:r>
      <w:r w:rsidRPr="00A008B7">
        <w:rPr>
          <w:rFonts w:ascii="Arial" w:hAnsi="Arial" w:cs="Arial"/>
          <w:i/>
          <w:sz w:val="20"/>
          <w:szCs w:val="20"/>
        </w:rPr>
        <w:t>s visit</w:t>
      </w:r>
      <w:r w:rsidRPr="00A008B7">
        <w:rPr>
          <w:rFonts w:ascii="Arial" w:hAnsi="Arial" w:cs="Arial"/>
          <w:i/>
          <w:sz w:val="20"/>
          <w:szCs w:val="20"/>
          <w:lang w:val="en-GB"/>
        </w:rPr>
        <w:t>. Also a contact with a patient in order to make administrative work (to write out a medical prescription, to confirm a certificate, etc.) is considered to be a visit (contact). Acts are performed by a physician/practitioner or by a nurse according to a physician’s instructions. Also consultations over the phone, the number of which significantly increased in</w:t>
      </w:r>
      <w:r w:rsidR="00C73763">
        <w:rPr>
          <w:rFonts w:ascii="Arial" w:hAnsi="Arial" w:cs="Arial"/>
          <w:i/>
          <w:sz w:val="20"/>
          <w:szCs w:val="20"/>
          <w:lang w:val="en-GB"/>
        </w:rPr>
        <w:t> </w:t>
      </w:r>
      <w:r w:rsidRPr="00A008B7">
        <w:rPr>
          <w:rFonts w:ascii="Arial" w:hAnsi="Arial" w:cs="Arial"/>
          <w:i/>
          <w:sz w:val="20"/>
          <w:szCs w:val="20"/>
          <w:lang w:val="en-GB"/>
        </w:rPr>
        <w:t>2020</w:t>
      </w:r>
      <w:r w:rsidR="00B73F9A" w:rsidRPr="00B12763">
        <w:rPr>
          <w:rFonts w:ascii="Arial" w:hAnsi="Arial" w:cs="Arial"/>
          <w:i/>
          <w:sz w:val="20"/>
          <w:szCs w:val="20"/>
          <w:lang w:val="en-GB"/>
        </w:rPr>
        <w:t xml:space="preserve"> and 2021</w:t>
      </w:r>
      <w:r w:rsidRPr="00A008B7">
        <w:rPr>
          <w:rFonts w:ascii="Arial" w:hAnsi="Arial" w:cs="Arial"/>
          <w:i/>
          <w:sz w:val="20"/>
          <w:szCs w:val="20"/>
          <w:lang w:val="en-GB"/>
        </w:rPr>
        <w:t xml:space="preserve"> due to COVID-19 disease, are included in the number of contacts.  </w:t>
      </w:r>
    </w:p>
    <w:p w14:paraId="6A565D54" w14:textId="6463EF0E" w:rsidR="006F33B6" w:rsidRPr="00B12763" w:rsidRDefault="0062506B" w:rsidP="0062506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A008B7">
        <w:rPr>
          <w:rFonts w:ascii="Arial" w:hAnsi="Arial" w:cs="Arial"/>
          <w:b/>
          <w:i/>
          <w:sz w:val="20"/>
          <w:szCs w:val="20"/>
          <w:lang w:val="en-GB"/>
        </w:rPr>
        <w:t xml:space="preserve">Patients </w:t>
      </w:r>
      <w:r w:rsidR="006F33B6" w:rsidRPr="00B12763">
        <w:rPr>
          <w:rFonts w:ascii="Arial" w:hAnsi="Arial" w:cs="Arial"/>
          <w:b/>
          <w:i/>
          <w:sz w:val="20"/>
          <w:szCs w:val="20"/>
          <w:lang w:val="en-GB"/>
        </w:rPr>
        <w:t>in</w:t>
      </w:r>
      <w:r w:rsidRPr="00A008B7">
        <w:rPr>
          <w:rFonts w:ascii="Arial" w:hAnsi="Arial" w:cs="Arial"/>
          <w:b/>
          <w:i/>
          <w:sz w:val="20"/>
          <w:szCs w:val="20"/>
          <w:lang w:val="en-GB"/>
        </w:rPr>
        <w:t xml:space="preserve"> outpatient care </w:t>
      </w:r>
      <w:r w:rsidRPr="00A008B7">
        <w:rPr>
          <w:rFonts w:ascii="Arial" w:hAnsi="Arial" w:cs="Arial"/>
          <w:i/>
          <w:sz w:val="20"/>
          <w:szCs w:val="20"/>
          <w:lang w:val="en-GB"/>
        </w:rPr>
        <w:t xml:space="preserve">shall mean the number of persons who for a given group of diagnoses received, at least once in the reference year, outpatient health care reimbursed by a health insurance company. </w:t>
      </w:r>
    </w:p>
    <w:p w14:paraId="5D7E32E6" w14:textId="004CF481" w:rsidR="00734482" w:rsidRPr="00B12763" w:rsidRDefault="0062506B" w:rsidP="0062506B">
      <w:pPr>
        <w:spacing w:before="120" w:after="120"/>
        <w:ind w:firstLine="709"/>
        <w:jc w:val="both"/>
        <w:rPr>
          <w:rFonts w:ascii="Arial" w:hAnsi="Arial" w:cs="Arial"/>
          <w:b/>
          <w:i/>
          <w:u w:val="single"/>
          <w:lang w:val="en-GB"/>
        </w:rPr>
      </w:pPr>
      <w:r w:rsidRPr="00B12763">
        <w:rPr>
          <w:rFonts w:ascii="Arial" w:hAnsi="Arial" w:cs="Arial"/>
          <w:b/>
          <w:i/>
          <w:u w:val="single"/>
          <w:lang w:val="en-GB"/>
        </w:rPr>
        <w:t xml:space="preserve">Diabetics under treatment </w:t>
      </w:r>
      <w:r w:rsidR="00734482" w:rsidRPr="00B12763">
        <w:rPr>
          <w:rFonts w:ascii="Arial" w:hAnsi="Arial" w:cs="Arial"/>
          <w:b/>
          <w:i/>
          <w:u w:val="single"/>
          <w:lang w:val="en-GB"/>
        </w:rPr>
        <w:t>(Tables 2–14 and 2–15)</w:t>
      </w:r>
    </w:p>
    <w:p w14:paraId="51F1AF3F" w14:textId="1CBD37E9" w:rsidR="008B2C39" w:rsidRPr="00B12763" w:rsidRDefault="001B071F" w:rsidP="00C73763">
      <w:pPr>
        <w:ind w:firstLine="708"/>
        <w:jc w:val="both"/>
        <w:rPr>
          <w:rFonts w:ascii="Arial" w:hAnsi="Arial" w:cs="Arial"/>
          <w:i/>
          <w:sz w:val="20"/>
          <w:szCs w:val="20"/>
          <w:lang w:val="en-GB"/>
        </w:rPr>
      </w:pPr>
      <w:r w:rsidRPr="00B12763">
        <w:rPr>
          <w:rFonts w:ascii="Arial" w:hAnsi="Arial" w:cs="Arial"/>
          <w:i/>
          <w:sz w:val="20"/>
          <w:szCs w:val="20"/>
          <w:lang w:val="en-GB"/>
        </w:rPr>
        <w:t>I</w:t>
      </w:r>
      <w:r w:rsidR="0062506B" w:rsidRPr="00A008B7">
        <w:rPr>
          <w:rFonts w:ascii="Arial" w:hAnsi="Arial" w:cs="Arial"/>
          <w:i/>
          <w:sz w:val="20"/>
          <w:szCs w:val="20"/>
          <w:lang w:val="en-GB"/>
        </w:rPr>
        <w:t>t applies to patients treated by drugs used in diabetes (ATC subgroup/code A10) for type 1 and 2 diabetes mellitus regardless of whether they are treated at the diabetology (including outpatient parts of</w:t>
      </w:r>
      <w:r w:rsidR="00C73763">
        <w:rPr>
          <w:rFonts w:ascii="Arial" w:hAnsi="Arial" w:cs="Arial"/>
          <w:i/>
          <w:sz w:val="20"/>
          <w:szCs w:val="20"/>
          <w:lang w:val="en-GB"/>
        </w:rPr>
        <w:t> </w:t>
      </w:r>
      <w:r w:rsidR="0062506B" w:rsidRPr="00A008B7">
        <w:rPr>
          <w:rFonts w:ascii="Arial" w:hAnsi="Arial" w:cs="Arial"/>
          <w:i/>
          <w:sz w:val="20"/>
          <w:szCs w:val="20"/>
          <w:lang w:val="en-GB"/>
        </w:rPr>
        <w:t>hospitals) or in a surgery of a general practitioner</w:t>
      </w:r>
      <w:r w:rsidR="00BD2F80" w:rsidRPr="00B12763">
        <w:rPr>
          <w:rFonts w:ascii="Arial" w:hAnsi="Arial" w:cs="Arial"/>
          <w:i/>
          <w:sz w:val="20"/>
          <w:szCs w:val="20"/>
          <w:lang w:val="en-GB"/>
        </w:rPr>
        <w:t xml:space="preserve"> for adults.</w:t>
      </w:r>
      <w:r w:rsidR="008B2C39" w:rsidRPr="00B12763">
        <w:rPr>
          <w:rFonts w:ascii="Arial" w:hAnsi="Arial" w:cs="Arial"/>
          <w:i/>
          <w:sz w:val="20"/>
          <w:szCs w:val="20"/>
          <w:lang w:val="en-GB"/>
        </w:rPr>
        <w:t xml:space="preserve"> </w:t>
      </w:r>
      <w:r w:rsidR="00E93249" w:rsidRPr="00B12763">
        <w:rPr>
          <w:rFonts w:ascii="Arial" w:hAnsi="Arial" w:cs="Arial"/>
          <w:i/>
          <w:sz w:val="20"/>
          <w:szCs w:val="20"/>
          <w:lang w:val="en-GB"/>
        </w:rPr>
        <w:t xml:space="preserve">The status as at 31 December of the reference year is shown. Diabetic patients only treated by a diet are not included here. </w:t>
      </w:r>
    </w:p>
    <w:p w14:paraId="0C52D5DA" w14:textId="77777777" w:rsidR="00E93249" w:rsidRPr="00B12763" w:rsidRDefault="00E93249" w:rsidP="00B12763">
      <w:pPr>
        <w:ind w:firstLine="708"/>
        <w:rPr>
          <w:rFonts w:ascii="Arial" w:hAnsi="Arial" w:cs="Arial"/>
          <w:i/>
          <w:sz w:val="20"/>
          <w:szCs w:val="20"/>
          <w:lang w:val="en-GB"/>
        </w:rPr>
      </w:pPr>
    </w:p>
    <w:p w14:paraId="3FDCE153" w14:textId="5856227B" w:rsidR="008B2C39" w:rsidRPr="00B12763" w:rsidRDefault="008E4C20" w:rsidP="008B2C39">
      <w:pPr>
        <w:pStyle w:val="Zkladntextodsazen"/>
        <w:ind w:firstLine="720"/>
        <w:rPr>
          <w:b/>
          <w:i/>
          <w:color w:val="auto"/>
          <w:sz w:val="24"/>
          <w:szCs w:val="24"/>
          <w:u w:val="single"/>
          <w:lang w:val="en-GB"/>
        </w:rPr>
      </w:pPr>
      <w:r w:rsidRPr="00B12763">
        <w:rPr>
          <w:b/>
          <w:i/>
          <w:color w:val="auto"/>
          <w:sz w:val="24"/>
          <w:szCs w:val="24"/>
          <w:u w:val="single"/>
          <w:lang w:val="en-GB"/>
        </w:rPr>
        <w:t>Newly notified malignant neoplasms (Tables 2–16 and 2–17)</w:t>
      </w:r>
    </w:p>
    <w:p w14:paraId="6E0F1D95" w14:textId="46BB47EF" w:rsidR="000E6942" w:rsidRPr="00B12763" w:rsidRDefault="000E6942" w:rsidP="008B2C3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B12763">
        <w:rPr>
          <w:rFonts w:ascii="Arial" w:hAnsi="Arial" w:cs="Arial"/>
          <w:i/>
          <w:sz w:val="20"/>
          <w:szCs w:val="20"/>
          <w:lang w:val="en-GB"/>
        </w:rPr>
        <w:t>Data in the tables are based on data from the National Cancer Register (in Czech abbreviated as</w:t>
      </w:r>
      <w:r w:rsidR="00C73763">
        <w:rPr>
          <w:rFonts w:ascii="Arial" w:hAnsi="Arial" w:cs="Arial"/>
          <w:i/>
          <w:sz w:val="20"/>
          <w:szCs w:val="20"/>
          <w:lang w:val="en-GB"/>
        </w:rPr>
        <w:t> </w:t>
      </w:r>
      <w:r w:rsidRPr="00B12763">
        <w:rPr>
          <w:rFonts w:ascii="Arial" w:hAnsi="Arial" w:cs="Arial"/>
          <w:i/>
          <w:sz w:val="20"/>
          <w:szCs w:val="20"/>
          <w:lang w:val="en-GB"/>
        </w:rPr>
        <w:t xml:space="preserve">NOR), which is part of the National Health Information System (in Czech abbreviated as NZIS). The National Cancer Register (NOR) is a nationwide population register, which has been in operation since 1976, and the purpose of which is to register oncological diseases and to periodically monitor their further development. In the table, all malignant neoplasms are included, </w:t>
      </w:r>
      <w:r w:rsidRPr="00B12763">
        <w:rPr>
          <w:rFonts w:ascii="Arial" w:hAnsi="Arial" w:cs="Arial"/>
          <w:b/>
          <w:i/>
          <w:sz w:val="20"/>
          <w:szCs w:val="20"/>
          <w:lang w:val="en-GB"/>
        </w:rPr>
        <w:t>except for other malignant neoplasms of</w:t>
      </w:r>
      <w:r w:rsidR="00C73763">
        <w:rPr>
          <w:rFonts w:ascii="Arial" w:hAnsi="Arial" w:cs="Arial"/>
          <w:b/>
          <w:i/>
          <w:sz w:val="20"/>
          <w:szCs w:val="20"/>
          <w:lang w:val="en-GB"/>
        </w:rPr>
        <w:t> </w:t>
      </w:r>
      <w:r w:rsidRPr="00B12763">
        <w:rPr>
          <w:rFonts w:ascii="Arial" w:hAnsi="Arial" w:cs="Arial"/>
          <w:b/>
          <w:i/>
          <w:sz w:val="20"/>
          <w:szCs w:val="20"/>
          <w:lang w:val="en-GB"/>
        </w:rPr>
        <w:t>skin, i.e. C00–97 excluding C44</w:t>
      </w:r>
      <w:r w:rsidRPr="00B12763">
        <w:rPr>
          <w:rFonts w:ascii="Arial" w:hAnsi="Arial" w:cs="Arial"/>
          <w:i/>
          <w:sz w:val="20"/>
          <w:szCs w:val="20"/>
          <w:lang w:val="en-GB"/>
        </w:rPr>
        <w:t xml:space="preserve"> according to the International Statistical Classification of Diseases and Related Health Problems 10th Revision (ICD-10).</w:t>
      </w:r>
    </w:p>
    <w:p w14:paraId="0EAFF09E" w14:textId="77777777" w:rsidR="00C527C7" w:rsidRPr="00B12763" w:rsidRDefault="00C527C7" w:rsidP="008B2C3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color w:val="000000"/>
          <w:sz w:val="20"/>
          <w:szCs w:val="20"/>
          <w:lang w:eastAsia="en-US"/>
        </w:rPr>
      </w:pPr>
    </w:p>
    <w:p w14:paraId="0F350CDE" w14:textId="6CAD122C" w:rsidR="00264924" w:rsidRPr="00B12763" w:rsidRDefault="006F2FC3" w:rsidP="00264924">
      <w:pPr>
        <w:pStyle w:val="Nadpis1"/>
        <w:ind w:firstLine="708"/>
        <w:jc w:val="both"/>
        <w:rPr>
          <w:rFonts w:ascii="Arial" w:hAnsi="Arial" w:cs="Arial"/>
          <w:b/>
          <w:bCs/>
          <w:i/>
          <w:lang w:val="en-GB"/>
        </w:rPr>
      </w:pPr>
      <w:r w:rsidRPr="00B12763">
        <w:rPr>
          <w:rFonts w:ascii="Arial" w:hAnsi="Arial" w:cs="Arial"/>
          <w:b/>
          <w:bCs/>
          <w:i/>
          <w:lang w:val="en-GB"/>
        </w:rPr>
        <w:t xml:space="preserve">Health </w:t>
      </w:r>
      <w:r w:rsidR="0069440C" w:rsidRPr="00B12763">
        <w:rPr>
          <w:rFonts w:ascii="Arial" w:hAnsi="Arial" w:cs="Arial"/>
          <w:b/>
          <w:bCs/>
          <w:i/>
          <w:lang w:val="en-GB"/>
        </w:rPr>
        <w:t>care personnel</w:t>
      </w:r>
      <w:r w:rsidR="00264924" w:rsidRPr="00B12763">
        <w:rPr>
          <w:rFonts w:ascii="Arial" w:hAnsi="Arial" w:cs="Arial"/>
          <w:b/>
          <w:bCs/>
          <w:i/>
          <w:lang w:val="en-GB"/>
        </w:rPr>
        <w:t xml:space="preserve"> (Table 2</w:t>
      </w:r>
      <w:r w:rsidR="00264924" w:rsidRPr="00B12763">
        <w:rPr>
          <w:rFonts w:ascii="Arial" w:hAnsi="Arial" w:cs="Arial"/>
          <w:b/>
          <w:i/>
          <w:iCs/>
          <w:sz w:val="20"/>
          <w:szCs w:val="17"/>
          <w:lang w:val="en-GB"/>
        </w:rPr>
        <w:t>–</w:t>
      </w:r>
      <w:r w:rsidR="00C527C7" w:rsidRPr="00B12763">
        <w:rPr>
          <w:rFonts w:ascii="Arial" w:hAnsi="Arial" w:cs="Arial"/>
          <w:b/>
          <w:bCs/>
          <w:i/>
          <w:lang w:val="en-GB"/>
        </w:rPr>
        <w:t>22</w:t>
      </w:r>
      <w:r w:rsidR="00264924" w:rsidRPr="00B12763">
        <w:rPr>
          <w:rFonts w:ascii="Arial" w:hAnsi="Arial" w:cs="Arial"/>
          <w:b/>
          <w:bCs/>
          <w:i/>
          <w:lang w:val="en-GB"/>
        </w:rPr>
        <w:t>)</w:t>
      </w:r>
    </w:p>
    <w:p w14:paraId="2CAFC544" w14:textId="7B1865D5" w:rsidR="00A30F9A" w:rsidRPr="00A008B7" w:rsidRDefault="002810EE" w:rsidP="00C8015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sz w:val="20"/>
          <w:szCs w:val="20"/>
          <w:lang w:val="en-GB"/>
        </w:rPr>
      </w:pPr>
      <w:r w:rsidRPr="007E78F3">
        <w:rPr>
          <w:rFonts w:ascii="Arial" w:hAnsi="Arial" w:cs="Arial"/>
          <w:i/>
          <w:iCs/>
          <w:sz w:val="20"/>
          <w:lang w:val="en-GB"/>
        </w:rPr>
        <w:t xml:space="preserve">The </w:t>
      </w:r>
      <w:r w:rsidRPr="00FA6FF1">
        <w:rPr>
          <w:rFonts w:ascii="Arial" w:hAnsi="Arial" w:cs="Arial"/>
          <w:i/>
          <w:iCs/>
          <w:sz w:val="20"/>
          <w:lang w:val="en-GB"/>
        </w:rPr>
        <w:t>A</w:t>
      </w:r>
      <w:r w:rsidR="00C80155" w:rsidRPr="00FA6FF1">
        <w:rPr>
          <w:rFonts w:ascii="Arial" w:hAnsi="Arial" w:cs="Arial"/>
          <w:i/>
          <w:iCs/>
          <w:sz w:val="20"/>
          <w:lang w:val="en-GB"/>
        </w:rPr>
        <w:t xml:space="preserve">nnual questionnaire on employers, </w:t>
      </w:r>
      <w:r w:rsidR="00660C31" w:rsidRPr="00FA6FF1">
        <w:rPr>
          <w:rFonts w:ascii="Arial" w:hAnsi="Arial" w:cs="Arial"/>
          <w:i/>
          <w:iCs/>
          <w:sz w:val="20"/>
          <w:lang w:val="en-GB"/>
        </w:rPr>
        <w:t>the</w:t>
      </w:r>
      <w:r w:rsidR="00660C31" w:rsidRPr="00A008B7">
        <w:rPr>
          <w:rFonts w:ascii="Arial" w:hAnsi="Arial" w:cs="Arial"/>
          <w:i/>
          <w:iCs/>
          <w:sz w:val="20"/>
          <w:lang w:val="en-GB"/>
        </w:rPr>
        <w:t xml:space="preserve"> </w:t>
      </w:r>
      <w:r w:rsidR="00C80155" w:rsidRPr="00A008B7">
        <w:rPr>
          <w:rFonts w:ascii="Arial" w:hAnsi="Arial" w:cs="Arial"/>
          <w:i/>
          <w:iCs/>
          <w:sz w:val="20"/>
          <w:lang w:val="en-GB"/>
        </w:rPr>
        <w:t>registered number of employees, and contractual workers</w:t>
      </w:r>
      <w:r w:rsidRPr="00A008B7">
        <w:rPr>
          <w:rFonts w:ascii="Arial" w:hAnsi="Arial" w:cs="Arial"/>
          <w:i/>
          <w:iCs/>
          <w:sz w:val="20"/>
          <w:lang w:val="en-GB"/>
        </w:rPr>
        <w:t xml:space="preserve"> </w:t>
      </w:r>
      <w:r w:rsidRPr="00A008B7">
        <w:rPr>
          <w:rFonts w:ascii="Arial" w:hAnsi="Arial" w:cs="Arial"/>
          <w:sz w:val="20"/>
          <w:szCs w:val="20"/>
        </w:rPr>
        <w:t>E (MZ) 4</w:t>
      </w:r>
      <w:r w:rsidR="00D62094" w:rsidRPr="00A008B7">
        <w:rPr>
          <w:rFonts w:ascii="Arial" w:hAnsi="Arial" w:cs="Arial"/>
          <w:i/>
          <w:iCs/>
          <w:sz w:val="20"/>
          <w:szCs w:val="17"/>
          <w:lang w:val="en-GB"/>
        </w:rPr>
        <w:t>–</w:t>
      </w:r>
      <w:r w:rsidRPr="00A008B7">
        <w:rPr>
          <w:rFonts w:ascii="Arial" w:hAnsi="Arial" w:cs="Arial"/>
          <w:sz w:val="20"/>
          <w:szCs w:val="20"/>
        </w:rPr>
        <w:t>01</w:t>
      </w:r>
      <w:r w:rsidRPr="00A008B7">
        <w:rPr>
          <w:rFonts w:ascii="Arial" w:hAnsi="Arial" w:cs="Arial"/>
          <w:i/>
          <w:iCs/>
          <w:sz w:val="20"/>
          <w:lang w:val="en-GB"/>
        </w:rPr>
        <w:t xml:space="preserve"> and </w:t>
      </w:r>
      <w:r w:rsidR="00BE3834" w:rsidRPr="00A008B7">
        <w:rPr>
          <w:rFonts w:ascii="Arial" w:hAnsi="Arial" w:cs="Arial"/>
          <w:i/>
          <w:iCs/>
          <w:sz w:val="20"/>
          <w:lang w:val="en-GB"/>
        </w:rPr>
        <w:t>questionnaires</w:t>
      </w:r>
      <w:r w:rsidR="003B7F9A" w:rsidRPr="00A008B7">
        <w:rPr>
          <w:rFonts w:ascii="Arial" w:hAnsi="Arial" w:cs="Arial"/>
          <w:i/>
          <w:iCs/>
          <w:sz w:val="20"/>
          <w:lang w:val="en-GB"/>
        </w:rPr>
        <w:t xml:space="preserve"> (reports)</w:t>
      </w:r>
      <w:r w:rsidR="00BE3834" w:rsidRPr="00A008B7">
        <w:rPr>
          <w:rFonts w:ascii="Arial" w:hAnsi="Arial" w:cs="Arial"/>
          <w:i/>
          <w:iCs/>
          <w:sz w:val="20"/>
          <w:lang w:val="en-GB"/>
        </w:rPr>
        <w:t xml:space="preserve"> on components of salaries and wages and on personnel and</w:t>
      </w:r>
      <w:r w:rsidR="00C73763">
        <w:rPr>
          <w:rFonts w:ascii="Arial" w:hAnsi="Arial" w:cs="Arial"/>
          <w:i/>
          <w:iCs/>
          <w:sz w:val="20"/>
          <w:lang w:val="en-GB"/>
        </w:rPr>
        <w:t> </w:t>
      </w:r>
      <w:r w:rsidR="00BE3834" w:rsidRPr="00A008B7">
        <w:rPr>
          <w:rFonts w:ascii="Arial" w:hAnsi="Arial" w:cs="Arial"/>
          <w:i/>
          <w:iCs/>
          <w:sz w:val="20"/>
          <w:lang w:val="en-GB"/>
        </w:rPr>
        <w:t xml:space="preserve">operating equipment of the health service provider </w:t>
      </w:r>
      <w:r w:rsidR="00BE3834" w:rsidRPr="00A008B7">
        <w:rPr>
          <w:rFonts w:ascii="Arial" w:hAnsi="Arial" w:cs="Arial"/>
          <w:sz w:val="20"/>
          <w:szCs w:val="20"/>
        </w:rPr>
        <w:t>E (MZ) 2</w:t>
      </w:r>
      <w:r w:rsidR="00D62094" w:rsidRPr="00A008B7">
        <w:rPr>
          <w:rFonts w:ascii="Arial" w:hAnsi="Arial" w:cs="Arial"/>
          <w:i/>
          <w:iCs/>
          <w:sz w:val="20"/>
          <w:szCs w:val="17"/>
          <w:lang w:val="en-GB"/>
        </w:rPr>
        <w:t>–</w:t>
      </w:r>
      <w:r w:rsidR="00BE3834" w:rsidRPr="00A008B7">
        <w:rPr>
          <w:rFonts w:ascii="Arial" w:hAnsi="Arial" w:cs="Arial"/>
          <w:sz w:val="20"/>
          <w:szCs w:val="20"/>
        </w:rPr>
        <w:t xml:space="preserve">01 </w:t>
      </w:r>
      <w:r w:rsidR="00BE3834" w:rsidRPr="00A008B7">
        <w:rPr>
          <w:rFonts w:ascii="Arial" w:hAnsi="Arial" w:cs="Arial"/>
          <w:i/>
          <w:sz w:val="20"/>
          <w:szCs w:val="20"/>
        </w:rPr>
        <w:t>and</w:t>
      </w:r>
      <w:r w:rsidR="00BE3834" w:rsidRPr="00A008B7">
        <w:rPr>
          <w:rFonts w:ascii="Arial" w:hAnsi="Arial" w:cs="Arial"/>
          <w:sz w:val="20"/>
          <w:szCs w:val="20"/>
        </w:rPr>
        <w:t xml:space="preserve"> </w:t>
      </w:r>
      <w:r w:rsidR="00BE3834" w:rsidRPr="00A008B7">
        <w:rPr>
          <w:rFonts w:ascii="Arial" w:hAnsi="Arial" w:cs="Arial"/>
          <w:sz w:val="20"/>
          <w:szCs w:val="20"/>
          <w:lang w:val="en-GB"/>
        </w:rPr>
        <w:t>3</w:t>
      </w:r>
      <w:r w:rsidR="00D62094" w:rsidRPr="00A008B7">
        <w:rPr>
          <w:rFonts w:ascii="Arial" w:hAnsi="Arial" w:cs="Arial"/>
          <w:i/>
          <w:iCs/>
          <w:sz w:val="20"/>
          <w:szCs w:val="17"/>
          <w:lang w:val="en-GB"/>
        </w:rPr>
        <w:t>–</w:t>
      </w:r>
      <w:r w:rsidR="00BE3834" w:rsidRPr="00A008B7">
        <w:rPr>
          <w:rFonts w:ascii="Arial" w:hAnsi="Arial" w:cs="Arial"/>
          <w:sz w:val="20"/>
          <w:szCs w:val="20"/>
          <w:lang w:val="en-GB"/>
        </w:rPr>
        <w:t>01</w:t>
      </w:r>
      <w:r w:rsidR="00066FB8" w:rsidRPr="00A008B7">
        <w:rPr>
          <w:rFonts w:ascii="Arial" w:hAnsi="Arial" w:cs="Arial"/>
          <w:i/>
          <w:sz w:val="20"/>
          <w:szCs w:val="20"/>
          <w:lang w:val="en-GB"/>
        </w:rPr>
        <w:t xml:space="preserve"> are the data sources</w:t>
      </w:r>
      <w:r w:rsidR="00BE3834" w:rsidRPr="00A008B7">
        <w:rPr>
          <w:rFonts w:ascii="Arial" w:hAnsi="Arial" w:cs="Arial"/>
          <w:i/>
          <w:sz w:val="20"/>
          <w:szCs w:val="20"/>
          <w:lang w:val="en-GB"/>
        </w:rPr>
        <w:t>.</w:t>
      </w:r>
      <w:r w:rsidR="00876CCE" w:rsidRPr="00A008B7">
        <w:rPr>
          <w:rFonts w:ascii="Arial" w:hAnsi="Arial" w:cs="Arial"/>
          <w:i/>
          <w:sz w:val="20"/>
          <w:szCs w:val="20"/>
          <w:lang w:val="en-GB"/>
        </w:rPr>
        <w:t xml:space="preserve"> </w:t>
      </w:r>
      <w:r w:rsidR="00487B82" w:rsidRPr="00A008B7">
        <w:rPr>
          <w:rFonts w:ascii="Arial" w:hAnsi="Arial" w:cs="Arial"/>
          <w:i/>
          <w:sz w:val="20"/>
          <w:szCs w:val="20"/>
          <w:lang w:val="en-GB"/>
        </w:rPr>
        <w:t>In addition to those data,</w:t>
      </w:r>
      <w:r w:rsidR="00876CCE" w:rsidRPr="00A008B7">
        <w:rPr>
          <w:rFonts w:ascii="Arial" w:hAnsi="Arial" w:cs="Arial"/>
          <w:i/>
          <w:sz w:val="20"/>
          <w:szCs w:val="20"/>
          <w:lang w:val="en-GB"/>
        </w:rPr>
        <w:t xml:space="preserve"> data on general practitioners, general practitioners for children and adolescents (paediatricians), and gynaecologists from the National Register of Reimbursed Health Services </w:t>
      </w:r>
      <w:r w:rsidR="00876CCE" w:rsidRPr="00A008B7">
        <w:rPr>
          <w:rFonts w:ascii="Arial" w:hAnsi="Arial" w:cs="Arial"/>
          <w:sz w:val="20"/>
          <w:szCs w:val="20"/>
          <w:lang w:val="en-GB"/>
        </w:rPr>
        <w:t>(</w:t>
      </w:r>
      <w:r w:rsidR="00876CCE" w:rsidRPr="00A008B7">
        <w:rPr>
          <w:rFonts w:ascii="Arial" w:hAnsi="Arial" w:cs="Arial"/>
          <w:sz w:val="20"/>
          <w:szCs w:val="20"/>
        </w:rPr>
        <w:t>Národní registr hrazených zdravotních služeb</w:t>
      </w:r>
      <w:r w:rsidR="00876CCE" w:rsidRPr="00A008B7">
        <w:rPr>
          <w:rFonts w:ascii="Arial" w:hAnsi="Arial" w:cs="Arial"/>
          <w:sz w:val="20"/>
          <w:szCs w:val="20"/>
          <w:lang w:val="en-GB"/>
        </w:rPr>
        <w:t>)</w:t>
      </w:r>
      <w:r w:rsidR="00660C31" w:rsidRPr="00A008B7">
        <w:rPr>
          <w:rFonts w:ascii="Arial" w:hAnsi="Arial" w:cs="Arial"/>
          <w:i/>
          <w:sz w:val="20"/>
          <w:szCs w:val="20"/>
          <w:lang w:val="en-GB"/>
        </w:rPr>
        <w:t xml:space="preserve"> were</w:t>
      </w:r>
      <w:r w:rsidR="00487B82" w:rsidRPr="00A008B7">
        <w:rPr>
          <w:rFonts w:ascii="Arial" w:hAnsi="Arial" w:cs="Arial"/>
          <w:i/>
          <w:sz w:val="20"/>
          <w:szCs w:val="20"/>
          <w:lang w:val="en-GB"/>
        </w:rPr>
        <w:t xml:space="preserve"> also</w:t>
      </w:r>
      <w:r w:rsidR="00660C31" w:rsidRPr="00A008B7">
        <w:rPr>
          <w:rFonts w:ascii="Arial" w:hAnsi="Arial" w:cs="Arial"/>
          <w:i/>
          <w:sz w:val="20"/>
          <w:szCs w:val="20"/>
          <w:lang w:val="en-GB"/>
        </w:rPr>
        <w:t xml:space="preserve"> added</w:t>
      </w:r>
      <w:r w:rsidR="00876CCE" w:rsidRPr="00A008B7">
        <w:rPr>
          <w:rFonts w:ascii="Arial" w:hAnsi="Arial" w:cs="Arial"/>
          <w:sz w:val="20"/>
          <w:szCs w:val="20"/>
          <w:lang w:val="en-GB"/>
        </w:rPr>
        <w:t>.</w:t>
      </w:r>
      <w:r w:rsidR="00876CCE" w:rsidRPr="00A008B7">
        <w:rPr>
          <w:rFonts w:ascii="Arial" w:hAnsi="Arial" w:cs="Arial"/>
          <w:i/>
          <w:sz w:val="20"/>
          <w:szCs w:val="20"/>
          <w:lang w:val="en-GB"/>
        </w:rPr>
        <w:t xml:space="preserve"> </w:t>
      </w:r>
    </w:p>
    <w:p w14:paraId="2955E428" w14:textId="01F76AB4" w:rsidR="00F43082" w:rsidRPr="00A008B7" w:rsidRDefault="00531813" w:rsidP="00B12763">
      <w:pPr>
        <w:spacing w:before="120"/>
        <w:ind w:firstLine="680"/>
        <w:jc w:val="both"/>
        <w:rPr>
          <w:rFonts w:ascii="Arial" w:hAnsi="Arial" w:cs="Arial"/>
          <w:bCs/>
          <w:i/>
          <w:sz w:val="20"/>
          <w:szCs w:val="20"/>
        </w:rPr>
      </w:pPr>
      <w:r w:rsidRPr="00B12763">
        <w:rPr>
          <w:rFonts w:ascii="Arial" w:hAnsi="Arial" w:cs="Arial"/>
          <w:i/>
          <w:sz w:val="20"/>
          <w:szCs w:val="20"/>
          <w:lang w:val="en-GB"/>
        </w:rPr>
        <w:t>Data in the Table</w:t>
      </w:r>
      <w:r w:rsidR="00A30F9A" w:rsidRPr="00B12763">
        <w:rPr>
          <w:rFonts w:ascii="Arial" w:hAnsi="Arial" w:cs="Arial"/>
          <w:i/>
          <w:sz w:val="20"/>
          <w:szCs w:val="20"/>
          <w:lang w:val="en-GB"/>
        </w:rPr>
        <w:t xml:space="preserve"> 2</w:t>
      </w:r>
      <w:r w:rsidRPr="00B12763">
        <w:rPr>
          <w:rFonts w:ascii="Arial" w:hAnsi="Arial" w:cs="Arial"/>
          <w:i/>
          <w:iCs/>
          <w:sz w:val="20"/>
          <w:szCs w:val="17"/>
          <w:lang w:val="en-GB"/>
        </w:rPr>
        <w:t>–</w:t>
      </w:r>
      <w:r w:rsidR="00A30F9A" w:rsidRPr="00B12763">
        <w:rPr>
          <w:rFonts w:ascii="Arial" w:hAnsi="Arial" w:cs="Arial"/>
          <w:i/>
          <w:sz w:val="20"/>
          <w:szCs w:val="20"/>
          <w:lang w:val="en-GB"/>
        </w:rPr>
        <w:t>22</w:t>
      </w:r>
      <w:r w:rsidRPr="00B12763">
        <w:rPr>
          <w:rFonts w:ascii="Arial" w:hAnsi="Arial" w:cs="Arial"/>
          <w:i/>
          <w:sz w:val="20"/>
          <w:szCs w:val="20"/>
          <w:lang w:val="en-GB"/>
        </w:rPr>
        <w:t xml:space="preserve"> </w:t>
      </w:r>
      <w:r w:rsidR="00672CA7" w:rsidRPr="00B12763">
        <w:rPr>
          <w:rFonts w:ascii="Arial" w:hAnsi="Arial" w:cs="Arial"/>
          <w:i/>
          <w:sz w:val="20"/>
          <w:szCs w:val="20"/>
          <w:lang w:val="en-GB"/>
        </w:rPr>
        <w:t>are</w:t>
      </w:r>
      <w:r w:rsidR="00A30F9A" w:rsidRPr="00B12763">
        <w:rPr>
          <w:rFonts w:ascii="Arial" w:hAnsi="Arial" w:cs="Arial"/>
          <w:i/>
          <w:sz w:val="20"/>
          <w:szCs w:val="20"/>
          <w:lang w:val="en-GB"/>
        </w:rPr>
        <w:t xml:space="preserve"> </w:t>
      </w:r>
      <w:r w:rsidR="007D43DB" w:rsidRPr="00B12763">
        <w:rPr>
          <w:rFonts w:ascii="Arial" w:hAnsi="Arial" w:cs="Arial"/>
          <w:i/>
          <w:sz w:val="20"/>
          <w:szCs w:val="20"/>
          <w:lang w:val="en-GB"/>
        </w:rPr>
        <w:t>provided</w:t>
      </w:r>
      <w:r w:rsidR="007D43DB" w:rsidRPr="00B12763">
        <w:rPr>
          <w:rFonts w:ascii="Arial" w:hAnsi="Arial" w:cs="Arial"/>
          <w:b/>
          <w:i/>
          <w:sz w:val="20"/>
          <w:szCs w:val="20"/>
          <w:lang w:val="en-GB"/>
        </w:rPr>
        <w:t xml:space="preserve"> </w:t>
      </w:r>
      <w:r w:rsidR="007D43DB" w:rsidRPr="00B12763">
        <w:rPr>
          <w:rFonts w:ascii="Arial" w:hAnsi="Arial" w:cs="Arial"/>
          <w:i/>
          <w:sz w:val="20"/>
          <w:szCs w:val="20"/>
          <w:lang w:val="en-GB"/>
        </w:rPr>
        <w:t xml:space="preserve">as </w:t>
      </w:r>
      <w:r w:rsidR="005246DC" w:rsidRPr="007E78F3">
        <w:rPr>
          <w:rFonts w:ascii="Arial" w:hAnsi="Arial" w:cs="Arial"/>
          <w:b/>
          <w:i/>
          <w:sz w:val="20"/>
          <w:szCs w:val="20"/>
          <w:lang w:val="en-GB"/>
        </w:rPr>
        <w:t>headcount</w:t>
      </w:r>
      <w:r w:rsidR="00A34DDE" w:rsidRPr="00B12763">
        <w:rPr>
          <w:rFonts w:ascii="Arial" w:hAnsi="Arial" w:cs="Arial"/>
          <w:b/>
          <w:i/>
          <w:sz w:val="20"/>
          <w:szCs w:val="20"/>
          <w:lang w:val="en-GB"/>
        </w:rPr>
        <w:t xml:space="preserve"> </w:t>
      </w:r>
      <w:r w:rsidR="00A34DDE" w:rsidRPr="00B12763">
        <w:rPr>
          <w:rFonts w:ascii="Arial" w:hAnsi="Arial" w:cs="Arial"/>
          <w:i/>
          <w:sz w:val="20"/>
          <w:szCs w:val="20"/>
          <w:lang w:val="en-GB"/>
        </w:rPr>
        <w:t>(number)</w:t>
      </w:r>
      <w:r w:rsidR="005246DC" w:rsidRPr="007E78F3">
        <w:rPr>
          <w:rFonts w:ascii="Arial" w:hAnsi="Arial" w:cs="Arial"/>
          <w:b/>
          <w:i/>
          <w:sz w:val="20"/>
          <w:szCs w:val="20"/>
          <w:lang w:val="en-GB"/>
        </w:rPr>
        <w:t xml:space="preserve"> </w:t>
      </w:r>
      <w:r w:rsidR="00062EDE" w:rsidRPr="00B12763">
        <w:rPr>
          <w:rFonts w:ascii="Arial" w:hAnsi="Arial" w:cs="Arial"/>
          <w:b/>
          <w:i/>
          <w:sz w:val="20"/>
          <w:szCs w:val="20"/>
          <w:lang w:val="en-GB"/>
        </w:rPr>
        <w:t xml:space="preserve">of </w:t>
      </w:r>
      <w:r w:rsidR="00361C88" w:rsidRPr="00B12763">
        <w:rPr>
          <w:rFonts w:ascii="Arial" w:hAnsi="Arial" w:cs="Arial"/>
          <w:b/>
          <w:i/>
          <w:sz w:val="20"/>
          <w:szCs w:val="20"/>
          <w:lang w:val="en-GB"/>
        </w:rPr>
        <w:t>health</w:t>
      </w:r>
      <w:r w:rsidR="000C1E51" w:rsidRPr="007E78F3">
        <w:rPr>
          <w:rFonts w:ascii="Arial" w:hAnsi="Arial" w:cs="Arial"/>
          <w:b/>
          <w:i/>
          <w:sz w:val="20"/>
          <w:szCs w:val="20"/>
          <w:lang w:val="en-GB"/>
        </w:rPr>
        <w:t xml:space="preserve"> care</w:t>
      </w:r>
      <w:r w:rsidR="000C1E51" w:rsidRPr="004642C7">
        <w:rPr>
          <w:rFonts w:ascii="Arial" w:hAnsi="Arial" w:cs="Arial"/>
          <w:b/>
          <w:i/>
          <w:sz w:val="20"/>
          <w:szCs w:val="20"/>
          <w:lang w:val="en-GB"/>
        </w:rPr>
        <w:t xml:space="preserve"> personnel (health</w:t>
      </w:r>
      <w:r w:rsidR="00361C88" w:rsidRPr="00B12763">
        <w:rPr>
          <w:rFonts w:ascii="Arial" w:hAnsi="Arial" w:cs="Arial"/>
          <w:b/>
          <w:i/>
          <w:sz w:val="20"/>
          <w:szCs w:val="20"/>
          <w:lang w:val="en-GB"/>
        </w:rPr>
        <w:t xml:space="preserve"> </w:t>
      </w:r>
      <w:r w:rsidR="00A34DDE" w:rsidRPr="00B12763">
        <w:rPr>
          <w:rFonts w:ascii="Arial" w:hAnsi="Arial" w:cs="Arial"/>
          <w:b/>
          <w:i/>
          <w:sz w:val="20"/>
          <w:szCs w:val="20"/>
          <w:lang w:val="en-GB"/>
        </w:rPr>
        <w:t>professionals</w:t>
      </w:r>
      <w:r w:rsidR="000C1E51" w:rsidRPr="007E78F3">
        <w:rPr>
          <w:rFonts w:ascii="Arial" w:hAnsi="Arial" w:cs="Arial"/>
          <w:b/>
          <w:i/>
          <w:sz w:val="20"/>
          <w:szCs w:val="20"/>
          <w:lang w:val="en-GB"/>
        </w:rPr>
        <w:t>)</w:t>
      </w:r>
      <w:r w:rsidR="00FE25D6" w:rsidRPr="00B12763">
        <w:rPr>
          <w:rFonts w:ascii="Arial" w:hAnsi="Arial" w:cs="Arial"/>
          <w:i/>
          <w:sz w:val="20"/>
          <w:szCs w:val="20"/>
          <w:lang w:val="en-GB"/>
        </w:rPr>
        <w:t xml:space="preserve"> </w:t>
      </w:r>
      <w:r w:rsidR="00672CA7" w:rsidRPr="00B12763">
        <w:rPr>
          <w:rFonts w:ascii="Arial" w:hAnsi="Arial" w:cs="Arial"/>
          <w:i/>
          <w:sz w:val="20"/>
          <w:szCs w:val="20"/>
          <w:lang w:val="en-GB"/>
        </w:rPr>
        <w:t>as at 31 December of the reference year</w:t>
      </w:r>
      <w:r w:rsidR="00672CA7" w:rsidRPr="00A008B7">
        <w:rPr>
          <w:rFonts w:ascii="Arial" w:hAnsi="Arial" w:cs="Arial"/>
          <w:i/>
          <w:sz w:val="20"/>
          <w:szCs w:val="20"/>
          <w:lang w:val="en-GB"/>
        </w:rPr>
        <w:t>.</w:t>
      </w:r>
    </w:p>
    <w:p w14:paraId="349A8DE6" w14:textId="3BFF5ADF" w:rsidR="00002722" w:rsidRDefault="00002722"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val="0"/>
          <w:szCs w:val="17"/>
        </w:rPr>
      </w:pPr>
    </w:p>
    <w:p w14:paraId="4E4E0383" w14:textId="21E9A503" w:rsidR="00B12763" w:rsidRDefault="00B12763"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val="0"/>
          <w:szCs w:val="17"/>
        </w:rPr>
      </w:pPr>
    </w:p>
    <w:p w14:paraId="1B6C3790" w14:textId="219C5021" w:rsidR="00B12763" w:rsidRDefault="00B12763"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val="0"/>
          <w:szCs w:val="17"/>
        </w:rPr>
      </w:pPr>
    </w:p>
    <w:p w14:paraId="04BABA0A" w14:textId="0A7FC004" w:rsidR="00B12763" w:rsidRDefault="00B12763"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val="0"/>
          <w:szCs w:val="17"/>
        </w:rPr>
      </w:pPr>
    </w:p>
    <w:p w14:paraId="61F61DA3" w14:textId="39DBDB4B" w:rsidR="00B12763" w:rsidRDefault="00B12763"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val="0"/>
          <w:szCs w:val="17"/>
        </w:rPr>
      </w:pPr>
    </w:p>
    <w:p w14:paraId="4278A75C" w14:textId="77777777" w:rsidR="00B12763" w:rsidRPr="00A008B7" w:rsidRDefault="00B12763"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val="0"/>
          <w:szCs w:val="17"/>
        </w:rPr>
      </w:pPr>
    </w:p>
    <w:p w14:paraId="1AEF06A9" w14:textId="6A38AF8C" w:rsidR="0069164F" w:rsidRPr="00B12763" w:rsidRDefault="00D070B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Calibri" w:hAnsi="Arial" w:cs="Arial"/>
          <w:i/>
          <w:sz w:val="20"/>
          <w:szCs w:val="20"/>
          <w:lang w:eastAsia="en-US"/>
        </w:rPr>
      </w:pPr>
      <w:r w:rsidRPr="00B12763">
        <w:rPr>
          <w:rFonts w:ascii="Arial" w:hAnsi="Arial" w:cs="Arial"/>
          <w:b/>
          <w:i/>
          <w:u w:val="single"/>
          <w:lang w:val="en-GB" w:eastAsia="en-US"/>
        </w:rPr>
        <w:lastRenderedPageBreak/>
        <w:t xml:space="preserve">Expenditure of health insurance companies </w:t>
      </w:r>
      <w:r w:rsidR="00B7345D" w:rsidRPr="00B12763">
        <w:rPr>
          <w:rFonts w:ascii="Arial" w:hAnsi="Arial" w:cs="Arial"/>
          <w:b/>
          <w:i/>
          <w:u w:val="single"/>
          <w:lang w:val="en-GB" w:eastAsia="en-US"/>
        </w:rPr>
        <w:t>(</w:t>
      </w:r>
      <w:r w:rsidR="003359A5" w:rsidRPr="00B12763">
        <w:rPr>
          <w:rFonts w:ascii="Arial" w:hAnsi="Arial" w:cs="Arial"/>
          <w:b/>
          <w:bCs/>
          <w:i/>
          <w:u w:val="single"/>
          <w:lang w:val="en-GB" w:eastAsia="en-US"/>
        </w:rPr>
        <w:t>Tables 2</w:t>
      </w:r>
      <w:r w:rsidR="003359A5" w:rsidRPr="00B12763">
        <w:rPr>
          <w:rFonts w:ascii="Arial" w:hAnsi="Arial" w:cs="Arial"/>
          <w:b/>
          <w:i/>
          <w:iCs/>
          <w:sz w:val="20"/>
          <w:szCs w:val="17"/>
          <w:u w:val="single"/>
          <w:lang w:val="en-GB"/>
        </w:rPr>
        <w:t>–</w:t>
      </w:r>
      <w:r w:rsidR="00E368EE" w:rsidRPr="00B12763">
        <w:rPr>
          <w:rFonts w:ascii="Arial" w:hAnsi="Arial" w:cs="Arial"/>
          <w:b/>
          <w:bCs/>
          <w:i/>
          <w:u w:val="single"/>
          <w:lang w:val="en-GB" w:eastAsia="en-US"/>
        </w:rPr>
        <w:t xml:space="preserve">18 </w:t>
      </w:r>
      <w:r w:rsidR="003359A5" w:rsidRPr="00B12763">
        <w:rPr>
          <w:rFonts w:ascii="Arial" w:hAnsi="Arial" w:cs="Arial"/>
          <w:b/>
          <w:bCs/>
          <w:i/>
          <w:u w:val="single"/>
          <w:lang w:val="en-GB" w:eastAsia="en-US"/>
        </w:rPr>
        <w:t>through 2</w:t>
      </w:r>
      <w:r w:rsidR="003359A5" w:rsidRPr="00B12763">
        <w:rPr>
          <w:rFonts w:ascii="Arial" w:hAnsi="Arial" w:cs="Arial"/>
          <w:b/>
          <w:i/>
          <w:iCs/>
          <w:sz w:val="20"/>
          <w:szCs w:val="17"/>
          <w:u w:val="single"/>
          <w:lang w:val="en-GB"/>
        </w:rPr>
        <w:t>–</w:t>
      </w:r>
      <w:r w:rsidR="00E368EE" w:rsidRPr="00B12763">
        <w:rPr>
          <w:rFonts w:ascii="Arial" w:hAnsi="Arial" w:cs="Arial"/>
          <w:b/>
          <w:bCs/>
          <w:i/>
          <w:u w:val="single"/>
          <w:lang w:val="en-GB" w:eastAsia="en-US"/>
        </w:rPr>
        <w:t>21</w:t>
      </w:r>
      <w:r w:rsidR="00B7345D" w:rsidRPr="00B12763">
        <w:rPr>
          <w:rFonts w:ascii="Arial" w:hAnsi="Arial" w:cs="Arial"/>
          <w:b/>
          <w:i/>
          <w:u w:val="single"/>
          <w:lang w:val="en-GB" w:eastAsia="en-US"/>
        </w:rPr>
        <w:t xml:space="preserve">) </w:t>
      </w:r>
    </w:p>
    <w:p w14:paraId="0D56AD99" w14:textId="4F3BD191" w:rsidR="00B7345D" w:rsidRPr="00697261" w:rsidRDefault="00D070B5" w:rsidP="00B7345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697261">
        <w:rPr>
          <w:rFonts w:ascii="Arial" w:hAnsi="Arial" w:cs="Arial"/>
          <w:i/>
          <w:sz w:val="20"/>
          <w:szCs w:val="20"/>
          <w:lang w:val="en-GB"/>
        </w:rPr>
        <w:t>The main source of data on expenditure of health insurance companies are data on health care reported by health establishments and recognised by health insurance companies.</w:t>
      </w:r>
    </w:p>
    <w:p w14:paraId="07A263C8" w14:textId="358CA61C" w:rsidR="00011CB8" w:rsidRPr="00B12763" w:rsidRDefault="00011CB8" w:rsidP="00B7345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lang w:val="en-GB"/>
        </w:rPr>
      </w:pPr>
      <w:r w:rsidRPr="00B12763">
        <w:rPr>
          <w:rFonts w:ascii="Arial" w:hAnsi="Arial" w:cs="Arial"/>
          <w:i/>
          <w:sz w:val="20"/>
          <w:lang w:val="en-GB"/>
        </w:rPr>
        <w:t xml:space="preserve">In 2022, </w:t>
      </w:r>
      <w:r w:rsidRPr="00B12763">
        <w:rPr>
          <w:rFonts w:ascii="Arial" w:hAnsi="Arial" w:cs="Arial"/>
          <w:b/>
          <w:i/>
          <w:sz w:val="20"/>
          <w:lang w:val="en-GB"/>
        </w:rPr>
        <w:t>data for 2017–2019 were revised and data for 2020 processed</w:t>
      </w:r>
      <w:r w:rsidRPr="00B12763">
        <w:rPr>
          <w:rFonts w:ascii="Arial" w:hAnsi="Arial" w:cs="Arial"/>
          <w:i/>
          <w:sz w:val="20"/>
          <w:lang w:val="en-GB"/>
        </w:rPr>
        <w:t xml:space="preserve"> while using </w:t>
      </w:r>
      <w:r w:rsidRPr="00B12763">
        <w:rPr>
          <w:rFonts w:ascii="Arial" w:hAnsi="Arial" w:cs="Arial"/>
          <w:b/>
          <w:i/>
          <w:sz w:val="20"/>
          <w:lang w:val="en-GB"/>
        </w:rPr>
        <w:t>a new data source</w:t>
      </w:r>
      <w:r w:rsidRPr="00B12763">
        <w:rPr>
          <w:rFonts w:ascii="Arial" w:hAnsi="Arial" w:cs="Arial"/>
          <w:i/>
          <w:sz w:val="20"/>
          <w:lang w:val="en-GB"/>
        </w:rPr>
        <w:t xml:space="preserve">. For the first time, the CZSO for an analysis of expenditure on health care did not use data handed over directly from individual health insurance companies – it used data sent by health insurance companies during the year to the National Register of Reimbursed Health Services (abbreviated NRHZS in Czech) and to the Ministry of Health of the Czech Republic. An effort to reduce the administrative burden of individual health insurance companies and to unify the input source was the main reason for the revision. </w:t>
      </w:r>
    </w:p>
    <w:p w14:paraId="28243C39" w14:textId="77777777" w:rsidR="00A97B6B" w:rsidRPr="00B12763" w:rsidRDefault="00A97B6B" w:rsidP="00B1276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20"/>
          <w:szCs w:val="20"/>
        </w:rPr>
      </w:pPr>
    </w:p>
    <w:p w14:paraId="53BEAE99" w14:textId="66B01957" w:rsidR="00860162" w:rsidRPr="00640144" w:rsidRDefault="00860162" w:rsidP="00E35786">
      <w:pPr>
        <w:ind w:left="709"/>
        <w:jc w:val="both"/>
        <w:rPr>
          <w:rFonts w:ascii="Arial" w:hAnsi="Arial" w:cs="Arial"/>
          <w:i/>
          <w:iCs/>
          <w:sz w:val="20"/>
          <w:szCs w:val="20"/>
          <w:lang w:val="en-GB"/>
        </w:rPr>
      </w:pPr>
      <w:r w:rsidRPr="00E3683E">
        <w:rPr>
          <w:rFonts w:ascii="Arial" w:hAnsi="Arial" w:cs="Arial"/>
          <w:b/>
          <w:bCs/>
          <w:i/>
          <w:iCs/>
          <w:sz w:val="20"/>
          <w:szCs w:val="20"/>
          <w:lang w:val="en-GB"/>
        </w:rPr>
        <w:t xml:space="preserve">Expenditure of health insurance companies per </w:t>
      </w:r>
      <w:r w:rsidR="00262AA6" w:rsidRPr="00B12763">
        <w:rPr>
          <w:rFonts w:ascii="Arial" w:hAnsi="Arial" w:cs="Arial"/>
          <w:b/>
          <w:bCs/>
          <w:i/>
          <w:iCs/>
          <w:sz w:val="20"/>
          <w:szCs w:val="20"/>
          <w:lang w:val="en-GB"/>
        </w:rPr>
        <w:t>capita</w:t>
      </w:r>
      <w:r w:rsidR="008E29CE" w:rsidRPr="00E3683E">
        <w:rPr>
          <w:rFonts w:ascii="Arial" w:hAnsi="Arial" w:cs="Arial"/>
          <w:b/>
          <w:bCs/>
          <w:i/>
          <w:iCs/>
          <w:sz w:val="20"/>
          <w:szCs w:val="20"/>
          <w:lang w:val="en-GB"/>
        </w:rPr>
        <w:t xml:space="preserve"> by sex and</w:t>
      </w:r>
      <w:r w:rsidRPr="00E3683E">
        <w:rPr>
          <w:rFonts w:ascii="Arial" w:hAnsi="Arial" w:cs="Arial"/>
          <w:b/>
          <w:bCs/>
          <w:i/>
          <w:iCs/>
          <w:sz w:val="20"/>
          <w:szCs w:val="20"/>
          <w:lang w:val="en-GB"/>
        </w:rPr>
        <w:t xml:space="preserve"> age group</w:t>
      </w:r>
    </w:p>
    <w:p w14:paraId="1C0EBE24" w14:textId="7CA126DE" w:rsidR="00DD0A81" w:rsidRPr="00B12763" w:rsidRDefault="00DD0A81" w:rsidP="00B12763">
      <w:pPr>
        <w:pStyle w:val="Zkladntext3"/>
        <w:spacing w:before="120"/>
        <w:ind w:firstLine="709"/>
        <w:jc w:val="both"/>
        <w:rPr>
          <w:rFonts w:ascii="Arial" w:hAnsi="Arial" w:cs="Arial"/>
          <w:i/>
          <w:sz w:val="20"/>
          <w:szCs w:val="24"/>
          <w:lang w:val="en-GB"/>
        </w:rPr>
      </w:pPr>
      <w:r w:rsidRPr="00B12763">
        <w:rPr>
          <w:rFonts w:ascii="Arial" w:hAnsi="Arial" w:cs="Arial"/>
          <w:i/>
          <w:sz w:val="20"/>
          <w:szCs w:val="24"/>
          <w:lang w:val="en-GB"/>
        </w:rPr>
        <w:t>The data in the table are based on the System of Health Accounts of the Czech Republic. Expenditure that cannot be broken down by age is also included in the total indicator of expenditure per capita of a given sex.</w:t>
      </w:r>
    </w:p>
    <w:p w14:paraId="266C4C06" w14:textId="263D5243" w:rsidR="00373A1C" w:rsidRPr="00B12763" w:rsidRDefault="00D407AD" w:rsidP="00373A1C">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rPr>
          <w:rFonts w:ascii="Arial" w:hAnsi="Arial" w:cs="Arial"/>
          <w:i/>
          <w:sz w:val="20"/>
          <w:szCs w:val="20"/>
        </w:rPr>
      </w:pPr>
      <w:r w:rsidRPr="00B12763">
        <w:rPr>
          <w:rFonts w:ascii="Arial" w:hAnsi="Arial" w:cs="Arial"/>
          <w:b/>
          <w:i/>
          <w:sz w:val="20"/>
          <w:szCs w:val="20"/>
        </w:rPr>
        <w:tab/>
      </w:r>
      <w:r w:rsidR="00AF4C36" w:rsidRPr="00D7470B">
        <w:rPr>
          <w:rFonts w:ascii="Arial" w:hAnsi="Arial" w:cs="Arial"/>
          <w:b/>
          <w:bCs/>
          <w:i/>
          <w:iCs/>
          <w:sz w:val="20"/>
          <w:szCs w:val="20"/>
          <w:lang w:val="en-GB"/>
        </w:rPr>
        <w:t>Expenditure of health insurance companies on health care</w:t>
      </w:r>
      <w:r w:rsidR="00AF4C36" w:rsidRPr="00AF4C36">
        <w:rPr>
          <w:rFonts w:ascii="Arial" w:hAnsi="Arial" w:cs="Arial"/>
          <w:b/>
          <w:bCs/>
          <w:i/>
          <w:iCs/>
          <w:sz w:val="20"/>
          <w:szCs w:val="20"/>
          <w:lang w:val="en-GB"/>
        </w:rPr>
        <w:t xml:space="preserve"> by selected diagnosis, sex, and </w:t>
      </w:r>
      <w:r w:rsidR="00CB6574">
        <w:rPr>
          <w:rFonts w:ascii="Arial" w:hAnsi="Arial" w:cs="Arial"/>
          <w:b/>
          <w:bCs/>
          <w:i/>
          <w:iCs/>
          <w:sz w:val="20"/>
          <w:szCs w:val="20"/>
          <w:lang w:val="en-GB"/>
        </w:rPr>
        <w:t>by</w:t>
      </w:r>
      <w:r w:rsidR="00C73763">
        <w:rPr>
          <w:rFonts w:ascii="Arial" w:hAnsi="Arial" w:cs="Arial"/>
          <w:b/>
          <w:bCs/>
          <w:i/>
          <w:iCs/>
          <w:sz w:val="20"/>
          <w:szCs w:val="20"/>
          <w:lang w:val="en-GB"/>
        </w:rPr>
        <w:t> </w:t>
      </w:r>
      <w:r w:rsidR="00AF4C36" w:rsidRPr="00AF4C36">
        <w:rPr>
          <w:rFonts w:ascii="Arial" w:hAnsi="Arial" w:cs="Arial"/>
          <w:b/>
          <w:bCs/>
          <w:i/>
          <w:iCs/>
          <w:sz w:val="20"/>
          <w:szCs w:val="20"/>
          <w:lang w:val="en-GB"/>
        </w:rPr>
        <w:t>age group</w:t>
      </w:r>
    </w:p>
    <w:p w14:paraId="4EADBDE9" w14:textId="2E7B7CB7" w:rsidR="00CA23F5" w:rsidRPr="00B12763" w:rsidRDefault="00CA6E62" w:rsidP="00B12763">
      <w:pPr>
        <w:pStyle w:val="Zkladntext3"/>
        <w:spacing w:before="120"/>
        <w:ind w:firstLine="708"/>
        <w:jc w:val="both"/>
        <w:rPr>
          <w:rFonts w:ascii="Arial" w:hAnsi="Arial" w:cs="Arial"/>
          <w:i/>
          <w:sz w:val="20"/>
          <w:szCs w:val="24"/>
          <w:lang w:val="en-GB"/>
        </w:rPr>
      </w:pPr>
      <w:r w:rsidRPr="00B12763">
        <w:rPr>
          <w:rFonts w:ascii="Arial" w:hAnsi="Arial" w:cs="Arial"/>
          <w:i/>
          <w:sz w:val="20"/>
          <w:szCs w:val="24"/>
          <w:lang w:val="en-GB"/>
        </w:rPr>
        <w:t>The table shows selected diagnoses and chapters of the ICD-10 representing groups with the largest costs incurred for health insurance companies.</w:t>
      </w:r>
    </w:p>
    <w:p w14:paraId="19E022EF" w14:textId="77777777" w:rsidR="00D7763F" w:rsidRPr="00640144" w:rsidRDefault="00D7763F" w:rsidP="00D41F68">
      <w:pPr>
        <w:spacing w:before="120"/>
        <w:jc w:val="both"/>
        <w:rPr>
          <w:rFonts w:ascii="Arial" w:hAnsi="Arial" w:cs="Arial"/>
          <w:i/>
          <w:sz w:val="20"/>
          <w:szCs w:val="20"/>
        </w:rPr>
      </w:pPr>
    </w:p>
    <w:p w14:paraId="46A8F5AD" w14:textId="52C227F9" w:rsidR="00D7763F" w:rsidRPr="00B12763" w:rsidRDefault="00D7763F" w:rsidP="00D7763F">
      <w:pPr>
        <w:ind w:firstLine="708"/>
        <w:rPr>
          <w:rFonts w:ascii="Arial" w:hAnsi="Arial" w:cs="Arial"/>
          <w:b/>
          <w:bCs/>
          <w:i/>
          <w:u w:val="single"/>
          <w:lang w:val="en-GB" w:eastAsia="en-US"/>
        </w:rPr>
      </w:pPr>
      <w:r w:rsidRPr="00B12763">
        <w:rPr>
          <w:rFonts w:ascii="Arial" w:hAnsi="Arial" w:cs="Arial"/>
          <w:b/>
          <w:bCs/>
          <w:i/>
          <w:color w:val="000000"/>
          <w:u w:val="single"/>
          <w:lang w:val="en-GB" w:eastAsia="en-US"/>
        </w:rPr>
        <w:t>Student</w:t>
      </w:r>
      <w:r w:rsidR="001C49FB" w:rsidRPr="00B12763">
        <w:rPr>
          <w:rFonts w:ascii="Arial" w:hAnsi="Arial" w:cs="Arial"/>
          <w:b/>
          <w:bCs/>
          <w:i/>
          <w:color w:val="000000"/>
          <w:u w:val="single"/>
          <w:lang w:val="en-GB" w:eastAsia="en-US"/>
        </w:rPr>
        <w:t>s of</w:t>
      </w:r>
      <w:r w:rsidRPr="00B12763">
        <w:rPr>
          <w:rFonts w:ascii="Arial" w:hAnsi="Arial" w:cs="Arial"/>
          <w:b/>
          <w:bCs/>
          <w:i/>
          <w:color w:val="000000"/>
          <w:u w:val="single"/>
          <w:lang w:val="en-GB" w:eastAsia="en-US"/>
        </w:rPr>
        <w:t xml:space="preserve"> a</w:t>
      </w:r>
      <w:r w:rsidR="001C49FB" w:rsidRPr="00B12763">
        <w:rPr>
          <w:rFonts w:ascii="Arial" w:hAnsi="Arial" w:cs="Arial"/>
          <w:b/>
          <w:bCs/>
          <w:i/>
          <w:color w:val="000000"/>
          <w:u w:val="single"/>
          <w:lang w:val="en-GB" w:eastAsia="en-US"/>
        </w:rPr>
        <w:t>nd graduates from</w:t>
      </w:r>
      <w:r w:rsidRPr="00B12763">
        <w:rPr>
          <w:rFonts w:ascii="Arial" w:hAnsi="Arial" w:cs="Arial"/>
          <w:b/>
          <w:bCs/>
          <w:i/>
          <w:color w:val="000000"/>
          <w:u w:val="single"/>
          <w:lang w:val="en-GB" w:eastAsia="en-US"/>
        </w:rPr>
        <w:t xml:space="preserve"> </w:t>
      </w:r>
      <w:r w:rsidR="00D12725" w:rsidRPr="00B12763">
        <w:rPr>
          <w:rFonts w:ascii="Arial" w:hAnsi="Arial" w:cs="Arial"/>
          <w:b/>
          <w:bCs/>
          <w:i/>
          <w:color w:val="000000"/>
          <w:u w:val="single"/>
          <w:lang w:val="en-GB" w:eastAsia="en-US"/>
        </w:rPr>
        <w:t>health</w:t>
      </w:r>
      <w:r w:rsidR="00D3081D" w:rsidRPr="00B12763">
        <w:rPr>
          <w:rFonts w:ascii="Arial" w:hAnsi="Arial" w:cs="Arial"/>
          <w:b/>
          <w:bCs/>
          <w:i/>
          <w:color w:val="000000"/>
          <w:u w:val="single"/>
          <w:lang w:val="en-GB" w:eastAsia="en-US"/>
        </w:rPr>
        <w:t xml:space="preserve"> fields of education</w:t>
      </w:r>
      <w:r w:rsidRPr="00B12763">
        <w:rPr>
          <w:rFonts w:ascii="Arial" w:hAnsi="Arial" w:cs="Arial"/>
          <w:b/>
          <w:bCs/>
          <w:i/>
          <w:color w:val="000000"/>
          <w:u w:val="single"/>
          <w:lang w:val="en-GB" w:eastAsia="en-US"/>
        </w:rPr>
        <w:t xml:space="preserve"> </w:t>
      </w:r>
      <w:r w:rsidR="00D3081D" w:rsidRPr="00B12763">
        <w:rPr>
          <w:rFonts w:ascii="Arial" w:hAnsi="Arial" w:cs="Arial"/>
          <w:b/>
          <w:bCs/>
          <w:i/>
          <w:color w:val="000000"/>
          <w:u w:val="single"/>
          <w:lang w:val="en-GB" w:eastAsia="en-US"/>
        </w:rPr>
        <w:t>at</w:t>
      </w:r>
      <w:r w:rsidR="001C49FB" w:rsidRPr="00B12763">
        <w:rPr>
          <w:rFonts w:ascii="Arial" w:hAnsi="Arial" w:cs="Arial"/>
          <w:b/>
          <w:bCs/>
          <w:i/>
          <w:color w:val="000000"/>
          <w:u w:val="single"/>
          <w:lang w:val="en-GB" w:eastAsia="en-US"/>
        </w:rPr>
        <w:t xml:space="preserve"> universities</w:t>
      </w:r>
      <w:r w:rsidRPr="00B12763">
        <w:rPr>
          <w:rFonts w:ascii="Arial" w:hAnsi="Arial" w:cs="Arial"/>
          <w:b/>
          <w:bCs/>
          <w:i/>
          <w:color w:val="000000"/>
          <w:u w:val="single"/>
          <w:lang w:val="en-GB" w:eastAsia="en-US"/>
        </w:rPr>
        <w:t xml:space="preserve"> </w:t>
      </w:r>
      <w:r w:rsidRPr="00B12763">
        <w:rPr>
          <w:rFonts w:ascii="Arial" w:hAnsi="Arial" w:cs="Arial"/>
          <w:b/>
          <w:bCs/>
          <w:i/>
          <w:u w:val="single"/>
          <w:lang w:val="en-GB" w:eastAsia="en-US"/>
        </w:rPr>
        <w:t>(</w:t>
      </w:r>
      <w:r w:rsidR="000E79BB" w:rsidRPr="00B12763">
        <w:rPr>
          <w:rFonts w:ascii="Arial" w:hAnsi="Arial" w:cs="Arial"/>
          <w:b/>
          <w:bCs/>
          <w:i/>
          <w:u w:val="single"/>
          <w:lang w:val="en-GB" w:eastAsia="en-US"/>
        </w:rPr>
        <w:t>Table 2</w:t>
      </w:r>
      <w:r w:rsidR="000E79BB" w:rsidRPr="00B12763">
        <w:rPr>
          <w:rFonts w:ascii="Arial" w:hAnsi="Arial" w:cs="Arial"/>
          <w:b/>
          <w:i/>
          <w:iCs/>
          <w:sz w:val="20"/>
          <w:szCs w:val="17"/>
          <w:u w:val="single"/>
          <w:lang w:val="en-GB"/>
        </w:rPr>
        <w:t>–</w:t>
      </w:r>
      <w:r w:rsidR="000E79BB" w:rsidRPr="00B12763">
        <w:rPr>
          <w:rFonts w:ascii="Arial" w:hAnsi="Arial" w:cs="Arial"/>
          <w:b/>
          <w:bCs/>
          <w:i/>
          <w:u w:val="single"/>
          <w:lang w:val="en-GB" w:eastAsia="en-US"/>
        </w:rPr>
        <w:t>2</w:t>
      </w:r>
      <w:r w:rsidR="00ED385C" w:rsidRPr="00B12763">
        <w:rPr>
          <w:rFonts w:ascii="Arial" w:hAnsi="Arial" w:cs="Arial"/>
          <w:b/>
          <w:bCs/>
          <w:i/>
          <w:u w:val="single"/>
          <w:lang w:val="en-GB" w:eastAsia="en-US"/>
        </w:rPr>
        <w:t>5</w:t>
      </w:r>
      <w:r w:rsidRPr="00B12763">
        <w:rPr>
          <w:rFonts w:ascii="Arial" w:hAnsi="Arial" w:cs="Arial"/>
          <w:b/>
          <w:bCs/>
          <w:i/>
          <w:u w:val="single"/>
          <w:lang w:val="en-GB" w:eastAsia="en-US"/>
        </w:rPr>
        <w:t>)</w:t>
      </w:r>
    </w:p>
    <w:p w14:paraId="5AE5D94B" w14:textId="51A6EF7C" w:rsidR="00D7763F" w:rsidRPr="00B12763" w:rsidRDefault="00301E42">
      <w:pPr>
        <w:spacing w:before="120"/>
        <w:ind w:firstLine="709"/>
        <w:jc w:val="both"/>
        <w:rPr>
          <w:rFonts w:ascii="Arial" w:hAnsi="Arial" w:cs="Arial"/>
          <w:i/>
          <w:iCs/>
          <w:sz w:val="20"/>
          <w:szCs w:val="16"/>
          <w:lang w:val="en-GB"/>
        </w:rPr>
      </w:pPr>
      <w:r w:rsidRPr="00A008B7">
        <w:rPr>
          <w:rFonts w:ascii="Arial" w:hAnsi="Arial" w:cs="Arial"/>
          <w:i/>
          <w:color w:val="000000"/>
          <w:sz w:val="20"/>
          <w:szCs w:val="20"/>
          <w:lang w:val="en-GB" w:eastAsia="en-US"/>
        </w:rPr>
        <w:t>Data on students of and graduates from health</w:t>
      </w:r>
      <w:r w:rsidR="00F65194" w:rsidRPr="00A008B7">
        <w:rPr>
          <w:rFonts w:ascii="Arial" w:hAnsi="Arial" w:cs="Arial"/>
          <w:i/>
          <w:color w:val="000000"/>
          <w:sz w:val="20"/>
          <w:szCs w:val="20"/>
          <w:lang w:val="en-GB" w:eastAsia="en-US"/>
        </w:rPr>
        <w:t xml:space="preserve"> </w:t>
      </w:r>
      <w:r w:rsidR="00F13E4E" w:rsidRPr="00A008B7">
        <w:rPr>
          <w:rFonts w:ascii="Arial" w:hAnsi="Arial" w:cs="Arial"/>
          <w:i/>
          <w:color w:val="000000"/>
          <w:sz w:val="20"/>
          <w:szCs w:val="20"/>
          <w:lang w:val="en-GB" w:eastAsia="en-US"/>
        </w:rPr>
        <w:t>(</w:t>
      </w:r>
      <w:r w:rsidR="00F65194" w:rsidRPr="00A008B7">
        <w:rPr>
          <w:rFonts w:ascii="Arial" w:hAnsi="Arial" w:cs="Arial"/>
          <w:i/>
          <w:color w:val="000000"/>
          <w:sz w:val="20"/>
          <w:szCs w:val="20"/>
          <w:lang w:val="en-GB" w:eastAsia="en-US"/>
        </w:rPr>
        <w:t>fields of education</w:t>
      </w:r>
      <w:r w:rsidR="00F13E4E" w:rsidRPr="00A008B7">
        <w:rPr>
          <w:rFonts w:ascii="Arial" w:hAnsi="Arial" w:cs="Arial"/>
          <w:i/>
          <w:color w:val="000000"/>
          <w:sz w:val="20"/>
          <w:szCs w:val="20"/>
          <w:lang w:val="en-GB" w:eastAsia="en-US"/>
        </w:rPr>
        <w:t>)</w:t>
      </w:r>
      <w:r w:rsidRPr="00A008B7">
        <w:rPr>
          <w:rFonts w:ascii="Arial" w:hAnsi="Arial" w:cs="Arial"/>
          <w:i/>
          <w:color w:val="000000"/>
          <w:sz w:val="20"/>
          <w:szCs w:val="20"/>
          <w:lang w:val="en-GB" w:eastAsia="en-US"/>
        </w:rPr>
        <w:t xml:space="preserve"> were obtained from the system of</w:t>
      </w:r>
      <w:r w:rsidR="00C73763">
        <w:rPr>
          <w:rFonts w:ascii="Arial" w:hAnsi="Arial" w:cs="Arial"/>
          <w:i/>
          <w:color w:val="000000"/>
          <w:sz w:val="20"/>
          <w:szCs w:val="20"/>
          <w:lang w:val="en-GB" w:eastAsia="en-US"/>
        </w:rPr>
        <w:t> </w:t>
      </w:r>
      <w:r w:rsidRPr="00A008B7">
        <w:rPr>
          <w:rFonts w:ascii="Arial" w:hAnsi="Arial" w:cs="Arial"/>
          <w:i/>
          <w:color w:val="000000"/>
          <w:sz w:val="20"/>
          <w:szCs w:val="20"/>
          <w:lang w:val="en-GB" w:eastAsia="en-US"/>
        </w:rPr>
        <w:t xml:space="preserve">the </w:t>
      </w:r>
      <w:r w:rsidRPr="00B12763">
        <w:rPr>
          <w:rFonts w:ascii="Arial" w:hAnsi="Arial" w:cs="Arial"/>
          <w:i/>
          <w:color w:val="000000"/>
          <w:sz w:val="20"/>
          <w:szCs w:val="20"/>
          <w:lang w:val="en-GB" w:eastAsia="en-US"/>
        </w:rPr>
        <w:t>Union Information from Students’ Registers</w:t>
      </w:r>
      <w:r w:rsidRPr="00A008B7">
        <w:rPr>
          <w:rFonts w:ascii="Arial" w:hAnsi="Arial" w:cs="Arial"/>
          <w:i/>
          <w:color w:val="000000"/>
          <w:sz w:val="20"/>
          <w:szCs w:val="20"/>
          <w:lang w:val="en-GB" w:eastAsia="en-US"/>
        </w:rPr>
        <w:t xml:space="preserve"> (the </w:t>
      </w:r>
      <w:r w:rsidRPr="00A008B7">
        <w:rPr>
          <w:rFonts w:ascii="Arial" w:hAnsi="Arial" w:cs="Arial"/>
          <w:color w:val="000000"/>
          <w:sz w:val="20"/>
          <w:szCs w:val="20"/>
          <w:lang w:val="en-GB" w:eastAsia="en-US"/>
        </w:rPr>
        <w:t>SIMS</w:t>
      </w:r>
      <w:r w:rsidRPr="00A008B7">
        <w:rPr>
          <w:rFonts w:ascii="Arial" w:hAnsi="Arial" w:cs="Arial"/>
          <w:i/>
          <w:color w:val="000000"/>
          <w:sz w:val="20"/>
          <w:szCs w:val="20"/>
          <w:lang w:val="en-GB" w:eastAsia="en-US"/>
        </w:rPr>
        <w:t xml:space="preserve"> database). </w:t>
      </w:r>
      <w:r w:rsidRPr="00A008B7">
        <w:rPr>
          <w:rFonts w:ascii="Arial" w:hAnsi="Arial" w:cs="Arial"/>
          <w:i/>
          <w:iCs/>
          <w:sz w:val="20"/>
          <w:szCs w:val="16"/>
          <w:lang w:val="en-GB"/>
        </w:rPr>
        <w:t xml:space="preserve">The source </w:t>
      </w:r>
      <w:r w:rsidRPr="00A008B7">
        <w:rPr>
          <w:rFonts w:ascii="Arial" w:hAnsi="Arial" w:cs="Arial"/>
          <w:iCs/>
          <w:sz w:val="20"/>
          <w:szCs w:val="16"/>
          <w:lang w:val="en-GB"/>
        </w:rPr>
        <w:t xml:space="preserve">SIMS </w:t>
      </w:r>
      <w:r w:rsidRPr="00A008B7">
        <w:rPr>
          <w:rFonts w:ascii="Arial" w:hAnsi="Arial" w:cs="Arial"/>
          <w:i/>
          <w:iCs/>
          <w:sz w:val="20"/>
          <w:szCs w:val="16"/>
          <w:lang w:val="en-GB"/>
        </w:rPr>
        <w:t>database is continually completed and updated including retrospective corrections; the data presented in this publication refer to the database status as at 20 January </w:t>
      </w:r>
      <w:r w:rsidR="00CF6D6B" w:rsidRPr="00A008B7">
        <w:rPr>
          <w:rFonts w:ascii="Arial" w:hAnsi="Arial" w:cs="Arial"/>
          <w:i/>
          <w:iCs/>
          <w:sz w:val="20"/>
          <w:szCs w:val="16"/>
          <w:lang w:val="en-GB"/>
        </w:rPr>
        <w:t>202</w:t>
      </w:r>
      <w:r w:rsidR="00CF6D6B" w:rsidRPr="00B12763">
        <w:rPr>
          <w:rFonts w:ascii="Arial" w:hAnsi="Arial" w:cs="Arial"/>
          <w:i/>
          <w:iCs/>
          <w:sz w:val="20"/>
          <w:szCs w:val="16"/>
          <w:lang w:val="en-GB"/>
        </w:rPr>
        <w:t>2</w:t>
      </w:r>
      <w:r w:rsidRPr="00A008B7">
        <w:rPr>
          <w:rFonts w:ascii="Arial" w:hAnsi="Arial" w:cs="Arial"/>
          <w:i/>
          <w:iCs/>
          <w:sz w:val="20"/>
          <w:szCs w:val="16"/>
          <w:lang w:val="en-GB"/>
        </w:rPr>
        <w:t>.</w:t>
      </w:r>
      <w:r w:rsidR="00686123" w:rsidRPr="00A008B7">
        <w:rPr>
          <w:rFonts w:ascii="Arial" w:hAnsi="Arial" w:cs="Arial"/>
          <w:i/>
          <w:iCs/>
          <w:sz w:val="20"/>
          <w:szCs w:val="16"/>
          <w:lang w:val="en-GB"/>
        </w:rPr>
        <w:t xml:space="preserve"> Data for university students are always as at 31 December of a given year; data on graduates are for the whole calendar year. </w:t>
      </w:r>
    </w:p>
    <w:p w14:paraId="4E327755" w14:textId="4CADAE8E" w:rsidR="00106683" w:rsidRPr="007A6568" w:rsidRDefault="00106683" w:rsidP="007A6568">
      <w:pPr>
        <w:spacing w:before="120"/>
        <w:jc w:val="both"/>
        <w:rPr>
          <w:rFonts w:ascii="Arial" w:hAnsi="Arial" w:cs="Arial"/>
          <w:i/>
          <w:color w:val="000000"/>
          <w:sz w:val="20"/>
          <w:szCs w:val="20"/>
          <w:lang w:val="en-GB" w:eastAsia="en-US"/>
        </w:rPr>
      </w:pPr>
      <w:r w:rsidRPr="007A6568">
        <w:rPr>
          <w:rFonts w:ascii="Arial" w:hAnsi="Arial" w:cs="Arial"/>
          <w:i/>
          <w:color w:val="000000"/>
          <w:sz w:val="20"/>
          <w:szCs w:val="20"/>
          <w:lang w:val="en-GB" w:eastAsia="en-US"/>
        </w:rPr>
        <w:t xml:space="preserve">Health studies are </w:t>
      </w:r>
      <w:r w:rsidR="007D12F3" w:rsidRPr="007A6568">
        <w:rPr>
          <w:rFonts w:ascii="Arial" w:hAnsi="Arial" w:cs="Arial"/>
          <w:i/>
          <w:color w:val="000000"/>
          <w:sz w:val="20"/>
          <w:szCs w:val="20"/>
          <w:lang w:val="en-GB" w:eastAsia="en-US"/>
        </w:rPr>
        <w:t xml:space="preserve">specified </w:t>
      </w:r>
      <w:r w:rsidRPr="007A6568">
        <w:rPr>
          <w:rFonts w:ascii="Arial" w:hAnsi="Arial" w:cs="Arial"/>
          <w:i/>
          <w:color w:val="000000"/>
          <w:sz w:val="20"/>
          <w:szCs w:val="20"/>
          <w:lang w:val="en-GB" w:eastAsia="en-US"/>
        </w:rPr>
        <w:t>based on the</w:t>
      </w:r>
      <w:r w:rsidR="007D12F3" w:rsidRPr="007A6568">
        <w:rPr>
          <w:rFonts w:ascii="Arial" w:hAnsi="Arial" w:cs="Arial"/>
          <w:i/>
          <w:color w:val="000000"/>
          <w:sz w:val="20"/>
          <w:szCs w:val="20"/>
          <w:lang w:val="en-GB" w:eastAsia="en-US"/>
        </w:rPr>
        <w:t xml:space="preserve"> ISCED</w:t>
      </w:r>
      <w:r w:rsidRPr="007A6568">
        <w:rPr>
          <w:rFonts w:ascii="Arial" w:hAnsi="Arial" w:cs="Arial"/>
          <w:i/>
          <w:color w:val="000000"/>
          <w:sz w:val="20"/>
          <w:szCs w:val="20"/>
          <w:lang w:val="en-GB" w:eastAsia="en-US"/>
        </w:rPr>
        <w:t xml:space="preserve"> Fields of Education</w:t>
      </w:r>
      <w:r w:rsidR="007D12F3" w:rsidRPr="007A6568">
        <w:rPr>
          <w:rFonts w:ascii="Arial" w:hAnsi="Arial" w:cs="Arial"/>
          <w:i/>
          <w:color w:val="000000"/>
          <w:sz w:val="20"/>
          <w:szCs w:val="20"/>
          <w:lang w:val="en-GB" w:eastAsia="en-US"/>
        </w:rPr>
        <w:t xml:space="preserve"> and Training 2013</w:t>
      </w:r>
      <w:r w:rsidRPr="007A6568">
        <w:rPr>
          <w:rFonts w:ascii="Arial" w:hAnsi="Arial" w:cs="Arial"/>
          <w:i/>
          <w:color w:val="000000"/>
          <w:sz w:val="20"/>
          <w:szCs w:val="20"/>
          <w:lang w:val="en-GB" w:eastAsia="en-US"/>
        </w:rPr>
        <w:t xml:space="preserve"> (</w:t>
      </w:r>
      <w:r w:rsidR="007D12F3" w:rsidRPr="007A6568">
        <w:rPr>
          <w:rFonts w:ascii="Arial" w:hAnsi="Arial" w:cs="Arial"/>
          <w:i/>
          <w:color w:val="000000"/>
          <w:sz w:val="20"/>
          <w:szCs w:val="20"/>
          <w:lang w:val="en-GB" w:eastAsia="en-US"/>
        </w:rPr>
        <w:t xml:space="preserve">the Czech version: </w:t>
      </w:r>
      <w:r w:rsidRPr="007A6568">
        <w:rPr>
          <w:rFonts w:ascii="Arial" w:hAnsi="Arial" w:cs="Arial"/>
          <w:i/>
          <w:color w:val="000000"/>
          <w:sz w:val="20"/>
          <w:szCs w:val="20"/>
          <w:lang w:val="en-GB" w:eastAsia="en-US"/>
        </w:rPr>
        <w:t xml:space="preserve">CZ-ISCED-F 2013), namely by means of </w:t>
      </w:r>
      <w:r w:rsidR="007D12F3" w:rsidRPr="007A6568">
        <w:rPr>
          <w:rFonts w:ascii="Arial" w:hAnsi="Arial" w:cs="Arial"/>
          <w:i/>
          <w:color w:val="000000"/>
          <w:sz w:val="20"/>
          <w:szCs w:val="20"/>
          <w:lang w:val="en-GB" w:eastAsia="en-US"/>
        </w:rPr>
        <w:t>its</w:t>
      </w:r>
      <w:r w:rsidRPr="007A6568">
        <w:rPr>
          <w:rFonts w:ascii="Arial" w:hAnsi="Arial" w:cs="Arial"/>
          <w:i/>
          <w:color w:val="000000"/>
          <w:sz w:val="20"/>
          <w:szCs w:val="20"/>
          <w:lang w:val="en-GB" w:eastAsia="en-US"/>
        </w:rPr>
        <w:t xml:space="preserve"> narrow field of </w:t>
      </w:r>
      <w:r w:rsidR="00D7763F" w:rsidRPr="007A6568">
        <w:rPr>
          <w:rFonts w:ascii="Arial" w:hAnsi="Arial" w:cs="Arial"/>
          <w:i/>
          <w:color w:val="000000"/>
          <w:sz w:val="20"/>
          <w:szCs w:val="20"/>
          <w:lang w:val="en-GB" w:eastAsia="en-US"/>
        </w:rPr>
        <w:t xml:space="preserve">091 </w:t>
      </w:r>
      <w:r w:rsidR="006468AB" w:rsidRPr="007A6568">
        <w:rPr>
          <w:rFonts w:ascii="Arial" w:hAnsi="Arial" w:cs="Arial"/>
          <w:i/>
          <w:color w:val="000000"/>
          <w:sz w:val="20"/>
          <w:szCs w:val="20"/>
          <w:lang w:val="en-GB" w:eastAsia="en-US"/>
        </w:rPr>
        <w:t>Health</w:t>
      </w:r>
      <w:r w:rsidRPr="007A6568">
        <w:rPr>
          <w:rFonts w:ascii="Arial" w:hAnsi="Arial" w:cs="Arial"/>
          <w:i/>
          <w:color w:val="000000"/>
          <w:sz w:val="20"/>
          <w:szCs w:val="20"/>
          <w:lang w:val="en-GB" w:eastAsia="en-US"/>
        </w:rPr>
        <w:t xml:space="preserve">, which </w:t>
      </w:r>
      <w:r w:rsidR="007D12F3" w:rsidRPr="007A6568">
        <w:rPr>
          <w:rFonts w:ascii="Arial" w:hAnsi="Arial" w:cs="Arial"/>
          <w:i/>
          <w:color w:val="000000"/>
          <w:sz w:val="20"/>
          <w:szCs w:val="20"/>
          <w:lang w:val="en-GB" w:eastAsia="en-US"/>
        </w:rPr>
        <w:t xml:space="preserve">includes </w:t>
      </w:r>
      <w:r w:rsidRPr="007A6568">
        <w:rPr>
          <w:rFonts w:ascii="Arial" w:hAnsi="Arial" w:cs="Arial"/>
          <w:i/>
          <w:color w:val="000000"/>
          <w:sz w:val="20"/>
          <w:szCs w:val="20"/>
          <w:lang w:val="en-GB" w:eastAsia="en-US"/>
        </w:rPr>
        <w:t xml:space="preserve">the following </w:t>
      </w:r>
      <w:r w:rsidR="007D12F3" w:rsidRPr="007A6568">
        <w:rPr>
          <w:rFonts w:ascii="Arial" w:hAnsi="Arial" w:cs="Arial"/>
          <w:i/>
          <w:color w:val="000000"/>
          <w:sz w:val="20"/>
          <w:szCs w:val="20"/>
          <w:lang w:val="en-GB" w:eastAsia="en-US"/>
        </w:rPr>
        <w:t xml:space="preserve">detailed </w:t>
      </w:r>
      <w:r w:rsidRPr="007A6568">
        <w:rPr>
          <w:rFonts w:ascii="Arial" w:hAnsi="Arial" w:cs="Arial"/>
          <w:i/>
          <w:color w:val="000000"/>
          <w:sz w:val="20"/>
          <w:szCs w:val="20"/>
          <w:lang w:val="en-GB" w:eastAsia="en-US"/>
        </w:rPr>
        <w:t xml:space="preserve">fields of education: </w:t>
      </w:r>
    </w:p>
    <w:p w14:paraId="7F9E7A5D" w14:textId="2D97A712"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Dental studies</w:t>
      </w:r>
      <w:r w:rsidR="00D7763F" w:rsidRPr="009F3C2E">
        <w:rPr>
          <w:rFonts w:ascii="Arial" w:hAnsi="Arial" w:cs="Arial"/>
          <w:i/>
          <w:color w:val="000000"/>
          <w:sz w:val="20"/>
          <w:szCs w:val="20"/>
          <w:lang w:val="en-GB" w:eastAsia="en-US"/>
        </w:rPr>
        <w:t xml:space="preserve"> (0911);</w:t>
      </w:r>
    </w:p>
    <w:p w14:paraId="7DC941AF" w14:textId="3E0E6330" w:rsidR="00D7763F" w:rsidRPr="009F3C2E" w:rsidRDefault="00D7763F" w:rsidP="009F3C2E">
      <w:pPr>
        <w:pStyle w:val="Odstavecseseznamem"/>
        <w:numPr>
          <w:ilvl w:val="0"/>
          <w:numId w:val="4"/>
        </w:numPr>
        <w:spacing w:before="120"/>
        <w:jc w:val="both"/>
        <w:rPr>
          <w:rFonts w:ascii="Arial" w:hAnsi="Arial" w:cs="Arial"/>
          <w:i/>
          <w:color w:val="000000"/>
          <w:sz w:val="20"/>
          <w:szCs w:val="20"/>
          <w:lang w:eastAsia="en-US"/>
        </w:rPr>
      </w:pPr>
      <w:r w:rsidRPr="009F3C2E">
        <w:rPr>
          <w:rFonts w:ascii="Arial" w:hAnsi="Arial" w:cs="Arial"/>
          <w:i/>
          <w:color w:val="000000"/>
          <w:sz w:val="20"/>
          <w:szCs w:val="20"/>
          <w:lang w:val="en-GB" w:eastAsia="en-US"/>
        </w:rPr>
        <w:t>Hum</w:t>
      </w:r>
      <w:r w:rsidR="00D67878" w:rsidRPr="009F3C2E">
        <w:rPr>
          <w:rFonts w:ascii="Arial" w:hAnsi="Arial" w:cs="Arial"/>
          <w:i/>
          <w:color w:val="000000"/>
          <w:sz w:val="20"/>
          <w:szCs w:val="20"/>
          <w:lang w:val="en-GB" w:eastAsia="en-US"/>
        </w:rPr>
        <w:t>an</w:t>
      </w:r>
      <w:r w:rsidRPr="009F3C2E">
        <w:rPr>
          <w:rFonts w:ascii="Arial" w:hAnsi="Arial" w:cs="Arial"/>
          <w:i/>
          <w:color w:val="000000"/>
          <w:sz w:val="20"/>
          <w:szCs w:val="20"/>
          <w:lang w:val="en-GB" w:eastAsia="en-US"/>
        </w:rPr>
        <w:t xml:space="preserve"> medic</w:t>
      </w:r>
      <w:r w:rsidR="00D67878" w:rsidRPr="009F3C2E">
        <w:rPr>
          <w:rFonts w:ascii="Arial" w:hAnsi="Arial" w:cs="Arial"/>
          <w:i/>
          <w:color w:val="000000"/>
          <w:sz w:val="20"/>
          <w:szCs w:val="20"/>
          <w:lang w:val="en-GB" w:eastAsia="en-US"/>
        </w:rPr>
        <w:t>ine</w:t>
      </w:r>
      <w:r w:rsidRPr="009F3C2E">
        <w:rPr>
          <w:rFonts w:ascii="Arial" w:hAnsi="Arial" w:cs="Arial"/>
          <w:i/>
          <w:color w:val="000000"/>
          <w:sz w:val="20"/>
          <w:szCs w:val="20"/>
          <w:lang w:val="en-GB" w:eastAsia="en-US"/>
        </w:rPr>
        <w:t xml:space="preserve"> – </w:t>
      </w:r>
      <w:r w:rsidR="00E461F9" w:rsidRPr="009F3C2E">
        <w:rPr>
          <w:rFonts w:ascii="Arial" w:hAnsi="Arial" w:cs="Arial"/>
          <w:i/>
          <w:color w:val="000000"/>
          <w:sz w:val="20"/>
          <w:szCs w:val="20"/>
          <w:lang w:val="en-GB" w:eastAsia="en-US"/>
        </w:rPr>
        <w:t>hereinafter only referred to as</w:t>
      </w:r>
      <w:r w:rsidRPr="009F3C2E">
        <w:rPr>
          <w:rFonts w:ascii="Arial" w:hAnsi="Arial" w:cs="Arial"/>
          <w:i/>
          <w:color w:val="000000"/>
          <w:sz w:val="20"/>
          <w:szCs w:val="20"/>
          <w:lang w:val="en-GB" w:eastAsia="en-US"/>
        </w:rPr>
        <w:t xml:space="preserve"> </w:t>
      </w:r>
      <w:r w:rsidR="00E461F9" w:rsidRPr="009F3C2E">
        <w:rPr>
          <w:rFonts w:ascii="Arial" w:hAnsi="Arial" w:cs="Arial"/>
          <w:i/>
          <w:color w:val="000000"/>
          <w:sz w:val="20"/>
          <w:szCs w:val="20"/>
          <w:lang w:val="en-GB" w:eastAsia="en-US"/>
        </w:rPr>
        <w:t>medicine</w:t>
      </w:r>
      <w:r w:rsidRPr="009F3C2E">
        <w:rPr>
          <w:rFonts w:ascii="Arial" w:hAnsi="Arial" w:cs="Arial"/>
          <w:i/>
          <w:color w:val="000000"/>
          <w:sz w:val="20"/>
          <w:szCs w:val="20"/>
          <w:lang w:val="en-GB" w:eastAsia="en-US"/>
        </w:rPr>
        <w:t xml:space="preserve"> (0912),</w:t>
      </w:r>
      <w:r w:rsidR="00CE1AAE" w:rsidRPr="009F3C2E">
        <w:rPr>
          <w:rFonts w:ascii="Arial" w:hAnsi="Arial" w:cs="Arial"/>
          <w:i/>
          <w:color w:val="000000"/>
          <w:sz w:val="20"/>
          <w:szCs w:val="20"/>
          <w:lang w:val="en-GB" w:eastAsia="en-US"/>
        </w:rPr>
        <w:t xml:space="preserve"> which mainly comprises </w:t>
      </w:r>
      <w:r w:rsidR="00D67878" w:rsidRPr="009F3C2E">
        <w:rPr>
          <w:rFonts w:ascii="Arial" w:hAnsi="Arial" w:cs="Arial"/>
          <w:i/>
          <w:color w:val="000000"/>
          <w:sz w:val="20"/>
          <w:szCs w:val="20"/>
          <w:lang w:val="en-GB" w:eastAsia="en-US"/>
        </w:rPr>
        <w:t xml:space="preserve">preparation of </w:t>
      </w:r>
      <w:r w:rsidR="007D12F3" w:rsidRPr="009F3C2E">
        <w:rPr>
          <w:rFonts w:ascii="Arial" w:hAnsi="Arial" w:cs="Arial"/>
          <w:i/>
          <w:color w:val="000000"/>
          <w:sz w:val="20"/>
          <w:szCs w:val="20"/>
          <w:lang w:val="en-GB" w:eastAsia="en-US"/>
        </w:rPr>
        <w:t>doctors</w:t>
      </w:r>
      <w:r w:rsidR="005C79B7" w:rsidRPr="009F3C2E">
        <w:rPr>
          <w:rFonts w:ascii="Arial" w:hAnsi="Arial" w:cs="Arial"/>
          <w:i/>
          <w:color w:val="000000"/>
          <w:sz w:val="20"/>
          <w:szCs w:val="20"/>
          <w:lang w:val="en-GB" w:eastAsia="en-US"/>
        </w:rPr>
        <w:t>;</w:t>
      </w:r>
      <w:r w:rsidRPr="009F3C2E">
        <w:rPr>
          <w:rFonts w:ascii="Arial" w:hAnsi="Arial" w:cs="Arial"/>
          <w:i/>
          <w:color w:val="000000"/>
          <w:sz w:val="20"/>
          <w:szCs w:val="20"/>
          <w:lang w:val="en-GB" w:eastAsia="en-US"/>
        </w:rPr>
        <w:t xml:space="preserve"> </w:t>
      </w:r>
    </w:p>
    <w:p w14:paraId="2CE9D92D" w14:textId="581C4CB1"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Nursing and midwifery</w:t>
      </w:r>
      <w:r w:rsidR="00D7763F" w:rsidRPr="009F3C2E">
        <w:rPr>
          <w:rFonts w:ascii="Arial" w:hAnsi="Arial" w:cs="Arial"/>
          <w:i/>
          <w:color w:val="000000"/>
          <w:sz w:val="20"/>
          <w:szCs w:val="20"/>
          <w:lang w:val="en-GB" w:eastAsia="en-US"/>
        </w:rPr>
        <w:t xml:space="preserve"> (0913);</w:t>
      </w:r>
    </w:p>
    <w:p w14:paraId="223D5DE7" w14:textId="0E906864"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Medical diagnostic and treatment technology</w:t>
      </w:r>
      <w:r w:rsidR="00D7763F" w:rsidRPr="009F3C2E">
        <w:rPr>
          <w:rFonts w:ascii="Arial" w:hAnsi="Arial" w:cs="Arial"/>
          <w:i/>
          <w:color w:val="000000"/>
          <w:sz w:val="20"/>
          <w:szCs w:val="20"/>
          <w:lang w:val="en-GB" w:eastAsia="en-US"/>
        </w:rPr>
        <w:t xml:space="preserve"> (0914);</w:t>
      </w:r>
    </w:p>
    <w:p w14:paraId="2748367E" w14:textId="76EFBAE0"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Therapy and rehabilitation</w:t>
      </w:r>
      <w:r w:rsidR="00D7763F" w:rsidRPr="009F3C2E">
        <w:rPr>
          <w:rFonts w:ascii="Arial" w:hAnsi="Arial" w:cs="Arial"/>
          <w:i/>
          <w:color w:val="000000"/>
          <w:sz w:val="20"/>
          <w:szCs w:val="20"/>
          <w:lang w:val="en-GB" w:eastAsia="en-US"/>
        </w:rPr>
        <w:t xml:space="preserve"> (0915)</w:t>
      </w:r>
      <w:r w:rsidRPr="009F3C2E">
        <w:rPr>
          <w:rFonts w:ascii="Arial" w:hAnsi="Arial" w:cs="Arial"/>
          <w:i/>
          <w:color w:val="000000"/>
          <w:sz w:val="20"/>
          <w:szCs w:val="20"/>
          <w:lang w:val="en-GB" w:eastAsia="en-US"/>
        </w:rPr>
        <w:t>;</w:t>
      </w:r>
    </w:p>
    <w:p w14:paraId="185F55DE" w14:textId="65E11244"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Pharmacy</w:t>
      </w:r>
      <w:r w:rsidR="00D7763F" w:rsidRPr="009F3C2E">
        <w:rPr>
          <w:rFonts w:ascii="Arial" w:hAnsi="Arial" w:cs="Arial"/>
          <w:i/>
          <w:color w:val="000000"/>
          <w:sz w:val="20"/>
          <w:szCs w:val="20"/>
          <w:lang w:val="en-GB" w:eastAsia="en-US"/>
        </w:rPr>
        <w:t xml:space="preserve"> (0916)</w:t>
      </w:r>
      <w:r w:rsidRPr="009F3C2E">
        <w:rPr>
          <w:rFonts w:ascii="Arial" w:hAnsi="Arial" w:cs="Arial"/>
          <w:i/>
          <w:color w:val="000000"/>
          <w:sz w:val="20"/>
          <w:szCs w:val="20"/>
          <w:lang w:val="en-GB" w:eastAsia="en-US"/>
        </w:rPr>
        <w:t>;</w:t>
      </w:r>
    </w:p>
    <w:p w14:paraId="1C6DF42D" w14:textId="0686B451"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Traditional</w:t>
      </w:r>
      <w:r w:rsidR="00D7763F" w:rsidRPr="009F3C2E">
        <w:rPr>
          <w:rFonts w:ascii="Arial" w:hAnsi="Arial" w:cs="Arial"/>
          <w:i/>
          <w:color w:val="000000"/>
          <w:sz w:val="20"/>
          <w:szCs w:val="20"/>
          <w:lang w:val="en-GB" w:eastAsia="en-US"/>
        </w:rPr>
        <w:t xml:space="preserve"> a</w:t>
      </w:r>
      <w:r w:rsidRPr="009F3C2E">
        <w:rPr>
          <w:rFonts w:ascii="Arial" w:hAnsi="Arial" w:cs="Arial"/>
          <w:i/>
          <w:color w:val="000000"/>
          <w:sz w:val="20"/>
          <w:szCs w:val="20"/>
          <w:lang w:val="en-GB" w:eastAsia="en-US"/>
        </w:rPr>
        <w:t>nd complementary medicine and therapy</w:t>
      </w:r>
      <w:r w:rsidR="00D7763F" w:rsidRPr="009F3C2E">
        <w:rPr>
          <w:rFonts w:ascii="Arial" w:hAnsi="Arial" w:cs="Arial"/>
          <w:i/>
          <w:color w:val="000000"/>
          <w:sz w:val="20"/>
          <w:szCs w:val="20"/>
          <w:lang w:val="en-GB" w:eastAsia="en-US"/>
        </w:rPr>
        <w:t xml:space="preserve"> (0917)</w:t>
      </w:r>
      <w:r w:rsidRPr="009F3C2E">
        <w:rPr>
          <w:rFonts w:ascii="Arial" w:hAnsi="Arial" w:cs="Arial"/>
          <w:i/>
          <w:color w:val="000000"/>
          <w:sz w:val="20"/>
          <w:szCs w:val="20"/>
          <w:lang w:val="en-GB" w:eastAsia="en-US"/>
        </w:rPr>
        <w:t>.</w:t>
      </w:r>
    </w:p>
    <w:p w14:paraId="4D47DB3B" w14:textId="2C9F04AA" w:rsidR="00944A64" w:rsidRPr="00A008B7" w:rsidRDefault="00265B55" w:rsidP="00944A64">
      <w:pPr>
        <w:spacing w:before="120"/>
        <w:ind w:firstLine="714"/>
        <w:jc w:val="both"/>
        <w:rPr>
          <w:rFonts w:ascii="Arial" w:hAnsi="Arial" w:cs="Arial"/>
          <w:i/>
          <w:iCs/>
          <w:sz w:val="20"/>
          <w:lang w:val="en-GB"/>
        </w:rPr>
      </w:pPr>
      <w:r w:rsidRPr="00A008B7">
        <w:rPr>
          <w:rFonts w:ascii="Arial" w:hAnsi="Arial" w:cs="Arial"/>
          <w:i/>
          <w:iCs/>
          <w:sz w:val="20"/>
          <w:lang w:val="en-GB"/>
        </w:rPr>
        <w:t>Numbers of students and graduates are given as headcount, i.e. each student is included in a particular piece of dat</w:t>
      </w:r>
      <w:r w:rsidR="008B68F5" w:rsidRPr="00A008B7">
        <w:rPr>
          <w:rFonts w:ascii="Arial" w:hAnsi="Arial" w:cs="Arial"/>
          <w:i/>
          <w:iCs/>
          <w:sz w:val="20"/>
          <w:lang w:val="en-GB"/>
        </w:rPr>
        <w:t>a only once, including students</w:t>
      </w:r>
      <w:r w:rsidRPr="00A008B7">
        <w:rPr>
          <w:rFonts w:ascii="Arial" w:hAnsi="Arial" w:cs="Arial"/>
          <w:i/>
          <w:iCs/>
          <w:sz w:val="20"/>
          <w:lang w:val="en-GB"/>
        </w:rPr>
        <w:t xml:space="preserve"> who </w:t>
      </w:r>
      <w:r w:rsidR="005E64EB" w:rsidRPr="00A008B7">
        <w:rPr>
          <w:rFonts w:ascii="Arial" w:hAnsi="Arial" w:cs="Arial"/>
          <w:i/>
          <w:iCs/>
          <w:sz w:val="20"/>
          <w:lang w:val="en-GB"/>
        </w:rPr>
        <w:t xml:space="preserve">concurrently </w:t>
      </w:r>
      <w:r w:rsidRPr="00A008B7">
        <w:rPr>
          <w:rFonts w:ascii="Arial" w:hAnsi="Arial" w:cs="Arial"/>
          <w:i/>
          <w:iCs/>
          <w:sz w:val="20"/>
          <w:lang w:val="en-GB"/>
        </w:rPr>
        <w:t>study more study programmes. The total numbers of students and graduates thus do not have to be equal to the sums of students</w:t>
      </w:r>
      <w:r w:rsidR="00AB708C" w:rsidRPr="00A008B7">
        <w:rPr>
          <w:rFonts w:ascii="Arial" w:hAnsi="Arial" w:cs="Arial"/>
          <w:i/>
          <w:iCs/>
          <w:sz w:val="20"/>
          <w:lang w:val="en-GB"/>
        </w:rPr>
        <w:t xml:space="preserve"> of</w:t>
      </w:r>
      <w:r w:rsidRPr="00A008B7">
        <w:rPr>
          <w:rFonts w:ascii="Arial" w:hAnsi="Arial" w:cs="Arial"/>
          <w:i/>
          <w:iCs/>
          <w:sz w:val="20"/>
          <w:lang w:val="en-GB"/>
        </w:rPr>
        <w:t xml:space="preserve"> and graduates </w:t>
      </w:r>
      <w:r w:rsidR="00AB708C" w:rsidRPr="00A008B7">
        <w:rPr>
          <w:rFonts w:ascii="Arial" w:hAnsi="Arial" w:cs="Arial"/>
          <w:i/>
          <w:iCs/>
          <w:sz w:val="20"/>
          <w:lang w:val="en-GB"/>
        </w:rPr>
        <w:t xml:space="preserve">from </w:t>
      </w:r>
      <w:r w:rsidRPr="00A008B7">
        <w:rPr>
          <w:rFonts w:ascii="Arial" w:hAnsi="Arial" w:cs="Arial"/>
          <w:i/>
          <w:iCs/>
          <w:sz w:val="20"/>
          <w:lang w:val="en-GB"/>
        </w:rPr>
        <w:t>respective types of study programmes.</w:t>
      </w:r>
    </w:p>
    <w:p w14:paraId="6C8D5FE4" w14:textId="350440A8" w:rsidR="00072336" w:rsidRPr="00B12763" w:rsidRDefault="00072336" w:rsidP="00B12763">
      <w:pPr>
        <w:autoSpaceDE w:val="0"/>
        <w:autoSpaceDN w:val="0"/>
        <w:adjustRightInd w:val="0"/>
        <w:spacing w:before="120"/>
        <w:ind w:firstLine="680"/>
        <w:jc w:val="both"/>
        <w:rPr>
          <w:rFonts w:ascii="Arial" w:hAnsi="Arial" w:cs="Arial"/>
          <w:i/>
          <w:sz w:val="20"/>
          <w:szCs w:val="20"/>
          <w:lang w:val="en-GB"/>
        </w:rPr>
      </w:pPr>
    </w:p>
    <w:p w14:paraId="484A749C" w14:textId="231B068E" w:rsidR="00072336" w:rsidRPr="00B12763" w:rsidRDefault="00072336" w:rsidP="00B12763">
      <w:pPr>
        <w:ind w:firstLine="708"/>
        <w:rPr>
          <w:rFonts w:ascii="Arial" w:hAnsi="Arial" w:cs="Arial"/>
          <w:b/>
          <w:bCs/>
          <w:i/>
          <w:color w:val="000000"/>
          <w:u w:val="single"/>
          <w:lang w:val="en-GB" w:eastAsia="en-US"/>
        </w:rPr>
      </w:pPr>
      <w:r w:rsidRPr="00B12763">
        <w:rPr>
          <w:rFonts w:ascii="Arial" w:hAnsi="Arial" w:cs="Arial"/>
          <w:b/>
          <w:bCs/>
          <w:i/>
          <w:color w:val="000000"/>
          <w:u w:val="single"/>
          <w:lang w:val="en-GB" w:eastAsia="en-US"/>
        </w:rPr>
        <w:t xml:space="preserve">Wages of health </w:t>
      </w:r>
      <w:r w:rsidRPr="00B12763">
        <w:rPr>
          <w:rFonts w:ascii="Arial" w:hAnsi="Arial" w:cs="Arial"/>
          <w:b/>
          <w:bCs/>
          <w:i/>
          <w:u w:val="single"/>
          <w:lang w:val="en-GB" w:eastAsia="en-US"/>
        </w:rPr>
        <w:t>professionals (Tables 2</w:t>
      </w:r>
      <w:r w:rsidRPr="00B12763">
        <w:rPr>
          <w:rFonts w:ascii="Arial" w:hAnsi="Arial" w:cs="Arial"/>
          <w:b/>
          <w:i/>
          <w:iCs/>
          <w:sz w:val="20"/>
          <w:szCs w:val="17"/>
          <w:u w:val="single"/>
          <w:lang w:val="en-GB"/>
        </w:rPr>
        <w:t>–</w:t>
      </w:r>
      <w:r w:rsidR="009C4F65" w:rsidRPr="00A008B7">
        <w:rPr>
          <w:rFonts w:ascii="Arial" w:hAnsi="Arial" w:cs="Arial"/>
          <w:b/>
          <w:bCs/>
          <w:i/>
          <w:u w:val="single"/>
          <w:lang w:val="en-GB" w:eastAsia="en-US"/>
        </w:rPr>
        <w:t>30</w:t>
      </w:r>
      <w:r w:rsidRPr="00B12763">
        <w:rPr>
          <w:rFonts w:ascii="Arial" w:hAnsi="Arial" w:cs="Arial"/>
          <w:b/>
          <w:bCs/>
          <w:i/>
          <w:u w:val="single"/>
          <w:lang w:val="en-GB" w:eastAsia="en-US"/>
        </w:rPr>
        <w:t xml:space="preserve"> through 2</w:t>
      </w:r>
      <w:r w:rsidRPr="00B12763">
        <w:rPr>
          <w:rFonts w:ascii="Arial" w:hAnsi="Arial" w:cs="Arial"/>
          <w:b/>
          <w:i/>
          <w:iCs/>
          <w:sz w:val="20"/>
          <w:szCs w:val="17"/>
          <w:u w:val="single"/>
          <w:lang w:val="en-GB"/>
        </w:rPr>
        <w:t>–</w:t>
      </w:r>
      <w:r w:rsidR="009C4F65" w:rsidRPr="00A008B7">
        <w:rPr>
          <w:rFonts w:ascii="Arial" w:hAnsi="Arial" w:cs="Arial"/>
          <w:b/>
          <w:bCs/>
          <w:i/>
          <w:u w:val="single"/>
          <w:lang w:val="en-GB" w:eastAsia="en-US"/>
        </w:rPr>
        <w:t>33</w:t>
      </w:r>
      <w:r w:rsidRPr="00B12763">
        <w:rPr>
          <w:rFonts w:ascii="Arial" w:hAnsi="Arial" w:cs="Arial"/>
          <w:b/>
          <w:bCs/>
          <w:i/>
          <w:u w:val="single"/>
          <w:lang w:val="en-GB" w:eastAsia="en-US"/>
        </w:rPr>
        <w:t>)</w:t>
      </w:r>
      <w:r w:rsidRPr="00A008B7">
        <w:rPr>
          <w:rFonts w:ascii="Arial" w:hAnsi="Arial" w:cs="Arial"/>
          <w:i/>
          <w:sz w:val="20"/>
          <w:szCs w:val="20"/>
          <w:lang w:val="en-GB"/>
        </w:rPr>
        <w:t xml:space="preserve">  </w:t>
      </w:r>
    </w:p>
    <w:p w14:paraId="6B685272" w14:textId="77777777" w:rsidR="00072336" w:rsidRPr="00E35786" w:rsidRDefault="00072336" w:rsidP="00072336">
      <w:pPr>
        <w:spacing w:before="120"/>
        <w:ind w:firstLine="714"/>
        <w:jc w:val="both"/>
        <w:rPr>
          <w:rFonts w:ascii="Arial" w:hAnsi="Arial" w:cs="Arial"/>
          <w:i/>
          <w:sz w:val="20"/>
          <w:szCs w:val="20"/>
        </w:rPr>
      </w:pPr>
      <w:r w:rsidRPr="00A008B7">
        <w:rPr>
          <w:rFonts w:ascii="Arial" w:hAnsi="Arial" w:cs="Arial"/>
          <w:i/>
          <w:color w:val="000000"/>
          <w:sz w:val="20"/>
          <w:szCs w:val="20"/>
          <w:lang w:val="en-GB" w:eastAsia="en-US"/>
        </w:rPr>
        <w:t>The</w:t>
      </w:r>
      <w:r w:rsidRPr="00A008B7">
        <w:rPr>
          <w:rFonts w:ascii="Arial" w:hAnsi="Arial" w:cs="Arial"/>
          <w:b/>
          <w:i/>
          <w:color w:val="000000"/>
          <w:sz w:val="20"/>
          <w:szCs w:val="20"/>
          <w:lang w:val="en-GB" w:eastAsia="en-US"/>
        </w:rPr>
        <w:t xml:space="preserve"> Classification of Occupations (CZ-ISCO)</w:t>
      </w:r>
      <w:r w:rsidRPr="00A008B7">
        <w:rPr>
          <w:rFonts w:ascii="Arial" w:hAnsi="Arial" w:cs="Arial"/>
          <w:i/>
          <w:color w:val="000000"/>
          <w:sz w:val="20"/>
          <w:szCs w:val="20"/>
          <w:lang w:val="en-GB" w:eastAsia="en-US"/>
        </w:rPr>
        <w:t xml:space="preserve"> was used to define selected groups of health professionals. The following two main categories of employees in the health sector were selected by means of the classification:</w:t>
      </w:r>
    </w:p>
    <w:p w14:paraId="1C2FCE16" w14:textId="5BBF1CAC" w:rsidR="00072336" w:rsidRPr="005057BB" w:rsidRDefault="001521B1" w:rsidP="005057BB">
      <w:pPr>
        <w:pStyle w:val="Odstavecseseznamem"/>
        <w:numPr>
          <w:ilvl w:val="0"/>
          <w:numId w:val="5"/>
        </w:numPr>
        <w:spacing w:before="120"/>
        <w:jc w:val="both"/>
        <w:rPr>
          <w:rFonts w:ascii="Arial" w:hAnsi="Arial" w:cs="Arial"/>
          <w:i/>
          <w:sz w:val="20"/>
          <w:szCs w:val="20"/>
          <w:lang w:val="en-GB"/>
        </w:rPr>
      </w:pPr>
      <w:r w:rsidRPr="005057BB">
        <w:rPr>
          <w:rFonts w:ascii="Arial" w:hAnsi="Arial" w:cs="Arial"/>
          <w:i/>
          <w:sz w:val="20"/>
          <w:szCs w:val="20"/>
          <w:lang w:val="en-GB"/>
        </w:rPr>
        <w:t xml:space="preserve">221 </w:t>
      </w:r>
      <w:r w:rsidR="00072336" w:rsidRPr="005057BB">
        <w:rPr>
          <w:rFonts w:ascii="Arial" w:hAnsi="Arial" w:cs="Arial"/>
          <w:i/>
          <w:sz w:val="20"/>
          <w:szCs w:val="20"/>
          <w:lang w:val="en-GB"/>
        </w:rPr>
        <w:t xml:space="preserve">Medical doctors </w:t>
      </w:r>
      <w:r w:rsidR="00B0393A" w:rsidRPr="005057BB">
        <w:rPr>
          <w:rFonts w:ascii="Arial" w:hAnsi="Arial" w:cs="Arial"/>
          <w:i/>
          <w:sz w:val="20"/>
          <w:szCs w:val="20"/>
          <w:lang w:val="en-GB"/>
        </w:rPr>
        <w:t>(</w:t>
      </w:r>
      <w:r w:rsidR="00072336" w:rsidRPr="005057BB">
        <w:rPr>
          <w:rFonts w:ascii="Arial" w:hAnsi="Arial" w:cs="Arial"/>
          <w:i/>
          <w:sz w:val="20"/>
          <w:szCs w:val="20"/>
          <w:lang w:val="en-GB"/>
        </w:rPr>
        <w:t>except for dentists</w:t>
      </w:r>
      <w:r w:rsidR="00B0393A" w:rsidRPr="005057BB">
        <w:rPr>
          <w:rFonts w:ascii="Arial" w:hAnsi="Arial" w:cs="Arial"/>
          <w:i/>
          <w:sz w:val="20"/>
          <w:szCs w:val="20"/>
          <w:lang w:val="en-GB"/>
        </w:rPr>
        <w:t>)</w:t>
      </w:r>
      <w:r w:rsidR="00072336" w:rsidRPr="005057BB">
        <w:rPr>
          <w:rFonts w:ascii="Arial" w:hAnsi="Arial" w:cs="Arial"/>
          <w:i/>
          <w:sz w:val="20"/>
          <w:szCs w:val="20"/>
          <w:lang w:val="en-GB"/>
        </w:rPr>
        <w:t>;</w:t>
      </w:r>
    </w:p>
    <w:p w14:paraId="7101E068" w14:textId="5C5B4D63" w:rsidR="00072336" w:rsidRPr="005057BB" w:rsidRDefault="00F071B8" w:rsidP="005057BB">
      <w:pPr>
        <w:pStyle w:val="Odstavecseseznamem"/>
        <w:numPr>
          <w:ilvl w:val="0"/>
          <w:numId w:val="5"/>
        </w:numPr>
        <w:spacing w:before="120"/>
        <w:jc w:val="both"/>
        <w:rPr>
          <w:rFonts w:ascii="Arial" w:hAnsi="Arial" w:cs="Arial"/>
          <w:i/>
          <w:color w:val="000000"/>
          <w:sz w:val="20"/>
          <w:szCs w:val="20"/>
          <w:lang w:val="en-GB" w:eastAsia="en-US"/>
        </w:rPr>
      </w:pPr>
      <w:r w:rsidRPr="005057BB">
        <w:rPr>
          <w:rFonts w:ascii="Arial" w:hAnsi="Arial" w:cs="Arial"/>
          <w:i/>
          <w:sz w:val="20"/>
          <w:szCs w:val="20"/>
        </w:rPr>
        <w:t xml:space="preserve">222+322 </w:t>
      </w:r>
      <w:r w:rsidR="00072336" w:rsidRPr="005057BB">
        <w:rPr>
          <w:rFonts w:ascii="Arial" w:hAnsi="Arial" w:cs="Arial"/>
          <w:i/>
          <w:color w:val="000000"/>
          <w:sz w:val="20"/>
          <w:szCs w:val="20"/>
          <w:lang w:val="en-GB" w:eastAsia="en-US"/>
        </w:rPr>
        <w:t>Nursing and midwifery professionals and Nursing and midwifery associate professionals</w:t>
      </w:r>
      <w:r w:rsidR="00D103A4" w:rsidRPr="005057BB">
        <w:rPr>
          <w:rFonts w:ascii="Arial" w:hAnsi="Arial" w:cs="Arial"/>
          <w:i/>
          <w:color w:val="000000"/>
          <w:sz w:val="20"/>
          <w:szCs w:val="20"/>
          <w:lang w:val="en-GB" w:eastAsia="en-US"/>
        </w:rPr>
        <w:t>, who are further split into:</w:t>
      </w:r>
    </w:p>
    <w:p w14:paraId="35B4C2CE" w14:textId="787A63E7" w:rsidR="00D103A4" w:rsidRPr="005057BB" w:rsidRDefault="007A6568" w:rsidP="007A6568">
      <w:pPr>
        <w:pStyle w:val="Odstavecseseznamem"/>
        <w:spacing w:before="120"/>
        <w:ind w:left="1434"/>
        <w:jc w:val="both"/>
        <w:rPr>
          <w:rFonts w:ascii="Arial" w:hAnsi="Arial" w:cs="Arial"/>
          <w:i/>
          <w:color w:val="000000"/>
          <w:sz w:val="20"/>
          <w:szCs w:val="20"/>
          <w:lang w:val="en-GB" w:eastAsia="en-US"/>
        </w:rPr>
      </w:pPr>
      <w:r>
        <w:rPr>
          <w:rFonts w:ascii="Arial" w:hAnsi="Arial" w:cs="Arial"/>
          <w:i/>
          <w:color w:val="000000"/>
          <w:sz w:val="20"/>
          <w:szCs w:val="20"/>
          <w:lang w:val="en-GB" w:eastAsia="en-US"/>
        </w:rPr>
        <w:t xml:space="preserve">        </w:t>
      </w:r>
      <w:r w:rsidR="00D103A4" w:rsidRPr="005057BB">
        <w:rPr>
          <w:rFonts w:ascii="Arial" w:hAnsi="Arial" w:cs="Arial"/>
          <w:i/>
          <w:color w:val="000000"/>
          <w:sz w:val="20"/>
          <w:szCs w:val="20"/>
          <w:lang w:val="en-GB" w:eastAsia="en-US"/>
        </w:rPr>
        <w:t>222 Nursing and midwifery professionals;</w:t>
      </w:r>
    </w:p>
    <w:p w14:paraId="56709F55" w14:textId="15550218" w:rsidR="00D103A4" w:rsidRPr="005057BB" w:rsidRDefault="007A6568" w:rsidP="007A6568">
      <w:pPr>
        <w:pStyle w:val="Odstavecseseznamem"/>
        <w:spacing w:before="120"/>
        <w:ind w:left="1434"/>
        <w:jc w:val="both"/>
        <w:rPr>
          <w:rFonts w:ascii="Arial" w:hAnsi="Arial" w:cs="Arial"/>
          <w:i/>
          <w:sz w:val="20"/>
          <w:szCs w:val="20"/>
        </w:rPr>
      </w:pPr>
      <w:r>
        <w:rPr>
          <w:rFonts w:ascii="Arial" w:hAnsi="Arial" w:cs="Arial"/>
          <w:i/>
          <w:color w:val="000000"/>
          <w:sz w:val="20"/>
          <w:szCs w:val="20"/>
          <w:lang w:val="en-GB" w:eastAsia="en-US"/>
        </w:rPr>
        <w:t xml:space="preserve">        </w:t>
      </w:r>
      <w:r w:rsidR="00D103A4" w:rsidRPr="005057BB">
        <w:rPr>
          <w:rFonts w:ascii="Arial" w:hAnsi="Arial" w:cs="Arial"/>
          <w:i/>
          <w:color w:val="000000"/>
          <w:sz w:val="20"/>
          <w:szCs w:val="20"/>
          <w:lang w:val="en-GB" w:eastAsia="en-US"/>
        </w:rPr>
        <w:t>322 Nursing and midwifery associate professionals.</w:t>
      </w:r>
    </w:p>
    <w:p w14:paraId="700ADB62" w14:textId="12F7E591" w:rsidR="00072336" w:rsidRPr="00A008B7" w:rsidRDefault="00072336" w:rsidP="00072336">
      <w:pPr>
        <w:spacing w:before="120"/>
        <w:ind w:firstLine="708"/>
        <w:jc w:val="both"/>
        <w:rPr>
          <w:rFonts w:ascii="Arial" w:hAnsi="Arial" w:cs="Arial"/>
          <w:i/>
          <w:sz w:val="20"/>
          <w:szCs w:val="20"/>
          <w:lang w:val="en-GB"/>
        </w:rPr>
      </w:pPr>
      <w:r w:rsidRPr="00A008B7">
        <w:rPr>
          <w:rFonts w:ascii="Arial" w:hAnsi="Arial" w:cs="Arial"/>
          <w:i/>
          <w:sz w:val="20"/>
          <w:szCs w:val="20"/>
          <w:lang w:val="en-GB"/>
        </w:rPr>
        <w:lastRenderedPageBreak/>
        <w:t>The difference between nurses</w:t>
      </w:r>
      <w:r w:rsidR="00843559">
        <w:rPr>
          <w:rFonts w:ascii="Arial" w:hAnsi="Arial" w:cs="Arial"/>
          <w:i/>
          <w:sz w:val="20"/>
          <w:szCs w:val="20"/>
          <w:lang w:val="en-GB"/>
        </w:rPr>
        <w:t xml:space="preserve"> (general nurses)</w:t>
      </w:r>
      <w:r w:rsidRPr="00A008B7">
        <w:rPr>
          <w:rFonts w:ascii="Arial" w:hAnsi="Arial" w:cs="Arial"/>
          <w:i/>
          <w:sz w:val="20"/>
          <w:szCs w:val="20"/>
          <w:lang w:val="en-GB"/>
        </w:rPr>
        <w:t xml:space="preserve"> and midwives with a speciality (specialism) and the nurses</w:t>
      </w:r>
      <w:r w:rsidR="00843559">
        <w:rPr>
          <w:rFonts w:ascii="Arial" w:hAnsi="Arial" w:cs="Arial"/>
          <w:i/>
          <w:sz w:val="20"/>
          <w:szCs w:val="20"/>
          <w:lang w:val="en-GB"/>
        </w:rPr>
        <w:t xml:space="preserve"> (general nurses)</w:t>
      </w:r>
      <w:r w:rsidRPr="00A008B7">
        <w:rPr>
          <w:rFonts w:ascii="Arial" w:hAnsi="Arial" w:cs="Arial"/>
          <w:i/>
          <w:sz w:val="20"/>
          <w:szCs w:val="20"/>
          <w:lang w:val="en-GB"/>
        </w:rPr>
        <w:t xml:space="preserve"> and midwives without a speciality (specialism) should be determined according to the character of work they perform. The qualification in a speciality (specialism) is confirmed by a certificate in the relevant field, which a nurse obtains after she passes a medical certification examination before the medical certification committee. Nurses</w:t>
      </w:r>
      <w:r w:rsidR="00843559">
        <w:rPr>
          <w:rFonts w:ascii="Arial" w:hAnsi="Arial" w:cs="Arial"/>
          <w:i/>
          <w:sz w:val="20"/>
          <w:szCs w:val="20"/>
          <w:lang w:val="en-GB"/>
        </w:rPr>
        <w:t xml:space="preserve"> (general nurses)</w:t>
      </w:r>
      <w:r w:rsidRPr="00A008B7">
        <w:rPr>
          <w:rFonts w:ascii="Arial" w:hAnsi="Arial" w:cs="Arial"/>
          <w:i/>
          <w:sz w:val="20"/>
          <w:szCs w:val="20"/>
          <w:lang w:val="en-GB"/>
        </w:rPr>
        <w:t xml:space="preserve"> and midwives </w:t>
      </w:r>
      <w:r w:rsidRPr="00A008B7">
        <w:rPr>
          <w:rFonts w:ascii="Arial" w:hAnsi="Arial" w:cs="Arial"/>
          <w:b/>
          <w:i/>
          <w:sz w:val="20"/>
          <w:szCs w:val="20"/>
          <w:lang w:val="en-GB"/>
        </w:rPr>
        <w:t xml:space="preserve">with a speciality </w:t>
      </w:r>
      <w:r w:rsidRPr="00B12763">
        <w:rPr>
          <w:rFonts w:ascii="Arial" w:hAnsi="Arial" w:cs="Arial"/>
          <w:i/>
          <w:sz w:val="20"/>
          <w:szCs w:val="20"/>
          <w:lang w:val="en-GB"/>
        </w:rPr>
        <w:t>(specialism)</w:t>
      </w:r>
      <w:r w:rsidRPr="00A008B7">
        <w:rPr>
          <w:rFonts w:ascii="Arial" w:hAnsi="Arial" w:cs="Arial"/>
          <w:i/>
          <w:sz w:val="20"/>
          <w:szCs w:val="20"/>
          <w:lang w:val="en-GB"/>
        </w:rPr>
        <w:t xml:space="preserve"> include, for</w:t>
      </w:r>
      <w:r w:rsidR="00C50323">
        <w:rPr>
          <w:rFonts w:ascii="Arial" w:hAnsi="Arial" w:cs="Arial"/>
          <w:i/>
          <w:sz w:val="20"/>
          <w:szCs w:val="20"/>
          <w:lang w:val="en-GB"/>
        </w:rPr>
        <w:t> </w:t>
      </w:r>
      <w:r w:rsidRPr="00A008B7">
        <w:rPr>
          <w:rFonts w:ascii="Arial" w:hAnsi="Arial" w:cs="Arial"/>
          <w:i/>
          <w:sz w:val="20"/>
          <w:szCs w:val="20"/>
          <w:lang w:val="en-GB"/>
        </w:rPr>
        <w:t xml:space="preserve">example, ward sisters (charge nurses), nurses and midwives for intensive care and operating theatre (operating room) nurses, and further e.g. paediatric nurses and nurses for internal medicine and surgical fields. </w:t>
      </w:r>
      <w:r w:rsidRPr="00B12763">
        <w:rPr>
          <w:rFonts w:ascii="Arial" w:hAnsi="Arial" w:cs="Arial"/>
          <w:i/>
          <w:sz w:val="20"/>
          <w:szCs w:val="20"/>
          <w:lang w:val="en-GB"/>
        </w:rPr>
        <w:t>Sisters</w:t>
      </w:r>
      <w:r w:rsidRPr="00EB61E7">
        <w:rPr>
          <w:rFonts w:ascii="Arial" w:hAnsi="Arial" w:cs="Arial"/>
          <w:b/>
          <w:i/>
          <w:sz w:val="20"/>
          <w:szCs w:val="20"/>
          <w:lang w:val="en-GB"/>
        </w:rPr>
        <w:t xml:space="preserve"> without</w:t>
      </w:r>
      <w:r w:rsidRPr="00A008B7">
        <w:rPr>
          <w:rFonts w:ascii="Arial" w:hAnsi="Arial" w:cs="Arial"/>
          <w:b/>
          <w:i/>
          <w:sz w:val="20"/>
          <w:szCs w:val="20"/>
          <w:lang w:val="en-GB"/>
        </w:rPr>
        <w:t xml:space="preserve"> a speciality (specialism) </w:t>
      </w:r>
      <w:r w:rsidRPr="00A008B7">
        <w:rPr>
          <w:rFonts w:ascii="Arial" w:hAnsi="Arial" w:cs="Arial"/>
          <w:i/>
          <w:sz w:val="20"/>
          <w:szCs w:val="20"/>
          <w:lang w:val="en-GB"/>
        </w:rPr>
        <w:t>include nurses of general practitioners and dentists and other outpatient specialists. Besides those categories of nurses, also the following work in the h</w:t>
      </w:r>
      <w:r w:rsidR="00EB61E7">
        <w:rPr>
          <w:rFonts w:ascii="Arial" w:hAnsi="Arial" w:cs="Arial"/>
          <w:i/>
          <w:sz w:val="20"/>
          <w:szCs w:val="20"/>
          <w:lang w:val="en-GB"/>
        </w:rPr>
        <w:t>ealth sector: hospital matrons and</w:t>
      </w:r>
      <w:r w:rsidRPr="00A008B7">
        <w:rPr>
          <w:rFonts w:ascii="Arial" w:hAnsi="Arial" w:cs="Arial"/>
          <w:i/>
          <w:sz w:val="20"/>
          <w:szCs w:val="20"/>
          <w:lang w:val="en-GB"/>
        </w:rPr>
        <w:t xml:space="preserve"> principal nursing officers (head nurses / nurses in charge) (ISCO 13424) and medical assistants (ISCO 3256), who are not part of the aforementioned (general) nurses / nursing and midwifery professionals. </w:t>
      </w:r>
    </w:p>
    <w:p w14:paraId="3422E7AC" w14:textId="748A5D19" w:rsidR="002948E1" w:rsidRPr="00A008B7" w:rsidRDefault="002948E1">
      <w:pPr>
        <w:spacing w:before="120"/>
        <w:ind w:firstLine="709"/>
        <w:jc w:val="both"/>
        <w:rPr>
          <w:rFonts w:ascii="Arial" w:hAnsi="Arial" w:cs="Arial"/>
          <w:bCs/>
          <w:i/>
          <w:sz w:val="20"/>
          <w:lang w:val="en-GB"/>
        </w:rPr>
      </w:pPr>
      <w:r w:rsidRPr="00A008B7">
        <w:rPr>
          <w:rFonts w:ascii="Arial" w:hAnsi="Arial" w:cs="Arial"/>
          <w:i/>
          <w:color w:val="000000"/>
          <w:sz w:val="20"/>
          <w:szCs w:val="20"/>
          <w:lang w:val="en-GB" w:eastAsia="en-US"/>
        </w:rPr>
        <w:t xml:space="preserve">Data on </w:t>
      </w:r>
      <w:r w:rsidRPr="00A008B7">
        <w:rPr>
          <w:rFonts w:ascii="Arial" w:hAnsi="Arial" w:cs="Arial"/>
          <w:b/>
          <w:i/>
          <w:color w:val="000000"/>
          <w:sz w:val="20"/>
          <w:szCs w:val="20"/>
          <w:lang w:val="en-GB" w:eastAsia="en-US"/>
        </w:rPr>
        <w:t>wages</w:t>
      </w:r>
      <w:r w:rsidRPr="00A008B7">
        <w:rPr>
          <w:rFonts w:ascii="Arial" w:hAnsi="Arial" w:cs="Arial"/>
          <w:i/>
          <w:color w:val="000000"/>
          <w:sz w:val="20"/>
          <w:szCs w:val="20"/>
          <w:lang w:val="en-GB" w:eastAsia="en-US"/>
        </w:rPr>
        <w:t xml:space="preserve"> of medical doctors (Table </w:t>
      </w:r>
      <w:r w:rsidRPr="00B12763">
        <w:rPr>
          <w:rFonts w:ascii="Arial" w:hAnsi="Arial" w:cs="Arial"/>
          <w:b/>
          <w:i/>
          <w:sz w:val="20"/>
          <w:szCs w:val="20"/>
        </w:rPr>
        <w:t>2</w:t>
      </w:r>
      <w:r w:rsidR="00C50323">
        <w:rPr>
          <w:rFonts w:ascii="Arial" w:hAnsi="Arial" w:cs="Arial"/>
          <w:b/>
          <w:i/>
          <w:sz w:val="20"/>
          <w:szCs w:val="20"/>
        </w:rPr>
        <w:t>-30</w:t>
      </w:r>
      <w:r w:rsidRPr="00C50323">
        <w:rPr>
          <w:rFonts w:ascii="Arial" w:hAnsi="Arial" w:cs="Arial"/>
          <w:b/>
          <w:i/>
          <w:sz w:val="20"/>
          <w:szCs w:val="20"/>
        </w:rPr>
        <w:t>-2</w:t>
      </w:r>
      <w:r w:rsidR="00C50323" w:rsidRPr="00C50323">
        <w:rPr>
          <w:rFonts w:ascii="Arial" w:hAnsi="Arial" w:cs="Arial"/>
          <w:b/>
          <w:i/>
          <w:sz w:val="20"/>
          <w:szCs w:val="20"/>
        </w:rPr>
        <w:t>-31</w:t>
      </w:r>
      <w:r w:rsidRPr="00A008B7">
        <w:rPr>
          <w:rFonts w:ascii="Arial" w:hAnsi="Arial" w:cs="Arial"/>
          <w:i/>
          <w:color w:val="000000"/>
          <w:sz w:val="20"/>
          <w:szCs w:val="20"/>
          <w:lang w:val="en-GB" w:eastAsia="en-US"/>
        </w:rPr>
        <w:t>) and nurses and midwives (Table </w:t>
      </w:r>
      <w:r w:rsidRPr="00B12763">
        <w:rPr>
          <w:rFonts w:ascii="Arial" w:hAnsi="Arial" w:cs="Arial"/>
          <w:b/>
          <w:i/>
          <w:sz w:val="20"/>
          <w:szCs w:val="20"/>
        </w:rPr>
        <w:t>2</w:t>
      </w:r>
      <w:r w:rsidR="00C50323">
        <w:rPr>
          <w:rFonts w:ascii="Arial" w:hAnsi="Arial" w:cs="Arial"/>
          <w:b/>
          <w:i/>
          <w:sz w:val="20"/>
          <w:szCs w:val="20"/>
        </w:rPr>
        <w:t>-32</w:t>
      </w:r>
      <w:r w:rsidRPr="00C50323">
        <w:rPr>
          <w:rFonts w:ascii="Arial" w:hAnsi="Arial" w:cs="Arial"/>
          <w:b/>
          <w:i/>
          <w:sz w:val="20"/>
          <w:szCs w:val="20"/>
        </w:rPr>
        <w:t>-2</w:t>
      </w:r>
      <w:r w:rsidR="00C50323" w:rsidRPr="00C50323">
        <w:rPr>
          <w:rFonts w:ascii="Arial" w:hAnsi="Arial" w:cs="Arial"/>
          <w:b/>
          <w:i/>
          <w:sz w:val="20"/>
          <w:szCs w:val="20"/>
        </w:rPr>
        <w:t>-3</w:t>
      </w:r>
      <w:r w:rsidRPr="00C50323">
        <w:rPr>
          <w:rFonts w:ascii="Arial" w:hAnsi="Arial" w:cs="Arial"/>
          <w:b/>
          <w:i/>
          <w:sz w:val="20"/>
          <w:szCs w:val="20"/>
        </w:rPr>
        <w:t>3</w:t>
      </w:r>
      <w:r w:rsidRPr="00A008B7">
        <w:rPr>
          <w:rFonts w:ascii="Arial" w:hAnsi="Arial" w:cs="Arial"/>
          <w:i/>
          <w:color w:val="000000"/>
          <w:sz w:val="20"/>
          <w:szCs w:val="20"/>
          <w:lang w:val="en-GB" w:eastAsia="en-US"/>
        </w:rPr>
        <w:t>) come from</w:t>
      </w:r>
      <w:r w:rsidR="00A05993">
        <w:rPr>
          <w:rFonts w:ascii="Arial" w:hAnsi="Arial" w:cs="Arial"/>
          <w:i/>
          <w:color w:val="000000"/>
          <w:sz w:val="20"/>
          <w:szCs w:val="20"/>
          <w:lang w:val="en-GB" w:eastAsia="en-US"/>
        </w:rPr>
        <w:t xml:space="preserve"> the</w:t>
      </w:r>
      <w:r w:rsidRPr="00A008B7">
        <w:rPr>
          <w:rFonts w:ascii="Arial" w:hAnsi="Arial" w:cs="Arial"/>
          <w:i/>
          <w:color w:val="000000"/>
          <w:sz w:val="20"/>
          <w:szCs w:val="20"/>
          <w:lang w:val="en-GB" w:eastAsia="en-US"/>
        </w:rPr>
        <w:t xml:space="preserve"> </w:t>
      </w:r>
      <w:r w:rsidRPr="00A008B7">
        <w:rPr>
          <w:rFonts w:ascii="Arial" w:hAnsi="Arial" w:cs="Arial"/>
          <w:b/>
          <w:i/>
          <w:color w:val="000000"/>
          <w:sz w:val="20"/>
          <w:szCs w:val="20"/>
          <w:lang w:val="en-GB" w:eastAsia="en-US"/>
        </w:rPr>
        <w:t>structural employee wage statistics</w:t>
      </w:r>
      <w:r w:rsidRPr="00A008B7">
        <w:rPr>
          <w:rFonts w:ascii="Arial" w:hAnsi="Arial" w:cs="Arial"/>
          <w:i/>
          <w:color w:val="000000"/>
          <w:sz w:val="20"/>
          <w:szCs w:val="20"/>
          <w:lang w:val="en-GB" w:eastAsia="en-US"/>
        </w:rPr>
        <w:t>. The structural wage statistics is generated by</w:t>
      </w:r>
      <w:r w:rsidR="00C50323">
        <w:rPr>
          <w:rFonts w:ascii="Arial" w:hAnsi="Arial" w:cs="Arial"/>
          <w:i/>
          <w:color w:val="000000"/>
          <w:sz w:val="20"/>
          <w:szCs w:val="20"/>
          <w:lang w:val="en-GB" w:eastAsia="en-US"/>
        </w:rPr>
        <w:t> </w:t>
      </w:r>
      <w:r w:rsidRPr="00A008B7">
        <w:rPr>
          <w:rFonts w:ascii="Arial" w:hAnsi="Arial" w:cs="Arial"/>
          <w:i/>
          <w:color w:val="000000"/>
          <w:sz w:val="20"/>
          <w:szCs w:val="20"/>
          <w:lang w:val="en-GB" w:eastAsia="en-US"/>
        </w:rPr>
        <w:t xml:space="preserve">merging of </w:t>
      </w:r>
      <w:r w:rsidRPr="00A008B7">
        <w:rPr>
          <w:rFonts w:ascii="Arial" w:hAnsi="Arial" w:cs="Arial"/>
          <w:bCs/>
          <w:i/>
          <w:sz w:val="20"/>
          <w:lang w:val="en-GB"/>
        </w:rPr>
        <w:t xml:space="preserve">data from the sample survey of the </w:t>
      </w:r>
      <w:r w:rsidRPr="00A008B7">
        <w:rPr>
          <w:rFonts w:ascii="Arial" w:hAnsi="Arial" w:cs="Arial"/>
          <w:b/>
          <w:bCs/>
          <w:i/>
          <w:sz w:val="20"/>
          <w:lang w:val="en-GB"/>
        </w:rPr>
        <w:t>Information System on Average Earnings</w:t>
      </w:r>
      <w:r w:rsidRPr="00A008B7">
        <w:rPr>
          <w:rFonts w:ascii="Arial" w:hAnsi="Arial" w:cs="Arial"/>
          <w:bCs/>
          <w:i/>
          <w:sz w:val="20"/>
          <w:lang w:val="en-GB"/>
        </w:rPr>
        <w:t xml:space="preserve"> of the Ministry of Labour and Social Affairs, which covers the wage sphere, and of the administrative data source of the </w:t>
      </w:r>
      <w:r w:rsidRPr="00A008B7">
        <w:rPr>
          <w:rFonts w:ascii="Arial" w:hAnsi="Arial" w:cs="Arial"/>
          <w:b/>
          <w:bCs/>
          <w:i/>
          <w:sz w:val="20"/>
          <w:lang w:val="en-GB"/>
        </w:rPr>
        <w:t>Salary Information System of the Ministry of Finance</w:t>
      </w:r>
      <w:r w:rsidRPr="00A008B7">
        <w:rPr>
          <w:rFonts w:ascii="Arial" w:hAnsi="Arial" w:cs="Arial"/>
          <w:bCs/>
          <w:i/>
          <w:sz w:val="20"/>
          <w:lang w:val="en-GB"/>
        </w:rPr>
        <w:t xml:space="preserve">, which exhaustively covers the salary sphere. </w:t>
      </w:r>
      <w:r w:rsidRPr="00A008B7">
        <w:rPr>
          <w:rFonts w:ascii="Arial" w:hAnsi="Arial" w:cs="Arial"/>
          <w:i/>
          <w:color w:val="000000"/>
          <w:sz w:val="20"/>
          <w:szCs w:val="20"/>
          <w:lang w:eastAsia="en-US"/>
        </w:rPr>
        <w:t xml:space="preserve">                      </w:t>
      </w:r>
      <w:r w:rsidRPr="00A008B7">
        <w:rPr>
          <w:rFonts w:ascii="Arial" w:hAnsi="Arial" w:cs="Arial"/>
          <w:i/>
          <w:sz w:val="20"/>
          <w:szCs w:val="20"/>
        </w:rPr>
        <w:t xml:space="preserve"> </w:t>
      </w:r>
      <w:r w:rsidRPr="00A008B7">
        <w:rPr>
          <w:rFonts w:ascii="Arial" w:hAnsi="Arial" w:cs="Arial"/>
          <w:i/>
          <w:color w:val="000000"/>
          <w:sz w:val="20"/>
          <w:szCs w:val="20"/>
          <w:lang w:eastAsia="en-US"/>
        </w:rPr>
        <w:t xml:space="preserve">  </w:t>
      </w:r>
    </w:p>
    <w:p w14:paraId="3A1E760B" w14:textId="77777777" w:rsidR="002948E1" w:rsidRPr="00A008B7" w:rsidRDefault="002948E1" w:rsidP="002948E1">
      <w:pPr>
        <w:spacing w:before="120"/>
        <w:ind w:firstLine="709"/>
        <w:jc w:val="both"/>
        <w:rPr>
          <w:rFonts w:ascii="Arial" w:hAnsi="Arial" w:cs="Arial"/>
          <w:i/>
          <w:color w:val="000000"/>
          <w:sz w:val="20"/>
          <w:szCs w:val="20"/>
          <w:lang w:val="en-GB" w:eastAsia="en-US"/>
        </w:rPr>
      </w:pPr>
      <w:r w:rsidRPr="00A008B7">
        <w:rPr>
          <w:rFonts w:ascii="Arial" w:hAnsi="Arial" w:cs="Arial"/>
          <w:i/>
          <w:color w:val="000000"/>
          <w:sz w:val="20"/>
          <w:szCs w:val="20"/>
          <w:lang w:val="en-GB" w:eastAsia="en-US"/>
        </w:rPr>
        <w:t>The</w:t>
      </w:r>
      <w:r w:rsidRPr="00A008B7">
        <w:rPr>
          <w:rFonts w:ascii="Arial" w:hAnsi="Arial" w:cs="Arial"/>
          <w:b/>
          <w:i/>
          <w:color w:val="000000"/>
          <w:sz w:val="20"/>
          <w:szCs w:val="20"/>
          <w:lang w:val="en-GB" w:eastAsia="en-US"/>
        </w:rPr>
        <w:t xml:space="preserve"> wage sphere</w:t>
      </w:r>
      <w:r w:rsidRPr="00A008B7">
        <w:rPr>
          <w:rFonts w:ascii="Arial" w:hAnsi="Arial" w:cs="Arial"/>
          <w:i/>
          <w:color w:val="000000"/>
          <w:sz w:val="20"/>
          <w:szCs w:val="20"/>
          <w:lang w:val="en-GB" w:eastAsia="en-US"/>
        </w:rPr>
        <w:t xml:space="preserve"> includes all private health establishments including regional and municipal hospitals (joint stock companies).</w:t>
      </w:r>
    </w:p>
    <w:p w14:paraId="2BDCCFE9" w14:textId="335A24E4" w:rsidR="00072336" w:rsidRPr="00B12763" w:rsidRDefault="002948E1" w:rsidP="00B12763">
      <w:pPr>
        <w:spacing w:before="120"/>
        <w:ind w:firstLine="709"/>
        <w:jc w:val="both"/>
        <w:rPr>
          <w:rFonts w:ascii="Arial" w:hAnsi="Arial" w:cs="Arial"/>
          <w:i/>
          <w:lang w:val="en-GB"/>
        </w:rPr>
      </w:pPr>
      <w:r w:rsidRPr="00A008B7">
        <w:rPr>
          <w:rFonts w:ascii="Arial" w:hAnsi="Arial" w:cs="Arial"/>
          <w:i/>
          <w:color w:val="000000"/>
          <w:sz w:val="20"/>
          <w:szCs w:val="20"/>
          <w:lang w:val="en-GB" w:eastAsia="en-US"/>
        </w:rPr>
        <w:t>The</w:t>
      </w:r>
      <w:r w:rsidRPr="00A008B7">
        <w:rPr>
          <w:rFonts w:ascii="Arial" w:hAnsi="Arial" w:cs="Arial"/>
          <w:b/>
          <w:i/>
          <w:color w:val="000000"/>
          <w:sz w:val="20"/>
          <w:szCs w:val="20"/>
          <w:lang w:val="en-GB" w:eastAsia="en-US"/>
        </w:rPr>
        <w:t xml:space="preserve"> salary sphere </w:t>
      </w:r>
      <w:r w:rsidRPr="00A008B7">
        <w:rPr>
          <w:rFonts w:ascii="Arial" w:hAnsi="Arial" w:cs="Arial"/>
          <w:i/>
          <w:color w:val="000000"/>
          <w:sz w:val="20"/>
          <w:szCs w:val="20"/>
          <w:lang w:val="en-GB" w:eastAsia="en-US"/>
        </w:rPr>
        <w:t xml:space="preserve">includes health establishments directly controlled by the Ministry of Health (e.g. university/teaching hospitals and specialised therapeutic institutions / medical institutes) or semi-budgetary organisations of Regions. </w:t>
      </w:r>
    </w:p>
    <w:p w14:paraId="51F0926C" w14:textId="6F31A28C" w:rsidR="00D7763F" w:rsidRPr="00A008B7" w:rsidRDefault="00D7763F" w:rsidP="00D7763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rPr>
      </w:pPr>
    </w:p>
    <w:p w14:paraId="330E6EAA" w14:textId="7F313C87" w:rsidR="003D2E57" w:rsidRPr="00B12763" w:rsidRDefault="003D2E57" w:rsidP="00B1276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i/>
          <w:u w:val="single"/>
          <w:lang w:val="en-GB"/>
        </w:rPr>
      </w:pPr>
      <w:r w:rsidRPr="00B12763">
        <w:rPr>
          <w:rFonts w:ascii="Arial" w:hAnsi="Arial" w:cs="Arial"/>
          <w:b/>
          <w:bCs/>
          <w:i/>
          <w:u w:val="single"/>
          <w:lang w:val="en-GB"/>
        </w:rPr>
        <w:t xml:space="preserve">Incapacity for work due to disease or injury </w:t>
      </w:r>
      <w:r w:rsidR="003B351B" w:rsidRPr="00B12763">
        <w:rPr>
          <w:rFonts w:ascii="Arial" w:hAnsi="Arial" w:cs="Arial"/>
          <w:b/>
          <w:i/>
          <w:szCs w:val="20"/>
          <w:u w:val="single"/>
          <w:lang w:val="en-GB"/>
        </w:rPr>
        <w:t>(</w:t>
      </w:r>
      <w:r w:rsidR="003B351B" w:rsidRPr="00B12763">
        <w:rPr>
          <w:rFonts w:ascii="Arial" w:hAnsi="Arial" w:cs="Arial"/>
          <w:b/>
          <w:bCs/>
          <w:i/>
          <w:u w:val="single"/>
          <w:lang w:val="en-GB" w:eastAsia="en-US"/>
        </w:rPr>
        <w:t>Tables 2</w:t>
      </w:r>
      <w:r w:rsidR="003B351B" w:rsidRPr="00B12763">
        <w:rPr>
          <w:rFonts w:ascii="Arial" w:hAnsi="Arial" w:cs="Arial"/>
          <w:b/>
          <w:i/>
          <w:szCs w:val="17"/>
          <w:u w:val="single"/>
          <w:lang w:val="en-GB"/>
        </w:rPr>
        <w:t>–</w:t>
      </w:r>
      <w:r w:rsidR="003B351B" w:rsidRPr="00B12763">
        <w:rPr>
          <w:rFonts w:ascii="Arial" w:hAnsi="Arial" w:cs="Arial"/>
          <w:b/>
          <w:bCs/>
          <w:i/>
          <w:u w:val="single"/>
          <w:lang w:val="en-GB" w:eastAsia="en-US"/>
        </w:rPr>
        <w:t>34 through 2</w:t>
      </w:r>
      <w:r w:rsidR="003B351B" w:rsidRPr="00B12763">
        <w:rPr>
          <w:rFonts w:ascii="Arial" w:hAnsi="Arial" w:cs="Arial"/>
          <w:b/>
          <w:i/>
          <w:szCs w:val="17"/>
          <w:u w:val="single"/>
          <w:lang w:val="en-GB"/>
        </w:rPr>
        <w:t>–41</w:t>
      </w:r>
      <w:r w:rsidR="003B351B" w:rsidRPr="00B12763">
        <w:rPr>
          <w:rFonts w:ascii="Arial" w:hAnsi="Arial" w:cs="Arial"/>
          <w:b/>
          <w:i/>
          <w:szCs w:val="20"/>
          <w:u w:val="single"/>
          <w:lang w:val="en-GB"/>
        </w:rPr>
        <w:t>)</w:t>
      </w:r>
    </w:p>
    <w:p w14:paraId="4BB85104" w14:textId="77777777" w:rsidR="003D2E57" w:rsidRPr="00A008B7" w:rsidRDefault="003D2E57" w:rsidP="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rPr>
      </w:pPr>
    </w:p>
    <w:p w14:paraId="633E3E2D" w14:textId="2A2BF9F0" w:rsidR="003D2E57" w:rsidRPr="00C50323" w:rsidRDefault="003D2E57" w:rsidP="00C5032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rPr>
      </w:pPr>
      <w:r w:rsidRPr="00A008B7">
        <w:rPr>
          <w:b/>
          <w:szCs w:val="20"/>
        </w:rPr>
        <w:t xml:space="preserve">New notified cases </w:t>
      </w:r>
    </w:p>
    <w:p w14:paraId="7F383D23" w14:textId="56E169BC" w:rsidR="003D2E57" w:rsidRPr="00D7470B" w:rsidRDefault="0022386B">
      <w:pPr>
        <w:spacing w:before="120"/>
        <w:ind w:firstLine="714"/>
        <w:jc w:val="both"/>
        <w:rPr>
          <w:rFonts w:ascii="Arial" w:hAnsi="Arial" w:cs="Arial"/>
          <w:i/>
          <w:sz w:val="20"/>
          <w:szCs w:val="20"/>
          <w:lang w:val="en-GB"/>
        </w:rPr>
      </w:pPr>
      <w:r w:rsidRPr="00B12763">
        <w:rPr>
          <w:rFonts w:ascii="Arial" w:hAnsi="Arial" w:cs="Arial"/>
          <w:i/>
          <w:sz w:val="20"/>
          <w:szCs w:val="20"/>
          <w:lang w:val="en-GB"/>
        </w:rPr>
        <w:t>B</w:t>
      </w:r>
      <w:r w:rsidR="003D2E57" w:rsidRPr="00B12763">
        <w:rPr>
          <w:rFonts w:ascii="Arial" w:hAnsi="Arial" w:cs="Arial"/>
          <w:i/>
          <w:sz w:val="20"/>
          <w:szCs w:val="20"/>
          <w:lang w:val="en-GB"/>
        </w:rPr>
        <w:t>efore 2012</w:t>
      </w:r>
      <w:r w:rsidRPr="00B12763">
        <w:rPr>
          <w:rFonts w:ascii="Arial" w:hAnsi="Arial" w:cs="Arial"/>
          <w:i/>
          <w:sz w:val="20"/>
          <w:szCs w:val="20"/>
          <w:lang w:val="en-GB"/>
        </w:rPr>
        <w:t>, statistical data on temporary incapacity for work due to disease or injury were surveyed</w:t>
      </w:r>
      <w:r w:rsidRPr="00B12763">
        <w:rPr>
          <w:rFonts w:ascii="Arial" w:hAnsi="Arial" w:cs="Arial"/>
          <w:i/>
          <w:sz w:val="20"/>
          <w:szCs w:val="20"/>
        </w:rPr>
        <w:t xml:space="preserve"> </w:t>
      </w:r>
      <w:r w:rsidR="003D2E57" w:rsidRPr="00B12763">
        <w:rPr>
          <w:rFonts w:ascii="Arial" w:hAnsi="Arial" w:cs="Arial"/>
          <w:i/>
          <w:sz w:val="20"/>
          <w:szCs w:val="20"/>
          <w:lang w:val="en-GB"/>
        </w:rPr>
        <w:t xml:space="preserve">based on </w:t>
      </w:r>
      <w:r w:rsidR="00E9181B" w:rsidRPr="00A008B7">
        <w:rPr>
          <w:rFonts w:ascii="Arial" w:hAnsi="Arial" w:cs="Arial"/>
          <w:i/>
          <w:sz w:val="20"/>
          <w:szCs w:val="20"/>
          <w:lang w:val="en-GB"/>
        </w:rPr>
        <w:t xml:space="preserve">the </w:t>
      </w:r>
      <w:r w:rsidR="00E9181B" w:rsidRPr="00B12763">
        <w:rPr>
          <w:rFonts w:ascii="Arial" w:hAnsi="Arial" w:cs="Arial"/>
          <w:sz w:val="20"/>
          <w:szCs w:val="20"/>
        </w:rPr>
        <w:t>Nem Úr 1–02</w:t>
      </w:r>
      <w:r w:rsidR="00E9181B" w:rsidRPr="00A008B7">
        <w:rPr>
          <w:rFonts w:ascii="Arial" w:hAnsi="Arial" w:cs="Arial"/>
          <w:sz w:val="20"/>
          <w:szCs w:val="20"/>
        </w:rPr>
        <w:t xml:space="preserve"> </w:t>
      </w:r>
      <w:r w:rsidR="00E9181B" w:rsidRPr="00A008B7">
        <w:rPr>
          <w:rFonts w:ascii="Arial" w:hAnsi="Arial" w:cs="Arial"/>
          <w:i/>
          <w:sz w:val="20"/>
          <w:szCs w:val="20"/>
          <w:lang w:val="en-GB"/>
        </w:rPr>
        <w:t>state</w:t>
      </w:r>
      <w:r w:rsidR="003D2E57" w:rsidRPr="00B12763">
        <w:rPr>
          <w:rFonts w:ascii="Arial" w:hAnsi="Arial" w:cs="Arial"/>
          <w:i/>
          <w:sz w:val="20"/>
          <w:szCs w:val="20"/>
          <w:lang w:val="en-GB"/>
        </w:rPr>
        <w:t xml:space="preserve"> statistical questionnaire</w:t>
      </w:r>
      <w:r w:rsidR="00E9181B" w:rsidRPr="00A008B7">
        <w:rPr>
          <w:rFonts w:ascii="Arial" w:hAnsi="Arial" w:cs="Arial"/>
          <w:i/>
          <w:sz w:val="20"/>
          <w:szCs w:val="20"/>
          <w:lang w:val="en-GB"/>
        </w:rPr>
        <w:t xml:space="preserve"> (report)</w:t>
      </w:r>
      <w:r w:rsidR="003D2E57" w:rsidRPr="00B12763">
        <w:rPr>
          <w:rFonts w:ascii="Arial" w:hAnsi="Arial" w:cs="Arial"/>
          <w:i/>
          <w:sz w:val="20"/>
          <w:szCs w:val="20"/>
          <w:lang w:val="en-GB"/>
        </w:rPr>
        <w:t>.</w:t>
      </w:r>
      <w:r w:rsidR="00A97CEB" w:rsidRPr="00A008B7">
        <w:rPr>
          <w:rFonts w:ascii="Arial" w:hAnsi="Arial" w:cs="Arial"/>
          <w:i/>
          <w:sz w:val="20"/>
          <w:szCs w:val="20"/>
          <w:lang w:val="en-GB"/>
        </w:rPr>
        <w:t xml:space="preserve"> As a consequence of reduction of</w:t>
      </w:r>
      <w:r w:rsidR="00C50323">
        <w:rPr>
          <w:rFonts w:ascii="Arial" w:hAnsi="Arial" w:cs="Arial"/>
          <w:i/>
          <w:sz w:val="20"/>
          <w:szCs w:val="20"/>
          <w:lang w:val="en-GB"/>
        </w:rPr>
        <w:t> </w:t>
      </w:r>
      <w:r w:rsidR="00A97CEB" w:rsidRPr="00A008B7">
        <w:rPr>
          <w:rFonts w:ascii="Arial" w:hAnsi="Arial" w:cs="Arial"/>
          <w:i/>
          <w:sz w:val="20"/>
          <w:szCs w:val="20"/>
          <w:lang w:val="en-GB"/>
        </w:rPr>
        <w:t xml:space="preserve">administrative demandingness and burden </w:t>
      </w:r>
      <w:r w:rsidR="009F7D5D" w:rsidRPr="00B12763">
        <w:rPr>
          <w:rFonts w:ascii="Arial" w:hAnsi="Arial" w:cs="Arial"/>
          <w:i/>
          <w:sz w:val="20"/>
          <w:szCs w:val="20"/>
          <w:lang w:val="en-GB"/>
        </w:rPr>
        <w:t>of</w:t>
      </w:r>
      <w:r w:rsidR="00A97CEB" w:rsidRPr="00A008B7">
        <w:rPr>
          <w:rFonts w:ascii="Arial" w:hAnsi="Arial" w:cs="Arial"/>
          <w:i/>
          <w:sz w:val="20"/>
          <w:szCs w:val="20"/>
          <w:lang w:val="en-GB"/>
        </w:rPr>
        <w:t xml:space="preserve"> reporting units, </w:t>
      </w:r>
      <w:r w:rsidR="00A97CEB" w:rsidRPr="00B12763">
        <w:rPr>
          <w:rFonts w:ascii="Arial" w:hAnsi="Arial" w:cs="Arial"/>
          <w:i/>
          <w:sz w:val="20"/>
          <w:szCs w:val="20"/>
          <w:lang w:val="en-GB"/>
        </w:rPr>
        <w:t xml:space="preserve">the </w:t>
      </w:r>
      <w:r w:rsidR="00A97CEB" w:rsidRPr="00B12763">
        <w:rPr>
          <w:rFonts w:ascii="Arial" w:hAnsi="Arial" w:cs="Arial"/>
          <w:sz w:val="20"/>
          <w:szCs w:val="20"/>
        </w:rPr>
        <w:t>Nem Úr 1–</w:t>
      </w:r>
      <w:r w:rsidR="00A97CEB" w:rsidRPr="00B12763">
        <w:rPr>
          <w:rFonts w:ascii="Arial" w:hAnsi="Arial" w:cs="Arial"/>
          <w:sz w:val="20"/>
          <w:szCs w:val="20"/>
          <w:lang w:val="en-GB"/>
        </w:rPr>
        <w:t xml:space="preserve">02 </w:t>
      </w:r>
      <w:r w:rsidR="00A97CEB" w:rsidRPr="00B12763">
        <w:rPr>
          <w:rFonts w:ascii="Arial" w:hAnsi="Arial" w:cs="Arial"/>
          <w:i/>
          <w:sz w:val="20"/>
          <w:szCs w:val="20"/>
          <w:lang w:val="en-GB"/>
        </w:rPr>
        <w:t>Report on incapacity</w:t>
      </w:r>
      <w:r w:rsidR="00A97CEB" w:rsidRPr="00A008B7">
        <w:rPr>
          <w:rFonts w:ascii="Arial" w:hAnsi="Arial" w:cs="Arial"/>
          <w:i/>
          <w:sz w:val="20"/>
          <w:szCs w:val="20"/>
          <w:lang w:val="en-GB"/>
        </w:rPr>
        <w:t xml:space="preserve"> for</w:t>
      </w:r>
      <w:r w:rsidR="00C50323">
        <w:rPr>
          <w:rFonts w:ascii="Arial" w:hAnsi="Arial" w:cs="Arial"/>
          <w:i/>
          <w:sz w:val="20"/>
          <w:szCs w:val="20"/>
          <w:lang w:val="en-GB"/>
        </w:rPr>
        <w:t> </w:t>
      </w:r>
      <w:r w:rsidR="00A97CEB" w:rsidRPr="00A008B7">
        <w:rPr>
          <w:rFonts w:ascii="Arial" w:hAnsi="Arial" w:cs="Arial"/>
          <w:i/>
          <w:sz w:val="20"/>
          <w:szCs w:val="20"/>
          <w:lang w:val="en-GB"/>
        </w:rPr>
        <w:t xml:space="preserve">work due to disease or injury was replaced by data available from administrative sources. </w:t>
      </w:r>
      <w:r w:rsidR="00E62031" w:rsidRPr="00A008B7">
        <w:rPr>
          <w:rFonts w:ascii="Arial" w:hAnsi="Arial" w:cs="Arial"/>
          <w:i/>
          <w:sz w:val="20"/>
          <w:szCs w:val="20"/>
          <w:lang w:val="en-GB"/>
        </w:rPr>
        <w:t>Data s</w:t>
      </w:r>
      <w:r w:rsidR="00E62031" w:rsidRPr="00A008B7">
        <w:rPr>
          <w:rFonts w:ascii="Arial" w:hAnsi="Arial" w:cs="Arial"/>
          <w:i/>
          <w:iCs/>
          <w:sz w:val="20"/>
          <w:szCs w:val="17"/>
          <w:lang w:val="en-GB"/>
        </w:rPr>
        <w:t>ince 2012 are not fully comparable with data for the previous years.</w:t>
      </w:r>
      <w:r w:rsidR="00E62031" w:rsidRPr="00A008B7">
        <w:rPr>
          <w:szCs w:val="17"/>
        </w:rPr>
        <w:t xml:space="preserve"> </w:t>
      </w:r>
      <w:r w:rsidR="003D2E57" w:rsidRPr="00A008B7">
        <w:rPr>
          <w:rFonts w:ascii="Arial" w:hAnsi="Arial" w:cs="Arial"/>
          <w:i/>
          <w:iCs/>
          <w:sz w:val="20"/>
          <w:szCs w:val="17"/>
          <w:lang w:val="en-GB"/>
        </w:rPr>
        <w:t>Since 2012, the CZSO has obtained the data by processing of data from an administrative data source of the Information System of the</w:t>
      </w:r>
      <w:r w:rsidR="003D2E57" w:rsidRPr="00A008B7" w:rsidDel="00AC228E">
        <w:rPr>
          <w:rFonts w:ascii="Arial" w:hAnsi="Arial" w:cs="Arial"/>
          <w:i/>
          <w:iCs/>
          <w:sz w:val="20"/>
          <w:szCs w:val="17"/>
          <w:lang w:val="en-GB"/>
        </w:rPr>
        <w:t xml:space="preserve"> </w:t>
      </w:r>
      <w:r w:rsidR="003D2E57" w:rsidRPr="00A008B7">
        <w:rPr>
          <w:rFonts w:ascii="Arial" w:hAnsi="Arial" w:cs="Arial"/>
          <w:i/>
          <w:iCs/>
          <w:sz w:val="20"/>
          <w:szCs w:val="17"/>
          <w:lang w:val="en-GB"/>
        </w:rPr>
        <w:t>CSSA. The Information System of</w:t>
      </w:r>
      <w:r w:rsidR="00C50323">
        <w:rPr>
          <w:rFonts w:ascii="Arial" w:hAnsi="Arial" w:cs="Arial"/>
          <w:i/>
          <w:iCs/>
          <w:sz w:val="20"/>
          <w:szCs w:val="17"/>
          <w:lang w:val="en-GB"/>
        </w:rPr>
        <w:t> </w:t>
      </w:r>
      <w:r w:rsidR="003D2E57" w:rsidRPr="00A008B7">
        <w:rPr>
          <w:rFonts w:ascii="Arial" w:hAnsi="Arial" w:cs="Arial"/>
          <w:i/>
          <w:iCs/>
          <w:sz w:val="20"/>
          <w:szCs w:val="17"/>
          <w:lang w:val="en-GB"/>
        </w:rPr>
        <w:t>the CSSA registers cases of temporary incapacity for work in the Czech Republic, which were reported by</w:t>
      </w:r>
      <w:r w:rsidR="00C50323">
        <w:rPr>
          <w:rFonts w:ascii="Arial" w:hAnsi="Arial" w:cs="Arial"/>
          <w:i/>
          <w:iCs/>
          <w:sz w:val="20"/>
          <w:szCs w:val="17"/>
          <w:lang w:val="en-GB"/>
        </w:rPr>
        <w:t> </w:t>
      </w:r>
      <w:r w:rsidR="003D2E57" w:rsidRPr="00A008B7">
        <w:rPr>
          <w:rFonts w:ascii="Arial" w:hAnsi="Arial" w:cs="Arial"/>
          <w:i/>
          <w:iCs/>
          <w:sz w:val="20"/>
          <w:szCs w:val="17"/>
          <w:lang w:val="en-GB"/>
        </w:rPr>
        <w:t>a physician  electronically by means of the application called in Czech “</w:t>
      </w:r>
      <w:r w:rsidR="003D2E57" w:rsidRPr="00A008B7">
        <w:rPr>
          <w:rFonts w:ascii="Arial" w:hAnsi="Arial" w:cs="Arial"/>
          <w:iCs/>
          <w:sz w:val="20"/>
          <w:szCs w:val="17"/>
          <w:lang w:val="en-GB"/>
        </w:rPr>
        <w:t>eNeschopenka</w:t>
      </w:r>
      <w:r w:rsidR="003D2E57" w:rsidRPr="00A008B7">
        <w:rPr>
          <w:rFonts w:ascii="Arial" w:hAnsi="Arial" w:cs="Arial"/>
          <w:i/>
          <w:iCs/>
          <w:sz w:val="20"/>
          <w:szCs w:val="17"/>
          <w:lang w:val="en-GB"/>
        </w:rPr>
        <w:t>” (before</w:t>
      </w:r>
      <w:r w:rsidR="00C50323">
        <w:rPr>
          <w:rFonts w:ascii="Arial" w:hAnsi="Arial" w:cs="Arial"/>
          <w:i/>
          <w:iCs/>
          <w:sz w:val="20"/>
          <w:szCs w:val="17"/>
          <w:lang w:val="en-GB"/>
        </w:rPr>
        <w:t> </w:t>
      </w:r>
      <w:r w:rsidR="003D2E57" w:rsidRPr="00A008B7">
        <w:rPr>
          <w:rFonts w:ascii="Arial" w:hAnsi="Arial" w:cs="Arial"/>
          <w:i/>
          <w:iCs/>
          <w:sz w:val="20"/>
          <w:szCs w:val="17"/>
          <w:lang w:val="en-GB"/>
        </w:rPr>
        <w:t>2020, they completed a printed form called “Decision on the temporary incapacity for work”). The statistics of</w:t>
      </w:r>
      <w:r w:rsidR="00C50323">
        <w:rPr>
          <w:rFonts w:ascii="Arial" w:hAnsi="Arial" w:cs="Arial"/>
          <w:i/>
          <w:iCs/>
          <w:sz w:val="20"/>
          <w:szCs w:val="17"/>
          <w:lang w:val="en-GB"/>
        </w:rPr>
        <w:t> </w:t>
      </w:r>
      <w:r w:rsidR="003D2E57" w:rsidRPr="00A008B7">
        <w:rPr>
          <w:rFonts w:ascii="Arial" w:hAnsi="Arial" w:cs="Arial"/>
          <w:i/>
          <w:iCs/>
          <w:sz w:val="20"/>
          <w:szCs w:val="17"/>
          <w:lang w:val="en-GB"/>
        </w:rPr>
        <w:t>temporary incapacity for work captures all diseases and injuries, which caused at least one-day long incapacity for work of the sickness-insured persons. Administrative data in the Information System of</w:t>
      </w:r>
      <w:r w:rsidR="00C50323">
        <w:rPr>
          <w:rFonts w:ascii="Arial" w:hAnsi="Arial" w:cs="Arial"/>
          <w:i/>
          <w:iCs/>
          <w:sz w:val="20"/>
          <w:szCs w:val="17"/>
          <w:lang w:val="en-GB"/>
        </w:rPr>
        <w:t> </w:t>
      </w:r>
      <w:r w:rsidR="003D2E57" w:rsidRPr="00A008B7">
        <w:rPr>
          <w:rFonts w:ascii="Arial" w:hAnsi="Arial" w:cs="Arial"/>
          <w:i/>
          <w:iCs/>
          <w:sz w:val="20"/>
          <w:szCs w:val="17"/>
          <w:lang w:val="en-GB"/>
        </w:rPr>
        <w:t xml:space="preserve">the CSSA </w:t>
      </w:r>
      <w:r w:rsidR="007A68C9" w:rsidRPr="00B12763">
        <w:rPr>
          <w:rFonts w:ascii="Arial" w:hAnsi="Arial" w:cs="Arial"/>
          <w:i/>
          <w:iCs/>
          <w:sz w:val="20"/>
          <w:szCs w:val="17"/>
          <w:lang w:val="en-GB"/>
        </w:rPr>
        <w:t>contain</w:t>
      </w:r>
      <w:r w:rsidR="003D2E57" w:rsidRPr="00A008B7">
        <w:rPr>
          <w:rFonts w:ascii="Arial" w:hAnsi="Arial" w:cs="Arial"/>
          <w:i/>
          <w:iCs/>
          <w:sz w:val="20"/>
          <w:szCs w:val="17"/>
          <w:lang w:val="en-GB"/>
        </w:rPr>
        <w:t xml:space="preserve"> data for all employees of legal and natural persons and separately for the own-account workers (the self-employed). Data of the CSSA do not include members of the Police of the CR, the Fire and Rescue Service of the CR, the Customs Administration of the CR, the Prison Service of the CR, the Inspectorate General of the Security Forces of the CR, the Security Information Service, the Office for Foreign Relations and Information, professional soldiers, persons serving a sentence of imprisonment (convicts) who work while serving a sentence of imprisonment, and persons accused that are working while in custody</w:t>
      </w:r>
      <w:r w:rsidR="003D2E57" w:rsidRPr="00A008B7">
        <w:rPr>
          <w:rFonts w:ascii="Arial" w:hAnsi="Arial" w:cs="Arial"/>
          <w:i/>
          <w:sz w:val="20"/>
          <w:szCs w:val="20"/>
        </w:rPr>
        <w:t xml:space="preserve"> </w:t>
      </w:r>
      <w:r w:rsidR="003D2E57" w:rsidRPr="00A008B7">
        <w:rPr>
          <w:rFonts w:ascii="Arial" w:hAnsi="Arial" w:cs="Arial"/>
          <w:i/>
          <w:sz w:val="20"/>
          <w:szCs w:val="20"/>
          <w:lang w:val="en-GB"/>
        </w:rPr>
        <w:t xml:space="preserve">(Section 5(a) points 2 and 14 of the Act No 187/2006 Sb). </w:t>
      </w:r>
    </w:p>
    <w:p w14:paraId="2B8E5363" w14:textId="0AB9543B" w:rsidR="003D2E57" w:rsidRPr="00A008B7" w:rsidRDefault="003D2E57" w:rsidP="003D2E57">
      <w:pPr>
        <w:spacing w:before="120"/>
        <w:ind w:firstLine="709"/>
        <w:jc w:val="both"/>
        <w:rPr>
          <w:rFonts w:ascii="Arial" w:hAnsi="Arial" w:cs="Arial"/>
          <w:bCs/>
          <w:i/>
          <w:iCs/>
          <w:sz w:val="20"/>
          <w:szCs w:val="17"/>
          <w:lang w:val="en-GB"/>
        </w:rPr>
      </w:pPr>
      <w:r w:rsidRPr="00A008B7">
        <w:rPr>
          <w:rFonts w:ascii="Arial" w:hAnsi="Arial" w:cs="Arial"/>
          <w:b/>
          <w:bCs/>
          <w:i/>
          <w:iCs/>
          <w:sz w:val="20"/>
          <w:szCs w:val="17"/>
          <w:lang w:val="en-GB"/>
        </w:rPr>
        <w:t>New notified</w:t>
      </w:r>
      <w:r w:rsidRPr="00A008B7">
        <w:rPr>
          <w:rFonts w:ascii="Arial" w:hAnsi="Arial" w:cs="Arial"/>
          <w:b/>
          <w:color w:val="000000"/>
          <w:lang w:val="en-GB"/>
        </w:rPr>
        <w:t xml:space="preserve"> </w:t>
      </w:r>
      <w:r w:rsidRPr="00A008B7">
        <w:rPr>
          <w:rFonts w:ascii="Arial" w:hAnsi="Arial" w:cs="Arial"/>
          <w:b/>
          <w:bCs/>
          <w:i/>
          <w:iCs/>
          <w:sz w:val="20"/>
          <w:szCs w:val="17"/>
          <w:lang w:val="en-GB"/>
        </w:rPr>
        <w:t xml:space="preserve">cases of incapacity for work </w:t>
      </w:r>
      <w:r w:rsidRPr="00A008B7">
        <w:rPr>
          <w:rFonts w:ascii="Arial" w:hAnsi="Arial" w:cs="Arial"/>
          <w:bCs/>
          <w:i/>
          <w:iCs/>
          <w:sz w:val="20"/>
          <w:szCs w:val="17"/>
          <w:lang w:val="en-GB"/>
        </w:rPr>
        <w:t>are registered based on the reported beginning of the incapacity for work (a sick leave) of the sickness-insured persons. The number of cases of incapacity for work due to disease include, besides diseases, quarantines, too. Namely, it applies to the quarantine of a person that is eligible for a sickness insurance benefit, submits an application and the application is acknowledged by</w:t>
      </w:r>
      <w:r w:rsidR="00C50323">
        <w:rPr>
          <w:rFonts w:ascii="Arial" w:hAnsi="Arial" w:cs="Arial"/>
          <w:bCs/>
          <w:i/>
          <w:iCs/>
          <w:sz w:val="20"/>
          <w:szCs w:val="17"/>
          <w:lang w:val="en-GB"/>
        </w:rPr>
        <w:t> </w:t>
      </w:r>
      <w:r w:rsidRPr="00A008B7">
        <w:rPr>
          <w:rFonts w:ascii="Arial" w:hAnsi="Arial" w:cs="Arial"/>
          <w:bCs/>
          <w:i/>
          <w:iCs/>
          <w:sz w:val="20"/>
          <w:szCs w:val="17"/>
          <w:lang w:val="en-GB"/>
        </w:rPr>
        <w:t xml:space="preserve">the attending physician or by a public health authority. </w:t>
      </w:r>
    </w:p>
    <w:p w14:paraId="0E21D78E" w14:textId="2D24166D" w:rsidR="003D2E57" w:rsidRPr="00A008B7" w:rsidRDefault="003D2E57" w:rsidP="003D2E57">
      <w:pPr>
        <w:spacing w:before="120"/>
        <w:ind w:firstLine="680"/>
        <w:jc w:val="both"/>
        <w:rPr>
          <w:rFonts w:ascii="Arial" w:hAnsi="Arial" w:cs="Arial"/>
          <w:bCs/>
          <w:i/>
          <w:iCs/>
          <w:sz w:val="20"/>
          <w:lang w:val="en-GB"/>
        </w:rPr>
      </w:pPr>
      <w:r w:rsidRPr="00A008B7">
        <w:rPr>
          <w:rFonts w:ascii="Arial" w:hAnsi="Arial" w:cs="Arial"/>
          <w:bCs/>
          <w:i/>
          <w:iCs/>
          <w:sz w:val="20"/>
          <w:lang w:val="en-GB"/>
        </w:rPr>
        <w:t>The</w:t>
      </w:r>
      <w:r w:rsidRPr="00A008B7">
        <w:rPr>
          <w:rFonts w:ascii="Arial" w:hAnsi="Arial" w:cs="Arial"/>
          <w:b/>
          <w:bCs/>
          <w:i/>
          <w:iCs/>
          <w:sz w:val="20"/>
          <w:lang w:val="en-GB"/>
        </w:rPr>
        <w:t xml:space="preserve"> number of days of incapacity for work</w:t>
      </w:r>
      <w:r w:rsidRPr="00A008B7">
        <w:rPr>
          <w:rFonts w:ascii="Arial" w:hAnsi="Arial" w:cs="Arial"/>
          <w:bCs/>
          <w:i/>
          <w:iCs/>
          <w:sz w:val="20"/>
          <w:lang w:val="en-GB"/>
        </w:rPr>
        <w:t xml:space="preserve"> is the sum of </w:t>
      </w:r>
      <w:r w:rsidRPr="00A008B7">
        <w:rPr>
          <w:rFonts w:ascii="Arial" w:hAnsi="Arial" w:cs="Arial"/>
          <w:i/>
          <w:iCs/>
          <w:sz w:val="20"/>
          <w:lang w:val="en-GB"/>
        </w:rPr>
        <w:t xml:space="preserve">calendar days, during which the sickness-insured employees were </w:t>
      </w:r>
      <w:r w:rsidRPr="00A008B7">
        <w:rPr>
          <w:rFonts w:ascii="Arial" w:hAnsi="Arial" w:cs="Arial"/>
          <w:i/>
          <w:sz w:val="20"/>
          <w:szCs w:val="20"/>
          <w:lang w:val="en-GB"/>
        </w:rPr>
        <w:t>incapacitated for work</w:t>
      </w:r>
      <w:r w:rsidRPr="00A008B7">
        <w:rPr>
          <w:rFonts w:ascii="Arial" w:hAnsi="Arial" w:cs="Arial"/>
          <w:i/>
          <w:iCs/>
          <w:sz w:val="20"/>
          <w:lang w:val="en-GB"/>
        </w:rPr>
        <w:t xml:space="preserve"> (</w:t>
      </w:r>
      <w:r w:rsidRPr="00A008B7">
        <w:rPr>
          <w:rFonts w:ascii="Arial" w:hAnsi="Arial" w:cs="Arial"/>
          <w:i/>
          <w:iCs/>
          <w:sz w:val="20"/>
          <w:shd w:val="clear" w:color="auto" w:fill="FFFFFF"/>
          <w:lang w:val="en-GB"/>
        </w:rPr>
        <w:t>based on reports on the beginning and termination of</w:t>
      </w:r>
      <w:r w:rsidR="00C50323">
        <w:rPr>
          <w:rFonts w:ascii="Arial" w:hAnsi="Arial" w:cs="Arial"/>
          <w:i/>
          <w:iCs/>
          <w:sz w:val="20"/>
          <w:shd w:val="clear" w:color="auto" w:fill="FFFFFF"/>
          <w:lang w:val="en-GB"/>
        </w:rPr>
        <w:t> </w:t>
      </w:r>
      <w:r w:rsidRPr="00A008B7">
        <w:rPr>
          <w:rFonts w:ascii="Arial" w:hAnsi="Arial" w:cs="Arial"/>
          <w:i/>
          <w:iCs/>
          <w:sz w:val="20"/>
          <w:shd w:val="clear" w:color="auto" w:fill="FFFFFF"/>
          <w:lang w:val="en-GB"/>
        </w:rPr>
        <w:t>incapacity for work).</w:t>
      </w:r>
    </w:p>
    <w:p w14:paraId="43572D37" w14:textId="7D882887" w:rsidR="003D2E57" w:rsidRPr="00A008B7" w:rsidRDefault="003D2E57" w:rsidP="003D2E57">
      <w:pPr>
        <w:spacing w:before="120"/>
        <w:ind w:firstLine="714"/>
        <w:jc w:val="both"/>
        <w:rPr>
          <w:rFonts w:ascii="Arial" w:hAnsi="Arial" w:cs="Arial"/>
          <w:i/>
          <w:sz w:val="20"/>
          <w:szCs w:val="20"/>
        </w:rPr>
      </w:pPr>
      <w:r w:rsidRPr="00A008B7">
        <w:rPr>
          <w:rFonts w:ascii="Arial" w:hAnsi="Arial" w:cs="Arial"/>
          <w:bCs/>
          <w:i/>
          <w:iCs/>
          <w:sz w:val="20"/>
          <w:szCs w:val="17"/>
          <w:lang w:val="en-GB"/>
        </w:rPr>
        <w:t xml:space="preserve">The </w:t>
      </w:r>
      <w:r w:rsidRPr="00A008B7">
        <w:rPr>
          <w:rFonts w:ascii="Arial" w:hAnsi="Arial" w:cs="Arial"/>
          <w:b/>
          <w:bCs/>
          <w:i/>
          <w:iCs/>
          <w:sz w:val="20"/>
          <w:szCs w:val="17"/>
          <w:lang w:val="en-GB"/>
        </w:rPr>
        <w:t>average duration of 1 case of incapacity for work</w:t>
      </w:r>
      <w:r w:rsidRPr="00A008B7">
        <w:rPr>
          <w:rFonts w:ascii="Arial" w:hAnsi="Arial" w:cs="Arial"/>
          <w:bCs/>
          <w:i/>
          <w:iCs/>
          <w:sz w:val="20"/>
          <w:szCs w:val="17"/>
          <w:lang w:val="en-GB"/>
        </w:rPr>
        <w:t xml:space="preserve"> </w:t>
      </w:r>
      <w:r w:rsidR="00325F4D" w:rsidRPr="00B12763">
        <w:rPr>
          <w:rFonts w:ascii="Arial" w:hAnsi="Arial" w:cs="Arial"/>
          <w:i/>
          <w:sz w:val="20"/>
          <w:szCs w:val="20"/>
        </w:rPr>
        <w:t xml:space="preserve">– </w:t>
      </w:r>
      <w:r w:rsidR="00325F4D" w:rsidRPr="00B12763">
        <w:rPr>
          <w:rFonts w:ascii="Arial" w:hAnsi="Arial" w:cs="Arial"/>
          <w:bCs/>
          <w:i/>
          <w:iCs/>
          <w:sz w:val="20"/>
          <w:szCs w:val="17"/>
          <w:lang w:val="en-GB"/>
        </w:rPr>
        <w:t xml:space="preserve">the indicator </w:t>
      </w:r>
      <w:r w:rsidRPr="00A008B7">
        <w:rPr>
          <w:rFonts w:ascii="Arial" w:hAnsi="Arial" w:cs="Arial"/>
          <w:bCs/>
          <w:i/>
          <w:iCs/>
          <w:sz w:val="20"/>
          <w:szCs w:val="17"/>
          <w:lang w:val="en-GB"/>
        </w:rPr>
        <w:t>expresses how many calendar days of the incapacity for work there are on average per one new notified case of the incapacity for work.</w:t>
      </w:r>
    </w:p>
    <w:p w14:paraId="026E6D87" w14:textId="4F455AA8" w:rsidR="003D2E57" w:rsidRPr="00A008B7" w:rsidRDefault="003D2E57" w:rsidP="003D2E57">
      <w:pPr>
        <w:spacing w:before="120"/>
        <w:ind w:firstLine="714"/>
        <w:jc w:val="both"/>
        <w:rPr>
          <w:rFonts w:ascii="Arial" w:hAnsi="Arial" w:cs="Arial"/>
          <w:i/>
          <w:sz w:val="20"/>
          <w:szCs w:val="20"/>
        </w:rPr>
      </w:pPr>
      <w:r w:rsidRPr="00A008B7">
        <w:rPr>
          <w:rFonts w:ascii="Arial" w:hAnsi="Arial" w:cs="Arial"/>
          <w:bCs/>
          <w:i/>
          <w:iCs/>
          <w:sz w:val="20"/>
          <w:szCs w:val="17"/>
          <w:lang w:val="en-GB"/>
        </w:rPr>
        <w:t xml:space="preserve">The </w:t>
      </w:r>
      <w:r w:rsidRPr="00A008B7">
        <w:rPr>
          <w:rFonts w:ascii="Arial" w:hAnsi="Arial" w:cs="Arial"/>
          <w:b/>
          <w:bCs/>
          <w:i/>
          <w:iCs/>
          <w:sz w:val="20"/>
          <w:szCs w:val="17"/>
          <w:lang w:val="en-GB"/>
        </w:rPr>
        <w:t>average daily number of persons temporarily incapacitated for work due to disease or</w:t>
      </w:r>
      <w:r w:rsidR="00C50323">
        <w:rPr>
          <w:rFonts w:ascii="Arial" w:hAnsi="Arial" w:cs="Arial"/>
          <w:b/>
          <w:bCs/>
          <w:i/>
          <w:iCs/>
          <w:sz w:val="20"/>
          <w:szCs w:val="17"/>
          <w:lang w:val="en-GB"/>
        </w:rPr>
        <w:t> </w:t>
      </w:r>
      <w:r w:rsidRPr="00A008B7">
        <w:rPr>
          <w:rFonts w:ascii="Arial" w:hAnsi="Arial" w:cs="Arial"/>
          <w:b/>
          <w:bCs/>
          <w:i/>
          <w:iCs/>
          <w:sz w:val="20"/>
          <w:szCs w:val="17"/>
          <w:lang w:val="en-GB"/>
        </w:rPr>
        <w:t>injury</w:t>
      </w:r>
      <w:r w:rsidRPr="00A008B7">
        <w:rPr>
          <w:rFonts w:ascii="Arial" w:hAnsi="Arial" w:cs="Arial"/>
          <w:bCs/>
          <w:i/>
          <w:iCs/>
          <w:sz w:val="20"/>
          <w:szCs w:val="17"/>
          <w:lang w:val="en-GB"/>
        </w:rPr>
        <w:t xml:space="preserve"> is calculated as a share of calendar days of the temporary incapacity for work in the number of</w:t>
      </w:r>
      <w:r w:rsidR="00C50323">
        <w:rPr>
          <w:rFonts w:ascii="Arial" w:hAnsi="Arial" w:cs="Arial"/>
          <w:bCs/>
          <w:i/>
          <w:iCs/>
          <w:sz w:val="20"/>
          <w:szCs w:val="17"/>
          <w:lang w:val="en-GB"/>
        </w:rPr>
        <w:t> </w:t>
      </w:r>
      <w:r w:rsidRPr="00A008B7">
        <w:rPr>
          <w:rFonts w:ascii="Arial" w:hAnsi="Arial" w:cs="Arial"/>
          <w:bCs/>
          <w:i/>
          <w:iCs/>
          <w:sz w:val="20"/>
          <w:szCs w:val="17"/>
          <w:lang w:val="en-GB"/>
        </w:rPr>
        <w:t>calendar days in the reference period. The indicator shows the number of the sickness insured who were on average daily absent at work due to incapacity for work in the reference period (year).</w:t>
      </w:r>
    </w:p>
    <w:p w14:paraId="616C7FA6" w14:textId="77777777" w:rsidR="003D2E57" w:rsidRPr="00A008B7" w:rsidRDefault="003D2E57" w:rsidP="003D2E57">
      <w:pPr>
        <w:spacing w:before="120"/>
        <w:ind w:firstLine="714"/>
        <w:jc w:val="both"/>
        <w:rPr>
          <w:rFonts w:ascii="Arial" w:hAnsi="Arial" w:cs="Arial"/>
          <w:b/>
          <w:bCs/>
          <w:i/>
          <w:iCs/>
          <w:sz w:val="20"/>
          <w:lang w:val="en-GB"/>
        </w:rPr>
      </w:pPr>
      <w:r w:rsidRPr="00A008B7">
        <w:rPr>
          <w:rFonts w:ascii="Arial" w:hAnsi="Arial" w:cs="Arial"/>
          <w:bCs/>
          <w:i/>
          <w:iCs/>
          <w:sz w:val="20"/>
          <w:lang w:val="en-GB"/>
        </w:rPr>
        <w:lastRenderedPageBreak/>
        <w:t xml:space="preserve">The </w:t>
      </w:r>
      <w:r w:rsidRPr="00A008B7">
        <w:rPr>
          <w:rFonts w:ascii="Arial" w:hAnsi="Arial" w:cs="Arial"/>
          <w:b/>
          <w:bCs/>
          <w:i/>
          <w:iCs/>
          <w:sz w:val="20"/>
          <w:lang w:val="en-GB"/>
        </w:rPr>
        <w:t xml:space="preserve">average percentage of temporary incapacity for work </w:t>
      </w:r>
      <w:r w:rsidRPr="00A008B7">
        <w:rPr>
          <w:rFonts w:ascii="Arial" w:hAnsi="Arial" w:cs="Arial"/>
          <w:i/>
          <w:sz w:val="20"/>
          <w:szCs w:val="20"/>
          <w:lang w:val="en-GB"/>
        </w:rPr>
        <w:t xml:space="preserve">– the indicator shows how many of 100 sickness-insured persons is on average incapacitated for work due to </w:t>
      </w:r>
      <w:r w:rsidRPr="00A008B7">
        <w:rPr>
          <w:rFonts w:ascii="Arial" w:hAnsi="Arial" w:cs="Arial"/>
          <w:i/>
          <w:iCs/>
          <w:sz w:val="20"/>
          <w:lang w:val="en-GB"/>
        </w:rPr>
        <w:t>disease or injury</w:t>
      </w:r>
      <w:r w:rsidRPr="00A008B7">
        <w:rPr>
          <w:rFonts w:ascii="Arial" w:hAnsi="Arial" w:cs="Arial"/>
          <w:i/>
          <w:sz w:val="20"/>
          <w:szCs w:val="20"/>
          <w:lang w:val="en-GB"/>
        </w:rPr>
        <w:t xml:space="preserve"> every day</w:t>
      </w:r>
      <w:r w:rsidRPr="00A008B7">
        <w:rPr>
          <w:rFonts w:ascii="Arial" w:hAnsi="Arial" w:cs="Arial"/>
          <w:i/>
          <w:iCs/>
          <w:sz w:val="20"/>
          <w:lang w:val="en-GB"/>
        </w:rPr>
        <w:t xml:space="preserve">. It takes into account both the total number of cases of incapacity for work (how often people take a sick leave) and the average duration of one case of incapacity for work (how long they remain on sick leave). </w:t>
      </w:r>
    </w:p>
    <w:p w14:paraId="0456E876" w14:textId="485ADD95" w:rsidR="001845E3" w:rsidRPr="00A008B7" w:rsidRDefault="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
          <w:i/>
          <w:iCs/>
          <w:sz w:val="20"/>
          <w:szCs w:val="17"/>
          <w:lang w:val="en-GB"/>
        </w:rPr>
      </w:pPr>
      <w:r w:rsidRPr="00A008B7">
        <w:rPr>
          <w:rFonts w:ascii="Arial" w:hAnsi="Arial" w:cs="Arial"/>
          <w:b/>
          <w:i/>
          <w:sz w:val="20"/>
          <w:szCs w:val="20"/>
          <w:lang w:val="en-GB"/>
        </w:rPr>
        <w:t xml:space="preserve">New notified cases of </w:t>
      </w:r>
      <w:r w:rsidRPr="00A008B7">
        <w:rPr>
          <w:rFonts w:ascii="Arial" w:hAnsi="Arial" w:cs="Arial"/>
          <w:b/>
          <w:bCs/>
          <w:i/>
          <w:iCs/>
          <w:sz w:val="20"/>
          <w:lang w:val="en-GB"/>
        </w:rPr>
        <w:t xml:space="preserve">temporary incapacity for work due to occupational injury </w:t>
      </w:r>
      <w:r w:rsidRPr="00A008B7">
        <w:rPr>
          <w:rFonts w:ascii="Arial" w:hAnsi="Arial" w:cs="Arial"/>
          <w:bCs/>
          <w:i/>
          <w:iCs/>
          <w:sz w:val="20"/>
          <w:lang w:val="en-GB"/>
        </w:rPr>
        <w:t xml:space="preserve">are registered based on notifications on start of incapacity for work of the sickness-insured persons. </w:t>
      </w:r>
      <w:r w:rsidR="001845E3" w:rsidRPr="00B12763">
        <w:rPr>
          <w:rFonts w:ascii="Arial" w:hAnsi="Arial" w:cs="Arial"/>
          <w:bCs/>
          <w:i/>
          <w:iCs/>
          <w:sz w:val="20"/>
          <w:lang w:val="en-GB"/>
        </w:rPr>
        <w:t xml:space="preserve">An </w:t>
      </w:r>
      <w:r w:rsidR="001845E3" w:rsidRPr="00B12763">
        <w:rPr>
          <w:rFonts w:ascii="Arial" w:hAnsi="Arial" w:cs="Arial"/>
          <w:b/>
          <w:bCs/>
          <w:i/>
          <w:iCs/>
          <w:sz w:val="20"/>
          <w:lang w:val="en-GB"/>
        </w:rPr>
        <w:t>o</w:t>
      </w:r>
      <w:r w:rsidRPr="00A008B7">
        <w:rPr>
          <w:rFonts w:ascii="Arial" w:hAnsi="Arial" w:cs="Arial"/>
          <w:b/>
          <w:i/>
          <w:iCs/>
          <w:sz w:val="20"/>
          <w:szCs w:val="17"/>
          <w:lang w:val="en-GB"/>
        </w:rPr>
        <w:t>ccupational injur</w:t>
      </w:r>
      <w:r w:rsidR="001845E3" w:rsidRPr="00B12763">
        <w:rPr>
          <w:rFonts w:ascii="Arial" w:hAnsi="Arial" w:cs="Arial"/>
          <w:b/>
          <w:i/>
          <w:iCs/>
          <w:sz w:val="20"/>
          <w:szCs w:val="17"/>
          <w:lang w:val="en-GB"/>
        </w:rPr>
        <w:t>y</w:t>
      </w:r>
      <w:r w:rsidR="001845E3" w:rsidRPr="00A008B7">
        <w:rPr>
          <w:rFonts w:ascii="Arial" w:hAnsi="Arial" w:cs="Arial"/>
          <w:i/>
          <w:iCs/>
          <w:sz w:val="20"/>
          <w:szCs w:val="17"/>
          <w:lang w:val="en-GB"/>
        </w:rPr>
        <w:t xml:space="preserve"> shall mean </w:t>
      </w:r>
      <w:r w:rsidR="00277007" w:rsidRPr="00A008B7">
        <w:rPr>
          <w:rFonts w:ascii="Arial" w:hAnsi="Arial" w:cs="Arial"/>
          <w:i/>
          <w:iCs/>
          <w:sz w:val="20"/>
          <w:szCs w:val="17"/>
          <w:lang w:val="en-GB"/>
        </w:rPr>
        <w:t>damage to health or</w:t>
      </w:r>
      <w:r w:rsidR="00553625" w:rsidRPr="00B12763">
        <w:rPr>
          <w:rFonts w:ascii="Arial" w:hAnsi="Arial" w:cs="Arial"/>
          <w:i/>
          <w:iCs/>
          <w:sz w:val="20"/>
          <w:szCs w:val="17"/>
          <w:lang w:val="en-GB"/>
        </w:rPr>
        <w:t xml:space="preserve"> </w:t>
      </w:r>
      <w:r w:rsidR="00277007" w:rsidRPr="00A008B7">
        <w:rPr>
          <w:rFonts w:ascii="Arial" w:hAnsi="Arial" w:cs="Arial"/>
          <w:i/>
          <w:iCs/>
          <w:sz w:val="20"/>
          <w:szCs w:val="17"/>
          <w:lang w:val="en-GB"/>
        </w:rPr>
        <w:t>death of an employee provided that they occurred independently from the will of the employee</w:t>
      </w:r>
      <w:r w:rsidR="00553625" w:rsidRPr="00B12763">
        <w:rPr>
          <w:rFonts w:ascii="Arial" w:hAnsi="Arial" w:cs="Arial"/>
          <w:i/>
          <w:iCs/>
          <w:sz w:val="20"/>
          <w:szCs w:val="17"/>
          <w:lang w:val="en-GB"/>
        </w:rPr>
        <w:t xml:space="preserve"> by a short-term, sudden, and violent effect of exogenous influences </w:t>
      </w:r>
      <w:r w:rsidR="00277007" w:rsidRPr="00B12763">
        <w:rPr>
          <w:rFonts w:ascii="Arial" w:hAnsi="Arial" w:cs="Arial"/>
          <w:i/>
          <w:iCs/>
          <w:sz w:val="20"/>
          <w:szCs w:val="17"/>
          <w:lang w:val="en-GB"/>
        </w:rPr>
        <w:t>while</w:t>
      </w:r>
      <w:r w:rsidR="00553625" w:rsidRPr="00B12763">
        <w:rPr>
          <w:rFonts w:ascii="Arial" w:hAnsi="Arial" w:cs="Arial"/>
          <w:i/>
          <w:iCs/>
          <w:sz w:val="20"/>
          <w:szCs w:val="17"/>
          <w:lang w:val="en-GB"/>
        </w:rPr>
        <w:t xml:space="preserve"> the employee was</w:t>
      </w:r>
      <w:r w:rsidR="00277007" w:rsidRPr="00B12763">
        <w:rPr>
          <w:rFonts w:ascii="Arial" w:hAnsi="Arial" w:cs="Arial"/>
          <w:i/>
          <w:iCs/>
          <w:sz w:val="20"/>
          <w:szCs w:val="17"/>
          <w:lang w:val="en-GB"/>
        </w:rPr>
        <w:t xml:space="preserve"> fulfilling work assignments or in direct connection with the fulfilment of these assignments</w:t>
      </w:r>
      <w:r w:rsidR="00277007" w:rsidRPr="00A008B7">
        <w:rPr>
          <w:rFonts w:ascii="Arial" w:hAnsi="Arial" w:cs="Arial"/>
          <w:i/>
          <w:iCs/>
          <w:sz w:val="20"/>
          <w:szCs w:val="17"/>
          <w:lang w:val="en-GB"/>
        </w:rPr>
        <w:t>.</w:t>
      </w:r>
      <w:r w:rsidR="001845E3" w:rsidRPr="00A008B7">
        <w:rPr>
          <w:rFonts w:ascii="Arial" w:hAnsi="Arial" w:cs="Arial"/>
          <w:b/>
          <w:i/>
          <w:iCs/>
          <w:sz w:val="20"/>
          <w:szCs w:val="17"/>
          <w:lang w:val="en-GB"/>
        </w:rPr>
        <w:t xml:space="preserve"> </w:t>
      </w:r>
    </w:p>
    <w:p w14:paraId="6E71CDC8" w14:textId="117E35DE" w:rsidR="003D2E57" w:rsidRPr="00A008B7" w:rsidRDefault="003D2E57" w:rsidP="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iCs/>
          <w:sz w:val="20"/>
          <w:szCs w:val="17"/>
          <w:lang w:val="en-GB"/>
        </w:rPr>
      </w:pPr>
      <w:r w:rsidRPr="00A008B7">
        <w:rPr>
          <w:rFonts w:ascii="Arial" w:hAnsi="Arial" w:cs="Arial"/>
          <w:i/>
          <w:iCs/>
          <w:sz w:val="20"/>
          <w:szCs w:val="17"/>
          <w:lang w:val="en-GB"/>
        </w:rPr>
        <w:t>A </w:t>
      </w:r>
      <w:r w:rsidRPr="00A008B7">
        <w:rPr>
          <w:rFonts w:ascii="Arial" w:hAnsi="Arial" w:cs="Arial"/>
          <w:b/>
          <w:i/>
          <w:iCs/>
          <w:sz w:val="20"/>
          <w:szCs w:val="17"/>
          <w:lang w:val="en-GB"/>
        </w:rPr>
        <w:t>fatal occupational injury</w:t>
      </w:r>
      <w:r w:rsidRPr="00A008B7">
        <w:rPr>
          <w:rFonts w:ascii="Arial" w:hAnsi="Arial" w:cs="Arial"/>
          <w:i/>
          <w:iCs/>
          <w:sz w:val="20"/>
          <w:szCs w:val="17"/>
          <w:lang w:val="en-GB"/>
        </w:rPr>
        <w:t xml:space="preserve"> is such health damage that occurred to employees while fulfilling their work assignments or in direct connection with the fulfilment of these assignments leading to death of</w:t>
      </w:r>
      <w:r w:rsidR="00C50323">
        <w:rPr>
          <w:rFonts w:ascii="Arial" w:hAnsi="Arial" w:cs="Arial"/>
          <w:i/>
          <w:iCs/>
          <w:sz w:val="20"/>
          <w:szCs w:val="17"/>
          <w:lang w:val="en-GB"/>
        </w:rPr>
        <w:t> </w:t>
      </w:r>
      <w:r w:rsidRPr="00A008B7">
        <w:rPr>
          <w:rFonts w:ascii="Arial" w:hAnsi="Arial" w:cs="Arial"/>
          <w:i/>
          <w:iCs/>
          <w:sz w:val="20"/>
          <w:szCs w:val="17"/>
          <w:lang w:val="en-GB"/>
        </w:rPr>
        <w:t>the suffering employee within one year at the latest. The State Labour Inspection Office is the source of</w:t>
      </w:r>
      <w:r w:rsidR="00C50323">
        <w:rPr>
          <w:rFonts w:ascii="Arial" w:hAnsi="Arial" w:cs="Arial"/>
          <w:i/>
          <w:iCs/>
          <w:sz w:val="20"/>
          <w:szCs w:val="17"/>
          <w:lang w:val="en-GB"/>
        </w:rPr>
        <w:t> </w:t>
      </w:r>
      <w:bookmarkStart w:id="0" w:name="_GoBack"/>
      <w:bookmarkEnd w:id="0"/>
      <w:r w:rsidRPr="00A008B7">
        <w:rPr>
          <w:rFonts w:ascii="Arial" w:hAnsi="Arial" w:cs="Arial"/>
          <w:i/>
          <w:iCs/>
          <w:sz w:val="20"/>
          <w:szCs w:val="17"/>
          <w:lang w:val="en-GB"/>
        </w:rPr>
        <w:t>data.</w:t>
      </w:r>
    </w:p>
    <w:p w14:paraId="1EF05C35" w14:textId="77777777" w:rsidR="003D2E57" w:rsidRPr="00A008B7" w:rsidRDefault="003D2E57" w:rsidP="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A008B7">
        <w:rPr>
          <w:rFonts w:ascii="Arial" w:hAnsi="Arial" w:cs="Arial"/>
          <w:b/>
          <w:i/>
          <w:sz w:val="20"/>
          <w:szCs w:val="20"/>
          <w:lang w:val="en-GB"/>
        </w:rPr>
        <w:t>Note on the cartograms 2</w:t>
      </w:r>
      <w:r w:rsidRPr="00A008B7">
        <w:rPr>
          <w:b/>
          <w:i/>
          <w:iCs/>
          <w:szCs w:val="17"/>
          <w:lang w:val="en-GB"/>
        </w:rPr>
        <w:t>–</w:t>
      </w:r>
      <w:r w:rsidRPr="00A008B7">
        <w:rPr>
          <w:rFonts w:ascii="Arial" w:hAnsi="Arial" w:cs="Arial"/>
          <w:b/>
          <w:i/>
          <w:sz w:val="20"/>
          <w:szCs w:val="20"/>
          <w:lang w:val="en-GB"/>
        </w:rPr>
        <w:t>3 and 2</w:t>
      </w:r>
      <w:r w:rsidRPr="00A008B7">
        <w:rPr>
          <w:b/>
          <w:i/>
          <w:iCs/>
          <w:szCs w:val="17"/>
          <w:lang w:val="en-GB"/>
        </w:rPr>
        <w:t>–</w:t>
      </w:r>
      <w:r w:rsidRPr="00A008B7">
        <w:rPr>
          <w:rFonts w:ascii="Arial" w:hAnsi="Arial" w:cs="Arial"/>
          <w:b/>
          <w:i/>
          <w:sz w:val="20"/>
          <w:szCs w:val="20"/>
          <w:lang w:val="en-GB"/>
        </w:rPr>
        <w:t xml:space="preserve">4: </w:t>
      </w:r>
      <w:r w:rsidRPr="00A008B7">
        <w:rPr>
          <w:rFonts w:ascii="Arial" w:hAnsi="Arial" w:cs="Arial"/>
          <w:i/>
          <w:sz w:val="20"/>
          <w:szCs w:val="20"/>
          <w:lang w:val="en-GB"/>
        </w:rPr>
        <w:t xml:space="preserve">Breakdown by Region and District is based on a piece of data on the registered office of a unit, which keeps records of wages for the employer of a person who is incapacitated for work. In the town of </w:t>
      </w:r>
      <w:r w:rsidRPr="00A008B7">
        <w:rPr>
          <w:rFonts w:ascii="Arial" w:hAnsi="Arial" w:cs="Arial"/>
          <w:sz w:val="20"/>
          <w:szCs w:val="20"/>
          <w:lang w:val="en-GB"/>
        </w:rPr>
        <w:t>Jeseník</w:t>
      </w:r>
      <w:r w:rsidRPr="00A008B7">
        <w:rPr>
          <w:rFonts w:ascii="Arial" w:hAnsi="Arial" w:cs="Arial"/>
          <w:i/>
          <w:sz w:val="20"/>
          <w:szCs w:val="20"/>
          <w:lang w:val="en-GB"/>
        </w:rPr>
        <w:t xml:space="preserve">, there is an accounting department of foster care for professional foster parents in the CR. Professional foster parents usually do not take a sick leave, because even during a sick leave (incapacity for work) they have to take care of their foster child. However, they are included in the denominator of the indicator of the average percentage of incapacity for work within the number of the sickness-insured in the District. </w:t>
      </w:r>
      <w:r w:rsidRPr="00A008B7">
        <w:rPr>
          <w:rFonts w:ascii="Arial" w:hAnsi="Arial" w:cs="Arial"/>
          <w:i/>
          <w:sz w:val="20"/>
          <w:szCs w:val="20"/>
        </w:rPr>
        <w:t xml:space="preserve">   </w:t>
      </w:r>
    </w:p>
    <w:p w14:paraId="060E1C1F" w14:textId="77777777" w:rsidR="003D2E57" w:rsidRPr="00A008B7" w:rsidRDefault="003D2E57" w:rsidP="003D2E57">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lang w:val="cs-CZ"/>
        </w:rPr>
      </w:pPr>
    </w:p>
    <w:p w14:paraId="158D9E15" w14:textId="4AD649E4" w:rsidR="003D2E57" w:rsidRPr="00B12763" w:rsidRDefault="003D2E57" w:rsidP="007E78F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rPr>
      </w:pPr>
      <w:r w:rsidRPr="00A008B7">
        <w:rPr>
          <w:b/>
          <w:szCs w:val="20"/>
        </w:rPr>
        <w:t xml:space="preserve">Terminated cases </w:t>
      </w:r>
    </w:p>
    <w:p w14:paraId="74F64612" w14:textId="77777777" w:rsidR="003D2E57" w:rsidRPr="00A008B7" w:rsidRDefault="003D2E57" w:rsidP="003D2E57">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Cs w:val="0"/>
          <w:szCs w:val="17"/>
        </w:rPr>
      </w:pPr>
      <w:r w:rsidRPr="00A008B7">
        <w:rPr>
          <w:iCs w:val="0"/>
          <w:szCs w:val="17"/>
        </w:rPr>
        <w:t xml:space="preserve">The Czech Social Security Administration also keeps a record of, processes, and publishes data on terminated cases of incapacity for work for individual quarters, see </w:t>
      </w:r>
      <w:hyperlink r:id="rId8" w:history="1">
        <w:r w:rsidRPr="00A008B7">
          <w:rPr>
            <w:rStyle w:val="Hypertextovodkaz"/>
            <w:szCs w:val="20"/>
            <w:lang w:val="cs-CZ"/>
          </w:rPr>
          <w:t>https://www.cssz.cz/web/cz/nemocenska-statistika</w:t>
        </w:r>
      </w:hyperlink>
      <w:r w:rsidRPr="00A008B7">
        <w:rPr>
          <w:rStyle w:val="Hypertextovodkaz"/>
          <w:color w:val="auto"/>
          <w:szCs w:val="20"/>
          <w:u w:val="none"/>
        </w:rPr>
        <w:t xml:space="preserve"> (Czech only).</w:t>
      </w:r>
      <w:r w:rsidRPr="00A008B7">
        <w:rPr>
          <w:iCs w:val="0"/>
          <w:szCs w:val="17"/>
        </w:rPr>
        <w:t xml:space="preserve"> Differences in the numbers of new notified and terminated cases of temporary incapacity for work are due to a different methodology for data collection.</w:t>
      </w:r>
    </w:p>
    <w:p w14:paraId="54C6D56A" w14:textId="4226F474" w:rsidR="00392C9E" w:rsidRPr="00A008B7" w:rsidRDefault="00392C9E" w:rsidP="009F3C2E">
      <w:pPr>
        <w:spacing w:before="120"/>
        <w:jc w:val="both"/>
        <w:rPr>
          <w:rFonts w:ascii="Arial" w:hAnsi="Arial" w:cs="Arial"/>
          <w:i/>
          <w:color w:val="000000"/>
          <w:sz w:val="20"/>
          <w:szCs w:val="20"/>
          <w:shd w:val="clear" w:color="auto" w:fill="FFFFFF"/>
          <w:lang w:val="en-GB"/>
        </w:rPr>
      </w:pPr>
    </w:p>
    <w:p w14:paraId="75C452A0" w14:textId="035A9338" w:rsidR="00392C9E" w:rsidRPr="00A008B7" w:rsidRDefault="00D16168" w:rsidP="00392C9E">
      <w:pPr>
        <w:pStyle w:val="Zkladntext"/>
        <w:ind w:firstLine="709"/>
        <w:jc w:val="both"/>
        <w:rPr>
          <w:b/>
          <w:bCs/>
          <w:sz w:val="24"/>
          <w:lang w:eastAsia="en-US"/>
        </w:rPr>
      </w:pPr>
      <w:r w:rsidRPr="00A008B7">
        <w:rPr>
          <w:b/>
          <w:sz w:val="24"/>
        </w:rPr>
        <w:t>Deaths</w:t>
      </w:r>
      <w:r w:rsidR="00392C9E" w:rsidRPr="00A008B7">
        <w:rPr>
          <w:b/>
          <w:sz w:val="24"/>
        </w:rPr>
        <w:t xml:space="preserve"> a</w:t>
      </w:r>
      <w:r w:rsidRPr="00A008B7">
        <w:rPr>
          <w:b/>
          <w:sz w:val="24"/>
        </w:rPr>
        <w:t xml:space="preserve">nd mortality rate </w:t>
      </w:r>
      <w:r w:rsidR="00392C9E" w:rsidRPr="00A008B7">
        <w:rPr>
          <w:b/>
          <w:bCs/>
          <w:sz w:val="24"/>
          <w:lang w:eastAsia="en-US"/>
        </w:rPr>
        <w:t>(</w:t>
      </w:r>
      <w:r w:rsidR="006B6805" w:rsidRPr="00A008B7">
        <w:rPr>
          <w:b/>
          <w:bCs/>
          <w:sz w:val="24"/>
          <w:lang w:eastAsia="en-US"/>
        </w:rPr>
        <w:t>Tables</w:t>
      </w:r>
      <w:r w:rsidR="00392C9E" w:rsidRPr="00A008B7">
        <w:rPr>
          <w:b/>
          <w:bCs/>
          <w:sz w:val="24"/>
          <w:lang w:eastAsia="en-US"/>
        </w:rPr>
        <w:t xml:space="preserve"> 2</w:t>
      </w:r>
      <w:r w:rsidR="00CA228F" w:rsidRPr="00A008B7">
        <w:rPr>
          <w:b/>
          <w:i w:val="0"/>
          <w:szCs w:val="17"/>
        </w:rPr>
        <w:t>–</w:t>
      </w:r>
      <w:r w:rsidR="00EB7835" w:rsidRPr="00A008B7">
        <w:rPr>
          <w:b/>
          <w:bCs/>
          <w:sz w:val="24"/>
          <w:lang w:eastAsia="en-US"/>
        </w:rPr>
        <w:t xml:space="preserve">42 </w:t>
      </w:r>
      <w:r w:rsidR="00CA228F" w:rsidRPr="00A008B7">
        <w:rPr>
          <w:b/>
          <w:bCs/>
          <w:sz w:val="24"/>
          <w:lang w:eastAsia="en-US"/>
        </w:rPr>
        <w:t>through</w:t>
      </w:r>
      <w:r w:rsidR="00392C9E" w:rsidRPr="00A008B7">
        <w:rPr>
          <w:b/>
          <w:bCs/>
          <w:sz w:val="24"/>
          <w:lang w:eastAsia="en-US"/>
        </w:rPr>
        <w:t xml:space="preserve"> 2</w:t>
      </w:r>
      <w:r w:rsidR="00CA228F" w:rsidRPr="00A008B7">
        <w:rPr>
          <w:b/>
          <w:i w:val="0"/>
          <w:szCs w:val="17"/>
        </w:rPr>
        <w:t>–</w:t>
      </w:r>
      <w:r w:rsidR="00392C9E" w:rsidRPr="00A008B7">
        <w:rPr>
          <w:b/>
          <w:bCs/>
          <w:sz w:val="24"/>
          <w:lang w:eastAsia="en-US"/>
        </w:rPr>
        <w:t>4</w:t>
      </w:r>
      <w:r w:rsidR="00EB7835" w:rsidRPr="00A008B7">
        <w:rPr>
          <w:b/>
          <w:bCs/>
          <w:sz w:val="24"/>
          <w:lang w:eastAsia="en-US"/>
        </w:rPr>
        <w:t>6</w:t>
      </w:r>
      <w:r w:rsidR="00392C9E" w:rsidRPr="00A008B7">
        <w:rPr>
          <w:b/>
          <w:bCs/>
          <w:sz w:val="24"/>
          <w:lang w:eastAsia="en-US"/>
        </w:rPr>
        <w:t>)</w:t>
      </w:r>
    </w:p>
    <w:p w14:paraId="07A2B57F" w14:textId="77777777" w:rsidR="00392C9E" w:rsidRPr="00B12763" w:rsidRDefault="00392C9E" w:rsidP="00392C9E">
      <w:pPr>
        <w:pStyle w:val="Zkladntext"/>
        <w:ind w:firstLine="709"/>
        <w:jc w:val="both"/>
        <w:rPr>
          <w:sz w:val="24"/>
          <w:lang w:val="cs-CZ"/>
        </w:rPr>
      </w:pPr>
    </w:p>
    <w:p w14:paraId="712D7CD7" w14:textId="77777777" w:rsidR="00576F9F" w:rsidRPr="00A008B7" w:rsidRDefault="00576F9F" w:rsidP="00576F9F">
      <w:pPr>
        <w:pStyle w:val="Zkladntext"/>
        <w:ind w:firstLine="709"/>
        <w:jc w:val="both"/>
        <w:rPr>
          <w:szCs w:val="20"/>
        </w:rPr>
      </w:pPr>
      <w:r w:rsidRPr="00A008B7">
        <w:rPr>
          <w:b/>
          <w:szCs w:val="20"/>
        </w:rPr>
        <w:t xml:space="preserve">Age-specific mortality rates: </w:t>
      </w:r>
      <w:r w:rsidRPr="00A008B7">
        <w:rPr>
          <w:szCs w:val="20"/>
        </w:rPr>
        <w:t xml:space="preserve">the number of deaths (deceased persons, females or males) at a given age per 1 000 mid-year population of the same age. </w:t>
      </w:r>
    </w:p>
    <w:p w14:paraId="791B3013" w14:textId="44CE8B8F" w:rsidR="00576F9F" w:rsidRPr="00A008B7" w:rsidRDefault="00576F9F" w:rsidP="00576F9F">
      <w:pPr>
        <w:pStyle w:val="Zkladntext"/>
        <w:spacing w:before="60"/>
        <w:ind w:firstLine="709"/>
        <w:jc w:val="both"/>
        <w:rPr>
          <w:szCs w:val="20"/>
        </w:rPr>
      </w:pPr>
      <w:r w:rsidRPr="00A008B7">
        <w:rPr>
          <w:b/>
          <w:iCs w:val="0"/>
          <w:szCs w:val="20"/>
        </w:rPr>
        <w:t>Index of male excess mortality</w:t>
      </w:r>
      <w:r w:rsidRPr="00A008B7">
        <w:rPr>
          <w:iCs w:val="0"/>
          <w:szCs w:val="20"/>
        </w:rPr>
        <w:t xml:space="preserve"> (in the Graph 2</w:t>
      </w:r>
      <w:r w:rsidR="005D578D" w:rsidRPr="00A008B7">
        <w:rPr>
          <w:color w:val="000000"/>
          <w:szCs w:val="20"/>
          <w:shd w:val="clear" w:color="auto" w:fill="FFFFFF"/>
        </w:rPr>
        <w:t>–</w:t>
      </w:r>
      <w:r w:rsidR="00EB7835" w:rsidRPr="00A008B7">
        <w:rPr>
          <w:iCs w:val="0"/>
          <w:szCs w:val="20"/>
        </w:rPr>
        <w:t>39</w:t>
      </w:r>
      <w:r w:rsidRPr="00A008B7">
        <w:rPr>
          <w:iCs w:val="0"/>
          <w:szCs w:val="20"/>
        </w:rPr>
        <w:t xml:space="preserve">) shows the male mortality rate to the female mortality rate ratio at a given age. </w:t>
      </w:r>
    </w:p>
    <w:p w14:paraId="704A65BA" w14:textId="1DF9302D" w:rsidR="00576F9F" w:rsidRPr="00A008B7" w:rsidRDefault="00576F9F" w:rsidP="00576F9F">
      <w:pPr>
        <w:spacing w:before="120"/>
        <w:ind w:firstLine="714"/>
        <w:jc w:val="both"/>
        <w:rPr>
          <w:rFonts w:ascii="Arial" w:hAnsi="Arial" w:cs="Arial"/>
          <w:i/>
          <w:sz w:val="20"/>
          <w:szCs w:val="20"/>
          <w:lang w:val="en-GB"/>
        </w:rPr>
      </w:pPr>
      <w:r w:rsidRPr="00A008B7">
        <w:rPr>
          <w:rFonts w:ascii="Arial" w:hAnsi="Arial" w:cs="Arial"/>
          <w:b/>
          <w:i/>
          <w:sz w:val="20"/>
          <w:szCs w:val="20"/>
          <w:lang w:val="en-GB"/>
        </w:rPr>
        <w:t>Life expectancy at a given age</w:t>
      </w:r>
      <w:r w:rsidRPr="00A008B7">
        <w:rPr>
          <w:rFonts w:ascii="Arial" w:hAnsi="Arial" w:cs="Arial"/>
          <w:i/>
          <w:sz w:val="20"/>
          <w:szCs w:val="20"/>
          <w:lang w:val="en-GB"/>
        </w:rPr>
        <w:t>: the average number of years to be still lived by a person who is now at a given age while mortality conditions for individual ages in a given calendar year are maintained. It is a resulting indicator of so-called life tables</w:t>
      </w:r>
      <w:r w:rsidRPr="00A008B7">
        <w:rPr>
          <w:rFonts w:ascii="Arial" w:hAnsi="Arial" w:cs="Arial"/>
          <w:sz w:val="20"/>
          <w:szCs w:val="20"/>
          <w:lang w:val="en-GB"/>
        </w:rPr>
        <w:t>.</w:t>
      </w:r>
    </w:p>
    <w:p w14:paraId="0DC4879D" w14:textId="300B8E9A" w:rsidR="00CE1AAE" w:rsidRPr="00A008B7" w:rsidRDefault="00D7763F" w:rsidP="00E35786">
      <w:pPr>
        <w:pStyle w:val="Zkladntext"/>
        <w:jc w:val="both"/>
        <w:rPr>
          <w:b/>
          <w:bCs/>
          <w:i w:val="0"/>
          <w:iCs w:val="0"/>
        </w:rPr>
      </w:pPr>
      <w:r w:rsidRPr="00A008B7">
        <w:rPr>
          <w:lang w:val="cs-CZ"/>
        </w:rPr>
        <w:t xml:space="preserve">  </w:t>
      </w:r>
      <w:r w:rsidRPr="00A008B7">
        <w:t xml:space="preserve">          </w:t>
      </w:r>
    </w:p>
    <w:p w14:paraId="50F035A1" w14:textId="42CCB9FA" w:rsidR="00944A64" w:rsidRPr="00B12763" w:rsidRDefault="007E78F3" w:rsidP="00B12763">
      <w:pPr>
        <w:pStyle w:val="Zkladntext"/>
        <w:ind w:firstLine="709"/>
        <w:jc w:val="both"/>
        <w:rPr>
          <w:b/>
          <w:bCs/>
          <w:iCs w:val="0"/>
          <w:lang w:val="cs-CZ"/>
        </w:rPr>
      </w:pPr>
      <w:r w:rsidRPr="00B12763">
        <w:rPr>
          <w:iCs w:val="0"/>
          <w:szCs w:val="20"/>
        </w:rPr>
        <w:t xml:space="preserve">The number of </w:t>
      </w:r>
      <w:r w:rsidRPr="00B12763">
        <w:rPr>
          <w:b/>
          <w:szCs w:val="20"/>
        </w:rPr>
        <w:t xml:space="preserve">deaths by cause of death </w:t>
      </w:r>
      <w:r w:rsidRPr="00B12763">
        <w:rPr>
          <w:szCs w:val="20"/>
        </w:rPr>
        <w:t xml:space="preserve">is based on processing of data on causes of death or on diseases, conditions, or prospective other medical or other characteristics related to a death, stated on the “Death certificate (Report on examination of the deceased person)”, before 2012 by means of filling the statistical Report on death. An underlying cause of death is a basis for statistical classification; the underlying cause of death is defined by the World Health Organization as (a) the disease or injury that initiated the train of events leading directly to death or (b) the circumstances of the accident or violence which produced the fatal injury. </w:t>
      </w:r>
      <w:r w:rsidRPr="00B12763">
        <w:rPr>
          <w:iCs w:val="0"/>
          <w:color w:val="1C1B18"/>
          <w:szCs w:val="20"/>
        </w:rPr>
        <w:t xml:space="preserve">Causes of death have been coded </w:t>
      </w:r>
      <w:r w:rsidRPr="00B12763">
        <w:rPr>
          <w:szCs w:val="20"/>
        </w:rPr>
        <w:t xml:space="preserve">(since 1994) </w:t>
      </w:r>
      <w:r w:rsidRPr="00B12763">
        <w:rPr>
          <w:iCs w:val="0"/>
          <w:color w:val="1C1B18"/>
          <w:szCs w:val="20"/>
        </w:rPr>
        <w:t>according to the International Statistical Classification of Diseases and Related Health Problems in the wording of the 10th decennial revision (ICD-10) and its subsequent, in the Czech Republic adopted, updates. In 2020, COVID-19 disease was newly included in the classification of diseases; the U07 code from the chapter of Codes for special purposes was assigned to it. Since</w:t>
      </w:r>
      <w:r w:rsidRPr="00B12763">
        <w:rPr>
          <w:szCs w:val="20"/>
        </w:rPr>
        <w:t xml:space="preserve"> 2021, a multisystem inflammatory syndrome associated with COVID-19 (U10 code) also can be the underlying cause of death.</w:t>
      </w:r>
      <w:r>
        <w:rPr>
          <w:iCs w:val="0"/>
          <w:szCs w:val="20"/>
        </w:rPr>
        <w:t xml:space="preserve"> </w:t>
      </w:r>
    </w:p>
    <w:p w14:paraId="59658064" w14:textId="235506E9" w:rsidR="00D7763F" w:rsidRPr="00A008B7" w:rsidRDefault="00D7763F" w:rsidP="00E3578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b/>
          <w:bCs/>
          <w:i/>
        </w:rPr>
      </w:pPr>
      <w:r w:rsidRPr="00A008B7">
        <w:rPr>
          <w:rFonts w:ascii="Arial" w:hAnsi="Arial" w:cs="Arial"/>
          <w:b/>
          <w:bCs/>
          <w:i/>
          <w:sz w:val="20"/>
        </w:rPr>
        <w:tab/>
      </w:r>
    </w:p>
    <w:p w14:paraId="0EBAC05D" w14:textId="77777777" w:rsidR="00BB6357" w:rsidRPr="00A008B7" w:rsidRDefault="00BB6357" w:rsidP="00BB6357">
      <w:pPr>
        <w:pStyle w:val="Zkladntextodsazen"/>
        <w:tabs>
          <w:tab w:val="left" w:pos="708"/>
        </w:tabs>
        <w:rPr>
          <w:b/>
          <w:i/>
          <w:color w:val="auto"/>
          <w:lang w:val="en-GB"/>
        </w:rPr>
      </w:pPr>
      <w:r w:rsidRPr="00A008B7">
        <w:rPr>
          <w:b/>
          <w:i/>
          <w:color w:val="auto"/>
          <w:lang w:val="en-GB"/>
        </w:rPr>
        <w:t>Further information, data, and analyses of the CZSO can be found on the websites mentioned below:</w:t>
      </w:r>
    </w:p>
    <w:p w14:paraId="2D726C67" w14:textId="77777777" w:rsidR="00BB6357" w:rsidRPr="00A008B7" w:rsidRDefault="00BB6357" w:rsidP="00BB6357">
      <w:pPr>
        <w:pStyle w:val="Zkladntextodsazen"/>
        <w:ind w:firstLine="0"/>
        <w:rPr>
          <w:i/>
          <w:color w:val="auto"/>
          <w:lang w:val="en-GB"/>
        </w:rPr>
      </w:pPr>
    </w:p>
    <w:p w14:paraId="19B5833D" w14:textId="526FAF8C" w:rsidR="00BB6357" w:rsidRPr="00A008B7" w:rsidRDefault="00BB6357" w:rsidP="00BB6357">
      <w:pPr>
        <w:pStyle w:val="Zkladntextodsazen"/>
        <w:tabs>
          <w:tab w:val="left" w:pos="708"/>
        </w:tabs>
        <w:spacing w:after="40"/>
        <w:ind w:firstLine="0"/>
        <w:jc w:val="left"/>
        <w:rPr>
          <w:i/>
          <w:color w:val="auto"/>
          <w:lang w:val="en-GB"/>
        </w:rPr>
      </w:pPr>
      <w:r w:rsidRPr="00A008B7">
        <w:rPr>
          <w:i/>
          <w:color w:val="auto"/>
          <w:lang w:val="en-GB"/>
        </w:rPr>
        <w:t xml:space="preserve">Publications devoted to health: </w:t>
      </w:r>
      <w:hyperlink r:id="rId9" w:history="1">
        <w:r w:rsidR="00390862" w:rsidRPr="00A008B7">
          <w:rPr>
            <w:rStyle w:val="Hypertextovodkaz"/>
            <w:i/>
          </w:rPr>
          <w:t>https://www.czso.cz/csu/czso/public-health</w:t>
        </w:r>
      </w:hyperlink>
    </w:p>
    <w:p w14:paraId="04C7E4F7" w14:textId="33B4C276" w:rsidR="00390862" w:rsidRPr="00A008B7" w:rsidRDefault="00BB6357" w:rsidP="00BB6357">
      <w:pPr>
        <w:pStyle w:val="Zkladntextodsazen"/>
        <w:spacing w:after="40"/>
        <w:ind w:firstLine="0"/>
        <w:rPr>
          <w:i/>
        </w:rPr>
      </w:pPr>
      <w:r w:rsidRPr="00A008B7">
        <w:rPr>
          <w:i/>
          <w:color w:val="auto"/>
          <w:lang w:val="en-GB"/>
        </w:rPr>
        <w:t xml:space="preserve">Statistical Yearbook of the Czech Republic: </w:t>
      </w:r>
      <w:hyperlink r:id="rId10" w:history="1">
        <w:r w:rsidR="00A71942" w:rsidRPr="00A008B7">
          <w:rPr>
            <w:rStyle w:val="Hypertextovodkaz"/>
            <w:i/>
          </w:rPr>
          <w:t>Statistical Yearbook of the Czech Republic - 2022 | CZSO</w:t>
        </w:r>
      </w:hyperlink>
    </w:p>
    <w:p w14:paraId="1F348CB3" w14:textId="110D082D" w:rsidR="003A4797" w:rsidRPr="00093585" w:rsidRDefault="00BB6357" w:rsidP="00B12763">
      <w:pPr>
        <w:pStyle w:val="Zkladntextodsazen"/>
        <w:spacing w:after="40"/>
        <w:ind w:firstLine="0"/>
        <w:rPr>
          <w:lang w:val="en-GB"/>
        </w:rPr>
      </w:pPr>
      <w:r w:rsidRPr="00B12763">
        <w:rPr>
          <w:i/>
          <w:color w:val="auto"/>
          <w:lang w:val="en-GB"/>
        </w:rPr>
        <w:t xml:space="preserve">Regional yearbooks: </w:t>
      </w:r>
      <w:hyperlink r:id="rId11" w:history="1">
        <w:r w:rsidR="00390862" w:rsidRPr="00A008B7">
          <w:rPr>
            <w:rStyle w:val="Hypertextovodkaz"/>
            <w:i/>
          </w:rPr>
          <w:t>https://www.czso.cz/csu/czso/regional-yearbooks</w:t>
        </w:r>
      </w:hyperlink>
    </w:p>
    <w:sectPr w:rsidR="003A4797" w:rsidRPr="00093585" w:rsidSect="007B2D91">
      <w:footerReference w:type="even" r:id="rId12"/>
      <w:pgSz w:w="11906" w:h="16838" w:code="9"/>
      <w:pgMar w:top="1134" w:right="1134" w:bottom="1418"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1C22" w14:textId="77777777" w:rsidR="00250704" w:rsidRDefault="00250704">
      <w:r>
        <w:separator/>
      </w:r>
    </w:p>
  </w:endnote>
  <w:endnote w:type="continuationSeparator" w:id="0">
    <w:p w14:paraId="77B119D1" w14:textId="77777777" w:rsidR="00250704" w:rsidRDefault="0025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874" w14:textId="77777777" w:rsidR="00405360" w:rsidRDefault="00B27216">
    <w:pPr>
      <w:pStyle w:val="Zpat"/>
      <w:framePr w:wrap="around" w:vAnchor="text" w:hAnchor="margin" w:xAlign="center" w:y="1"/>
      <w:rPr>
        <w:rStyle w:val="slostrnky"/>
      </w:rPr>
    </w:pPr>
    <w:r>
      <w:rPr>
        <w:rStyle w:val="slostrnky"/>
      </w:rPr>
      <w:fldChar w:fldCharType="begin"/>
    </w:r>
    <w:r w:rsidR="00405360">
      <w:rPr>
        <w:rStyle w:val="slostrnky"/>
      </w:rPr>
      <w:instrText xml:space="preserve">PAGE  </w:instrText>
    </w:r>
    <w:r>
      <w:rPr>
        <w:rStyle w:val="slostrnky"/>
      </w:rPr>
      <w:fldChar w:fldCharType="end"/>
    </w:r>
  </w:p>
  <w:p w14:paraId="1E0A9388" w14:textId="77777777" w:rsidR="00405360" w:rsidRDefault="004053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11EF" w14:textId="77777777" w:rsidR="00250704" w:rsidRDefault="00250704">
      <w:r>
        <w:separator/>
      </w:r>
    </w:p>
  </w:footnote>
  <w:footnote w:type="continuationSeparator" w:id="0">
    <w:p w14:paraId="4AD5FFD5" w14:textId="77777777" w:rsidR="00250704" w:rsidRDefault="0025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73789F"/>
    <w:multiLevelType w:val="hybridMultilevel"/>
    <w:tmpl w:val="9B90711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 w15:restartNumberingAfterBreak="0">
    <w:nsid w:val="35901BED"/>
    <w:multiLevelType w:val="hybridMultilevel"/>
    <w:tmpl w:val="1BCEFA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5AF64CD6"/>
    <w:multiLevelType w:val="multilevel"/>
    <w:tmpl w:val="042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15"/>
    <w:rsid w:val="00002722"/>
    <w:rsid w:val="00010558"/>
    <w:rsid w:val="000118DC"/>
    <w:rsid w:val="00011CB8"/>
    <w:rsid w:val="00012AB5"/>
    <w:rsid w:val="00013155"/>
    <w:rsid w:val="000153BA"/>
    <w:rsid w:val="000173FF"/>
    <w:rsid w:val="00020007"/>
    <w:rsid w:val="0002045D"/>
    <w:rsid w:val="000233D3"/>
    <w:rsid w:val="00023F95"/>
    <w:rsid w:val="00023FB4"/>
    <w:rsid w:val="00026312"/>
    <w:rsid w:val="00027956"/>
    <w:rsid w:val="000304A0"/>
    <w:rsid w:val="00031892"/>
    <w:rsid w:val="00032748"/>
    <w:rsid w:val="0003281B"/>
    <w:rsid w:val="00034923"/>
    <w:rsid w:val="00041578"/>
    <w:rsid w:val="00041E4B"/>
    <w:rsid w:val="000441F8"/>
    <w:rsid w:val="0004789B"/>
    <w:rsid w:val="00050443"/>
    <w:rsid w:val="00050E0A"/>
    <w:rsid w:val="00051AED"/>
    <w:rsid w:val="00052D99"/>
    <w:rsid w:val="0005735A"/>
    <w:rsid w:val="000613CA"/>
    <w:rsid w:val="00062563"/>
    <w:rsid w:val="00062D67"/>
    <w:rsid w:val="00062EDE"/>
    <w:rsid w:val="00063FDF"/>
    <w:rsid w:val="000668F0"/>
    <w:rsid w:val="000669BC"/>
    <w:rsid w:val="00066FB8"/>
    <w:rsid w:val="00070374"/>
    <w:rsid w:val="00072336"/>
    <w:rsid w:val="0007271B"/>
    <w:rsid w:val="00075325"/>
    <w:rsid w:val="00076A88"/>
    <w:rsid w:val="00082385"/>
    <w:rsid w:val="00085A4F"/>
    <w:rsid w:val="00085E2D"/>
    <w:rsid w:val="0008764A"/>
    <w:rsid w:val="00093585"/>
    <w:rsid w:val="000953D6"/>
    <w:rsid w:val="0009663C"/>
    <w:rsid w:val="000A3C8F"/>
    <w:rsid w:val="000B0B62"/>
    <w:rsid w:val="000B10C0"/>
    <w:rsid w:val="000C18A5"/>
    <w:rsid w:val="000C1E51"/>
    <w:rsid w:val="000C2261"/>
    <w:rsid w:val="000D1959"/>
    <w:rsid w:val="000D234E"/>
    <w:rsid w:val="000D2725"/>
    <w:rsid w:val="000D4C16"/>
    <w:rsid w:val="000D4ECD"/>
    <w:rsid w:val="000D4FFD"/>
    <w:rsid w:val="000D7A11"/>
    <w:rsid w:val="000E1550"/>
    <w:rsid w:val="000E435F"/>
    <w:rsid w:val="000E5E8F"/>
    <w:rsid w:val="000E6942"/>
    <w:rsid w:val="000E79BB"/>
    <w:rsid w:val="000F162D"/>
    <w:rsid w:val="000F164E"/>
    <w:rsid w:val="000F475D"/>
    <w:rsid w:val="000F4A94"/>
    <w:rsid w:val="000F56CC"/>
    <w:rsid w:val="000F5D5E"/>
    <w:rsid w:val="00102E85"/>
    <w:rsid w:val="00104C0C"/>
    <w:rsid w:val="00106683"/>
    <w:rsid w:val="00107D8E"/>
    <w:rsid w:val="00110537"/>
    <w:rsid w:val="00110D1A"/>
    <w:rsid w:val="00112161"/>
    <w:rsid w:val="00113795"/>
    <w:rsid w:val="0011404B"/>
    <w:rsid w:val="00114338"/>
    <w:rsid w:val="00114BBA"/>
    <w:rsid w:val="001157D8"/>
    <w:rsid w:val="00116730"/>
    <w:rsid w:val="00120010"/>
    <w:rsid w:val="00120C32"/>
    <w:rsid w:val="0012245F"/>
    <w:rsid w:val="00131F0D"/>
    <w:rsid w:val="00132BFD"/>
    <w:rsid w:val="0013391E"/>
    <w:rsid w:val="0013586E"/>
    <w:rsid w:val="00144512"/>
    <w:rsid w:val="00150BE3"/>
    <w:rsid w:val="001521B1"/>
    <w:rsid w:val="00162C07"/>
    <w:rsid w:val="00162F6D"/>
    <w:rsid w:val="00163042"/>
    <w:rsid w:val="00164F77"/>
    <w:rsid w:val="00166AF5"/>
    <w:rsid w:val="001715D6"/>
    <w:rsid w:val="001725EC"/>
    <w:rsid w:val="001728B9"/>
    <w:rsid w:val="001743FA"/>
    <w:rsid w:val="00180760"/>
    <w:rsid w:val="0018114B"/>
    <w:rsid w:val="001845E3"/>
    <w:rsid w:val="001912E4"/>
    <w:rsid w:val="001959F9"/>
    <w:rsid w:val="001A03BD"/>
    <w:rsid w:val="001A482D"/>
    <w:rsid w:val="001A7318"/>
    <w:rsid w:val="001A7B6F"/>
    <w:rsid w:val="001B071F"/>
    <w:rsid w:val="001B130B"/>
    <w:rsid w:val="001B175E"/>
    <w:rsid w:val="001B21D3"/>
    <w:rsid w:val="001B2373"/>
    <w:rsid w:val="001B57A1"/>
    <w:rsid w:val="001B717E"/>
    <w:rsid w:val="001B7978"/>
    <w:rsid w:val="001C00F1"/>
    <w:rsid w:val="001C04FD"/>
    <w:rsid w:val="001C16CB"/>
    <w:rsid w:val="001C49FB"/>
    <w:rsid w:val="001D4099"/>
    <w:rsid w:val="001D41B5"/>
    <w:rsid w:val="001D4715"/>
    <w:rsid w:val="001D51AB"/>
    <w:rsid w:val="001D55BA"/>
    <w:rsid w:val="001D5EC6"/>
    <w:rsid w:val="001E5136"/>
    <w:rsid w:val="001E5606"/>
    <w:rsid w:val="001F25B9"/>
    <w:rsid w:val="001F392C"/>
    <w:rsid w:val="001F60EF"/>
    <w:rsid w:val="002045F5"/>
    <w:rsid w:val="0020490E"/>
    <w:rsid w:val="00206139"/>
    <w:rsid w:val="002068E8"/>
    <w:rsid w:val="00211980"/>
    <w:rsid w:val="0021239C"/>
    <w:rsid w:val="0021467E"/>
    <w:rsid w:val="00216165"/>
    <w:rsid w:val="00217FED"/>
    <w:rsid w:val="00221E0A"/>
    <w:rsid w:val="002229CA"/>
    <w:rsid w:val="0022333E"/>
    <w:rsid w:val="002233AB"/>
    <w:rsid w:val="0022386B"/>
    <w:rsid w:val="00224042"/>
    <w:rsid w:val="00225036"/>
    <w:rsid w:val="00227B9E"/>
    <w:rsid w:val="00230EC3"/>
    <w:rsid w:val="00233F26"/>
    <w:rsid w:val="0023484F"/>
    <w:rsid w:val="002356F5"/>
    <w:rsid w:val="00235E61"/>
    <w:rsid w:val="0024086E"/>
    <w:rsid w:val="00243EA5"/>
    <w:rsid w:val="002460AE"/>
    <w:rsid w:val="00246915"/>
    <w:rsid w:val="0025023C"/>
    <w:rsid w:val="00250704"/>
    <w:rsid w:val="00250FEB"/>
    <w:rsid w:val="002548BC"/>
    <w:rsid w:val="00256427"/>
    <w:rsid w:val="0025791B"/>
    <w:rsid w:val="00262AA6"/>
    <w:rsid w:val="00264924"/>
    <w:rsid w:val="0026596A"/>
    <w:rsid w:val="00265B55"/>
    <w:rsid w:val="002673C8"/>
    <w:rsid w:val="00273FAB"/>
    <w:rsid w:val="00276F09"/>
    <w:rsid w:val="00277007"/>
    <w:rsid w:val="002810EE"/>
    <w:rsid w:val="0028218B"/>
    <w:rsid w:val="002845D5"/>
    <w:rsid w:val="00286815"/>
    <w:rsid w:val="002948E1"/>
    <w:rsid w:val="002A12B7"/>
    <w:rsid w:val="002A16DA"/>
    <w:rsid w:val="002A1979"/>
    <w:rsid w:val="002A24BF"/>
    <w:rsid w:val="002A2DC5"/>
    <w:rsid w:val="002A2EDB"/>
    <w:rsid w:val="002A3511"/>
    <w:rsid w:val="002A50BB"/>
    <w:rsid w:val="002A6C09"/>
    <w:rsid w:val="002B00DB"/>
    <w:rsid w:val="002B019E"/>
    <w:rsid w:val="002B0CDF"/>
    <w:rsid w:val="002B1BC6"/>
    <w:rsid w:val="002B5988"/>
    <w:rsid w:val="002C0458"/>
    <w:rsid w:val="002C081A"/>
    <w:rsid w:val="002C6C07"/>
    <w:rsid w:val="002D343E"/>
    <w:rsid w:val="002D7314"/>
    <w:rsid w:val="002E0D5C"/>
    <w:rsid w:val="002E0D72"/>
    <w:rsid w:val="002E2D03"/>
    <w:rsid w:val="002E46B1"/>
    <w:rsid w:val="002E6799"/>
    <w:rsid w:val="002E719C"/>
    <w:rsid w:val="002E7861"/>
    <w:rsid w:val="002E7997"/>
    <w:rsid w:val="002F22EE"/>
    <w:rsid w:val="002F3F6E"/>
    <w:rsid w:val="002F3FC6"/>
    <w:rsid w:val="002F599E"/>
    <w:rsid w:val="002F7BFC"/>
    <w:rsid w:val="0030016D"/>
    <w:rsid w:val="00301BCD"/>
    <w:rsid w:val="00301E42"/>
    <w:rsid w:val="0030386D"/>
    <w:rsid w:val="00304A57"/>
    <w:rsid w:val="00305193"/>
    <w:rsid w:val="00317FCA"/>
    <w:rsid w:val="0032254D"/>
    <w:rsid w:val="003231E3"/>
    <w:rsid w:val="00323729"/>
    <w:rsid w:val="00324DC8"/>
    <w:rsid w:val="00325F4D"/>
    <w:rsid w:val="00327533"/>
    <w:rsid w:val="00332B6B"/>
    <w:rsid w:val="003359A5"/>
    <w:rsid w:val="00335D1D"/>
    <w:rsid w:val="00337CF5"/>
    <w:rsid w:val="003415B1"/>
    <w:rsid w:val="00342279"/>
    <w:rsid w:val="003468D2"/>
    <w:rsid w:val="00352E89"/>
    <w:rsid w:val="003537EC"/>
    <w:rsid w:val="00353ADC"/>
    <w:rsid w:val="00354654"/>
    <w:rsid w:val="00356015"/>
    <w:rsid w:val="00360A37"/>
    <w:rsid w:val="00361650"/>
    <w:rsid w:val="00361C88"/>
    <w:rsid w:val="00362744"/>
    <w:rsid w:val="00364482"/>
    <w:rsid w:val="003724A0"/>
    <w:rsid w:val="00373A1C"/>
    <w:rsid w:val="003749E1"/>
    <w:rsid w:val="0038777A"/>
    <w:rsid w:val="00390862"/>
    <w:rsid w:val="00392C9E"/>
    <w:rsid w:val="00394B88"/>
    <w:rsid w:val="00396233"/>
    <w:rsid w:val="003975CC"/>
    <w:rsid w:val="003A303F"/>
    <w:rsid w:val="003A30E7"/>
    <w:rsid w:val="003A4797"/>
    <w:rsid w:val="003B0822"/>
    <w:rsid w:val="003B2137"/>
    <w:rsid w:val="003B351B"/>
    <w:rsid w:val="003B4500"/>
    <w:rsid w:val="003B4992"/>
    <w:rsid w:val="003B6498"/>
    <w:rsid w:val="003B7F9A"/>
    <w:rsid w:val="003C2346"/>
    <w:rsid w:val="003C23A3"/>
    <w:rsid w:val="003D2994"/>
    <w:rsid w:val="003D2E57"/>
    <w:rsid w:val="003D42D4"/>
    <w:rsid w:val="003E1A59"/>
    <w:rsid w:val="003E48BD"/>
    <w:rsid w:val="003E524F"/>
    <w:rsid w:val="003E5E58"/>
    <w:rsid w:val="003F37B7"/>
    <w:rsid w:val="003F42B8"/>
    <w:rsid w:val="003F4F44"/>
    <w:rsid w:val="00400870"/>
    <w:rsid w:val="00400AE8"/>
    <w:rsid w:val="004010B0"/>
    <w:rsid w:val="0040484B"/>
    <w:rsid w:val="0040534E"/>
    <w:rsid w:val="00405360"/>
    <w:rsid w:val="00406555"/>
    <w:rsid w:val="00407C46"/>
    <w:rsid w:val="00410547"/>
    <w:rsid w:val="00410DBD"/>
    <w:rsid w:val="00411C65"/>
    <w:rsid w:val="00414BC9"/>
    <w:rsid w:val="004211CD"/>
    <w:rsid w:val="004212F8"/>
    <w:rsid w:val="004224BD"/>
    <w:rsid w:val="00423C7A"/>
    <w:rsid w:val="00425748"/>
    <w:rsid w:val="00427AC3"/>
    <w:rsid w:val="004322B6"/>
    <w:rsid w:val="004328D3"/>
    <w:rsid w:val="004338B3"/>
    <w:rsid w:val="00435197"/>
    <w:rsid w:val="004376D9"/>
    <w:rsid w:val="0044218E"/>
    <w:rsid w:val="00443830"/>
    <w:rsid w:val="00445054"/>
    <w:rsid w:val="00447414"/>
    <w:rsid w:val="004518FD"/>
    <w:rsid w:val="00454469"/>
    <w:rsid w:val="00461864"/>
    <w:rsid w:val="004642C7"/>
    <w:rsid w:val="00467655"/>
    <w:rsid w:val="00470836"/>
    <w:rsid w:val="00472401"/>
    <w:rsid w:val="0047414F"/>
    <w:rsid w:val="0047534C"/>
    <w:rsid w:val="00475F79"/>
    <w:rsid w:val="00483B5E"/>
    <w:rsid w:val="00484E29"/>
    <w:rsid w:val="00485044"/>
    <w:rsid w:val="00487B82"/>
    <w:rsid w:val="00492506"/>
    <w:rsid w:val="00496C66"/>
    <w:rsid w:val="004A2018"/>
    <w:rsid w:val="004A5F66"/>
    <w:rsid w:val="004A78CF"/>
    <w:rsid w:val="004B1243"/>
    <w:rsid w:val="004B47AF"/>
    <w:rsid w:val="004B5061"/>
    <w:rsid w:val="004B642C"/>
    <w:rsid w:val="004C0EC7"/>
    <w:rsid w:val="004C647A"/>
    <w:rsid w:val="004C6BC9"/>
    <w:rsid w:val="004D1056"/>
    <w:rsid w:val="004D10F2"/>
    <w:rsid w:val="004D12A2"/>
    <w:rsid w:val="004D16A8"/>
    <w:rsid w:val="004D4AD3"/>
    <w:rsid w:val="004D4BCC"/>
    <w:rsid w:val="004E2760"/>
    <w:rsid w:val="004E4188"/>
    <w:rsid w:val="004E6A36"/>
    <w:rsid w:val="004E6B03"/>
    <w:rsid w:val="004F1906"/>
    <w:rsid w:val="004F32DB"/>
    <w:rsid w:val="004F4CEB"/>
    <w:rsid w:val="004F5441"/>
    <w:rsid w:val="005008EF"/>
    <w:rsid w:val="005018F5"/>
    <w:rsid w:val="005057BB"/>
    <w:rsid w:val="00512EEC"/>
    <w:rsid w:val="00513D84"/>
    <w:rsid w:val="00514B0B"/>
    <w:rsid w:val="00520A57"/>
    <w:rsid w:val="005246DC"/>
    <w:rsid w:val="0052520E"/>
    <w:rsid w:val="00525D80"/>
    <w:rsid w:val="00527277"/>
    <w:rsid w:val="00527C09"/>
    <w:rsid w:val="00531813"/>
    <w:rsid w:val="00533C58"/>
    <w:rsid w:val="005412D1"/>
    <w:rsid w:val="0054157E"/>
    <w:rsid w:val="00543F4F"/>
    <w:rsid w:val="005463F0"/>
    <w:rsid w:val="00547AF8"/>
    <w:rsid w:val="00552601"/>
    <w:rsid w:val="00552F05"/>
    <w:rsid w:val="00553625"/>
    <w:rsid w:val="00561D8D"/>
    <w:rsid w:val="005644C0"/>
    <w:rsid w:val="00566130"/>
    <w:rsid w:val="00576F9F"/>
    <w:rsid w:val="005841CC"/>
    <w:rsid w:val="005841E1"/>
    <w:rsid w:val="005968AA"/>
    <w:rsid w:val="00597046"/>
    <w:rsid w:val="005A22D2"/>
    <w:rsid w:val="005A4DEE"/>
    <w:rsid w:val="005A53E3"/>
    <w:rsid w:val="005B036B"/>
    <w:rsid w:val="005B3AAB"/>
    <w:rsid w:val="005B47E6"/>
    <w:rsid w:val="005B6235"/>
    <w:rsid w:val="005B761E"/>
    <w:rsid w:val="005C0B55"/>
    <w:rsid w:val="005C1988"/>
    <w:rsid w:val="005C2228"/>
    <w:rsid w:val="005C633C"/>
    <w:rsid w:val="005C79B7"/>
    <w:rsid w:val="005D0567"/>
    <w:rsid w:val="005D222A"/>
    <w:rsid w:val="005D31B4"/>
    <w:rsid w:val="005D3733"/>
    <w:rsid w:val="005D4340"/>
    <w:rsid w:val="005D578D"/>
    <w:rsid w:val="005D7823"/>
    <w:rsid w:val="005E013A"/>
    <w:rsid w:val="005E1B8E"/>
    <w:rsid w:val="005E3BBB"/>
    <w:rsid w:val="005E64EB"/>
    <w:rsid w:val="005F476D"/>
    <w:rsid w:val="005F6430"/>
    <w:rsid w:val="00604F2F"/>
    <w:rsid w:val="006058FD"/>
    <w:rsid w:val="006105FF"/>
    <w:rsid w:val="00613CC4"/>
    <w:rsid w:val="00616D8E"/>
    <w:rsid w:val="00617D38"/>
    <w:rsid w:val="006205A5"/>
    <w:rsid w:val="006245FD"/>
    <w:rsid w:val="0062506B"/>
    <w:rsid w:val="00625206"/>
    <w:rsid w:val="00627651"/>
    <w:rsid w:val="00631F94"/>
    <w:rsid w:val="00640144"/>
    <w:rsid w:val="0064040C"/>
    <w:rsid w:val="00640F73"/>
    <w:rsid w:val="00643669"/>
    <w:rsid w:val="00643673"/>
    <w:rsid w:val="006468AB"/>
    <w:rsid w:val="00646B73"/>
    <w:rsid w:val="00647993"/>
    <w:rsid w:val="00657E06"/>
    <w:rsid w:val="00660C31"/>
    <w:rsid w:val="00661A68"/>
    <w:rsid w:val="00662A4B"/>
    <w:rsid w:val="006643B8"/>
    <w:rsid w:val="00665803"/>
    <w:rsid w:val="006679C0"/>
    <w:rsid w:val="00672CA7"/>
    <w:rsid w:val="006765B7"/>
    <w:rsid w:val="006830CC"/>
    <w:rsid w:val="00684635"/>
    <w:rsid w:val="00686123"/>
    <w:rsid w:val="0069164F"/>
    <w:rsid w:val="0069440C"/>
    <w:rsid w:val="0069571C"/>
    <w:rsid w:val="00696767"/>
    <w:rsid w:val="00697261"/>
    <w:rsid w:val="006A0196"/>
    <w:rsid w:val="006A0DE4"/>
    <w:rsid w:val="006A16CC"/>
    <w:rsid w:val="006A7F69"/>
    <w:rsid w:val="006B6805"/>
    <w:rsid w:val="006B6DD4"/>
    <w:rsid w:val="006C23F7"/>
    <w:rsid w:val="006C3780"/>
    <w:rsid w:val="006C419C"/>
    <w:rsid w:val="006C467C"/>
    <w:rsid w:val="006D5C91"/>
    <w:rsid w:val="006D6FDA"/>
    <w:rsid w:val="006D7A1F"/>
    <w:rsid w:val="006E11B7"/>
    <w:rsid w:val="006E153E"/>
    <w:rsid w:val="006E366B"/>
    <w:rsid w:val="006E47C7"/>
    <w:rsid w:val="006E4B66"/>
    <w:rsid w:val="006E5F82"/>
    <w:rsid w:val="006F0E01"/>
    <w:rsid w:val="006F2FC3"/>
    <w:rsid w:val="006F33B6"/>
    <w:rsid w:val="006F75D4"/>
    <w:rsid w:val="006F7CD7"/>
    <w:rsid w:val="00701984"/>
    <w:rsid w:val="00702A1A"/>
    <w:rsid w:val="007046A2"/>
    <w:rsid w:val="00704A21"/>
    <w:rsid w:val="00707C58"/>
    <w:rsid w:val="00711F90"/>
    <w:rsid w:val="00714152"/>
    <w:rsid w:val="00715AEB"/>
    <w:rsid w:val="00715E74"/>
    <w:rsid w:val="007169B6"/>
    <w:rsid w:val="00716D13"/>
    <w:rsid w:val="00717629"/>
    <w:rsid w:val="007227ED"/>
    <w:rsid w:val="00724510"/>
    <w:rsid w:val="0072542C"/>
    <w:rsid w:val="00734482"/>
    <w:rsid w:val="007351F3"/>
    <w:rsid w:val="007371EF"/>
    <w:rsid w:val="007373F8"/>
    <w:rsid w:val="00747503"/>
    <w:rsid w:val="00752F92"/>
    <w:rsid w:val="00757FF4"/>
    <w:rsid w:val="007609FA"/>
    <w:rsid w:val="00761505"/>
    <w:rsid w:val="00762A1A"/>
    <w:rsid w:val="00766939"/>
    <w:rsid w:val="00766D9D"/>
    <w:rsid w:val="00771F2E"/>
    <w:rsid w:val="007737CB"/>
    <w:rsid w:val="0077546F"/>
    <w:rsid w:val="0078244B"/>
    <w:rsid w:val="00782821"/>
    <w:rsid w:val="00791D0A"/>
    <w:rsid w:val="007967E1"/>
    <w:rsid w:val="007A11B5"/>
    <w:rsid w:val="007A3F88"/>
    <w:rsid w:val="007A6568"/>
    <w:rsid w:val="007A68C9"/>
    <w:rsid w:val="007B075F"/>
    <w:rsid w:val="007B293B"/>
    <w:rsid w:val="007B2D91"/>
    <w:rsid w:val="007B3210"/>
    <w:rsid w:val="007B526E"/>
    <w:rsid w:val="007B70DF"/>
    <w:rsid w:val="007B7E19"/>
    <w:rsid w:val="007C270B"/>
    <w:rsid w:val="007C2C9B"/>
    <w:rsid w:val="007D12F3"/>
    <w:rsid w:val="007D3606"/>
    <w:rsid w:val="007D43DB"/>
    <w:rsid w:val="007E0BDA"/>
    <w:rsid w:val="007E33CD"/>
    <w:rsid w:val="007E7827"/>
    <w:rsid w:val="007E78F3"/>
    <w:rsid w:val="007F1028"/>
    <w:rsid w:val="007F120B"/>
    <w:rsid w:val="007F1366"/>
    <w:rsid w:val="007F5186"/>
    <w:rsid w:val="0080272A"/>
    <w:rsid w:val="00806433"/>
    <w:rsid w:val="008072D4"/>
    <w:rsid w:val="008073EE"/>
    <w:rsid w:val="00812426"/>
    <w:rsid w:val="0081569B"/>
    <w:rsid w:val="00820CA7"/>
    <w:rsid w:val="0082624D"/>
    <w:rsid w:val="00826590"/>
    <w:rsid w:val="00826D19"/>
    <w:rsid w:val="00827D6D"/>
    <w:rsid w:val="00830CEC"/>
    <w:rsid w:val="00833AFD"/>
    <w:rsid w:val="0084262B"/>
    <w:rsid w:val="00843559"/>
    <w:rsid w:val="008437E8"/>
    <w:rsid w:val="0084465E"/>
    <w:rsid w:val="00846EF5"/>
    <w:rsid w:val="00847BCA"/>
    <w:rsid w:val="00850E06"/>
    <w:rsid w:val="00854316"/>
    <w:rsid w:val="00856B52"/>
    <w:rsid w:val="00860162"/>
    <w:rsid w:val="0086322D"/>
    <w:rsid w:val="00863FC6"/>
    <w:rsid w:val="00870D3A"/>
    <w:rsid w:val="00870F8C"/>
    <w:rsid w:val="008753E5"/>
    <w:rsid w:val="0087578D"/>
    <w:rsid w:val="00876CCE"/>
    <w:rsid w:val="008819E3"/>
    <w:rsid w:val="008849B0"/>
    <w:rsid w:val="00885085"/>
    <w:rsid w:val="00887796"/>
    <w:rsid w:val="00887CD8"/>
    <w:rsid w:val="008931A3"/>
    <w:rsid w:val="00893689"/>
    <w:rsid w:val="00893D12"/>
    <w:rsid w:val="008941F3"/>
    <w:rsid w:val="008968FB"/>
    <w:rsid w:val="00896FD8"/>
    <w:rsid w:val="008A3759"/>
    <w:rsid w:val="008A4303"/>
    <w:rsid w:val="008A4A2E"/>
    <w:rsid w:val="008A4CEB"/>
    <w:rsid w:val="008A5C95"/>
    <w:rsid w:val="008B027A"/>
    <w:rsid w:val="008B0D05"/>
    <w:rsid w:val="008B16C6"/>
    <w:rsid w:val="008B1914"/>
    <w:rsid w:val="008B2C39"/>
    <w:rsid w:val="008B68F5"/>
    <w:rsid w:val="008B76DC"/>
    <w:rsid w:val="008C2496"/>
    <w:rsid w:val="008C2BCF"/>
    <w:rsid w:val="008C6119"/>
    <w:rsid w:val="008D0086"/>
    <w:rsid w:val="008D120B"/>
    <w:rsid w:val="008D1E69"/>
    <w:rsid w:val="008D3A42"/>
    <w:rsid w:val="008D42AB"/>
    <w:rsid w:val="008D6B22"/>
    <w:rsid w:val="008E040F"/>
    <w:rsid w:val="008E069D"/>
    <w:rsid w:val="008E1E5B"/>
    <w:rsid w:val="008E29CE"/>
    <w:rsid w:val="008E4C20"/>
    <w:rsid w:val="008E6C00"/>
    <w:rsid w:val="008E7CE2"/>
    <w:rsid w:val="008F0339"/>
    <w:rsid w:val="008F1CE4"/>
    <w:rsid w:val="008F3A3A"/>
    <w:rsid w:val="008F478A"/>
    <w:rsid w:val="008F7910"/>
    <w:rsid w:val="009004B7"/>
    <w:rsid w:val="009115F0"/>
    <w:rsid w:val="00922651"/>
    <w:rsid w:val="00924268"/>
    <w:rsid w:val="00924993"/>
    <w:rsid w:val="00925720"/>
    <w:rsid w:val="00930AE1"/>
    <w:rsid w:val="009318A7"/>
    <w:rsid w:val="0093344A"/>
    <w:rsid w:val="009344D9"/>
    <w:rsid w:val="00934DB5"/>
    <w:rsid w:val="00940FBC"/>
    <w:rsid w:val="00943249"/>
    <w:rsid w:val="009449C7"/>
    <w:rsid w:val="00944A64"/>
    <w:rsid w:val="00945CE3"/>
    <w:rsid w:val="009536F6"/>
    <w:rsid w:val="0095493E"/>
    <w:rsid w:val="00954FD4"/>
    <w:rsid w:val="00960A0E"/>
    <w:rsid w:val="00961B41"/>
    <w:rsid w:val="00963460"/>
    <w:rsid w:val="00970D02"/>
    <w:rsid w:val="00972A1B"/>
    <w:rsid w:val="009742F0"/>
    <w:rsid w:val="0098542C"/>
    <w:rsid w:val="00987643"/>
    <w:rsid w:val="00992188"/>
    <w:rsid w:val="009938D8"/>
    <w:rsid w:val="009959FF"/>
    <w:rsid w:val="009969C7"/>
    <w:rsid w:val="009975DD"/>
    <w:rsid w:val="00997A9D"/>
    <w:rsid w:val="009A05D3"/>
    <w:rsid w:val="009A2C35"/>
    <w:rsid w:val="009A4137"/>
    <w:rsid w:val="009A5F1C"/>
    <w:rsid w:val="009B2A10"/>
    <w:rsid w:val="009B36D7"/>
    <w:rsid w:val="009B63BB"/>
    <w:rsid w:val="009C03AA"/>
    <w:rsid w:val="009C269A"/>
    <w:rsid w:val="009C4F65"/>
    <w:rsid w:val="009C4FDE"/>
    <w:rsid w:val="009C6CF0"/>
    <w:rsid w:val="009C7334"/>
    <w:rsid w:val="009C76C5"/>
    <w:rsid w:val="009D54D0"/>
    <w:rsid w:val="009E06BB"/>
    <w:rsid w:val="009E2639"/>
    <w:rsid w:val="009E3A11"/>
    <w:rsid w:val="009E4897"/>
    <w:rsid w:val="009E4924"/>
    <w:rsid w:val="009E52C8"/>
    <w:rsid w:val="009F3C2E"/>
    <w:rsid w:val="009F602F"/>
    <w:rsid w:val="009F78A4"/>
    <w:rsid w:val="009F7D5D"/>
    <w:rsid w:val="00A008B7"/>
    <w:rsid w:val="00A01660"/>
    <w:rsid w:val="00A029F4"/>
    <w:rsid w:val="00A05920"/>
    <w:rsid w:val="00A05993"/>
    <w:rsid w:val="00A063AE"/>
    <w:rsid w:val="00A0741C"/>
    <w:rsid w:val="00A11F10"/>
    <w:rsid w:val="00A1229F"/>
    <w:rsid w:val="00A126CD"/>
    <w:rsid w:val="00A13BC7"/>
    <w:rsid w:val="00A14897"/>
    <w:rsid w:val="00A15060"/>
    <w:rsid w:val="00A15C11"/>
    <w:rsid w:val="00A17546"/>
    <w:rsid w:val="00A20331"/>
    <w:rsid w:val="00A21BAC"/>
    <w:rsid w:val="00A237D0"/>
    <w:rsid w:val="00A263EC"/>
    <w:rsid w:val="00A26D96"/>
    <w:rsid w:val="00A30F9A"/>
    <w:rsid w:val="00A3333B"/>
    <w:rsid w:val="00A33FA9"/>
    <w:rsid w:val="00A34DDE"/>
    <w:rsid w:val="00A35DF9"/>
    <w:rsid w:val="00A441A4"/>
    <w:rsid w:val="00A4606A"/>
    <w:rsid w:val="00A47B50"/>
    <w:rsid w:val="00A546A9"/>
    <w:rsid w:val="00A5662D"/>
    <w:rsid w:val="00A567C0"/>
    <w:rsid w:val="00A57C16"/>
    <w:rsid w:val="00A60891"/>
    <w:rsid w:val="00A60F87"/>
    <w:rsid w:val="00A6243E"/>
    <w:rsid w:val="00A64FD5"/>
    <w:rsid w:val="00A658DC"/>
    <w:rsid w:val="00A66587"/>
    <w:rsid w:val="00A666A8"/>
    <w:rsid w:val="00A703CA"/>
    <w:rsid w:val="00A71942"/>
    <w:rsid w:val="00A80B69"/>
    <w:rsid w:val="00A81B13"/>
    <w:rsid w:val="00A84B5C"/>
    <w:rsid w:val="00A902ED"/>
    <w:rsid w:val="00A9069B"/>
    <w:rsid w:val="00A9231B"/>
    <w:rsid w:val="00A96CE6"/>
    <w:rsid w:val="00A97521"/>
    <w:rsid w:val="00A97B6B"/>
    <w:rsid w:val="00A97CEB"/>
    <w:rsid w:val="00AA3E9D"/>
    <w:rsid w:val="00AA4F33"/>
    <w:rsid w:val="00AB4722"/>
    <w:rsid w:val="00AB56D9"/>
    <w:rsid w:val="00AB6254"/>
    <w:rsid w:val="00AB708C"/>
    <w:rsid w:val="00AC1CC4"/>
    <w:rsid w:val="00AC4E02"/>
    <w:rsid w:val="00AC6C8B"/>
    <w:rsid w:val="00AC72EB"/>
    <w:rsid w:val="00AD02E4"/>
    <w:rsid w:val="00AD083C"/>
    <w:rsid w:val="00AD1337"/>
    <w:rsid w:val="00AD145F"/>
    <w:rsid w:val="00AD41AB"/>
    <w:rsid w:val="00AD4861"/>
    <w:rsid w:val="00AF012D"/>
    <w:rsid w:val="00AF114D"/>
    <w:rsid w:val="00AF445C"/>
    <w:rsid w:val="00AF4C36"/>
    <w:rsid w:val="00AF5B71"/>
    <w:rsid w:val="00AF6F49"/>
    <w:rsid w:val="00AF760F"/>
    <w:rsid w:val="00B01514"/>
    <w:rsid w:val="00B02A2B"/>
    <w:rsid w:val="00B02DCD"/>
    <w:rsid w:val="00B0393A"/>
    <w:rsid w:val="00B048DC"/>
    <w:rsid w:val="00B075C3"/>
    <w:rsid w:val="00B11828"/>
    <w:rsid w:val="00B12763"/>
    <w:rsid w:val="00B16FAC"/>
    <w:rsid w:val="00B2352F"/>
    <w:rsid w:val="00B255E2"/>
    <w:rsid w:val="00B25FB2"/>
    <w:rsid w:val="00B27216"/>
    <w:rsid w:val="00B27FF6"/>
    <w:rsid w:val="00B3059D"/>
    <w:rsid w:val="00B3205E"/>
    <w:rsid w:val="00B32AA0"/>
    <w:rsid w:val="00B32AFB"/>
    <w:rsid w:val="00B33977"/>
    <w:rsid w:val="00B342CF"/>
    <w:rsid w:val="00B35BD2"/>
    <w:rsid w:val="00B37523"/>
    <w:rsid w:val="00B4015D"/>
    <w:rsid w:val="00B40794"/>
    <w:rsid w:val="00B44265"/>
    <w:rsid w:val="00B55D33"/>
    <w:rsid w:val="00B615D6"/>
    <w:rsid w:val="00B625A5"/>
    <w:rsid w:val="00B62A4E"/>
    <w:rsid w:val="00B63B21"/>
    <w:rsid w:val="00B64263"/>
    <w:rsid w:val="00B64807"/>
    <w:rsid w:val="00B655E6"/>
    <w:rsid w:val="00B66DB7"/>
    <w:rsid w:val="00B70545"/>
    <w:rsid w:val="00B71949"/>
    <w:rsid w:val="00B7345D"/>
    <w:rsid w:val="00B73F9A"/>
    <w:rsid w:val="00B764E7"/>
    <w:rsid w:val="00B7770D"/>
    <w:rsid w:val="00B81C20"/>
    <w:rsid w:val="00B83274"/>
    <w:rsid w:val="00B83CB6"/>
    <w:rsid w:val="00B84968"/>
    <w:rsid w:val="00B854F8"/>
    <w:rsid w:val="00B879EB"/>
    <w:rsid w:val="00B92567"/>
    <w:rsid w:val="00B965DC"/>
    <w:rsid w:val="00B96E2E"/>
    <w:rsid w:val="00BA0F99"/>
    <w:rsid w:val="00BB3A1E"/>
    <w:rsid w:val="00BB6357"/>
    <w:rsid w:val="00BB6C52"/>
    <w:rsid w:val="00BB720E"/>
    <w:rsid w:val="00BC0866"/>
    <w:rsid w:val="00BC29CF"/>
    <w:rsid w:val="00BC2F24"/>
    <w:rsid w:val="00BC3385"/>
    <w:rsid w:val="00BD2D36"/>
    <w:rsid w:val="00BD2F34"/>
    <w:rsid w:val="00BD2F80"/>
    <w:rsid w:val="00BD304C"/>
    <w:rsid w:val="00BD6064"/>
    <w:rsid w:val="00BD6842"/>
    <w:rsid w:val="00BE339F"/>
    <w:rsid w:val="00BE3834"/>
    <w:rsid w:val="00BE6C37"/>
    <w:rsid w:val="00BE70C5"/>
    <w:rsid w:val="00BE7D87"/>
    <w:rsid w:val="00BF0689"/>
    <w:rsid w:val="00BF38EE"/>
    <w:rsid w:val="00BF42DE"/>
    <w:rsid w:val="00BF4877"/>
    <w:rsid w:val="00BF5BF9"/>
    <w:rsid w:val="00C01279"/>
    <w:rsid w:val="00C018C2"/>
    <w:rsid w:val="00C05693"/>
    <w:rsid w:val="00C066FF"/>
    <w:rsid w:val="00C134B4"/>
    <w:rsid w:val="00C15BEE"/>
    <w:rsid w:val="00C1787D"/>
    <w:rsid w:val="00C20D0F"/>
    <w:rsid w:val="00C2368F"/>
    <w:rsid w:val="00C2463F"/>
    <w:rsid w:val="00C2650D"/>
    <w:rsid w:val="00C27C4E"/>
    <w:rsid w:val="00C30229"/>
    <w:rsid w:val="00C31CE9"/>
    <w:rsid w:val="00C32374"/>
    <w:rsid w:val="00C36E06"/>
    <w:rsid w:val="00C37226"/>
    <w:rsid w:val="00C37B67"/>
    <w:rsid w:val="00C4070B"/>
    <w:rsid w:val="00C408B3"/>
    <w:rsid w:val="00C40E49"/>
    <w:rsid w:val="00C41576"/>
    <w:rsid w:val="00C419D2"/>
    <w:rsid w:val="00C50323"/>
    <w:rsid w:val="00C504BA"/>
    <w:rsid w:val="00C527C7"/>
    <w:rsid w:val="00C53522"/>
    <w:rsid w:val="00C53C9C"/>
    <w:rsid w:val="00C5463C"/>
    <w:rsid w:val="00C5499D"/>
    <w:rsid w:val="00C57442"/>
    <w:rsid w:val="00C609B5"/>
    <w:rsid w:val="00C63607"/>
    <w:rsid w:val="00C64629"/>
    <w:rsid w:val="00C65561"/>
    <w:rsid w:val="00C67736"/>
    <w:rsid w:val="00C71599"/>
    <w:rsid w:val="00C71875"/>
    <w:rsid w:val="00C73763"/>
    <w:rsid w:val="00C73C28"/>
    <w:rsid w:val="00C80155"/>
    <w:rsid w:val="00C812F1"/>
    <w:rsid w:val="00C85AFE"/>
    <w:rsid w:val="00C92AA8"/>
    <w:rsid w:val="00C92CC0"/>
    <w:rsid w:val="00C9551C"/>
    <w:rsid w:val="00C974FD"/>
    <w:rsid w:val="00CA0490"/>
    <w:rsid w:val="00CA0A5F"/>
    <w:rsid w:val="00CA228F"/>
    <w:rsid w:val="00CA23F5"/>
    <w:rsid w:val="00CA459D"/>
    <w:rsid w:val="00CA6E62"/>
    <w:rsid w:val="00CA7EBC"/>
    <w:rsid w:val="00CB6574"/>
    <w:rsid w:val="00CB7EF8"/>
    <w:rsid w:val="00CC0529"/>
    <w:rsid w:val="00CC289B"/>
    <w:rsid w:val="00CC5C61"/>
    <w:rsid w:val="00CC626D"/>
    <w:rsid w:val="00CC6A84"/>
    <w:rsid w:val="00CD324B"/>
    <w:rsid w:val="00CD36E2"/>
    <w:rsid w:val="00CD3A29"/>
    <w:rsid w:val="00CD793B"/>
    <w:rsid w:val="00CD7C4D"/>
    <w:rsid w:val="00CE1AAE"/>
    <w:rsid w:val="00CE362F"/>
    <w:rsid w:val="00CE3D0F"/>
    <w:rsid w:val="00CE3F80"/>
    <w:rsid w:val="00CE431E"/>
    <w:rsid w:val="00CE4352"/>
    <w:rsid w:val="00CE625F"/>
    <w:rsid w:val="00CE68BF"/>
    <w:rsid w:val="00CE7B23"/>
    <w:rsid w:val="00CF0420"/>
    <w:rsid w:val="00CF1B31"/>
    <w:rsid w:val="00CF1D9E"/>
    <w:rsid w:val="00CF2104"/>
    <w:rsid w:val="00CF6D6B"/>
    <w:rsid w:val="00D005A0"/>
    <w:rsid w:val="00D01683"/>
    <w:rsid w:val="00D017B3"/>
    <w:rsid w:val="00D0337A"/>
    <w:rsid w:val="00D0467D"/>
    <w:rsid w:val="00D0523E"/>
    <w:rsid w:val="00D06F3D"/>
    <w:rsid w:val="00D070B5"/>
    <w:rsid w:val="00D07F08"/>
    <w:rsid w:val="00D103A4"/>
    <w:rsid w:val="00D107FB"/>
    <w:rsid w:val="00D12576"/>
    <w:rsid w:val="00D12725"/>
    <w:rsid w:val="00D15E35"/>
    <w:rsid w:val="00D16168"/>
    <w:rsid w:val="00D201CC"/>
    <w:rsid w:val="00D2031F"/>
    <w:rsid w:val="00D223E9"/>
    <w:rsid w:val="00D22CD7"/>
    <w:rsid w:val="00D272C3"/>
    <w:rsid w:val="00D27F99"/>
    <w:rsid w:val="00D3081D"/>
    <w:rsid w:val="00D3253A"/>
    <w:rsid w:val="00D334A9"/>
    <w:rsid w:val="00D35845"/>
    <w:rsid w:val="00D36CA8"/>
    <w:rsid w:val="00D407AD"/>
    <w:rsid w:val="00D41F68"/>
    <w:rsid w:val="00D45509"/>
    <w:rsid w:val="00D458F8"/>
    <w:rsid w:val="00D47005"/>
    <w:rsid w:val="00D47FA6"/>
    <w:rsid w:val="00D5010F"/>
    <w:rsid w:val="00D5163A"/>
    <w:rsid w:val="00D52CA1"/>
    <w:rsid w:val="00D57258"/>
    <w:rsid w:val="00D60E78"/>
    <w:rsid w:val="00D62094"/>
    <w:rsid w:val="00D62ACD"/>
    <w:rsid w:val="00D6518F"/>
    <w:rsid w:val="00D6528D"/>
    <w:rsid w:val="00D65B0D"/>
    <w:rsid w:val="00D669CB"/>
    <w:rsid w:val="00D67878"/>
    <w:rsid w:val="00D73C8A"/>
    <w:rsid w:val="00D73F69"/>
    <w:rsid w:val="00D7470B"/>
    <w:rsid w:val="00D75715"/>
    <w:rsid w:val="00D7763F"/>
    <w:rsid w:val="00D81A23"/>
    <w:rsid w:val="00D938B8"/>
    <w:rsid w:val="00D961FB"/>
    <w:rsid w:val="00D977E9"/>
    <w:rsid w:val="00DA02C1"/>
    <w:rsid w:val="00DA0FC3"/>
    <w:rsid w:val="00DA2A51"/>
    <w:rsid w:val="00DA557F"/>
    <w:rsid w:val="00DA6DE0"/>
    <w:rsid w:val="00DB5425"/>
    <w:rsid w:val="00DC1999"/>
    <w:rsid w:val="00DC28F3"/>
    <w:rsid w:val="00DC5A54"/>
    <w:rsid w:val="00DD0A81"/>
    <w:rsid w:val="00DD3F10"/>
    <w:rsid w:val="00DD4F1F"/>
    <w:rsid w:val="00DD5116"/>
    <w:rsid w:val="00DD59AB"/>
    <w:rsid w:val="00DD5E97"/>
    <w:rsid w:val="00DD74CC"/>
    <w:rsid w:val="00DE22B3"/>
    <w:rsid w:val="00DE46C1"/>
    <w:rsid w:val="00DE500E"/>
    <w:rsid w:val="00DE697C"/>
    <w:rsid w:val="00DE70CD"/>
    <w:rsid w:val="00DF29A7"/>
    <w:rsid w:val="00DF44B9"/>
    <w:rsid w:val="00E03DFE"/>
    <w:rsid w:val="00E05159"/>
    <w:rsid w:val="00E07919"/>
    <w:rsid w:val="00E1066A"/>
    <w:rsid w:val="00E11317"/>
    <w:rsid w:val="00E11C03"/>
    <w:rsid w:val="00E15509"/>
    <w:rsid w:val="00E206E7"/>
    <w:rsid w:val="00E21107"/>
    <w:rsid w:val="00E21DD6"/>
    <w:rsid w:val="00E262A8"/>
    <w:rsid w:val="00E2785B"/>
    <w:rsid w:val="00E3087D"/>
    <w:rsid w:val="00E313AF"/>
    <w:rsid w:val="00E32B4B"/>
    <w:rsid w:val="00E34433"/>
    <w:rsid w:val="00E35786"/>
    <w:rsid w:val="00E3683E"/>
    <w:rsid w:val="00E368EE"/>
    <w:rsid w:val="00E41E81"/>
    <w:rsid w:val="00E43555"/>
    <w:rsid w:val="00E4429C"/>
    <w:rsid w:val="00E461F9"/>
    <w:rsid w:val="00E5014D"/>
    <w:rsid w:val="00E56FCF"/>
    <w:rsid w:val="00E62031"/>
    <w:rsid w:val="00E624AE"/>
    <w:rsid w:val="00E633FD"/>
    <w:rsid w:val="00E63972"/>
    <w:rsid w:val="00E63FF0"/>
    <w:rsid w:val="00E703FC"/>
    <w:rsid w:val="00E72901"/>
    <w:rsid w:val="00E72E0A"/>
    <w:rsid w:val="00E778D7"/>
    <w:rsid w:val="00E81123"/>
    <w:rsid w:val="00E8389B"/>
    <w:rsid w:val="00E916C7"/>
    <w:rsid w:val="00E9181B"/>
    <w:rsid w:val="00E91C86"/>
    <w:rsid w:val="00E93249"/>
    <w:rsid w:val="00E93556"/>
    <w:rsid w:val="00E947F0"/>
    <w:rsid w:val="00E965C3"/>
    <w:rsid w:val="00EA7064"/>
    <w:rsid w:val="00EB0B5F"/>
    <w:rsid w:val="00EB61E7"/>
    <w:rsid w:val="00EB7835"/>
    <w:rsid w:val="00EB7FE1"/>
    <w:rsid w:val="00EC191D"/>
    <w:rsid w:val="00EC2E74"/>
    <w:rsid w:val="00EC4315"/>
    <w:rsid w:val="00EC551B"/>
    <w:rsid w:val="00ED1111"/>
    <w:rsid w:val="00ED3809"/>
    <w:rsid w:val="00ED385C"/>
    <w:rsid w:val="00ED3EDB"/>
    <w:rsid w:val="00ED6BA8"/>
    <w:rsid w:val="00EE1F6A"/>
    <w:rsid w:val="00EF0B3D"/>
    <w:rsid w:val="00EF0E11"/>
    <w:rsid w:val="00EF0EAD"/>
    <w:rsid w:val="00EF3217"/>
    <w:rsid w:val="00EF3DED"/>
    <w:rsid w:val="00EF4193"/>
    <w:rsid w:val="00F00C6A"/>
    <w:rsid w:val="00F016AC"/>
    <w:rsid w:val="00F03622"/>
    <w:rsid w:val="00F04321"/>
    <w:rsid w:val="00F04854"/>
    <w:rsid w:val="00F0661C"/>
    <w:rsid w:val="00F071B8"/>
    <w:rsid w:val="00F13E4E"/>
    <w:rsid w:val="00F23B59"/>
    <w:rsid w:val="00F24286"/>
    <w:rsid w:val="00F25A1C"/>
    <w:rsid w:val="00F32E89"/>
    <w:rsid w:val="00F33105"/>
    <w:rsid w:val="00F34899"/>
    <w:rsid w:val="00F35396"/>
    <w:rsid w:val="00F35732"/>
    <w:rsid w:val="00F36995"/>
    <w:rsid w:val="00F3716D"/>
    <w:rsid w:val="00F42DDE"/>
    <w:rsid w:val="00F43082"/>
    <w:rsid w:val="00F4318E"/>
    <w:rsid w:val="00F4652F"/>
    <w:rsid w:val="00F51A74"/>
    <w:rsid w:val="00F5369C"/>
    <w:rsid w:val="00F57E0F"/>
    <w:rsid w:val="00F61F72"/>
    <w:rsid w:val="00F64FAE"/>
    <w:rsid w:val="00F65194"/>
    <w:rsid w:val="00F66D9A"/>
    <w:rsid w:val="00F74AC4"/>
    <w:rsid w:val="00F76F1F"/>
    <w:rsid w:val="00F80939"/>
    <w:rsid w:val="00F8149B"/>
    <w:rsid w:val="00F8154C"/>
    <w:rsid w:val="00F825DB"/>
    <w:rsid w:val="00F83430"/>
    <w:rsid w:val="00F848CA"/>
    <w:rsid w:val="00F86454"/>
    <w:rsid w:val="00F90A12"/>
    <w:rsid w:val="00F9252B"/>
    <w:rsid w:val="00F9264A"/>
    <w:rsid w:val="00F939E5"/>
    <w:rsid w:val="00F941A5"/>
    <w:rsid w:val="00F94F1C"/>
    <w:rsid w:val="00F95A77"/>
    <w:rsid w:val="00FA3D3B"/>
    <w:rsid w:val="00FA474F"/>
    <w:rsid w:val="00FA4BBD"/>
    <w:rsid w:val="00FA61E5"/>
    <w:rsid w:val="00FA6B8D"/>
    <w:rsid w:val="00FA6FF1"/>
    <w:rsid w:val="00FA7E0F"/>
    <w:rsid w:val="00FB164E"/>
    <w:rsid w:val="00FB1F0C"/>
    <w:rsid w:val="00FB4406"/>
    <w:rsid w:val="00FB4CDE"/>
    <w:rsid w:val="00FB511B"/>
    <w:rsid w:val="00FC26C3"/>
    <w:rsid w:val="00FD2FFD"/>
    <w:rsid w:val="00FE25D6"/>
    <w:rsid w:val="00FE3ADD"/>
    <w:rsid w:val="00FE4AF5"/>
    <w:rsid w:val="00FE63B5"/>
    <w:rsid w:val="00FE7E38"/>
    <w:rsid w:val="00FF3809"/>
    <w:rsid w:val="00FF4FCE"/>
    <w:rsid w:val="00FF7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1992"/>
  <w15:docId w15:val="{305CA1A6-29EB-4081-83B8-41C54D2A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26E"/>
    <w:rPr>
      <w:sz w:val="24"/>
      <w:szCs w:val="24"/>
    </w:rPr>
  </w:style>
  <w:style w:type="paragraph" w:styleId="Nadpis1">
    <w:name w:val="heading 1"/>
    <w:basedOn w:val="Normln"/>
    <w:next w:val="Normln"/>
    <w:link w:val="Nadpis1Char"/>
    <w:qFormat/>
    <w:rsid w:val="007B526E"/>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B526E"/>
    <w:rPr>
      <w:rFonts w:ascii="Arial" w:hAnsi="Arial" w:cs="Arial"/>
      <w:i/>
      <w:iCs/>
      <w:sz w:val="20"/>
      <w:lang w:val="en-GB"/>
    </w:rPr>
  </w:style>
  <w:style w:type="paragraph" w:styleId="Zkladntextodsazen">
    <w:name w:val="Body Text Indent"/>
    <w:basedOn w:val="Normln"/>
    <w:link w:val="ZkladntextodsazenChar"/>
    <w:rsid w:val="007B526E"/>
    <w:pPr>
      <w:ind w:firstLine="567"/>
      <w:jc w:val="both"/>
    </w:pPr>
    <w:rPr>
      <w:rFonts w:ascii="Arial" w:hAnsi="Arial" w:cs="Arial"/>
      <w:color w:val="FF0000"/>
      <w:sz w:val="20"/>
      <w:szCs w:val="20"/>
    </w:rPr>
  </w:style>
  <w:style w:type="paragraph" w:styleId="Zpat">
    <w:name w:val="footer"/>
    <w:basedOn w:val="Normln"/>
    <w:rsid w:val="007B526E"/>
    <w:pPr>
      <w:tabs>
        <w:tab w:val="center" w:pos="4536"/>
        <w:tab w:val="right" w:pos="9072"/>
      </w:tabs>
    </w:pPr>
  </w:style>
  <w:style w:type="character" w:styleId="slostrnky">
    <w:name w:val="page number"/>
    <w:basedOn w:val="Standardnpsmoodstavce"/>
    <w:rsid w:val="007B526E"/>
  </w:style>
  <w:style w:type="paragraph" w:styleId="Zhlav">
    <w:name w:val="header"/>
    <w:basedOn w:val="Normln"/>
    <w:rsid w:val="007B526E"/>
    <w:pPr>
      <w:tabs>
        <w:tab w:val="center" w:pos="4536"/>
        <w:tab w:val="right" w:pos="9072"/>
      </w:tabs>
    </w:pPr>
  </w:style>
  <w:style w:type="paragraph" w:styleId="Textbubliny">
    <w:name w:val="Balloon Text"/>
    <w:basedOn w:val="Normln"/>
    <w:semiHidden/>
    <w:rsid w:val="007B526E"/>
    <w:rPr>
      <w:rFonts w:ascii="Tahoma" w:hAnsi="Tahoma" w:cs="Tahoma"/>
      <w:sz w:val="16"/>
      <w:szCs w:val="16"/>
    </w:rPr>
  </w:style>
  <w:style w:type="character" w:styleId="Siln">
    <w:name w:val="Strong"/>
    <w:qFormat/>
    <w:rsid w:val="007B526E"/>
    <w:rPr>
      <w:b/>
      <w:bCs/>
    </w:rPr>
  </w:style>
  <w:style w:type="character" w:customStyle="1" w:styleId="ZkladntextodsazenChar">
    <w:name w:val="Základní text odsazený Char"/>
    <w:basedOn w:val="Standardnpsmoodstavce"/>
    <w:link w:val="Zkladntextodsazen"/>
    <w:rsid w:val="00C80155"/>
    <w:rPr>
      <w:rFonts w:ascii="Arial" w:hAnsi="Arial" w:cs="Arial"/>
      <w:color w:val="FF0000"/>
    </w:rPr>
  </w:style>
  <w:style w:type="character" w:styleId="Hypertextovodkaz">
    <w:name w:val="Hyperlink"/>
    <w:uiPriority w:val="99"/>
    <w:unhideWhenUsed/>
    <w:rsid w:val="00D36CA8"/>
    <w:rPr>
      <w:color w:val="0000FF"/>
      <w:u w:val="single"/>
    </w:rPr>
  </w:style>
  <w:style w:type="character" w:styleId="Odkaznakoment">
    <w:name w:val="annotation reference"/>
    <w:semiHidden/>
    <w:rsid w:val="00D7763F"/>
    <w:rPr>
      <w:sz w:val="16"/>
      <w:szCs w:val="16"/>
    </w:rPr>
  </w:style>
  <w:style w:type="paragraph" w:styleId="Textkomente">
    <w:name w:val="annotation text"/>
    <w:basedOn w:val="Normln"/>
    <w:link w:val="TextkomenteChar"/>
    <w:semiHidden/>
    <w:rsid w:val="00D7763F"/>
    <w:rPr>
      <w:sz w:val="20"/>
      <w:szCs w:val="20"/>
    </w:rPr>
  </w:style>
  <w:style w:type="character" w:customStyle="1" w:styleId="TextkomenteChar">
    <w:name w:val="Text komentáře Char"/>
    <w:basedOn w:val="Standardnpsmoodstavce"/>
    <w:link w:val="Textkomente"/>
    <w:semiHidden/>
    <w:rsid w:val="00D7763F"/>
  </w:style>
  <w:style w:type="paragraph" w:styleId="Normlnweb">
    <w:name w:val="Normal (Web)"/>
    <w:basedOn w:val="Normln"/>
    <w:uiPriority w:val="99"/>
    <w:unhideWhenUsed/>
    <w:rsid w:val="00D7763F"/>
    <w:pPr>
      <w:spacing w:before="100" w:beforeAutospacing="1" w:after="100" w:afterAutospacing="1"/>
    </w:pPr>
  </w:style>
  <w:style w:type="character" w:styleId="Sledovanodkaz">
    <w:name w:val="FollowedHyperlink"/>
    <w:basedOn w:val="Standardnpsmoodstavce"/>
    <w:semiHidden/>
    <w:unhideWhenUsed/>
    <w:rsid w:val="00BB6357"/>
    <w:rPr>
      <w:color w:val="800080" w:themeColor="followedHyperlink"/>
      <w:u w:val="single"/>
    </w:rPr>
  </w:style>
  <w:style w:type="paragraph" w:styleId="Odstavecseseznamem">
    <w:name w:val="List Paragraph"/>
    <w:basedOn w:val="Normln"/>
    <w:uiPriority w:val="34"/>
    <w:qFormat/>
    <w:rsid w:val="000F162D"/>
    <w:pPr>
      <w:ind w:left="720"/>
      <w:contextualSpacing/>
    </w:pPr>
  </w:style>
  <w:style w:type="paragraph" w:styleId="Zkladntext3">
    <w:name w:val="Body Text 3"/>
    <w:basedOn w:val="Normln"/>
    <w:link w:val="Zkladntext3Char"/>
    <w:unhideWhenUsed/>
    <w:rsid w:val="00860162"/>
    <w:pPr>
      <w:spacing w:after="120"/>
    </w:pPr>
    <w:rPr>
      <w:sz w:val="16"/>
      <w:szCs w:val="16"/>
    </w:rPr>
  </w:style>
  <w:style w:type="character" w:customStyle="1" w:styleId="Zkladntext3Char">
    <w:name w:val="Základní text 3 Char"/>
    <w:basedOn w:val="Standardnpsmoodstavce"/>
    <w:link w:val="Zkladntext3"/>
    <w:rsid w:val="00860162"/>
    <w:rPr>
      <w:sz w:val="16"/>
      <w:szCs w:val="16"/>
    </w:rPr>
  </w:style>
  <w:style w:type="paragraph" w:styleId="Pedmtkomente">
    <w:name w:val="annotation subject"/>
    <w:basedOn w:val="Textkomente"/>
    <w:next w:val="Textkomente"/>
    <w:link w:val="PedmtkomenteChar"/>
    <w:semiHidden/>
    <w:unhideWhenUsed/>
    <w:rsid w:val="00C2368F"/>
    <w:rPr>
      <w:b/>
      <w:bCs/>
    </w:rPr>
  </w:style>
  <w:style w:type="character" w:customStyle="1" w:styleId="PedmtkomenteChar">
    <w:name w:val="Předmět komentáře Char"/>
    <w:basedOn w:val="TextkomenteChar"/>
    <w:link w:val="Pedmtkomente"/>
    <w:semiHidden/>
    <w:rsid w:val="00C2368F"/>
    <w:rPr>
      <w:b/>
      <w:bCs/>
    </w:rPr>
  </w:style>
  <w:style w:type="character" w:customStyle="1" w:styleId="hgkelc">
    <w:name w:val="hgkelc"/>
    <w:basedOn w:val="Standardnpsmoodstavce"/>
    <w:rsid w:val="00833AFD"/>
  </w:style>
  <w:style w:type="character" w:customStyle="1" w:styleId="Nadpis1Char">
    <w:name w:val="Nadpis 1 Char"/>
    <w:link w:val="Nadpis1"/>
    <w:rsid w:val="005D0567"/>
    <w:rPr>
      <w:sz w:val="24"/>
      <w:szCs w:val="24"/>
      <w:u w:val="single"/>
    </w:rPr>
  </w:style>
  <w:style w:type="character" w:styleId="Zdraznn">
    <w:name w:val="Emphasis"/>
    <w:basedOn w:val="Standardnpsmoodstavce"/>
    <w:uiPriority w:val="20"/>
    <w:qFormat/>
    <w:rsid w:val="006A0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nemocenska-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regional-yearbooks" TargetMode="External"/><Relationship Id="rId5" Type="http://schemas.openxmlformats.org/officeDocument/2006/relationships/webSettings" Target="webSettings.xml"/><Relationship Id="rId10" Type="http://schemas.openxmlformats.org/officeDocument/2006/relationships/hyperlink" Target="https://www.czso.cz/csu/czso/statistical-yearbook-of-the-czech-republic-2022" TargetMode="External"/><Relationship Id="rId4" Type="http://schemas.openxmlformats.org/officeDocument/2006/relationships/settings" Target="settings.xml"/><Relationship Id="rId9" Type="http://schemas.openxmlformats.org/officeDocument/2006/relationships/hyperlink" Target="https://www.czso.cz/csu/czso/public-health"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D98D-0C54-4D40-9A13-D0FB970A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3377</Words>
  <Characters>18650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Vojtěch Řezanka Marek</cp:lastModifiedBy>
  <cp:revision>6</cp:revision>
  <cp:lastPrinted>2022-12-20T11:41:00Z</cp:lastPrinted>
  <dcterms:created xsi:type="dcterms:W3CDTF">2022-12-20T11:34:00Z</dcterms:created>
  <dcterms:modified xsi:type="dcterms:W3CDTF">2023-01-02T07:12:00Z</dcterms:modified>
</cp:coreProperties>
</file>